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4C74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52"/>
          <w:szCs w:val="52"/>
          <w:lang w:eastAsia="zh-CN"/>
        </w:rPr>
      </w:pPr>
      <w:r>
        <w:rPr>
          <w:rFonts w:hint="eastAsia" w:ascii="宋体" w:hAnsi="宋体" w:eastAsia="宋体" w:cs="宋体"/>
          <w:sz w:val="52"/>
          <w:szCs w:val="52"/>
        </w:rPr>
        <w:t xml:space="preserve">   </w:t>
      </w:r>
      <w:r>
        <w:rPr>
          <w:rFonts w:hint="eastAsia" w:ascii="宋体" w:hAnsi="宋体" w:eastAsia="宋体" w:cs="宋体"/>
          <w:sz w:val="52"/>
          <w:szCs w:val="52"/>
          <w:lang w:eastAsia="zh-CN"/>
        </w:rPr>
        <w:t>肥西县公共资源交易有限责任公司</w:t>
      </w:r>
    </w:p>
    <w:p w14:paraId="182483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52"/>
          <w:szCs w:val="52"/>
        </w:rPr>
      </w:pPr>
      <w:r>
        <w:rPr>
          <w:rFonts w:hint="eastAsia" w:ascii="宋体" w:hAnsi="宋体" w:eastAsia="宋体" w:cs="宋体"/>
          <w:sz w:val="52"/>
          <w:szCs w:val="52"/>
        </w:rPr>
        <w:t>招标文件</w:t>
      </w:r>
    </w:p>
    <w:p w14:paraId="34DA609D">
      <w:pPr>
        <w:spacing w:line="360" w:lineRule="auto"/>
        <w:jc w:val="left"/>
        <w:rPr>
          <w:rFonts w:hint="eastAsia" w:ascii="宋体" w:hAnsi="宋体" w:eastAsia="宋体" w:cs="宋体"/>
          <w:color w:val="auto"/>
          <w:szCs w:val="24"/>
          <w:highlight w:val="none"/>
        </w:rPr>
      </w:pPr>
    </w:p>
    <w:p w14:paraId="5DAEC0FE">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Cs w:val="24"/>
          <w:highlight w:val="none"/>
        </w:rPr>
      </w:pPr>
      <w:r>
        <w:rPr>
          <w:rFonts w:hint="eastAsia" w:ascii="宋体" w:hAnsi="宋体" w:eastAsia="宋体" w:cs="宋体"/>
          <w:color w:val="auto"/>
          <w:szCs w:val="24"/>
          <w:highlight w:val="none"/>
        </w:rPr>
        <w:drawing>
          <wp:inline distT="0" distB="0" distL="114300" distR="114300">
            <wp:extent cx="2508250" cy="2519680"/>
            <wp:effectExtent l="0" t="0" r="6350" b="13970"/>
            <wp:docPr id="4"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
                    <pic:cNvPicPr>
                      <a:picLocks noChangeAspect="1"/>
                    </pic:cNvPicPr>
                  </pic:nvPicPr>
                  <pic:blipFill>
                    <a:blip r:embed="rId14"/>
                    <a:stretch>
                      <a:fillRect/>
                    </a:stretch>
                  </pic:blipFill>
                  <pic:spPr>
                    <a:xfrm>
                      <a:off x="0" y="0"/>
                      <a:ext cx="2508250" cy="2519680"/>
                    </a:xfrm>
                    <a:prstGeom prst="rect">
                      <a:avLst/>
                    </a:prstGeom>
                    <a:noFill/>
                    <a:ln>
                      <a:noFill/>
                    </a:ln>
                  </pic:spPr>
                </pic:pic>
              </a:graphicData>
            </a:graphic>
          </wp:inline>
        </w:drawing>
      </w:r>
    </w:p>
    <w:p w14:paraId="522F8780">
      <w:pPr>
        <w:rPr>
          <w:rFonts w:hint="eastAsia" w:ascii="宋体" w:hAnsi="宋体" w:eastAsia="宋体" w:cs="宋体"/>
          <w:b/>
          <w:color w:val="auto"/>
          <w:spacing w:val="20"/>
          <w:kern w:val="0"/>
          <w:szCs w:val="24"/>
          <w:highlight w:val="none"/>
        </w:rPr>
      </w:pPr>
    </w:p>
    <w:p w14:paraId="51E5611C">
      <w:pPr>
        <w:pStyle w:val="3"/>
        <w:jc w:val="both"/>
        <w:rPr>
          <w:rFonts w:hint="eastAsia" w:ascii="宋体" w:hAnsi="宋体" w:eastAsia="宋体" w:cs="宋体"/>
        </w:rPr>
      </w:pPr>
    </w:p>
    <w:p w14:paraId="56D71570">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项目名称：</w:t>
      </w:r>
      <w:r>
        <w:rPr>
          <w:rFonts w:hint="eastAsia" w:ascii="宋体" w:hAnsi="宋体" w:eastAsia="宋体" w:cs="宋体"/>
          <w:b w:val="0"/>
          <w:bCs w:val="0"/>
          <w:sz w:val="32"/>
          <w:szCs w:val="32"/>
          <w:lang w:eastAsia="zh-CN"/>
        </w:rPr>
        <w:t>安徽师范大学附属肥西第二中学食堂委托运营</w:t>
      </w:r>
    </w:p>
    <w:p w14:paraId="13C443C5">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项目编号:</w:t>
      </w:r>
      <w:r>
        <w:rPr>
          <w:rFonts w:hint="eastAsia" w:ascii="宋体" w:hAnsi="宋体" w:cs="宋体"/>
          <w:b w:val="0"/>
          <w:bCs w:val="0"/>
          <w:sz w:val="32"/>
          <w:szCs w:val="32"/>
          <w:lang w:eastAsia="zh-CN"/>
        </w:rPr>
        <w:t>2026PHBZ355</w:t>
      </w:r>
    </w:p>
    <w:p w14:paraId="04863634">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招标人：</w:t>
      </w:r>
      <w:r>
        <w:rPr>
          <w:rFonts w:hint="eastAsia" w:ascii="宋体" w:hAnsi="宋体" w:eastAsia="宋体" w:cs="宋体"/>
          <w:b w:val="0"/>
          <w:bCs w:val="0"/>
          <w:sz w:val="32"/>
          <w:szCs w:val="32"/>
          <w:lang w:eastAsia="zh-CN"/>
        </w:rPr>
        <w:t>安徽省肥西第二中学</w:t>
      </w:r>
    </w:p>
    <w:p w14:paraId="69907716">
      <w:pPr>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rPr>
        <w:t>代理机构：</w:t>
      </w:r>
      <w:r>
        <w:rPr>
          <w:rFonts w:hint="eastAsia" w:ascii="宋体" w:hAnsi="宋体" w:eastAsia="宋体" w:cs="宋体"/>
          <w:b w:val="0"/>
          <w:bCs w:val="0"/>
          <w:sz w:val="32"/>
          <w:szCs w:val="32"/>
          <w:lang w:eastAsia="zh-CN"/>
        </w:rPr>
        <w:t>肥西县公共资源交易有限责任公司</w:t>
      </w:r>
    </w:p>
    <w:p w14:paraId="0380524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32"/>
          <w:szCs w:val="32"/>
        </w:rPr>
      </w:pPr>
    </w:p>
    <w:p w14:paraId="0C812EA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招标时间：</w:t>
      </w:r>
      <w:r>
        <w:rPr>
          <w:rFonts w:hint="eastAsia" w:ascii="宋体" w:hAnsi="宋体" w:eastAsia="宋体" w:cs="宋体"/>
          <w:b/>
          <w:bCs/>
          <w:sz w:val="32"/>
          <w:szCs w:val="32"/>
          <w:lang w:val="en-US" w:eastAsia="zh-CN"/>
        </w:rPr>
        <w:t>2026年</w:t>
      </w:r>
      <w:r>
        <w:rPr>
          <w:rFonts w:hint="eastAsia" w:ascii="宋体" w:hAnsi="宋体" w:cs="宋体"/>
          <w:b/>
          <w:bCs/>
          <w:sz w:val="32"/>
          <w:szCs w:val="32"/>
          <w:lang w:val="en-US" w:eastAsia="zh-CN"/>
        </w:rPr>
        <w:t>7</w:t>
      </w:r>
      <w:r>
        <w:rPr>
          <w:rFonts w:hint="eastAsia" w:ascii="宋体" w:hAnsi="宋体" w:eastAsia="宋体" w:cs="宋体"/>
          <w:b/>
          <w:bCs/>
          <w:sz w:val="32"/>
          <w:szCs w:val="32"/>
        </w:rPr>
        <w:t>月</w:t>
      </w:r>
    </w:p>
    <w:p w14:paraId="5945FD4D">
      <w:pPr>
        <w:rPr>
          <w:rFonts w:hint="eastAsia" w:ascii="宋体" w:hAnsi="宋体" w:eastAsia="宋体" w:cs="宋体"/>
          <w:b w:val="0"/>
          <w:bCs w:val="0"/>
          <w:color w:val="auto"/>
          <w:spacing w:val="20"/>
          <w:kern w:val="0"/>
          <w:sz w:val="32"/>
          <w:szCs w:val="32"/>
          <w:highlight w:val="yellow"/>
        </w:rPr>
      </w:pPr>
      <w:r>
        <w:rPr>
          <w:rFonts w:hint="eastAsia" w:ascii="宋体" w:hAnsi="宋体" w:eastAsia="宋体" w:cs="宋体"/>
          <w:b w:val="0"/>
          <w:bCs w:val="0"/>
          <w:color w:val="auto"/>
          <w:spacing w:val="20"/>
          <w:kern w:val="0"/>
          <w:sz w:val="32"/>
          <w:szCs w:val="32"/>
          <w:highlight w:val="yellow"/>
        </w:rPr>
        <w:br w:type="page"/>
      </w:r>
    </w:p>
    <w:p w14:paraId="5DE738F9">
      <w:pPr>
        <w:bidi w:val="0"/>
        <w:spacing w:line="360" w:lineRule="auto"/>
        <w:jc w:val="center"/>
        <w:rPr>
          <w:rFonts w:hint="eastAsia" w:ascii="宋体" w:hAnsi="宋体" w:eastAsia="宋体" w:cs="宋体"/>
          <w:b/>
          <w:bCs/>
          <w:sz w:val="32"/>
          <w:szCs w:val="22"/>
          <w:lang w:val="en-US" w:eastAsia="zh-CN"/>
        </w:rPr>
      </w:pPr>
      <w:r>
        <w:rPr>
          <w:rFonts w:hint="eastAsia" w:ascii="宋体" w:hAnsi="宋体" w:eastAsia="宋体" w:cs="宋体"/>
          <w:b/>
          <w:bCs/>
          <w:sz w:val="32"/>
          <w:szCs w:val="22"/>
          <w:lang w:val="en-US" w:eastAsia="zh-CN"/>
        </w:rPr>
        <w:t>目录</w:t>
      </w:r>
    </w:p>
    <w:sdt>
      <w:sdtPr>
        <w:rPr>
          <w:rFonts w:hint="eastAsia" w:ascii="宋体" w:hAnsi="宋体" w:eastAsia="宋体" w:cs="宋体"/>
          <w:b/>
          <w:bCs/>
          <w:kern w:val="2"/>
          <w:sz w:val="24"/>
          <w:szCs w:val="22"/>
          <w:lang w:val="en-US" w:eastAsia="zh-CN" w:bidi="ar-SA"/>
        </w:rPr>
        <w:id w:val="147458782"/>
        <w15:color w:val="DBDBDB"/>
        <w:docPartObj>
          <w:docPartGallery w:val="Table of Contents"/>
          <w:docPartUnique/>
        </w:docPartObj>
      </w:sdtPr>
      <w:sdtEndPr>
        <w:rPr>
          <w:rFonts w:hint="eastAsia" w:ascii="宋体" w:hAnsi="宋体" w:eastAsia="宋体" w:cs="宋体"/>
          <w:b/>
          <w:bCs/>
          <w:kern w:val="2"/>
          <w:sz w:val="24"/>
          <w:szCs w:val="22"/>
          <w:lang w:val="en-US" w:eastAsia="zh-CN" w:bidi="ar-SA"/>
        </w:rPr>
      </w:sdtEndPr>
      <w:sdtContent>
        <w:p w14:paraId="134BA11A">
          <w:pPr>
            <w:spacing w:before="0" w:beforeLines="0" w:after="0" w:afterLines="0" w:line="360" w:lineRule="auto"/>
            <w:ind w:left="0" w:leftChars="0" w:right="0" w:rightChars="0" w:firstLine="0" w:firstLineChars="0"/>
            <w:jc w:val="center"/>
            <w:rPr>
              <w:rFonts w:hint="eastAsia" w:ascii="宋体" w:hAnsi="宋体" w:eastAsia="宋体" w:cs="宋体"/>
              <w:b/>
              <w:bCs/>
              <w:sz w:val="32"/>
              <w:szCs w:val="22"/>
            </w:rPr>
          </w:pPr>
        </w:p>
        <w:p w14:paraId="66F05CED">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TOC \o "1-1" \h \u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_Toc26712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32"/>
              <w:highlight w:val="none"/>
            </w:rPr>
            <w:t>第一章 招标公告</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_Toc26712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3</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67411046">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_Toc8199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highlight w:val="none"/>
            </w:rPr>
            <w:t>第二章 投标人须知前附表</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_Toc8199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6</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69B14E2E">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_Toc28866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highlight w:val="none"/>
            </w:rPr>
            <w:t>第三章 投标人须知</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_Toc28866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11</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033AFE73">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_Toc3433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highlight w:val="none"/>
            </w:rPr>
            <w:t>第四章 招标需求</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_Toc3433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27</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1208709A">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_Toc26715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highlight w:val="none"/>
            </w:rPr>
            <w:t>第五章 评标办法</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_Toc26715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27</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57B4F6EE">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_Toc27779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rPr>
            <w:t xml:space="preserve">第六章 </w:t>
          </w:r>
          <w:r>
            <w:rPr>
              <w:rFonts w:hint="eastAsia" w:ascii="宋体" w:hAnsi="宋体" w:eastAsia="宋体" w:cs="宋体"/>
              <w:b w:val="0"/>
              <w:bCs w:val="0"/>
              <w:sz w:val="28"/>
              <w:szCs w:val="21"/>
              <w:highlight w:val="none"/>
            </w:rPr>
            <w:t>合同</w:t>
          </w:r>
          <w:r>
            <w:rPr>
              <w:rFonts w:hint="eastAsia" w:ascii="宋体" w:hAnsi="宋体" w:eastAsia="宋体" w:cs="宋体"/>
              <w:b w:val="0"/>
              <w:bCs w:val="0"/>
              <w:sz w:val="28"/>
              <w:szCs w:val="21"/>
              <w:highlight w:val="none"/>
              <w:lang w:val="en-US" w:eastAsia="zh-CN"/>
            </w:rPr>
            <w:t>条款及格式</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_Toc27779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40</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7F886FFC">
          <w:pPr>
            <w:pStyle w:val="8"/>
            <w:tabs>
              <w:tab w:val="right" w:leader="dot" w:pos="9412"/>
            </w:tabs>
            <w:spacing w:line="360" w:lineRule="auto"/>
            <w:rPr>
              <w:rFonts w:hint="eastAsia" w:ascii="宋体" w:hAnsi="宋体" w:eastAsia="宋体" w:cs="宋体"/>
              <w:b w:val="0"/>
              <w:bCs w:val="0"/>
              <w:sz w:val="28"/>
              <w:szCs w:val="21"/>
            </w:rPr>
          </w:pPr>
          <w:r>
            <w:rPr>
              <w:rFonts w:hint="eastAsia" w:ascii="宋体" w:hAnsi="宋体" w:eastAsia="宋体" w:cs="宋体"/>
              <w:b w:val="0"/>
              <w:bCs w:val="0"/>
              <w:sz w:val="28"/>
              <w:szCs w:val="21"/>
              <w:lang w:val="en-US" w:eastAsia="zh-CN"/>
            </w:rPr>
            <w:fldChar w:fldCharType="begin"/>
          </w:r>
          <w:r>
            <w:rPr>
              <w:rFonts w:hint="eastAsia" w:ascii="宋体" w:hAnsi="宋体" w:eastAsia="宋体" w:cs="宋体"/>
              <w:b w:val="0"/>
              <w:bCs w:val="0"/>
              <w:sz w:val="28"/>
              <w:szCs w:val="21"/>
              <w:lang w:val="en-US" w:eastAsia="zh-CN"/>
            </w:rPr>
            <w:instrText xml:space="preserve"> HYPERLINK \l _Toc27138 </w:instrText>
          </w:r>
          <w:r>
            <w:rPr>
              <w:rFonts w:hint="eastAsia" w:ascii="宋体" w:hAnsi="宋体" w:eastAsia="宋体" w:cs="宋体"/>
              <w:b w:val="0"/>
              <w:bCs w:val="0"/>
              <w:sz w:val="28"/>
              <w:szCs w:val="21"/>
              <w:lang w:val="en-US" w:eastAsia="zh-CN"/>
            </w:rPr>
            <w:fldChar w:fldCharType="separate"/>
          </w:r>
          <w:r>
            <w:rPr>
              <w:rFonts w:hint="eastAsia" w:ascii="宋体" w:hAnsi="宋体" w:eastAsia="宋体" w:cs="宋体"/>
              <w:b w:val="0"/>
              <w:bCs w:val="0"/>
              <w:sz w:val="28"/>
              <w:szCs w:val="21"/>
              <w:highlight w:val="none"/>
            </w:rPr>
            <w:t>第七章 投标文件格式</w:t>
          </w:r>
          <w:r>
            <w:rPr>
              <w:rFonts w:hint="eastAsia" w:ascii="宋体" w:hAnsi="宋体" w:eastAsia="宋体" w:cs="宋体"/>
              <w:b w:val="0"/>
              <w:bCs w:val="0"/>
              <w:sz w:val="28"/>
              <w:szCs w:val="21"/>
            </w:rPr>
            <w:tab/>
          </w:r>
          <w:r>
            <w:rPr>
              <w:rFonts w:hint="eastAsia" w:ascii="宋体" w:hAnsi="宋体" w:eastAsia="宋体" w:cs="宋体"/>
              <w:b w:val="0"/>
              <w:bCs w:val="0"/>
              <w:sz w:val="28"/>
              <w:szCs w:val="21"/>
            </w:rPr>
            <w:fldChar w:fldCharType="begin"/>
          </w:r>
          <w:r>
            <w:rPr>
              <w:rFonts w:hint="eastAsia" w:ascii="宋体" w:hAnsi="宋体" w:eastAsia="宋体" w:cs="宋体"/>
              <w:b w:val="0"/>
              <w:bCs w:val="0"/>
              <w:sz w:val="28"/>
              <w:szCs w:val="21"/>
            </w:rPr>
            <w:instrText xml:space="preserve"> PAGEREF _Toc27138 \h </w:instrText>
          </w:r>
          <w:r>
            <w:rPr>
              <w:rFonts w:hint="eastAsia" w:ascii="宋体" w:hAnsi="宋体" w:eastAsia="宋体" w:cs="宋体"/>
              <w:b w:val="0"/>
              <w:bCs w:val="0"/>
              <w:sz w:val="28"/>
              <w:szCs w:val="21"/>
            </w:rPr>
            <w:fldChar w:fldCharType="separate"/>
          </w:r>
          <w:r>
            <w:rPr>
              <w:rFonts w:hint="eastAsia" w:ascii="宋体" w:hAnsi="宋体" w:eastAsia="宋体" w:cs="宋体"/>
              <w:b w:val="0"/>
              <w:bCs w:val="0"/>
              <w:sz w:val="28"/>
              <w:szCs w:val="21"/>
            </w:rPr>
            <w:t>41</w:t>
          </w:r>
          <w:r>
            <w:rPr>
              <w:rFonts w:hint="eastAsia" w:ascii="宋体" w:hAnsi="宋体" w:eastAsia="宋体" w:cs="宋体"/>
              <w:b w:val="0"/>
              <w:bCs w:val="0"/>
              <w:sz w:val="28"/>
              <w:szCs w:val="21"/>
            </w:rPr>
            <w:fldChar w:fldCharType="end"/>
          </w:r>
          <w:r>
            <w:rPr>
              <w:rFonts w:hint="eastAsia" w:ascii="宋体" w:hAnsi="宋体" w:eastAsia="宋体" w:cs="宋体"/>
              <w:b w:val="0"/>
              <w:bCs w:val="0"/>
              <w:sz w:val="28"/>
              <w:szCs w:val="21"/>
              <w:lang w:val="en-US" w:eastAsia="zh-CN"/>
            </w:rPr>
            <w:fldChar w:fldCharType="end"/>
          </w:r>
        </w:p>
        <w:p w14:paraId="34985182">
          <w:pPr>
            <w:spacing w:line="360" w:lineRule="auto"/>
            <w:rPr>
              <w:rFonts w:hint="eastAsia" w:ascii="宋体" w:hAnsi="宋体" w:eastAsia="宋体" w:cs="宋体"/>
              <w:lang w:val="en-US" w:eastAsia="zh-CN"/>
            </w:rPr>
          </w:pPr>
          <w:r>
            <w:rPr>
              <w:rFonts w:hint="eastAsia" w:ascii="宋体" w:hAnsi="宋体" w:eastAsia="宋体" w:cs="宋体"/>
              <w:b w:val="0"/>
              <w:bCs w:val="0"/>
              <w:sz w:val="28"/>
              <w:szCs w:val="21"/>
              <w:lang w:val="en-US" w:eastAsia="zh-CN"/>
            </w:rPr>
            <w:fldChar w:fldCharType="end"/>
          </w:r>
        </w:p>
      </w:sdtContent>
    </w:sdt>
    <w:p w14:paraId="312E8D25">
      <w:pPr>
        <w:pStyle w:val="9"/>
        <w:tabs>
          <w:tab w:val="right" w:leader="dot" w:pos="9403"/>
        </w:tabs>
        <w:spacing w:line="500" w:lineRule="exact"/>
        <w:ind w:left="0" w:leftChars="0" w:firstLine="0" w:firstLineChars="0"/>
        <w:rPr>
          <w:rFonts w:hint="eastAsia" w:ascii="宋体" w:hAnsi="宋体" w:eastAsia="宋体" w:cs="宋体"/>
          <w:color w:val="auto"/>
          <w:szCs w:val="28"/>
          <w:highlight w:val="none"/>
        </w:rPr>
      </w:pPr>
      <w:bookmarkStart w:id="0" w:name="_Toc20341"/>
    </w:p>
    <w:p w14:paraId="225CD775">
      <w:pPr>
        <w:widowControl/>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br w:type="page"/>
      </w:r>
    </w:p>
    <w:p w14:paraId="0239FBCC">
      <w:pPr>
        <w:pStyle w:val="2"/>
        <w:spacing w:before="120" w:line="500" w:lineRule="exact"/>
        <w:ind w:firstLine="0"/>
        <w:outlineLvl w:val="0"/>
        <w:rPr>
          <w:rFonts w:hint="eastAsia" w:ascii="宋体" w:hAnsi="宋体" w:eastAsia="宋体" w:cs="宋体"/>
          <w:color w:val="auto"/>
          <w:sz w:val="28"/>
          <w:szCs w:val="28"/>
          <w:highlight w:val="none"/>
        </w:rPr>
      </w:pPr>
      <w:bookmarkStart w:id="1" w:name="_Toc26712"/>
      <w:r>
        <w:rPr>
          <w:rFonts w:hint="eastAsia" w:ascii="宋体" w:hAnsi="宋体" w:eastAsia="宋体" w:cs="宋体"/>
          <w:color w:val="auto"/>
          <w:sz w:val="28"/>
          <w:szCs w:val="28"/>
          <w:highlight w:val="none"/>
        </w:rPr>
        <w:t>第一章</w:t>
      </w:r>
      <w:bookmarkStart w:id="2" w:name="_Toc462215727"/>
      <w:r>
        <w:rPr>
          <w:rFonts w:hint="eastAsia" w:ascii="宋体" w:hAnsi="宋体" w:eastAsia="宋体" w:cs="宋体"/>
          <w:color w:val="auto"/>
          <w:sz w:val="28"/>
          <w:szCs w:val="28"/>
          <w:highlight w:val="none"/>
        </w:rPr>
        <w:t xml:space="preserve"> 招标公告</w:t>
      </w:r>
      <w:bookmarkEnd w:id="0"/>
      <w:bookmarkEnd w:id="1"/>
      <w:bookmarkEnd w:id="2"/>
    </w:p>
    <w:p w14:paraId="5DF22C6A">
      <w:pPr>
        <w:pStyle w:val="13"/>
        <w:keepNext w:val="0"/>
        <w:keepLines w:val="0"/>
        <w:pageBreakBefore w:val="0"/>
        <w:widowControl w:val="0"/>
        <w:kinsoku/>
        <w:wordWrap/>
        <w:overflowPunct/>
        <w:topLinePunct w:val="0"/>
        <w:autoSpaceDE w:val="0"/>
        <w:autoSpaceDN w:val="0"/>
        <w:bidi w:val="0"/>
        <w:adjustRightInd w:val="0"/>
        <w:snapToGrid/>
        <w:spacing w:before="0" w:after="0" w:line="360" w:lineRule="auto"/>
        <w:ind w:left="0" w:leftChars="0" w:firstLine="480" w:firstLineChars="200"/>
        <w:textAlignment w:val="auto"/>
        <w:rPr>
          <w:rFonts w:hint="eastAsia" w:ascii="宋体" w:hAnsi="宋体" w:eastAsia="宋体" w:cs="宋体"/>
          <w:color w:val="auto"/>
          <w:kern w:val="2"/>
          <w:highlight w:val="none"/>
        </w:rPr>
      </w:pPr>
      <w:r>
        <w:rPr>
          <w:rFonts w:hint="eastAsia" w:ascii="宋体" w:hAnsi="宋体" w:eastAsia="宋体" w:cs="宋体"/>
          <w:color w:val="auto"/>
          <w:kern w:val="2"/>
          <w:highlight w:val="none"/>
          <w:lang w:eastAsia="zh-CN"/>
        </w:rPr>
        <w:t>肥西县公共资源交易有限责任公司</w:t>
      </w:r>
      <w:r>
        <w:rPr>
          <w:rFonts w:hint="eastAsia" w:ascii="宋体" w:hAnsi="宋体" w:eastAsia="宋体" w:cs="宋体"/>
          <w:color w:val="auto"/>
          <w:kern w:val="2"/>
          <w:highlight w:val="none"/>
        </w:rPr>
        <w:t>受</w:t>
      </w:r>
      <w:r>
        <w:rPr>
          <w:rFonts w:hint="eastAsia" w:ascii="宋体" w:hAnsi="宋体" w:eastAsia="宋体" w:cs="宋体"/>
          <w:color w:val="auto"/>
          <w:kern w:val="2"/>
          <w:highlight w:val="none"/>
          <w:lang w:eastAsia="zh-CN"/>
        </w:rPr>
        <w:t>安徽省肥西第二中学</w:t>
      </w:r>
      <w:r>
        <w:rPr>
          <w:rFonts w:hint="eastAsia" w:ascii="宋体" w:hAnsi="宋体" w:eastAsia="宋体" w:cs="宋体"/>
          <w:color w:val="auto"/>
          <w:kern w:val="2"/>
          <w:highlight w:val="none"/>
        </w:rPr>
        <w:t>委托，现对“</w:t>
      </w:r>
      <w:r>
        <w:rPr>
          <w:rFonts w:hint="eastAsia" w:ascii="宋体" w:hAnsi="宋体" w:eastAsia="宋体" w:cs="宋体"/>
          <w:color w:val="auto"/>
          <w:kern w:val="2"/>
          <w:highlight w:val="none"/>
          <w:lang w:eastAsia="zh-CN"/>
        </w:rPr>
        <w:t>安徽师范大学附属肥西第二中学食堂委托运营</w:t>
      </w:r>
      <w:r>
        <w:rPr>
          <w:rFonts w:hint="eastAsia" w:ascii="宋体" w:hAnsi="宋体" w:eastAsia="宋体" w:cs="宋体"/>
          <w:color w:val="auto"/>
          <w:kern w:val="2"/>
          <w:highlight w:val="none"/>
        </w:rPr>
        <w:t>”进行公开招标，欢迎具备条件的投标人参加投标。</w:t>
      </w:r>
    </w:p>
    <w:p w14:paraId="51D103FA">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一、项目名称及内容</w:t>
      </w:r>
    </w:p>
    <w:p w14:paraId="4BE4241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lang w:eastAsia="zh-CN"/>
        </w:rPr>
        <w:t>2026PHBZ355</w:t>
      </w:r>
    </w:p>
    <w:p w14:paraId="414FB65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安徽师范大学附属肥西第二中学食堂委托运营</w:t>
      </w:r>
    </w:p>
    <w:p w14:paraId="6739796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3.项目地点：</w:t>
      </w:r>
      <w:r>
        <w:rPr>
          <w:rFonts w:hint="eastAsia" w:ascii="宋体" w:hAnsi="宋体" w:eastAsia="宋体" w:cs="宋体"/>
          <w:color w:val="auto"/>
          <w:sz w:val="24"/>
          <w:szCs w:val="24"/>
          <w:highlight w:val="none"/>
          <w:lang w:val="en-US" w:eastAsia="zh-CN"/>
        </w:rPr>
        <w:t>肥西县</w:t>
      </w:r>
    </w:p>
    <w:p w14:paraId="36FD54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安徽省肥西第二中学</w:t>
      </w:r>
    </w:p>
    <w:p w14:paraId="7102E06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5.项目概况：安徽师范大学附属肥西第二中学位于肥西县上派镇望水路与肥光路交口。规划办学规模48个教学班，2026年秋学期预计有60个教学班，在校</w:t>
      </w:r>
      <w:r>
        <w:rPr>
          <w:rFonts w:hint="eastAsia" w:ascii="宋体" w:hAnsi="宋体" w:cs="宋体"/>
          <w:color w:val="auto"/>
          <w:sz w:val="24"/>
          <w:szCs w:val="24"/>
          <w:highlight w:val="none"/>
          <w:lang w:val="en-US" w:eastAsia="zh-CN"/>
        </w:rPr>
        <w:t>人数</w:t>
      </w:r>
      <w:r>
        <w:rPr>
          <w:rFonts w:hint="eastAsia" w:ascii="宋体" w:hAnsi="宋体" w:eastAsia="宋体" w:cs="宋体"/>
          <w:color w:val="auto"/>
          <w:sz w:val="24"/>
          <w:szCs w:val="24"/>
          <w:highlight w:val="none"/>
        </w:rPr>
        <w:t>3000</w:t>
      </w:r>
      <w:r>
        <w:rPr>
          <w:rFonts w:hint="eastAsia" w:ascii="宋体" w:hAnsi="宋体" w:cs="宋体"/>
          <w:color w:val="auto"/>
          <w:sz w:val="24"/>
          <w:szCs w:val="24"/>
          <w:highlight w:val="none"/>
          <w:lang w:val="en-US" w:eastAsia="zh-CN"/>
        </w:rPr>
        <w:t>余</w:t>
      </w:r>
      <w:r>
        <w:rPr>
          <w:rFonts w:hint="eastAsia" w:ascii="宋体" w:hAnsi="宋体" w:eastAsia="宋体" w:cs="宋体"/>
          <w:color w:val="auto"/>
          <w:sz w:val="24"/>
          <w:szCs w:val="24"/>
          <w:highlight w:val="none"/>
        </w:rPr>
        <w:t>人，其中在校就餐</w:t>
      </w:r>
      <w:r>
        <w:rPr>
          <w:rFonts w:hint="eastAsia" w:ascii="宋体" w:hAnsi="宋体" w:cs="宋体"/>
          <w:color w:val="auto"/>
          <w:sz w:val="24"/>
          <w:szCs w:val="24"/>
          <w:highlight w:val="none"/>
          <w:lang w:val="en-US" w:eastAsia="zh-CN"/>
        </w:rPr>
        <w:t>约3000</w:t>
      </w:r>
      <w:r>
        <w:rPr>
          <w:rFonts w:hint="eastAsia" w:ascii="宋体" w:hAnsi="宋体" w:eastAsia="宋体" w:cs="宋体"/>
          <w:color w:val="auto"/>
          <w:sz w:val="24"/>
          <w:szCs w:val="24"/>
          <w:highlight w:val="none"/>
        </w:rPr>
        <w:t>人，包含早中晚餐。学校食堂共二层，均按照标准设计建设，功能用房齐全，配套设施完善。</w:t>
      </w:r>
    </w:p>
    <w:p w14:paraId="7D175C1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6.资金来源：</w:t>
      </w:r>
      <w:r>
        <w:rPr>
          <w:rFonts w:hint="eastAsia" w:ascii="宋体" w:hAnsi="宋体" w:eastAsia="宋体" w:cs="宋体"/>
          <w:color w:val="auto"/>
          <w:sz w:val="24"/>
          <w:szCs w:val="24"/>
          <w:highlight w:val="none"/>
          <w:lang w:val="en-US" w:eastAsia="zh-CN"/>
        </w:rPr>
        <w:t>自筹</w:t>
      </w:r>
    </w:p>
    <w:p w14:paraId="35877E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7.项目概算：</w:t>
      </w:r>
      <w:r>
        <w:rPr>
          <w:rFonts w:hint="eastAsia" w:ascii="宋体" w:hAnsi="宋体" w:eastAsia="宋体" w:cs="宋体"/>
          <w:b w:val="0"/>
          <w:bCs w:val="0"/>
          <w:color w:val="auto"/>
          <w:sz w:val="24"/>
          <w:szCs w:val="24"/>
          <w:highlight w:val="none"/>
          <w:lang w:val="en-US" w:eastAsia="zh-CN"/>
        </w:rPr>
        <w:t>0万元</w:t>
      </w:r>
    </w:p>
    <w:p w14:paraId="2D80D8A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8.服务期限：</w:t>
      </w:r>
      <w:r>
        <w:rPr>
          <w:rFonts w:hint="eastAsia" w:ascii="宋体" w:hAnsi="宋体" w:eastAsia="宋体" w:cs="宋体"/>
          <w:color w:val="FF0000"/>
          <w:sz w:val="24"/>
          <w:szCs w:val="24"/>
          <w:highlight w:val="none"/>
          <w:lang w:val="en-US" w:eastAsia="zh-CN"/>
        </w:rPr>
        <w:t>三年，合同一年一签。</w:t>
      </w:r>
    </w:p>
    <w:p w14:paraId="1C2E299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项目类别：</w:t>
      </w:r>
      <w:r>
        <w:rPr>
          <w:rFonts w:hint="eastAsia" w:ascii="宋体" w:hAnsi="宋体" w:eastAsia="宋体" w:cs="宋体"/>
          <w:color w:val="auto"/>
          <w:sz w:val="24"/>
          <w:szCs w:val="24"/>
          <w:highlight w:val="none"/>
          <w:lang w:val="en-US" w:eastAsia="zh-CN"/>
        </w:rPr>
        <w:t>服务类</w:t>
      </w:r>
    </w:p>
    <w:p w14:paraId="0E737C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.标的（包别）划分：本项目共一个标段</w:t>
      </w:r>
    </w:p>
    <w:p w14:paraId="6802FCA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二、投标人资格</w:t>
      </w:r>
    </w:p>
    <w:p w14:paraId="4931866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投标人资质要求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FF0000"/>
          <w:sz w:val="24"/>
          <w:szCs w:val="24"/>
          <w:highlight w:val="none"/>
          <w:lang w:val="en-US" w:eastAsia="zh-CN"/>
        </w:rPr>
        <w:t>具有有效的食品经营许可证</w:t>
      </w:r>
      <w:r>
        <w:rPr>
          <w:rFonts w:hint="eastAsia" w:ascii="宋体" w:hAnsi="宋体" w:cs="宋体"/>
          <w:color w:val="FF0000"/>
          <w:sz w:val="24"/>
          <w:szCs w:val="24"/>
          <w:highlight w:val="none"/>
          <w:lang w:val="en-US" w:eastAsia="zh-CN"/>
        </w:rPr>
        <w:t>或餐饮服务许可证</w:t>
      </w:r>
      <w:r>
        <w:rPr>
          <w:rFonts w:hint="eastAsia" w:ascii="宋体" w:hAnsi="宋体" w:eastAsia="宋体" w:cs="宋体"/>
          <w:color w:val="FF0000"/>
          <w:sz w:val="24"/>
          <w:szCs w:val="24"/>
          <w:highlight w:val="none"/>
          <w:lang w:val="en-US" w:eastAsia="zh-CN"/>
        </w:rPr>
        <w:t>；</w:t>
      </w:r>
    </w:p>
    <w:p w14:paraId="7A6BB92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接</w:t>
      </w:r>
      <w:r>
        <w:rPr>
          <w:rFonts w:hint="eastAsia" w:ascii="宋体" w:hAnsi="宋体" w:eastAsia="宋体" w:cs="宋体"/>
          <w:color w:val="auto"/>
          <w:sz w:val="24"/>
          <w:szCs w:val="24"/>
          <w:highlight w:val="none"/>
        </w:rPr>
        <w:t>受联合体投标</w:t>
      </w:r>
      <w:r>
        <w:rPr>
          <w:rFonts w:hint="eastAsia" w:ascii="宋体" w:hAnsi="宋体" w:eastAsia="宋体" w:cs="宋体"/>
          <w:color w:val="auto"/>
          <w:sz w:val="24"/>
          <w:szCs w:val="24"/>
          <w:highlight w:val="none"/>
          <w:lang w:eastAsia="zh-CN"/>
        </w:rPr>
        <w:t>；</w:t>
      </w:r>
    </w:p>
    <w:p w14:paraId="0AA42A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投标人存在以下不良信用记录情形之一的，不得推荐为中标候选人，不得确定为中标人：</w:t>
      </w:r>
    </w:p>
    <w:p w14:paraId="7FC71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rPr>
      </w:pPr>
      <w:bookmarkStart w:id="3" w:name="_Hlt510343011"/>
      <w:bookmarkStart w:id="4" w:name="_Hlt510342998"/>
      <w:bookmarkStart w:id="5" w:name="_Toc28801"/>
      <w:r>
        <w:rPr>
          <w:rFonts w:hint="eastAsia" w:ascii="宋体" w:hAnsi="宋体" w:eastAsia="宋体" w:cs="宋体"/>
          <w:color w:val="auto"/>
          <w:szCs w:val="24"/>
          <w:highlight w:val="none"/>
        </w:rPr>
        <w:t>（1）在“信用中国”网站（http://www.creditchina.gov.cn/）中被列入失信被执行人名单；</w:t>
      </w:r>
    </w:p>
    <w:p w14:paraId="5E4013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（2）在“信用中国”网站（http://www.creditchina.gov.cn/）中被列入重大税收违法失信主体名单</w:t>
      </w:r>
      <w:r>
        <w:rPr>
          <w:rFonts w:hint="eastAsia" w:ascii="宋体" w:hAnsi="宋体" w:eastAsia="宋体" w:cs="宋体"/>
          <w:color w:val="auto"/>
          <w:szCs w:val="24"/>
          <w:highlight w:val="none"/>
          <w:lang w:eastAsia="zh-CN"/>
        </w:rPr>
        <w:t>。</w:t>
      </w:r>
    </w:p>
    <w:p w14:paraId="3F472B1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三、招标文件的获取</w:t>
      </w:r>
    </w:p>
    <w:p w14:paraId="74A5E6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FF0000"/>
          <w:szCs w:val="18"/>
          <w:highlight w:val="none"/>
        </w:rPr>
      </w:pPr>
      <w:r>
        <w:rPr>
          <w:rFonts w:hint="eastAsia" w:ascii="宋体" w:hAnsi="宋体" w:eastAsia="宋体" w:cs="宋体"/>
          <w:color w:val="FF0000"/>
          <w:szCs w:val="18"/>
          <w:highlight w:val="none"/>
          <w:lang w:val="en-US" w:eastAsia="zh-CN"/>
        </w:rPr>
        <w:t>1.获取</w:t>
      </w:r>
      <w:r>
        <w:rPr>
          <w:rFonts w:hint="eastAsia" w:ascii="宋体" w:hAnsi="宋体" w:eastAsia="宋体" w:cs="宋体"/>
          <w:color w:val="FF0000"/>
          <w:szCs w:val="18"/>
          <w:highlight w:val="none"/>
        </w:rPr>
        <w:t>时间：202</w:t>
      </w:r>
      <w:r>
        <w:rPr>
          <w:rFonts w:hint="eastAsia" w:ascii="宋体" w:hAnsi="宋体" w:eastAsia="宋体" w:cs="宋体"/>
          <w:color w:val="FF0000"/>
          <w:szCs w:val="18"/>
          <w:highlight w:val="none"/>
          <w:lang w:val="en-US" w:eastAsia="zh-CN"/>
        </w:rPr>
        <w:t>6</w:t>
      </w:r>
      <w:r>
        <w:rPr>
          <w:rFonts w:hint="eastAsia" w:ascii="宋体" w:hAnsi="宋体" w:eastAsia="宋体" w:cs="宋体"/>
          <w:color w:val="FF0000"/>
          <w:szCs w:val="18"/>
          <w:highlight w:val="none"/>
        </w:rPr>
        <w:t>年</w:t>
      </w:r>
      <w:r>
        <w:rPr>
          <w:rFonts w:hint="eastAsia" w:ascii="宋体" w:hAnsi="宋体" w:cs="宋体"/>
          <w:color w:val="FF0000"/>
          <w:szCs w:val="18"/>
          <w:highlight w:val="none"/>
          <w:lang w:val="en-US" w:eastAsia="zh-CN"/>
        </w:rPr>
        <w:t>7</w:t>
      </w:r>
      <w:r>
        <w:rPr>
          <w:rFonts w:hint="eastAsia" w:ascii="宋体" w:hAnsi="宋体" w:eastAsia="宋体" w:cs="宋体"/>
          <w:color w:val="FF0000"/>
          <w:szCs w:val="18"/>
          <w:highlight w:val="none"/>
        </w:rPr>
        <w:t>月</w:t>
      </w:r>
      <w:r>
        <w:rPr>
          <w:rFonts w:hint="eastAsia" w:ascii="宋体" w:hAnsi="宋体" w:cs="宋体"/>
          <w:color w:val="FF0000"/>
          <w:szCs w:val="18"/>
          <w:highlight w:val="none"/>
          <w:lang w:val="en-US" w:eastAsia="zh-CN"/>
        </w:rPr>
        <w:t>6</w:t>
      </w:r>
      <w:r>
        <w:rPr>
          <w:rFonts w:hint="eastAsia" w:ascii="宋体" w:hAnsi="宋体" w:eastAsia="宋体" w:cs="宋体"/>
          <w:color w:val="FF0000"/>
          <w:szCs w:val="18"/>
          <w:highlight w:val="none"/>
        </w:rPr>
        <w:t>日至</w:t>
      </w:r>
      <w:r>
        <w:rPr>
          <w:rFonts w:hint="eastAsia" w:ascii="宋体" w:hAnsi="宋体" w:eastAsia="宋体" w:cs="宋体"/>
          <w:color w:val="FF0000"/>
          <w:szCs w:val="18"/>
          <w:highlight w:val="none"/>
          <w:lang w:val="en-US" w:eastAsia="zh-CN"/>
        </w:rPr>
        <w:t>投标截止</w:t>
      </w:r>
      <w:r>
        <w:rPr>
          <w:rFonts w:hint="eastAsia" w:ascii="宋体" w:hAnsi="宋体" w:eastAsia="宋体" w:cs="宋体"/>
          <w:color w:val="FF0000"/>
          <w:szCs w:val="18"/>
          <w:highlight w:val="none"/>
        </w:rPr>
        <w:t>时间。</w:t>
      </w:r>
    </w:p>
    <w:p w14:paraId="04772A8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lang w:val="en-US" w:eastAsia="zh-CN"/>
        </w:rPr>
        <w:t>2.获取</w:t>
      </w:r>
      <w:r>
        <w:rPr>
          <w:rFonts w:hint="eastAsia" w:ascii="宋体" w:hAnsi="宋体" w:eastAsia="宋体" w:cs="宋体"/>
          <w:color w:val="auto"/>
          <w:szCs w:val="18"/>
          <w:highlight w:val="none"/>
        </w:rPr>
        <w:t>地点：“优质采云采购平台”（http://www.youzhicai.com/）</w:t>
      </w:r>
    </w:p>
    <w:p w14:paraId="32CD9C9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lang w:val="en-US" w:eastAsia="zh-CN"/>
        </w:rPr>
        <w:t>3.获取</w:t>
      </w:r>
      <w:r>
        <w:rPr>
          <w:rFonts w:hint="eastAsia" w:ascii="宋体" w:hAnsi="宋体" w:eastAsia="宋体" w:cs="宋体"/>
          <w:color w:val="auto"/>
          <w:szCs w:val="18"/>
          <w:highlight w:val="none"/>
        </w:rPr>
        <w:t>方式：在线下载</w:t>
      </w:r>
    </w:p>
    <w:p w14:paraId="1B478207">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18"/>
          <w:highlight w:val="none"/>
          <w:lang w:val="en-US" w:eastAsia="zh-CN"/>
        </w:rPr>
      </w:pPr>
      <w:r>
        <w:rPr>
          <w:rFonts w:hint="eastAsia" w:ascii="宋体" w:hAnsi="宋体" w:eastAsia="宋体" w:cs="宋体"/>
          <w:b/>
          <w:bCs/>
          <w:color w:val="auto"/>
          <w:szCs w:val="18"/>
          <w:highlight w:val="none"/>
          <w:lang w:val="en-US" w:eastAsia="zh-CN"/>
        </w:rPr>
        <w:t>四</w:t>
      </w:r>
      <w:r>
        <w:rPr>
          <w:rFonts w:hint="eastAsia" w:ascii="宋体" w:hAnsi="宋体" w:eastAsia="宋体" w:cs="宋体"/>
          <w:b/>
          <w:bCs/>
          <w:color w:val="auto"/>
          <w:szCs w:val="18"/>
          <w:highlight w:val="none"/>
        </w:rPr>
        <w:t>、</w:t>
      </w:r>
      <w:r>
        <w:rPr>
          <w:rFonts w:hint="eastAsia" w:ascii="宋体" w:hAnsi="宋体" w:eastAsia="宋体" w:cs="宋体"/>
          <w:b/>
          <w:bCs/>
          <w:color w:val="auto"/>
          <w:szCs w:val="18"/>
          <w:highlight w:val="none"/>
          <w:lang w:val="en-US" w:eastAsia="zh-CN"/>
        </w:rPr>
        <w:t>投标文件的递交</w:t>
      </w:r>
    </w:p>
    <w:p w14:paraId="31E1FF67">
      <w:pPr>
        <w:keepNext w:val="0"/>
        <w:keepLines w:val="0"/>
        <w:pageBreakBefore w:val="0"/>
        <w:widowControl w:val="0"/>
        <w:tabs>
          <w:tab w:val="left" w:pos="5960"/>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投标文件递交的截止时间（投标截止时间，下同）为</w:t>
      </w:r>
      <w:r>
        <w:rPr>
          <w:rFonts w:hint="eastAsia" w:ascii="宋体" w:hAnsi="宋体" w:eastAsia="宋体" w:cs="宋体"/>
          <w:b w:val="0"/>
          <w:bCs w:val="0"/>
          <w:color w:val="FF0000"/>
          <w:sz w:val="24"/>
          <w:szCs w:val="24"/>
          <w:highlight w:val="none"/>
        </w:rPr>
        <w:t xml:space="preserve"> 202</w:t>
      </w:r>
      <w:r>
        <w:rPr>
          <w:rFonts w:hint="eastAsia" w:ascii="宋体" w:hAnsi="宋体" w:eastAsia="宋体" w:cs="宋体"/>
          <w:b w:val="0"/>
          <w:bCs w:val="0"/>
          <w:color w:val="FF0000"/>
          <w:sz w:val="24"/>
          <w:szCs w:val="24"/>
          <w:highlight w:val="none"/>
          <w:lang w:val="en-US" w:eastAsia="zh-CN"/>
        </w:rPr>
        <w:t>6</w:t>
      </w:r>
      <w:r>
        <w:rPr>
          <w:rFonts w:hint="eastAsia" w:ascii="宋体" w:hAnsi="宋体" w:eastAsia="宋体" w:cs="宋体"/>
          <w:b w:val="0"/>
          <w:bCs w:val="0"/>
          <w:color w:val="FF0000"/>
          <w:sz w:val="24"/>
          <w:szCs w:val="24"/>
          <w:highlight w:val="none"/>
        </w:rPr>
        <w:t>年</w:t>
      </w:r>
      <w:r>
        <w:rPr>
          <w:rFonts w:hint="eastAsia" w:ascii="宋体" w:hAnsi="宋体" w:cs="宋体"/>
          <w:b w:val="0"/>
          <w:bCs w:val="0"/>
          <w:color w:val="FF0000"/>
          <w:sz w:val="24"/>
          <w:szCs w:val="24"/>
          <w:highlight w:val="none"/>
          <w:lang w:val="en-US" w:eastAsia="zh-CN"/>
        </w:rPr>
        <w:t>7</w:t>
      </w:r>
      <w:r>
        <w:rPr>
          <w:rFonts w:hint="eastAsia" w:ascii="宋体" w:hAnsi="宋体" w:eastAsia="宋体" w:cs="宋体"/>
          <w:b w:val="0"/>
          <w:bCs w:val="0"/>
          <w:color w:val="FF0000"/>
          <w:sz w:val="24"/>
          <w:szCs w:val="24"/>
          <w:highlight w:val="none"/>
        </w:rPr>
        <w:t>月</w:t>
      </w:r>
      <w:r>
        <w:rPr>
          <w:rFonts w:hint="eastAsia" w:ascii="宋体" w:hAnsi="宋体" w:cs="宋体"/>
          <w:b w:val="0"/>
          <w:bCs w:val="0"/>
          <w:color w:val="FF0000"/>
          <w:sz w:val="24"/>
          <w:szCs w:val="24"/>
          <w:highlight w:val="none"/>
          <w:lang w:val="en-US" w:eastAsia="zh-CN"/>
        </w:rPr>
        <w:t>28</w:t>
      </w:r>
      <w:r>
        <w:rPr>
          <w:rFonts w:hint="eastAsia" w:ascii="宋体" w:hAnsi="宋体" w:eastAsia="宋体" w:cs="宋体"/>
          <w:b w:val="0"/>
          <w:bCs w:val="0"/>
          <w:color w:val="FF0000"/>
          <w:sz w:val="24"/>
          <w:szCs w:val="24"/>
          <w:highlight w:val="none"/>
        </w:rPr>
        <w:t>日</w:t>
      </w:r>
      <w:r>
        <w:rPr>
          <w:rFonts w:hint="eastAsia" w:ascii="宋体" w:hAnsi="宋体" w:eastAsia="宋体" w:cs="宋体"/>
          <w:b w:val="0"/>
          <w:bCs w:val="0"/>
          <w:color w:val="FF0000"/>
          <w:sz w:val="24"/>
          <w:szCs w:val="24"/>
          <w:highlight w:val="none"/>
          <w:lang w:val="en-US" w:eastAsia="zh-CN"/>
        </w:rPr>
        <w:t>9</w:t>
      </w:r>
      <w:r>
        <w:rPr>
          <w:rFonts w:hint="eastAsia" w:ascii="宋体" w:hAnsi="宋体" w:eastAsia="宋体" w:cs="宋体"/>
          <w:b w:val="0"/>
          <w:bCs w:val="0"/>
          <w:color w:val="FF0000"/>
          <w:sz w:val="24"/>
          <w:szCs w:val="24"/>
          <w:highlight w:val="none"/>
        </w:rPr>
        <w:t>时00分，</w:t>
      </w:r>
      <w:r>
        <w:rPr>
          <w:rFonts w:hint="eastAsia" w:ascii="宋体" w:hAnsi="宋体" w:eastAsia="宋体" w:cs="宋体"/>
          <w:b w:val="0"/>
          <w:bCs w:val="0"/>
          <w:color w:val="auto"/>
          <w:sz w:val="24"/>
          <w:szCs w:val="24"/>
          <w:highlight w:val="none"/>
        </w:rPr>
        <w:t>投标人应在投标截止时间前通过</w:t>
      </w:r>
      <w:r>
        <w:rPr>
          <w:rFonts w:hint="eastAsia" w:ascii="宋体" w:hAnsi="宋体" w:eastAsia="宋体" w:cs="宋体"/>
          <w:color w:val="auto"/>
          <w:szCs w:val="18"/>
          <w:highlight w:val="none"/>
        </w:rPr>
        <w:t>优质采云采购平台（http://www.youzhicai.com/）</w:t>
      </w:r>
      <w:r>
        <w:rPr>
          <w:rFonts w:hint="eastAsia" w:ascii="宋体" w:hAnsi="宋体" w:eastAsia="宋体" w:cs="宋体"/>
          <w:b w:val="0"/>
          <w:bCs w:val="0"/>
          <w:color w:val="auto"/>
          <w:sz w:val="24"/>
          <w:szCs w:val="24"/>
          <w:highlight w:val="none"/>
        </w:rPr>
        <w:t>递交电子投标文件。</w:t>
      </w:r>
    </w:p>
    <w:p w14:paraId="1DDB4A58">
      <w:pPr>
        <w:keepNext w:val="0"/>
        <w:keepLines w:val="0"/>
        <w:pageBreakBefore w:val="0"/>
        <w:widowControl w:val="0"/>
        <w:tabs>
          <w:tab w:val="left" w:pos="5960"/>
        </w:tabs>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lang w:val="en-US" w:eastAsia="zh-CN"/>
        </w:rPr>
        <w:t>五</w:t>
      </w:r>
      <w:r>
        <w:rPr>
          <w:rFonts w:hint="eastAsia" w:ascii="宋体" w:hAnsi="宋体" w:eastAsia="宋体" w:cs="宋体"/>
          <w:b/>
          <w:bCs/>
          <w:color w:val="auto"/>
          <w:szCs w:val="18"/>
          <w:highlight w:val="none"/>
        </w:rPr>
        <w:t>、</w:t>
      </w:r>
      <w:r>
        <w:rPr>
          <w:rFonts w:hint="eastAsia" w:ascii="宋体" w:hAnsi="宋体" w:eastAsia="宋体" w:cs="宋体"/>
          <w:b/>
          <w:bCs/>
          <w:color w:val="auto"/>
          <w:szCs w:val="18"/>
          <w:highlight w:val="none"/>
          <w:lang w:val="en-US" w:eastAsia="zh-CN"/>
        </w:rPr>
        <w:t>开标</w:t>
      </w:r>
      <w:r>
        <w:rPr>
          <w:rFonts w:hint="eastAsia" w:ascii="宋体" w:hAnsi="宋体" w:eastAsia="宋体" w:cs="宋体"/>
          <w:b/>
          <w:bCs/>
          <w:color w:val="auto"/>
          <w:szCs w:val="18"/>
          <w:highlight w:val="none"/>
        </w:rPr>
        <w:t>时间及地点</w:t>
      </w:r>
      <w:r>
        <w:rPr>
          <w:rFonts w:hint="eastAsia" w:ascii="宋体" w:hAnsi="宋体" w:eastAsia="宋体" w:cs="宋体"/>
          <w:b/>
          <w:bCs/>
          <w:color w:val="auto"/>
          <w:szCs w:val="18"/>
          <w:highlight w:val="none"/>
        </w:rPr>
        <w:tab/>
      </w:r>
    </w:p>
    <w:p w14:paraId="0E1DC56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1.</w:t>
      </w:r>
      <w:r>
        <w:rPr>
          <w:rFonts w:hint="eastAsia" w:ascii="宋体" w:hAnsi="宋体" w:eastAsia="宋体" w:cs="宋体"/>
          <w:color w:val="auto"/>
          <w:szCs w:val="18"/>
          <w:highlight w:val="none"/>
          <w:lang w:val="en-US" w:eastAsia="zh-CN"/>
        </w:rPr>
        <w:t>开标</w:t>
      </w:r>
      <w:r>
        <w:rPr>
          <w:rFonts w:hint="eastAsia" w:ascii="宋体" w:hAnsi="宋体" w:eastAsia="宋体" w:cs="宋体"/>
          <w:color w:val="auto"/>
          <w:szCs w:val="18"/>
          <w:highlight w:val="none"/>
        </w:rPr>
        <w:t>时间：</w:t>
      </w:r>
      <w:r>
        <w:rPr>
          <w:rFonts w:hint="eastAsia" w:ascii="宋体" w:hAnsi="宋体" w:eastAsia="宋体" w:cs="宋体"/>
          <w:color w:val="FF0000"/>
          <w:szCs w:val="18"/>
          <w:highlight w:val="none"/>
        </w:rPr>
        <w:t>202</w:t>
      </w:r>
      <w:r>
        <w:rPr>
          <w:rFonts w:hint="eastAsia" w:ascii="宋体" w:hAnsi="宋体" w:eastAsia="宋体" w:cs="宋体"/>
          <w:color w:val="FF0000"/>
          <w:szCs w:val="18"/>
          <w:highlight w:val="none"/>
          <w:lang w:val="en-US" w:eastAsia="zh-CN"/>
        </w:rPr>
        <w:t>6</w:t>
      </w:r>
      <w:r>
        <w:rPr>
          <w:rFonts w:hint="eastAsia" w:ascii="宋体" w:hAnsi="宋体" w:eastAsia="宋体" w:cs="宋体"/>
          <w:color w:val="FF0000"/>
          <w:szCs w:val="18"/>
          <w:highlight w:val="none"/>
        </w:rPr>
        <w:t>年</w:t>
      </w:r>
      <w:r>
        <w:rPr>
          <w:rFonts w:hint="eastAsia" w:ascii="宋体" w:hAnsi="宋体" w:cs="宋体"/>
          <w:color w:val="FF0000"/>
          <w:szCs w:val="18"/>
          <w:highlight w:val="none"/>
          <w:lang w:val="en-US" w:eastAsia="zh-CN"/>
        </w:rPr>
        <w:t>7</w:t>
      </w:r>
      <w:r>
        <w:rPr>
          <w:rFonts w:hint="eastAsia" w:ascii="宋体" w:hAnsi="宋体" w:eastAsia="宋体" w:cs="宋体"/>
          <w:color w:val="FF0000"/>
          <w:szCs w:val="18"/>
          <w:highlight w:val="none"/>
        </w:rPr>
        <w:t>月</w:t>
      </w:r>
      <w:r>
        <w:rPr>
          <w:rFonts w:hint="eastAsia" w:ascii="宋体" w:hAnsi="宋体" w:cs="宋体"/>
          <w:color w:val="FF0000"/>
          <w:szCs w:val="18"/>
          <w:highlight w:val="none"/>
          <w:lang w:val="en-US" w:eastAsia="zh-CN"/>
        </w:rPr>
        <w:t>28</w:t>
      </w:r>
      <w:r>
        <w:rPr>
          <w:rFonts w:hint="eastAsia" w:ascii="宋体" w:hAnsi="宋体" w:eastAsia="宋体" w:cs="宋体"/>
          <w:color w:val="FF0000"/>
          <w:szCs w:val="18"/>
          <w:highlight w:val="none"/>
        </w:rPr>
        <w:t>日</w:t>
      </w:r>
      <w:r>
        <w:rPr>
          <w:rFonts w:hint="eastAsia" w:ascii="宋体" w:hAnsi="宋体" w:eastAsia="宋体" w:cs="宋体"/>
          <w:color w:val="FF0000"/>
          <w:szCs w:val="18"/>
          <w:highlight w:val="none"/>
          <w:lang w:val="en-US" w:eastAsia="zh-CN"/>
        </w:rPr>
        <w:t>9</w:t>
      </w:r>
      <w:r>
        <w:rPr>
          <w:rFonts w:hint="eastAsia" w:ascii="宋体" w:hAnsi="宋体" w:eastAsia="宋体" w:cs="宋体"/>
          <w:color w:val="FF0000"/>
          <w:szCs w:val="18"/>
          <w:highlight w:val="none"/>
        </w:rPr>
        <w:t>时</w:t>
      </w:r>
      <w:r>
        <w:rPr>
          <w:rFonts w:hint="eastAsia" w:ascii="宋体" w:hAnsi="宋体" w:eastAsia="宋体" w:cs="宋体"/>
          <w:color w:val="FF0000"/>
          <w:szCs w:val="18"/>
          <w:highlight w:val="none"/>
          <w:lang w:val="en-US" w:eastAsia="zh-CN"/>
        </w:rPr>
        <w:t>0</w:t>
      </w:r>
      <w:r>
        <w:rPr>
          <w:rFonts w:hint="eastAsia" w:ascii="宋体" w:hAnsi="宋体" w:eastAsia="宋体" w:cs="宋体"/>
          <w:color w:val="FF0000"/>
          <w:szCs w:val="18"/>
          <w:highlight w:val="none"/>
        </w:rPr>
        <w:t>0分</w:t>
      </w:r>
    </w:p>
    <w:p w14:paraId="0C612C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2.</w:t>
      </w:r>
      <w:r>
        <w:rPr>
          <w:rFonts w:hint="eastAsia" w:ascii="宋体" w:hAnsi="宋体" w:eastAsia="宋体" w:cs="宋体"/>
          <w:color w:val="auto"/>
          <w:szCs w:val="18"/>
          <w:highlight w:val="none"/>
          <w:lang w:val="en-US" w:eastAsia="zh-CN"/>
        </w:rPr>
        <w:t>开</w:t>
      </w:r>
      <w:r>
        <w:rPr>
          <w:rFonts w:hint="eastAsia" w:ascii="宋体" w:hAnsi="宋体" w:eastAsia="宋体" w:cs="宋体"/>
          <w:color w:val="auto"/>
          <w:szCs w:val="18"/>
          <w:highlight w:val="none"/>
        </w:rPr>
        <w:t>标地点：优质采云采购平台（http://www.youzhicai.com/）；</w:t>
      </w:r>
    </w:p>
    <w:p w14:paraId="6A30A2F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18"/>
          <w:highlight w:val="none"/>
          <w:lang w:eastAsia="zh-CN"/>
        </w:rPr>
      </w:pPr>
      <w:r>
        <w:rPr>
          <w:rFonts w:hint="eastAsia" w:ascii="宋体" w:hAnsi="宋体" w:eastAsia="宋体" w:cs="宋体"/>
          <w:b/>
          <w:bCs/>
          <w:color w:val="auto"/>
          <w:szCs w:val="18"/>
          <w:highlight w:val="none"/>
        </w:rPr>
        <w:t>六、联系方法</w:t>
      </w:r>
    </w:p>
    <w:p w14:paraId="33EAC095">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招标人</w:t>
      </w:r>
      <w:r>
        <w:rPr>
          <w:rFonts w:hint="eastAsia" w:ascii="宋体" w:hAnsi="宋体" w:eastAsia="宋体" w:cs="宋体"/>
          <w:color w:val="auto"/>
          <w:szCs w:val="24"/>
          <w:highlight w:val="none"/>
        </w:rPr>
        <w:t>名称：</w:t>
      </w:r>
      <w:r>
        <w:rPr>
          <w:rFonts w:hint="eastAsia" w:ascii="宋体" w:hAnsi="宋体" w:eastAsia="宋体" w:cs="宋体"/>
          <w:color w:val="auto"/>
          <w:szCs w:val="24"/>
          <w:highlight w:val="none"/>
          <w:lang w:eastAsia="zh-CN"/>
        </w:rPr>
        <w:t>安徽省肥西第二中学</w:t>
      </w:r>
    </w:p>
    <w:p w14:paraId="2DF00D22">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地址：</w:t>
      </w:r>
      <w:r>
        <w:rPr>
          <w:rFonts w:hint="eastAsia" w:ascii="宋体" w:hAnsi="宋体" w:cs="宋体"/>
          <w:color w:val="auto"/>
          <w:szCs w:val="24"/>
          <w:highlight w:val="none"/>
          <w:lang w:val="en-US" w:eastAsia="zh-CN"/>
        </w:rPr>
        <w:t>肥西县上派镇望水路与肥光路交口</w:t>
      </w:r>
    </w:p>
    <w:p w14:paraId="5EDD3095">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联系人</w:t>
      </w:r>
      <w:r>
        <w:rPr>
          <w:rFonts w:hint="eastAsia" w:ascii="宋体" w:hAnsi="宋体" w:eastAsia="宋体" w:cs="宋体"/>
          <w:bCs/>
          <w:color w:val="auto"/>
          <w:szCs w:val="18"/>
          <w:highlight w:val="none"/>
          <w:lang w:eastAsia="zh-CN"/>
        </w:rPr>
        <w:t>：</w:t>
      </w:r>
      <w:r>
        <w:rPr>
          <w:rFonts w:hint="eastAsia" w:ascii="宋体" w:hAnsi="宋体" w:cs="宋体"/>
          <w:bCs/>
          <w:color w:val="auto"/>
          <w:szCs w:val="18"/>
          <w:highlight w:val="none"/>
          <w:lang w:val="en-US" w:eastAsia="zh-CN"/>
        </w:rPr>
        <w:t>郭世保</w:t>
      </w:r>
    </w:p>
    <w:p w14:paraId="438E1BC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电话：</w:t>
      </w:r>
      <w:r>
        <w:rPr>
          <w:rFonts w:hint="eastAsia" w:ascii="宋体" w:hAnsi="宋体" w:cs="宋体"/>
          <w:bCs/>
          <w:color w:val="auto"/>
          <w:szCs w:val="18"/>
          <w:highlight w:val="none"/>
          <w:lang w:val="en-US" w:eastAsia="zh-CN"/>
        </w:rPr>
        <w:t>0551-68231015</w:t>
      </w:r>
    </w:p>
    <w:p w14:paraId="42D5B0E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Cs w:val="18"/>
          <w:highlight w:val="none"/>
          <w:lang w:eastAsia="zh-CN"/>
        </w:rPr>
      </w:pPr>
      <w:r>
        <w:rPr>
          <w:rFonts w:hint="eastAsia" w:ascii="宋体" w:hAnsi="宋体" w:eastAsia="宋体" w:cs="宋体"/>
          <w:bCs/>
          <w:color w:val="auto"/>
          <w:szCs w:val="18"/>
          <w:highlight w:val="none"/>
        </w:rPr>
        <w:t>（二）代理机构：</w:t>
      </w:r>
      <w:r>
        <w:rPr>
          <w:rFonts w:hint="eastAsia" w:ascii="宋体" w:hAnsi="宋体" w:eastAsia="宋体" w:cs="宋体"/>
          <w:bCs/>
          <w:color w:val="auto"/>
          <w:szCs w:val="18"/>
          <w:highlight w:val="none"/>
          <w:lang w:eastAsia="zh-CN"/>
        </w:rPr>
        <w:t>肥西县公共资源交易有限责任公司</w:t>
      </w:r>
    </w:p>
    <w:p w14:paraId="4B6B6EF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地址：肥西县上派镇紫石路与佛光路交叉口肥光办公区3号楼2楼321</w:t>
      </w:r>
      <w:r>
        <w:rPr>
          <w:rFonts w:hint="eastAsia" w:ascii="宋体" w:hAnsi="宋体" w:eastAsia="宋体" w:cs="宋体"/>
          <w:bCs/>
          <w:color w:val="auto"/>
          <w:szCs w:val="18"/>
          <w:highlight w:val="none"/>
          <w:lang w:val="en-US" w:eastAsia="zh-CN"/>
        </w:rPr>
        <w:t>1</w:t>
      </w:r>
      <w:r>
        <w:rPr>
          <w:rFonts w:hint="eastAsia" w:ascii="宋体" w:hAnsi="宋体" w:eastAsia="宋体" w:cs="宋体"/>
          <w:bCs/>
          <w:color w:val="auto"/>
          <w:szCs w:val="18"/>
          <w:highlight w:val="none"/>
        </w:rPr>
        <w:t>室</w:t>
      </w:r>
    </w:p>
    <w:p w14:paraId="39C23D1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0000FF"/>
          <w:szCs w:val="18"/>
          <w:highlight w:val="none"/>
          <w:lang w:val="en-US" w:eastAsia="zh-CN"/>
        </w:rPr>
      </w:pPr>
      <w:r>
        <w:rPr>
          <w:rFonts w:hint="eastAsia" w:ascii="宋体" w:hAnsi="宋体" w:eastAsia="宋体" w:cs="宋体"/>
          <w:bCs/>
          <w:color w:val="auto"/>
          <w:szCs w:val="18"/>
          <w:highlight w:val="none"/>
        </w:rPr>
        <w:t>联系人：</w:t>
      </w:r>
      <w:r>
        <w:rPr>
          <w:rFonts w:hint="eastAsia" w:ascii="宋体" w:hAnsi="宋体" w:eastAsia="宋体" w:cs="宋体"/>
          <w:bCs/>
          <w:color w:val="auto"/>
          <w:szCs w:val="18"/>
          <w:highlight w:val="none"/>
          <w:lang w:val="en-US" w:eastAsia="zh-CN"/>
        </w:rPr>
        <w:t>唐工</w:t>
      </w:r>
    </w:p>
    <w:p w14:paraId="6B54B9B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Cs w:val="18"/>
          <w:highlight w:val="none"/>
          <w:lang w:val="en-US" w:eastAsia="zh-CN"/>
        </w:rPr>
      </w:pPr>
      <w:r>
        <w:rPr>
          <w:rFonts w:hint="eastAsia" w:ascii="宋体" w:hAnsi="宋体" w:eastAsia="宋体" w:cs="宋体"/>
          <w:bCs/>
          <w:color w:val="auto"/>
          <w:szCs w:val="18"/>
          <w:highlight w:val="none"/>
        </w:rPr>
        <w:t>电话：0551-688</w:t>
      </w:r>
      <w:r>
        <w:rPr>
          <w:rFonts w:hint="eastAsia" w:ascii="宋体" w:hAnsi="宋体" w:eastAsia="宋体" w:cs="宋体"/>
          <w:bCs/>
          <w:color w:val="auto"/>
          <w:szCs w:val="18"/>
          <w:highlight w:val="none"/>
          <w:lang w:val="en-US" w:eastAsia="zh-CN"/>
        </w:rPr>
        <w:t>38796</w:t>
      </w:r>
    </w:p>
    <w:p w14:paraId="14038CC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bCs/>
          <w:color w:val="auto"/>
          <w:szCs w:val="18"/>
          <w:highlight w:val="none"/>
          <w:lang w:val="en-US"/>
        </w:rPr>
      </w:pPr>
      <w:r>
        <w:rPr>
          <w:rFonts w:hint="eastAsia" w:ascii="宋体" w:hAnsi="宋体" w:eastAsia="宋体" w:cs="宋体"/>
          <w:bCs/>
          <w:color w:val="auto"/>
          <w:szCs w:val="18"/>
          <w:highlight w:val="none"/>
          <w:lang w:eastAsia="zh-CN"/>
        </w:rPr>
        <w:t>（</w:t>
      </w:r>
      <w:r>
        <w:rPr>
          <w:rFonts w:hint="eastAsia" w:ascii="宋体" w:hAnsi="宋体" w:eastAsia="宋体" w:cs="宋体"/>
          <w:bCs/>
          <w:color w:val="auto"/>
          <w:szCs w:val="18"/>
          <w:highlight w:val="none"/>
          <w:lang w:val="en-US" w:eastAsia="zh-CN"/>
        </w:rPr>
        <w:t>三</w:t>
      </w:r>
      <w:r>
        <w:rPr>
          <w:rFonts w:hint="eastAsia" w:ascii="宋体" w:hAnsi="宋体" w:eastAsia="宋体" w:cs="宋体"/>
          <w:bCs/>
          <w:color w:val="auto"/>
          <w:szCs w:val="18"/>
          <w:highlight w:val="none"/>
          <w:lang w:eastAsia="zh-CN"/>
        </w:rPr>
        <w:t>）</w:t>
      </w:r>
      <w:r>
        <w:rPr>
          <w:rFonts w:hint="eastAsia" w:ascii="宋体" w:hAnsi="宋体" w:eastAsia="宋体" w:cs="宋体"/>
          <w:bCs/>
          <w:color w:val="auto"/>
          <w:szCs w:val="18"/>
          <w:highlight w:val="none"/>
        </w:rPr>
        <w:t>监督管理部门</w:t>
      </w:r>
      <w:r>
        <w:rPr>
          <w:rFonts w:hint="eastAsia" w:ascii="宋体" w:hAnsi="宋体" w:eastAsia="宋体" w:cs="宋体"/>
          <w:bCs/>
          <w:color w:val="auto"/>
          <w:szCs w:val="18"/>
          <w:highlight w:val="none"/>
          <w:lang w:eastAsia="zh-CN"/>
        </w:rPr>
        <w:t>：</w:t>
      </w:r>
      <w:r>
        <w:rPr>
          <w:rFonts w:hint="eastAsia" w:ascii="宋体" w:hAnsi="宋体" w:cs="宋体"/>
          <w:bCs/>
          <w:color w:val="auto"/>
          <w:szCs w:val="18"/>
          <w:highlight w:val="none"/>
          <w:lang w:val="en-US" w:eastAsia="zh-CN"/>
        </w:rPr>
        <w:t>肥西县教体局</w:t>
      </w:r>
    </w:p>
    <w:p w14:paraId="38E2E9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地  址：肥西县上派镇紫石路与佛光路交叉口肥光办公区</w:t>
      </w:r>
      <w:r>
        <w:rPr>
          <w:rFonts w:hint="eastAsia" w:ascii="宋体" w:hAnsi="宋体" w:cs="宋体"/>
          <w:bCs/>
          <w:color w:val="auto"/>
          <w:szCs w:val="18"/>
          <w:highlight w:val="none"/>
          <w:lang w:val="en-US" w:eastAsia="zh-CN"/>
        </w:rPr>
        <w:t>4</w:t>
      </w:r>
      <w:r>
        <w:rPr>
          <w:rFonts w:hint="eastAsia" w:ascii="宋体" w:hAnsi="宋体" w:eastAsia="宋体" w:cs="宋体"/>
          <w:bCs/>
          <w:color w:val="auto"/>
          <w:szCs w:val="18"/>
          <w:highlight w:val="none"/>
        </w:rPr>
        <w:t>号楼</w:t>
      </w:r>
    </w:p>
    <w:p w14:paraId="4216A9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宋体" w:hAnsi="宋体" w:eastAsia="宋体" w:cs="宋体"/>
          <w:bCs/>
          <w:color w:val="auto"/>
          <w:szCs w:val="18"/>
          <w:highlight w:val="yellow"/>
          <w:lang w:val="en-US" w:eastAsia="zh-CN"/>
        </w:rPr>
      </w:pPr>
      <w:r>
        <w:rPr>
          <w:rFonts w:hint="eastAsia" w:ascii="宋体" w:hAnsi="宋体" w:eastAsia="宋体" w:cs="宋体"/>
          <w:bCs/>
          <w:color w:val="auto"/>
          <w:szCs w:val="18"/>
          <w:highlight w:val="none"/>
        </w:rPr>
        <w:t>电  话：</w:t>
      </w:r>
      <w:r>
        <w:rPr>
          <w:rFonts w:hint="eastAsia" w:ascii="宋体" w:hAnsi="宋体" w:cs="宋体"/>
          <w:bCs/>
          <w:color w:val="auto"/>
          <w:szCs w:val="18"/>
          <w:highlight w:val="none"/>
          <w:lang w:val="en-US" w:eastAsia="zh-CN"/>
        </w:rPr>
        <w:t>0551-68230701</w:t>
      </w:r>
    </w:p>
    <w:p w14:paraId="71F8E82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left"/>
        <w:textAlignment w:val="auto"/>
        <w:rPr>
          <w:rFonts w:hint="eastAsia" w:ascii="宋体" w:hAnsi="宋体" w:eastAsia="宋体" w:cs="宋体"/>
          <w:b/>
          <w:bCs/>
          <w:color w:val="auto"/>
          <w:szCs w:val="18"/>
          <w:highlight w:val="none"/>
        </w:rPr>
      </w:pPr>
      <w:r>
        <w:rPr>
          <w:rFonts w:hint="eastAsia" w:ascii="宋体" w:hAnsi="宋体" w:eastAsia="宋体" w:cs="宋体"/>
          <w:b/>
          <w:bCs/>
          <w:color w:val="auto"/>
          <w:szCs w:val="18"/>
          <w:highlight w:val="none"/>
        </w:rPr>
        <w:t>七、其他事项说明</w:t>
      </w:r>
    </w:p>
    <w:p w14:paraId="5EB62CC8">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1.本项目相关信息同时在肥西县公共资源交易有限责任公司、优质采云采购平台、安徽省招标投标信息网、中国采购与招标网上发布；</w:t>
      </w:r>
    </w:p>
    <w:p w14:paraId="58E39572">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2.政府采购电子化交易要求：</w:t>
      </w:r>
    </w:p>
    <w:p w14:paraId="31DA0481">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1）潜在投标人须登录“优质采云采购平台”（网址：www.youzhicai.com，以下称“优质采平台”）参与本项目采购活动。首次登录须办理注册手续，请务必选择注册为“投标人角色”类型。注册流程见优质采平台“用户注册”栏目，咨询电话：400-0099-555。因未及时办理注册手续影响参加采购活动的，责任自负。</w:t>
      </w:r>
    </w:p>
    <w:p w14:paraId="65D7483B">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（2）已注册的潜在投标人可登录优质采平台获取采购文件，本项目的采购文件及其他资料（含澄清、答疑及相关补充文件）通过优质采平台发布，</w:t>
      </w:r>
      <w:r>
        <w:rPr>
          <w:rFonts w:hint="eastAsia" w:ascii="宋体" w:hAnsi="宋体" w:eastAsia="宋体" w:cs="宋体"/>
          <w:color w:val="auto"/>
          <w:szCs w:val="18"/>
          <w:highlight w:val="none"/>
          <w:lang w:eastAsia="zh-CN"/>
        </w:rPr>
        <w:t>招标人</w:t>
      </w:r>
      <w:r>
        <w:rPr>
          <w:rFonts w:hint="eastAsia" w:ascii="宋体" w:hAnsi="宋体" w:eastAsia="宋体" w:cs="宋体"/>
          <w:color w:val="auto"/>
          <w:szCs w:val="18"/>
          <w:highlight w:val="none"/>
        </w:rPr>
        <w:t>/代理机构不再另行书面通知，潜在投标人应及时关注、查阅优质采平台。因未及时查看导致不利后果的，责任自负。</w:t>
      </w:r>
    </w:p>
    <w:p w14:paraId="116DEF1F">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（3）已注册的潜在投标人若注册信息发生变更（如：与初始注册信息不一致），应及时网上提交变更申请。因未及时变更导致不利后果的，责任自负。</w:t>
      </w:r>
    </w:p>
    <w:p w14:paraId="41CD92A3">
      <w:pPr>
        <w:keepNext w:val="0"/>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4）本项目采用全流程电子化采购方式，潜在投标人须办理CA数字证书（以下简称CA），CA用于电子投标/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2C81687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（5）电子投标/响应文件必须使用“优质采响应文件制作工具”制作生成并上传。下载地址：http://toolcdn.youzhicai.com/tools/BidderTools.zip，使用说明书及视频教程下载地址:http://file.youzhicai.com/files/BidderHelp.rar。</w:t>
      </w:r>
    </w:p>
    <w:p w14:paraId="11805F7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3.投标人应合理安排招标文件获取时间，特别是网络速度慢的地区防止在系统关闭前网络拥堵无法操作。如果因计算机及网络故障造成无法完成招标文件获取，责任自负。</w:t>
      </w:r>
    </w:p>
    <w:p w14:paraId="482E4FB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Cs w:val="18"/>
          <w:highlight w:val="none"/>
        </w:rPr>
      </w:pPr>
      <w:r>
        <w:rPr>
          <w:rFonts w:hint="eastAsia" w:ascii="宋体" w:hAnsi="宋体" w:eastAsia="宋体" w:cs="宋体"/>
          <w:color w:val="auto"/>
          <w:szCs w:val="18"/>
          <w:highlight w:val="none"/>
        </w:rPr>
        <w:t>4.本项目实施全流程电子化交易，响应文件实施网上解密，投标人无需前往招标现场。</w:t>
      </w:r>
    </w:p>
    <w:p w14:paraId="72F462D1">
      <w:pPr>
        <w:widowControl/>
        <w:jc w:val="left"/>
        <w:rPr>
          <w:rFonts w:hint="eastAsia" w:ascii="宋体" w:hAnsi="宋体" w:eastAsia="宋体" w:cs="宋体"/>
          <w:color w:val="auto"/>
          <w:szCs w:val="18"/>
          <w:highlight w:val="none"/>
        </w:rPr>
      </w:pPr>
      <w:r>
        <w:rPr>
          <w:rFonts w:hint="eastAsia" w:ascii="宋体" w:hAnsi="宋体" w:eastAsia="宋体" w:cs="宋体"/>
          <w:color w:val="auto"/>
          <w:szCs w:val="18"/>
          <w:highlight w:val="none"/>
        </w:rPr>
        <w:br w:type="page"/>
      </w:r>
    </w:p>
    <w:p w14:paraId="05087812">
      <w:pPr>
        <w:pStyle w:val="2"/>
        <w:outlineLvl w:val="0"/>
        <w:rPr>
          <w:rFonts w:hint="eastAsia" w:ascii="宋体" w:hAnsi="宋体" w:eastAsia="宋体" w:cs="宋体"/>
          <w:color w:val="auto"/>
          <w:highlight w:val="none"/>
        </w:rPr>
      </w:pPr>
      <w:bookmarkStart w:id="6" w:name="_Toc8199"/>
      <w:r>
        <w:rPr>
          <w:rFonts w:hint="eastAsia" w:ascii="宋体" w:hAnsi="宋体" w:eastAsia="宋体" w:cs="宋体"/>
          <w:color w:val="auto"/>
          <w:highlight w:val="none"/>
        </w:rPr>
        <w:t>第二章 投标人须</w:t>
      </w:r>
      <w:bookmarkEnd w:id="3"/>
      <w:r>
        <w:rPr>
          <w:rFonts w:hint="eastAsia" w:ascii="宋体" w:hAnsi="宋体" w:eastAsia="宋体" w:cs="宋体"/>
          <w:color w:val="auto"/>
          <w:highlight w:val="none"/>
        </w:rPr>
        <w:t>知前</w:t>
      </w:r>
      <w:bookmarkEnd w:id="4"/>
      <w:r>
        <w:rPr>
          <w:rFonts w:hint="eastAsia" w:ascii="宋体" w:hAnsi="宋体" w:eastAsia="宋体" w:cs="宋体"/>
          <w:color w:val="auto"/>
          <w:highlight w:val="none"/>
        </w:rPr>
        <w:t>附表</w:t>
      </w:r>
      <w:bookmarkEnd w:id="5"/>
      <w:bookmarkEnd w:id="6"/>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15"/>
        <w:gridCol w:w="7174"/>
      </w:tblGrid>
      <w:tr w14:paraId="5760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485DAE52">
            <w:pPr>
              <w:spacing w:line="360" w:lineRule="auto"/>
              <w:rPr>
                <w:rFonts w:hint="eastAsia" w:ascii="宋体" w:hAnsi="宋体" w:eastAsia="宋体" w:cs="宋体"/>
                <w:b/>
                <w:color w:val="auto"/>
                <w:szCs w:val="24"/>
                <w:highlight w:val="none"/>
              </w:rPr>
            </w:pPr>
            <w:bookmarkStart w:id="7" w:name="_Hlt519045778"/>
            <w:bookmarkEnd w:id="7"/>
            <w:bookmarkStart w:id="8" w:name="_Hlt509650027"/>
            <w:bookmarkEnd w:id="8"/>
            <w:bookmarkStart w:id="9" w:name="_Hlt516969057"/>
            <w:bookmarkEnd w:id="9"/>
            <w:bookmarkStart w:id="10" w:name="_Hlt509650351"/>
            <w:bookmarkEnd w:id="10"/>
            <w:bookmarkStart w:id="11" w:name="_Hlt204508754"/>
            <w:bookmarkEnd w:id="11"/>
            <w:bookmarkStart w:id="12" w:name="_Toc13065"/>
            <w:r>
              <w:rPr>
                <w:rFonts w:hint="eastAsia" w:ascii="宋体" w:hAnsi="宋体" w:eastAsia="宋体" w:cs="宋体"/>
                <w:b/>
                <w:color w:val="auto"/>
                <w:szCs w:val="24"/>
                <w:highlight w:val="none"/>
              </w:rPr>
              <w:t>序号</w:t>
            </w:r>
          </w:p>
        </w:tc>
        <w:tc>
          <w:tcPr>
            <w:tcW w:w="1515" w:type="dxa"/>
            <w:shd w:val="clear" w:color="auto" w:fill="auto"/>
          </w:tcPr>
          <w:p w14:paraId="32C94798">
            <w:pPr>
              <w:spacing w:line="360" w:lineRule="auto"/>
              <w:ind w:firstLine="241" w:firstLineChars="1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内容</w:t>
            </w:r>
          </w:p>
        </w:tc>
        <w:tc>
          <w:tcPr>
            <w:tcW w:w="7174" w:type="dxa"/>
            <w:shd w:val="clear" w:color="auto" w:fill="auto"/>
          </w:tcPr>
          <w:p w14:paraId="45670226">
            <w:pPr>
              <w:pStyle w:val="14"/>
              <w:widowControl w:val="0"/>
              <w:spacing w:before="0" w:beforeAutospacing="0" w:after="0" w:afterAutospacing="0" w:line="360" w:lineRule="auto"/>
              <w:ind w:firstLine="482"/>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14:paraId="63AD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4B0CAE4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515" w:type="dxa"/>
            <w:shd w:val="clear" w:color="auto" w:fill="auto"/>
            <w:vAlign w:val="center"/>
          </w:tcPr>
          <w:p w14:paraId="53EBDE15">
            <w:pPr>
              <w:spacing w:line="360" w:lineRule="auto"/>
              <w:rPr>
                <w:rFonts w:hint="eastAsia" w:ascii="宋体" w:hAnsi="宋体" w:eastAsia="宋体" w:cs="宋体"/>
                <w:bCs/>
                <w:color w:val="auto"/>
                <w:szCs w:val="24"/>
                <w:highlight w:val="none"/>
                <w:lang w:eastAsia="zh-CN"/>
              </w:rPr>
            </w:pPr>
            <w:r>
              <w:rPr>
                <w:rFonts w:hint="eastAsia" w:ascii="宋体" w:hAnsi="宋体" w:eastAsia="宋体" w:cs="宋体"/>
                <w:color w:val="auto"/>
                <w:szCs w:val="24"/>
                <w:highlight w:val="none"/>
                <w:lang w:eastAsia="zh-CN"/>
              </w:rPr>
              <w:t>招标人</w:t>
            </w:r>
          </w:p>
        </w:tc>
        <w:tc>
          <w:tcPr>
            <w:tcW w:w="7174" w:type="dxa"/>
            <w:shd w:val="clear" w:color="auto" w:fill="auto"/>
          </w:tcPr>
          <w:p w14:paraId="1F479668">
            <w:pPr>
              <w:pStyle w:val="14"/>
              <w:widowControl w:val="0"/>
              <w:spacing w:before="0" w:beforeAutospacing="0" w:after="0" w:afterAutospacing="0" w:line="360" w:lineRule="auto"/>
              <w:jc w:val="both"/>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lang w:eastAsia="zh-CN"/>
              </w:rPr>
              <w:t>安徽省肥西第二中学</w:t>
            </w:r>
          </w:p>
        </w:tc>
      </w:tr>
      <w:tr w14:paraId="5FEC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7C5900CD">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w:t>
            </w:r>
          </w:p>
        </w:tc>
        <w:tc>
          <w:tcPr>
            <w:tcW w:w="1515" w:type="dxa"/>
            <w:shd w:val="clear" w:color="auto" w:fill="auto"/>
            <w:vAlign w:val="center"/>
          </w:tcPr>
          <w:p w14:paraId="1BC15C21">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委托人</w:t>
            </w:r>
          </w:p>
        </w:tc>
        <w:tc>
          <w:tcPr>
            <w:tcW w:w="7174" w:type="dxa"/>
            <w:shd w:val="clear" w:color="auto" w:fill="auto"/>
          </w:tcPr>
          <w:p w14:paraId="240788C9">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color w:val="auto"/>
                <w:kern w:val="2"/>
                <w:sz w:val="24"/>
                <w:szCs w:val="24"/>
                <w:highlight w:val="none"/>
                <w:lang w:eastAsia="zh-CN"/>
              </w:rPr>
              <w:t>安徽省肥西第二中学</w:t>
            </w:r>
          </w:p>
        </w:tc>
      </w:tr>
      <w:tr w14:paraId="7164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6ACAB992">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w:t>
            </w:r>
          </w:p>
        </w:tc>
        <w:tc>
          <w:tcPr>
            <w:tcW w:w="1515" w:type="dxa"/>
            <w:shd w:val="clear" w:color="auto" w:fill="auto"/>
            <w:vAlign w:val="center"/>
          </w:tcPr>
          <w:p w14:paraId="35ED764B">
            <w:pPr>
              <w:spacing w:line="360" w:lineRule="auto"/>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代理机构</w:t>
            </w:r>
          </w:p>
        </w:tc>
        <w:tc>
          <w:tcPr>
            <w:tcW w:w="7174" w:type="dxa"/>
            <w:shd w:val="clear" w:color="auto" w:fill="auto"/>
          </w:tcPr>
          <w:p w14:paraId="2E65B762">
            <w:pPr>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名  称：肥西县公共资源交易有限责任公司</w:t>
            </w:r>
          </w:p>
          <w:p w14:paraId="04FBADB1">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lang w:val="zh-CN"/>
              </w:rPr>
              <w:t>地  址：</w:t>
            </w:r>
            <w:r>
              <w:rPr>
                <w:rFonts w:hint="eastAsia" w:ascii="宋体" w:hAnsi="宋体" w:eastAsia="宋体" w:cs="宋体"/>
                <w:color w:val="auto"/>
                <w:szCs w:val="18"/>
                <w:highlight w:val="none"/>
              </w:rPr>
              <w:t>肥西县上派镇紫石路与佛光路交叉口肥光办公区3号楼2楼</w:t>
            </w:r>
          </w:p>
        </w:tc>
      </w:tr>
      <w:tr w14:paraId="4062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5" w:type="dxa"/>
            <w:shd w:val="clear" w:color="auto" w:fill="auto"/>
          </w:tcPr>
          <w:p w14:paraId="2C4160F3">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w:t>
            </w:r>
          </w:p>
        </w:tc>
        <w:tc>
          <w:tcPr>
            <w:tcW w:w="1515" w:type="dxa"/>
            <w:shd w:val="clear" w:color="auto" w:fill="auto"/>
            <w:vAlign w:val="center"/>
          </w:tcPr>
          <w:p w14:paraId="4AD1857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7174" w:type="dxa"/>
            <w:shd w:val="clear" w:color="auto" w:fill="auto"/>
          </w:tcPr>
          <w:p w14:paraId="39A52CE0">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color w:val="auto"/>
                <w:kern w:val="2"/>
                <w:sz w:val="24"/>
                <w:szCs w:val="24"/>
                <w:highlight w:val="none"/>
                <w:lang w:eastAsia="zh-CN"/>
              </w:rPr>
              <w:t>安徽师范大学附属肥西第二中学食堂委托运营</w:t>
            </w:r>
          </w:p>
        </w:tc>
      </w:tr>
      <w:tr w14:paraId="45F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6638B8A7">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w:t>
            </w:r>
          </w:p>
        </w:tc>
        <w:tc>
          <w:tcPr>
            <w:tcW w:w="1515" w:type="dxa"/>
            <w:shd w:val="clear" w:color="auto" w:fill="auto"/>
            <w:vAlign w:val="center"/>
          </w:tcPr>
          <w:p w14:paraId="01C3D186">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tc>
        <w:tc>
          <w:tcPr>
            <w:tcW w:w="7174" w:type="dxa"/>
            <w:shd w:val="clear" w:color="auto" w:fill="auto"/>
          </w:tcPr>
          <w:p w14:paraId="1D5B4B70">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eastAsia="zh-CN"/>
              </w:rPr>
              <w:t>2026PHBZ355</w:t>
            </w:r>
          </w:p>
        </w:tc>
      </w:tr>
      <w:tr w14:paraId="3425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1ED4D5D2">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w:t>
            </w:r>
          </w:p>
        </w:tc>
        <w:tc>
          <w:tcPr>
            <w:tcW w:w="1515" w:type="dxa"/>
            <w:shd w:val="clear" w:color="auto" w:fill="auto"/>
            <w:vAlign w:val="center"/>
          </w:tcPr>
          <w:p w14:paraId="3F5130C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项目性质</w:t>
            </w:r>
          </w:p>
        </w:tc>
        <w:tc>
          <w:tcPr>
            <w:tcW w:w="7174" w:type="dxa"/>
            <w:shd w:val="clear" w:color="auto" w:fill="auto"/>
          </w:tcPr>
          <w:p w14:paraId="1E2C422D">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服务类</w:t>
            </w:r>
          </w:p>
        </w:tc>
      </w:tr>
      <w:tr w14:paraId="608C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3E51A9D8">
            <w:pPr>
              <w:spacing w:line="360" w:lineRule="auto"/>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w:t>
            </w:r>
          </w:p>
        </w:tc>
        <w:tc>
          <w:tcPr>
            <w:tcW w:w="1515" w:type="dxa"/>
            <w:shd w:val="clear" w:color="auto" w:fill="auto"/>
            <w:vAlign w:val="center"/>
          </w:tcPr>
          <w:p w14:paraId="02DAB347">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w:t>
            </w:r>
          </w:p>
        </w:tc>
        <w:tc>
          <w:tcPr>
            <w:tcW w:w="7174" w:type="dxa"/>
            <w:shd w:val="clear" w:color="auto" w:fill="auto"/>
          </w:tcPr>
          <w:p w14:paraId="4BD5D6F0">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□财政投资   </w:t>
            </w:r>
            <w:r>
              <w:rPr>
                <w:rFonts w:hint="eastAsia" w:ascii="宋体" w:hAnsi="宋体" w:eastAsia="宋体" w:cs="宋体"/>
                <w:b w:val="0"/>
                <w:bCs w:val="0"/>
                <w:color w:val="auto"/>
                <w:sz w:val="24"/>
                <w:szCs w:val="24"/>
                <w:highlight w:val="none"/>
              </w:rPr>
              <w:sym w:font="Wingdings" w:char="00FE"/>
            </w:r>
            <w:r>
              <w:rPr>
                <w:rFonts w:hint="eastAsia" w:ascii="宋体" w:hAnsi="宋体" w:eastAsia="宋体" w:cs="宋体"/>
                <w:b w:val="0"/>
                <w:bCs w:val="0"/>
                <w:color w:val="auto"/>
                <w:sz w:val="24"/>
                <w:szCs w:val="24"/>
                <w:highlight w:val="none"/>
                <w:lang w:eastAsia="zh-CN"/>
              </w:rPr>
              <w:t>招标人</w:t>
            </w:r>
            <w:r>
              <w:rPr>
                <w:rFonts w:hint="eastAsia" w:ascii="宋体" w:hAnsi="宋体" w:eastAsia="宋体" w:cs="宋体"/>
                <w:b w:val="0"/>
                <w:bCs w:val="0"/>
                <w:color w:val="auto"/>
                <w:sz w:val="24"/>
                <w:szCs w:val="24"/>
                <w:highlight w:val="none"/>
              </w:rPr>
              <w:t xml:space="preserve">自筹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其他</w:t>
            </w:r>
          </w:p>
        </w:tc>
      </w:tr>
      <w:tr w14:paraId="2C1D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75" w:type="dxa"/>
            <w:shd w:val="clear" w:color="auto" w:fill="auto"/>
          </w:tcPr>
          <w:p w14:paraId="3F7A710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515" w:type="dxa"/>
            <w:shd w:val="clear" w:color="auto" w:fill="auto"/>
            <w:vAlign w:val="center"/>
          </w:tcPr>
          <w:p w14:paraId="223706FC">
            <w:pPr>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包别划分</w:t>
            </w:r>
          </w:p>
        </w:tc>
        <w:tc>
          <w:tcPr>
            <w:tcW w:w="7174" w:type="dxa"/>
            <w:shd w:val="clear" w:color="auto" w:fill="auto"/>
          </w:tcPr>
          <w:p w14:paraId="4BF54127">
            <w:pPr>
              <w:spacing w:line="360" w:lineRule="auto"/>
              <w:rPr>
                <w:rFonts w:hint="eastAsia" w:ascii="宋体" w:hAnsi="宋体" w:eastAsia="宋体" w:cs="宋体"/>
                <w:bCs/>
                <w:color w:val="auto"/>
                <w:szCs w:val="24"/>
                <w:highlight w:val="none"/>
              </w:rPr>
            </w:pPr>
            <w:r>
              <w:rPr>
                <w:rFonts w:hint="eastAsia" w:ascii="宋体" w:hAnsi="宋体" w:eastAsia="宋体" w:cs="宋体"/>
                <w:b/>
                <w:bCs/>
                <w:color w:val="auto"/>
                <w:szCs w:val="24"/>
                <w:highlight w:val="none"/>
              </w:rPr>
              <w:sym w:font="Wingdings" w:char="F0FE"/>
            </w:r>
            <w:r>
              <w:rPr>
                <w:rFonts w:hint="eastAsia" w:ascii="宋体" w:hAnsi="宋体" w:eastAsia="宋体" w:cs="宋体"/>
                <w:color w:val="auto"/>
                <w:szCs w:val="24"/>
                <w:highlight w:val="none"/>
              </w:rPr>
              <w:t>不分包别    □分为  个包别</w:t>
            </w:r>
          </w:p>
        </w:tc>
      </w:tr>
      <w:tr w14:paraId="2FCC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shd w:val="clear" w:color="auto" w:fill="auto"/>
          </w:tcPr>
          <w:p w14:paraId="2BDC86A5">
            <w:pPr>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9</w:t>
            </w:r>
          </w:p>
        </w:tc>
        <w:tc>
          <w:tcPr>
            <w:tcW w:w="1515" w:type="dxa"/>
            <w:shd w:val="clear" w:color="auto" w:fill="auto"/>
            <w:vAlign w:val="center"/>
          </w:tcPr>
          <w:p w14:paraId="1389077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联合体</w:t>
            </w:r>
            <w:r>
              <w:rPr>
                <w:rFonts w:hint="eastAsia" w:ascii="宋体" w:hAnsi="宋体" w:eastAsia="宋体" w:cs="宋体"/>
                <w:color w:val="auto"/>
                <w:szCs w:val="24"/>
                <w:highlight w:val="none"/>
                <w:lang w:val="en-US" w:eastAsia="zh-CN"/>
              </w:rPr>
              <w:t>投</w:t>
            </w:r>
            <w:r>
              <w:rPr>
                <w:rFonts w:hint="eastAsia" w:ascii="宋体" w:hAnsi="宋体" w:eastAsia="宋体" w:cs="宋体"/>
                <w:color w:val="auto"/>
                <w:szCs w:val="24"/>
                <w:highlight w:val="none"/>
              </w:rPr>
              <w:t>标</w:t>
            </w:r>
          </w:p>
        </w:tc>
        <w:tc>
          <w:tcPr>
            <w:tcW w:w="7174" w:type="dxa"/>
            <w:shd w:val="clear" w:color="auto" w:fill="auto"/>
          </w:tcPr>
          <w:p w14:paraId="0432232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Cs w:val="24"/>
                <w:highlight w:val="none"/>
              </w:rPr>
              <w:sym w:font="Wingdings" w:char="00FE"/>
            </w:r>
            <w:r>
              <w:rPr>
                <w:rFonts w:hint="eastAsia" w:ascii="宋体" w:hAnsi="宋体" w:eastAsia="宋体" w:cs="宋体"/>
                <w:color w:val="auto"/>
                <w:szCs w:val="24"/>
                <w:highlight w:val="none"/>
              </w:rPr>
              <w:t>不</w:t>
            </w:r>
            <w:r>
              <w:rPr>
                <w:rFonts w:hint="eastAsia" w:ascii="宋体" w:hAnsi="宋体" w:eastAsia="宋体" w:cs="宋体"/>
                <w:color w:val="auto"/>
                <w:szCs w:val="24"/>
                <w:highlight w:val="none"/>
                <w:lang w:val="zh-CN"/>
              </w:rPr>
              <w:t>接受</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zh-CN"/>
              </w:rPr>
              <w:t>接受，</w:t>
            </w:r>
            <w:r>
              <w:rPr>
                <w:rFonts w:hint="eastAsia" w:ascii="宋体" w:hAnsi="宋体" w:eastAsia="宋体" w:cs="宋体"/>
                <w:color w:val="auto"/>
                <w:highlight w:val="none"/>
              </w:rPr>
              <w:t>应满足下列要求：</w:t>
            </w:r>
          </w:p>
          <w:p w14:paraId="4E21574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b w:val="0"/>
                <w:bCs w:val="0"/>
                <w:color w:val="auto"/>
                <w:sz w:val="24"/>
                <w:szCs w:val="24"/>
                <w:highlight w:val="none"/>
              </w:rPr>
              <w:t>联合体投标时，联合体各成员应当签订联合体协议书，并将联合体协议书连同投标文件一起提交给招标人。如果联合体投标时没有向招标人提交联合体协议书，联合体的投标将会被招标人拒绝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联合体协议需有各方盖章（可以盖章后上传扫描件），联合体成员方其他资料可交由联合体牵头人上传至投标文件中，除“联合体协议书”外，其余需落款及盖章处仅由牵头人盖章即可。</w:t>
            </w:r>
            <w:r>
              <w:rPr>
                <w:rFonts w:hint="eastAsia" w:ascii="宋体" w:hAnsi="宋体" w:eastAsia="宋体" w:cs="宋体"/>
                <w:color w:val="auto"/>
                <w:kern w:val="0"/>
                <w:sz w:val="24"/>
                <w:szCs w:val="24"/>
                <w:highlight w:val="none"/>
                <w:lang w:val="en-US" w:eastAsia="zh-CN" w:bidi="ar"/>
              </w:rPr>
              <w:t xml:space="preserve"> </w:t>
            </w:r>
          </w:p>
          <w:p w14:paraId="05EEB2BC">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bCs/>
                <w:snapToGrid w:val="0"/>
                <w:color w:val="auto"/>
                <w:highlight w:val="none"/>
                <w:lang w:val="en-US" w:eastAsia="zh-CN"/>
              </w:rPr>
              <w:t>联合体投标的，</w:t>
            </w:r>
            <w:r>
              <w:rPr>
                <w:rFonts w:hint="eastAsia" w:ascii="宋体" w:hAnsi="宋体" w:eastAsia="宋体" w:cs="宋体"/>
                <w:color w:val="auto"/>
                <w:kern w:val="0"/>
                <w:sz w:val="24"/>
                <w:szCs w:val="24"/>
                <w:highlight w:val="none"/>
                <w:lang w:val="en-US" w:eastAsia="zh-CN" w:bidi="ar"/>
              </w:rPr>
              <w:t xml:space="preserve">牵头人负责本项目的招标文件获取。 </w:t>
            </w:r>
          </w:p>
          <w:p w14:paraId="0EC66B53">
            <w:pPr>
              <w:keepNext w:val="0"/>
              <w:keepLines w:val="0"/>
              <w:widowControl/>
              <w:suppressLineNumbers w:val="0"/>
              <w:spacing w:line="360" w:lineRule="auto"/>
              <w:jc w:val="left"/>
              <w:rPr>
                <w:rFonts w:hint="eastAsia" w:ascii="宋体" w:hAnsi="宋体" w:eastAsia="宋体" w:cs="宋体"/>
                <w:color w:val="auto"/>
                <w:highlight w:val="none"/>
                <w:lang w:val="en-US"/>
              </w:rPr>
            </w:pPr>
            <w:r>
              <w:rPr>
                <w:rFonts w:hint="eastAsia" w:ascii="宋体" w:hAnsi="宋体" w:eastAsia="宋体" w:cs="宋体"/>
                <w:color w:val="auto"/>
                <w:kern w:val="0"/>
                <w:sz w:val="24"/>
                <w:szCs w:val="24"/>
                <w:highlight w:val="none"/>
                <w:lang w:val="en-US" w:eastAsia="zh-CN" w:bidi="ar"/>
              </w:rPr>
              <w:t>3、联合体各方不得再以自己名义单独或参加其他联合体在同一标段中投标。</w:t>
            </w:r>
          </w:p>
          <w:p w14:paraId="7F747B5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联合体中标后，在签订合同之前，除了投标文件中提交的联合体协议书外，还应该向招标人提交一份联合体全体成员签署的就各成员间权利、义务、利益、责任的分配和承担的详细的工作协议，该工作协议作为合同文件的一部分。当联合体成员间发生纠纷时该协议作为招标人或联合体处理纠纷的直接依据。</w:t>
            </w:r>
          </w:p>
          <w:p w14:paraId="597F2E6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5、招标人关于联合体中标的其他相关要求：</w:t>
            </w:r>
          </w:p>
          <w:p w14:paraId="51462F18">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1）联合体牵头人负责与招标人联系；</w:t>
            </w:r>
          </w:p>
          <w:p w14:paraId="6712FFF9">
            <w:pPr>
              <w:spacing w:line="36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kern w:val="0"/>
                <w:sz w:val="24"/>
                <w:szCs w:val="24"/>
                <w:highlight w:val="none"/>
                <w:lang w:val="en-US" w:eastAsia="zh-CN" w:bidi="ar"/>
              </w:rPr>
              <w:t>2）履约保证金缴纳的要求：由联合体牵头人负责缴纳。</w:t>
            </w:r>
          </w:p>
        </w:tc>
      </w:tr>
      <w:tr w14:paraId="1B1E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shd w:val="clear" w:color="auto" w:fill="auto"/>
            <w:vAlign w:val="center"/>
          </w:tcPr>
          <w:p w14:paraId="209FA6BC">
            <w:pPr>
              <w:pStyle w:val="15"/>
              <w:pBdr>
                <w:bottom w:val="none" w:color="auto" w:sz="0" w:space="0"/>
              </w:pBdr>
              <w:tabs>
                <w:tab w:val="clear" w:pos="4153"/>
                <w:tab w:val="clear" w:pos="8306"/>
              </w:tabs>
              <w:adjustRightInd/>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bCs/>
                <w:color w:val="auto"/>
                <w:kern w:val="2"/>
                <w:highlight w:val="none"/>
                <w:lang w:val="en-US" w:eastAsia="zh-CN"/>
              </w:rPr>
              <w:t>10</w:t>
            </w:r>
          </w:p>
        </w:tc>
        <w:tc>
          <w:tcPr>
            <w:tcW w:w="1515" w:type="dxa"/>
            <w:shd w:val="clear" w:color="auto" w:fill="auto"/>
            <w:vAlign w:val="center"/>
          </w:tcPr>
          <w:p w14:paraId="064D3F82">
            <w:pPr>
              <w:pStyle w:val="15"/>
              <w:pBdr>
                <w:bottom w:val="none" w:color="auto" w:sz="0" w:space="0"/>
              </w:pBdr>
              <w:tabs>
                <w:tab w:val="clear" w:pos="4153"/>
                <w:tab w:val="clear" w:pos="8306"/>
              </w:tabs>
              <w:adjustRightInd/>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bCs/>
                <w:color w:val="auto"/>
                <w:kern w:val="2"/>
                <w:highlight w:val="none"/>
                <w:lang w:val="en-US" w:eastAsia="zh-CN"/>
              </w:rPr>
              <w:t>报价方式</w:t>
            </w:r>
          </w:p>
        </w:tc>
        <w:tc>
          <w:tcPr>
            <w:tcW w:w="7174" w:type="dxa"/>
            <w:shd w:val="clear" w:color="auto" w:fill="auto"/>
            <w:vAlign w:val="center"/>
          </w:tcPr>
          <w:p w14:paraId="199C793E">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☑无</w:t>
            </w:r>
          </w:p>
          <w:p w14:paraId="595719EF">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□总价：</w:t>
            </w:r>
          </w:p>
          <w:p w14:paraId="674582F3">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 xml:space="preserve">□单价：   </w:t>
            </w:r>
          </w:p>
          <w:p w14:paraId="576A433A">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□费率：</w:t>
            </w:r>
          </w:p>
          <w:p w14:paraId="549F9585">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color w:val="auto"/>
                <w:szCs w:val="24"/>
                <w:highlight w:val="none"/>
                <w:lang w:eastAsia="zh-CN"/>
              </w:rPr>
            </w:pPr>
            <w:r>
              <w:rPr>
                <w:rFonts w:hint="eastAsia" w:ascii="宋体" w:hAnsi="宋体" w:eastAsia="宋体" w:cs="宋体"/>
                <w:bCs/>
                <w:color w:val="auto"/>
                <w:kern w:val="2"/>
                <w:highlight w:val="none"/>
                <w:lang w:val="en-US" w:eastAsia="zh-CN"/>
              </w:rPr>
              <w:t xml:space="preserve">□定价：        </w:t>
            </w:r>
          </w:p>
        </w:tc>
      </w:tr>
      <w:tr w14:paraId="67CF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shd w:val="clear" w:color="auto" w:fill="auto"/>
            <w:vAlign w:val="center"/>
          </w:tcPr>
          <w:p w14:paraId="4017298E">
            <w:pPr>
              <w:pStyle w:val="15"/>
              <w:pBdr>
                <w:bottom w:val="none" w:color="auto" w:sz="0" w:space="0"/>
              </w:pBdr>
              <w:tabs>
                <w:tab w:val="clear" w:pos="4153"/>
                <w:tab w:val="clear" w:pos="8306"/>
              </w:tabs>
              <w:adjustRightInd/>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bCs/>
                <w:color w:val="auto"/>
                <w:kern w:val="2"/>
                <w:highlight w:val="none"/>
                <w:lang w:val="en-US" w:eastAsia="zh-CN"/>
              </w:rPr>
              <w:t>11</w:t>
            </w:r>
          </w:p>
        </w:tc>
        <w:tc>
          <w:tcPr>
            <w:tcW w:w="1515" w:type="dxa"/>
            <w:shd w:val="clear" w:color="auto" w:fill="auto"/>
            <w:vAlign w:val="center"/>
          </w:tcPr>
          <w:p w14:paraId="779D600D">
            <w:pPr>
              <w:pStyle w:val="15"/>
              <w:pBdr>
                <w:bottom w:val="none" w:color="auto" w:sz="0" w:space="0"/>
              </w:pBdr>
              <w:tabs>
                <w:tab w:val="clear" w:pos="4153"/>
                <w:tab w:val="clear" w:pos="8306"/>
              </w:tabs>
              <w:adjustRightInd/>
              <w:spacing w:line="36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bCs/>
                <w:color w:val="auto"/>
                <w:kern w:val="2"/>
                <w:highlight w:val="none"/>
                <w:lang w:val="en-US" w:eastAsia="zh-CN"/>
              </w:rPr>
              <w:t>最高投标限价</w:t>
            </w:r>
          </w:p>
        </w:tc>
        <w:tc>
          <w:tcPr>
            <w:tcW w:w="7174" w:type="dxa"/>
            <w:shd w:val="clear" w:color="auto" w:fill="auto"/>
            <w:vAlign w:val="center"/>
          </w:tcPr>
          <w:p w14:paraId="26159DFF">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☑无</w:t>
            </w:r>
          </w:p>
          <w:p w14:paraId="015EC3ED">
            <w:pPr>
              <w:pStyle w:val="15"/>
              <w:pBdr>
                <w:bottom w:val="none" w:color="auto" w:sz="0" w:space="0"/>
              </w:pBdr>
              <w:tabs>
                <w:tab w:val="clear" w:pos="4153"/>
                <w:tab w:val="clear" w:pos="8306"/>
              </w:tabs>
              <w:adjustRightInd/>
              <w:spacing w:line="360" w:lineRule="auto"/>
              <w:jc w:val="left"/>
              <w:textAlignment w:val="auto"/>
              <w:rPr>
                <w:rFonts w:hint="eastAsia" w:ascii="宋体" w:hAnsi="宋体" w:eastAsia="宋体" w:cs="宋体"/>
                <w:b/>
                <w:bCs/>
                <w:color w:val="auto"/>
                <w:kern w:val="2"/>
                <w:sz w:val="24"/>
                <w:szCs w:val="24"/>
                <w:highlight w:val="cyan"/>
                <w:u w:val="single"/>
                <w:lang w:val="en-US" w:eastAsia="zh-CN" w:bidi="ar-SA"/>
              </w:rPr>
            </w:pPr>
            <w:r>
              <w:rPr>
                <w:rFonts w:hint="eastAsia" w:ascii="宋体" w:hAnsi="宋体" w:eastAsia="宋体" w:cs="宋体"/>
                <w:bCs/>
                <w:color w:val="auto"/>
                <w:kern w:val="2"/>
                <w:highlight w:val="none"/>
                <w:lang w:val="en-US" w:eastAsia="zh-CN"/>
              </w:rPr>
              <w:t>□有</w:t>
            </w:r>
          </w:p>
        </w:tc>
      </w:tr>
      <w:tr w14:paraId="0644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5" w:type="dxa"/>
            <w:shd w:val="clear" w:color="auto" w:fill="auto"/>
          </w:tcPr>
          <w:p w14:paraId="2375B87D">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p>
        </w:tc>
        <w:tc>
          <w:tcPr>
            <w:tcW w:w="1515" w:type="dxa"/>
            <w:shd w:val="clear" w:color="auto" w:fill="auto"/>
            <w:vAlign w:val="center"/>
          </w:tcPr>
          <w:p w14:paraId="21EA68B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投</w:t>
            </w:r>
            <w:r>
              <w:rPr>
                <w:rFonts w:hint="eastAsia" w:ascii="宋体" w:hAnsi="宋体" w:eastAsia="宋体" w:cs="宋体"/>
                <w:color w:val="auto"/>
                <w:szCs w:val="24"/>
                <w:highlight w:val="none"/>
              </w:rPr>
              <w:t>标有效期</w:t>
            </w:r>
          </w:p>
        </w:tc>
        <w:tc>
          <w:tcPr>
            <w:tcW w:w="7174" w:type="dxa"/>
            <w:shd w:val="clear" w:color="auto" w:fill="auto"/>
            <w:vAlign w:val="center"/>
          </w:tcPr>
          <w:p w14:paraId="253317D8">
            <w:pPr>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120天</w:t>
            </w:r>
          </w:p>
        </w:tc>
      </w:tr>
      <w:tr w14:paraId="1EA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5" w:type="dxa"/>
            <w:shd w:val="clear" w:color="auto" w:fill="auto"/>
            <w:vAlign w:val="center"/>
          </w:tcPr>
          <w:p w14:paraId="6240B0F3">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p>
        </w:tc>
        <w:tc>
          <w:tcPr>
            <w:tcW w:w="1515" w:type="dxa"/>
            <w:shd w:val="clear" w:color="auto" w:fill="auto"/>
            <w:vAlign w:val="center"/>
          </w:tcPr>
          <w:p w14:paraId="59F2B836">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投标保证金及电子交易服务费</w:t>
            </w:r>
          </w:p>
        </w:tc>
        <w:tc>
          <w:tcPr>
            <w:tcW w:w="7174" w:type="dxa"/>
            <w:shd w:val="clear" w:color="auto" w:fill="auto"/>
          </w:tcPr>
          <w:p w14:paraId="1CAE3293">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是否要求投标人递交投标保证金：☑不要求</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□要求</w:t>
            </w:r>
          </w:p>
          <w:p w14:paraId="5D348E59">
            <w:pPr>
              <w:snapToGrid w:val="0"/>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是否要求投标人递交电子交易服务费：</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不要求</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szCs w:val="24"/>
                <w:highlight w:val="none"/>
              </w:rPr>
              <w:t>要求</w:t>
            </w:r>
          </w:p>
          <w:p w14:paraId="342D7051">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电子交易服务费的形式：</w:t>
            </w:r>
            <w:r>
              <w:rPr>
                <w:rFonts w:hint="eastAsia" w:ascii="宋体" w:hAnsi="宋体" w:eastAsia="宋体" w:cs="宋体"/>
                <w:b/>
                <w:bCs/>
                <w:color w:val="auto"/>
                <w:szCs w:val="24"/>
                <w:highlight w:val="none"/>
              </w:rPr>
              <w:sym w:font="Wingdings" w:char="00FE"/>
            </w:r>
            <w:r>
              <w:rPr>
                <w:rFonts w:hint="eastAsia" w:ascii="宋体" w:hAnsi="宋体" w:eastAsia="宋体" w:cs="宋体"/>
                <w:color w:val="auto"/>
                <w:szCs w:val="24"/>
                <w:highlight w:val="none"/>
              </w:rPr>
              <w:t xml:space="preserve">银行转账  </w:t>
            </w:r>
            <w:r>
              <w:rPr>
                <w:rFonts w:hint="eastAsia" w:ascii="宋体" w:hAnsi="宋体" w:eastAsia="宋体" w:cs="宋体"/>
                <w:b/>
                <w:bCs/>
                <w:color w:val="auto"/>
                <w:szCs w:val="24"/>
                <w:highlight w:val="none"/>
              </w:rPr>
              <w:sym w:font="Wingdings" w:char="00FE"/>
            </w:r>
            <w:r>
              <w:rPr>
                <w:rFonts w:hint="eastAsia" w:ascii="宋体" w:hAnsi="宋体" w:eastAsia="宋体" w:cs="宋体"/>
                <w:color w:val="auto"/>
                <w:szCs w:val="24"/>
                <w:highlight w:val="none"/>
              </w:rPr>
              <w:t xml:space="preserve">银行电汇 </w:t>
            </w:r>
          </w:p>
          <w:p w14:paraId="53F86FEE">
            <w:pPr>
              <w:snapToGrid w:val="0"/>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电子交易服务费的金额：人民币200元，售后不退。</w:t>
            </w:r>
          </w:p>
          <w:p w14:paraId="468A8BED">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递交要求： </w:t>
            </w:r>
          </w:p>
          <w:p w14:paraId="10961788">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①电子交易服务费的到账截止时间：同招标时间。</w:t>
            </w:r>
          </w:p>
          <w:p w14:paraId="5DD86F27">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②电子交易服务费应当从投标人账户转出。</w:t>
            </w:r>
          </w:p>
          <w:p w14:paraId="29962820">
            <w:pPr>
              <w:spacing w:line="360" w:lineRule="auto"/>
              <w:jc w:val="left"/>
              <w:rPr>
                <w:rFonts w:hint="eastAsia" w:ascii="宋体" w:hAnsi="宋体" w:eastAsia="宋体" w:cs="宋体"/>
                <w:color w:val="auto"/>
                <w:szCs w:val="24"/>
                <w:highlight w:val="none"/>
              </w:rPr>
            </w:pPr>
            <w:bookmarkStart w:id="13" w:name="OLE_LINK1"/>
            <w:r>
              <w:rPr>
                <w:rFonts w:hint="eastAsia" w:ascii="宋体" w:hAnsi="宋体" w:eastAsia="宋体" w:cs="宋体"/>
                <w:color w:val="auto"/>
                <w:szCs w:val="24"/>
                <w:highlight w:val="none"/>
              </w:rPr>
              <w:t>③转入的开户银行及账号：</w:t>
            </w:r>
          </w:p>
          <w:p w14:paraId="2B3B4A33">
            <w:pPr>
              <w:snapToGrid w:val="0"/>
              <w:spacing w:line="360" w:lineRule="auto"/>
              <w:rPr>
                <w:rFonts w:hint="eastAsia" w:ascii="宋体" w:hAnsi="宋体" w:eastAsia="宋体" w:cs="宋体"/>
                <w:color w:val="FF0000"/>
                <w:szCs w:val="24"/>
                <w:highlight w:val="none"/>
              </w:rPr>
            </w:pPr>
            <w:r>
              <w:rPr>
                <w:rFonts w:hint="eastAsia" w:ascii="宋体" w:hAnsi="宋体" w:eastAsia="宋体" w:cs="宋体"/>
                <w:color w:val="FF0000"/>
                <w:szCs w:val="24"/>
                <w:highlight w:val="none"/>
              </w:rPr>
              <w:t>开户银行：广发银行股份有限公司合肥肥西支行</w:t>
            </w:r>
          </w:p>
          <w:p w14:paraId="0063F202">
            <w:pPr>
              <w:snapToGrid w:val="0"/>
              <w:spacing w:line="360" w:lineRule="auto"/>
              <w:rPr>
                <w:rFonts w:hint="eastAsia" w:ascii="宋体" w:hAnsi="宋体" w:eastAsia="宋体" w:cs="宋体"/>
                <w:color w:val="FF0000"/>
                <w:szCs w:val="24"/>
                <w:highlight w:val="none"/>
                <w:lang w:eastAsia="zh-CN"/>
              </w:rPr>
            </w:pPr>
            <w:r>
              <w:rPr>
                <w:rFonts w:hint="eastAsia" w:ascii="宋体" w:hAnsi="宋体" w:eastAsia="宋体" w:cs="宋体"/>
                <w:color w:val="FF0000"/>
                <w:szCs w:val="24"/>
                <w:highlight w:val="none"/>
              </w:rPr>
              <w:t>开户名：</w:t>
            </w:r>
            <w:r>
              <w:rPr>
                <w:rFonts w:hint="eastAsia" w:ascii="宋体" w:hAnsi="宋体" w:eastAsia="宋体" w:cs="宋体"/>
                <w:color w:val="FF0000"/>
                <w:szCs w:val="24"/>
                <w:highlight w:val="none"/>
                <w:lang w:eastAsia="zh-CN"/>
              </w:rPr>
              <w:t>肥西县公共资源交易有限责任公司</w:t>
            </w:r>
          </w:p>
          <w:p w14:paraId="1D76CC8B">
            <w:pPr>
              <w:snapToGrid w:val="0"/>
              <w:spacing w:line="360" w:lineRule="auto"/>
              <w:rPr>
                <w:rFonts w:hint="eastAsia" w:ascii="宋体" w:hAnsi="宋体" w:eastAsia="宋体" w:cs="宋体"/>
                <w:color w:val="FF0000"/>
                <w:szCs w:val="24"/>
                <w:highlight w:val="none"/>
                <w:lang w:eastAsia="zh-CN"/>
              </w:rPr>
            </w:pPr>
            <w:r>
              <w:rPr>
                <w:rFonts w:hint="eastAsia" w:ascii="宋体" w:hAnsi="宋体" w:eastAsia="宋体" w:cs="宋体"/>
                <w:color w:val="FF0000"/>
                <w:szCs w:val="24"/>
                <w:highlight w:val="none"/>
              </w:rPr>
              <w:t>账号：</w:t>
            </w:r>
            <w:bookmarkEnd w:id="13"/>
            <w:r>
              <w:rPr>
                <w:rFonts w:hint="eastAsia" w:ascii="宋体" w:hAnsi="宋体" w:eastAsia="宋体" w:cs="宋体"/>
                <w:color w:val="FF0000"/>
                <w:szCs w:val="24"/>
                <w:highlight w:val="none"/>
              </w:rPr>
              <w:t>6232594999000548550</w:t>
            </w:r>
          </w:p>
          <w:p w14:paraId="72835799">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注意事项：</w:t>
            </w:r>
          </w:p>
          <w:p w14:paraId="5EECAC8D">
            <w:pPr>
              <w:snapToGrid w:val="0"/>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（1）电子交易服务费采用虚拟账号，项目招标失败后，电子交易服务费交纳账号将会发生变化，请投标人参与后续招标时，注意勿将电子交易服务费错交至其他项目账号或前次公告账号。</w:t>
            </w:r>
          </w:p>
          <w:p w14:paraId="6918141A">
            <w:pPr>
              <w:snapToGrid w:val="0"/>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（3）凡转账到其他项目账户或本项目前次公告账户的，电子交易服务费无效。</w:t>
            </w:r>
          </w:p>
          <w:p w14:paraId="242D14CB">
            <w:pPr>
              <w:snapToGrid w:val="0"/>
              <w:spacing w:line="360" w:lineRule="auto"/>
              <w:ind w:firstLine="120" w:firstLineChars="5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（4）投标人参与本项目多个包别招标的（如分多包别的），应该按包别分别递交电子交易服务费。未递交电子交易服务费的包别，其响应无效。</w:t>
            </w:r>
          </w:p>
        </w:tc>
      </w:tr>
      <w:tr w14:paraId="24FC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shd w:val="clear" w:color="auto" w:fill="auto"/>
            <w:vAlign w:val="center"/>
          </w:tcPr>
          <w:p w14:paraId="75342278">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w:t>
            </w:r>
          </w:p>
        </w:tc>
        <w:tc>
          <w:tcPr>
            <w:tcW w:w="1515" w:type="dxa"/>
            <w:shd w:val="clear" w:color="auto" w:fill="auto"/>
            <w:vAlign w:val="center"/>
          </w:tcPr>
          <w:p w14:paraId="0418E9E4">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rPr>
              <w:t>网上询问截止时间</w:t>
            </w:r>
          </w:p>
        </w:tc>
        <w:tc>
          <w:tcPr>
            <w:tcW w:w="7174" w:type="dxa"/>
            <w:shd w:val="clear" w:color="auto" w:fill="auto"/>
            <w:vAlign w:val="center"/>
          </w:tcPr>
          <w:p w14:paraId="1655D36D">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FF0000"/>
                <w:sz w:val="24"/>
                <w:highlight w:val="none"/>
                <w:u w:val="single"/>
              </w:rPr>
              <w:t>202</w:t>
            </w:r>
            <w:r>
              <w:rPr>
                <w:rFonts w:hint="eastAsia" w:ascii="宋体" w:hAnsi="宋体" w:eastAsia="宋体" w:cs="宋体"/>
                <w:b w:val="0"/>
                <w:color w:val="FF0000"/>
                <w:sz w:val="24"/>
                <w:highlight w:val="none"/>
                <w:u w:val="single"/>
                <w:lang w:val="en-US" w:eastAsia="zh-CN"/>
              </w:rPr>
              <w:t>6</w:t>
            </w:r>
            <w:r>
              <w:rPr>
                <w:rFonts w:hint="eastAsia" w:ascii="宋体" w:hAnsi="宋体" w:eastAsia="宋体" w:cs="宋体"/>
                <w:b w:val="0"/>
                <w:color w:val="FF0000"/>
                <w:sz w:val="24"/>
                <w:highlight w:val="none"/>
              </w:rPr>
              <w:t>年</w:t>
            </w:r>
            <w:r>
              <w:rPr>
                <w:rFonts w:hint="eastAsia" w:cs="宋体"/>
                <w:b w:val="0"/>
                <w:color w:val="FF0000"/>
                <w:sz w:val="24"/>
                <w:highlight w:val="none"/>
                <w:lang w:val="en-US" w:eastAsia="zh-CN"/>
              </w:rPr>
              <w:t>7</w:t>
            </w:r>
            <w:r>
              <w:rPr>
                <w:rFonts w:hint="eastAsia" w:ascii="宋体" w:hAnsi="宋体" w:eastAsia="宋体" w:cs="宋体"/>
                <w:b w:val="0"/>
                <w:color w:val="FF0000"/>
                <w:sz w:val="24"/>
                <w:highlight w:val="none"/>
              </w:rPr>
              <w:t>月</w:t>
            </w:r>
            <w:r>
              <w:rPr>
                <w:rFonts w:hint="eastAsia" w:cs="宋体"/>
                <w:b w:val="0"/>
                <w:color w:val="FF0000"/>
                <w:sz w:val="24"/>
                <w:highlight w:val="none"/>
                <w:lang w:val="en-US" w:eastAsia="zh-CN"/>
              </w:rPr>
              <w:t>14</w:t>
            </w:r>
            <w:r>
              <w:rPr>
                <w:rFonts w:hint="eastAsia" w:ascii="宋体" w:hAnsi="宋体" w:eastAsia="宋体" w:cs="宋体"/>
                <w:b w:val="0"/>
                <w:color w:val="FF0000"/>
                <w:sz w:val="24"/>
                <w:highlight w:val="none"/>
              </w:rPr>
              <w:t>日</w:t>
            </w:r>
            <w:r>
              <w:rPr>
                <w:rFonts w:hint="eastAsia" w:ascii="宋体" w:hAnsi="宋体" w:eastAsia="宋体" w:cs="宋体"/>
                <w:b w:val="0"/>
                <w:color w:val="FF0000"/>
                <w:sz w:val="24"/>
                <w:highlight w:val="none"/>
                <w:u w:val="single"/>
              </w:rPr>
              <w:t>17</w:t>
            </w:r>
            <w:r>
              <w:rPr>
                <w:rFonts w:hint="eastAsia" w:ascii="宋体" w:hAnsi="宋体" w:eastAsia="宋体" w:cs="宋体"/>
                <w:b w:val="0"/>
                <w:color w:val="FF0000"/>
                <w:sz w:val="24"/>
                <w:highlight w:val="none"/>
              </w:rPr>
              <w:t>时</w:t>
            </w:r>
            <w:r>
              <w:rPr>
                <w:rFonts w:hint="eastAsia" w:ascii="宋体" w:hAnsi="宋体" w:eastAsia="宋体" w:cs="宋体"/>
                <w:b w:val="0"/>
                <w:color w:val="FF0000"/>
                <w:sz w:val="24"/>
                <w:highlight w:val="none"/>
                <w:u w:val="single"/>
              </w:rPr>
              <w:t>30</w:t>
            </w:r>
            <w:r>
              <w:rPr>
                <w:rFonts w:hint="eastAsia" w:ascii="宋体" w:hAnsi="宋体" w:eastAsia="宋体" w:cs="宋体"/>
                <w:b w:val="0"/>
                <w:color w:val="FF0000"/>
                <w:sz w:val="24"/>
                <w:highlight w:val="none"/>
              </w:rPr>
              <w:t>分</w:t>
            </w:r>
          </w:p>
        </w:tc>
      </w:tr>
      <w:tr w14:paraId="2C66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shd w:val="clear" w:color="auto" w:fill="auto"/>
            <w:vAlign w:val="center"/>
          </w:tcPr>
          <w:p w14:paraId="5CA2DF80">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p>
        </w:tc>
        <w:tc>
          <w:tcPr>
            <w:tcW w:w="1515" w:type="dxa"/>
            <w:shd w:val="clear" w:color="auto" w:fill="auto"/>
            <w:vAlign w:val="center"/>
          </w:tcPr>
          <w:p w14:paraId="36B2A5F5">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踏勘现场</w:t>
            </w:r>
          </w:p>
        </w:tc>
        <w:tc>
          <w:tcPr>
            <w:tcW w:w="7174" w:type="dxa"/>
            <w:shd w:val="clear" w:color="auto" w:fill="auto"/>
            <w:vAlign w:val="center"/>
          </w:tcPr>
          <w:p w14:paraId="1E378B01">
            <w:pPr>
              <w:spacing w:line="360" w:lineRule="auto"/>
              <w:jc w:val="both"/>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rPr>
              <w:sym w:font="Wingdings" w:char="F0FE"/>
            </w:r>
            <w:r>
              <w:rPr>
                <w:rFonts w:hint="eastAsia" w:ascii="宋体" w:hAnsi="宋体" w:eastAsia="宋体" w:cs="宋体"/>
                <w:bCs/>
                <w:color w:val="auto"/>
                <w:szCs w:val="24"/>
                <w:highlight w:val="none"/>
              </w:rPr>
              <w:t xml:space="preserve">自行踏勘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lang w:val="zh-CN"/>
              </w:rPr>
              <w:t>统一组织</w:t>
            </w:r>
          </w:p>
        </w:tc>
      </w:tr>
      <w:tr w14:paraId="799D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shd w:val="clear" w:color="auto" w:fill="auto"/>
            <w:vAlign w:val="center"/>
          </w:tcPr>
          <w:p w14:paraId="3CF62056">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p>
        </w:tc>
        <w:tc>
          <w:tcPr>
            <w:tcW w:w="1515" w:type="dxa"/>
            <w:shd w:val="clear" w:color="auto" w:fill="auto"/>
            <w:vAlign w:val="center"/>
          </w:tcPr>
          <w:p w14:paraId="1A9383E5">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lang w:val="en-US" w:eastAsia="zh-CN"/>
              </w:rPr>
              <w:t>投</w:t>
            </w:r>
            <w:r>
              <w:rPr>
                <w:rFonts w:hint="eastAsia" w:ascii="宋体" w:hAnsi="宋体" w:eastAsia="宋体" w:cs="宋体"/>
                <w:b w:val="0"/>
                <w:color w:val="auto"/>
                <w:sz w:val="24"/>
                <w:highlight w:val="none"/>
              </w:rPr>
              <w:t>标文件要求</w:t>
            </w:r>
          </w:p>
        </w:tc>
        <w:tc>
          <w:tcPr>
            <w:tcW w:w="7174" w:type="dxa"/>
            <w:shd w:val="clear" w:color="auto" w:fill="auto"/>
            <w:vAlign w:val="center"/>
          </w:tcPr>
          <w:p w14:paraId="005FAF13">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u w:val="single"/>
              </w:rPr>
              <w:t>加密电子</w:t>
            </w:r>
            <w:r>
              <w:rPr>
                <w:rFonts w:hint="eastAsia" w:ascii="宋体" w:hAnsi="宋体" w:eastAsia="宋体" w:cs="宋体"/>
                <w:b w:val="0"/>
                <w:color w:val="auto"/>
                <w:sz w:val="24"/>
                <w:highlight w:val="none"/>
                <w:u w:val="single"/>
                <w:lang w:val="en-US" w:eastAsia="zh-CN"/>
              </w:rPr>
              <w:t>投标</w:t>
            </w:r>
            <w:r>
              <w:rPr>
                <w:rFonts w:hint="eastAsia" w:ascii="宋体" w:hAnsi="宋体" w:eastAsia="宋体" w:cs="宋体"/>
                <w:b w:val="0"/>
                <w:color w:val="auto"/>
                <w:sz w:val="24"/>
                <w:highlight w:val="none"/>
                <w:u w:val="single"/>
              </w:rPr>
              <w:t>文件</w:t>
            </w:r>
          </w:p>
        </w:tc>
      </w:tr>
      <w:tr w14:paraId="64F1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shd w:val="clear" w:color="auto" w:fill="auto"/>
            <w:vAlign w:val="center"/>
          </w:tcPr>
          <w:p w14:paraId="3DCD1261">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p>
        </w:tc>
        <w:tc>
          <w:tcPr>
            <w:tcW w:w="1515" w:type="dxa"/>
            <w:shd w:val="clear" w:color="auto" w:fill="auto"/>
            <w:vAlign w:val="center"/>
          </w:tcPr>
          <w:p w14:paraId="1ABAC2E2">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lang w:val="en-US" w:eastAsia="zh-CN"/>
              </w:rPr>
              <w:t>投</w:t>
            </w:r>
            <w:r>
              <w:rPr>
                <w:rFonts w:hint="eastAsia" w:ascii="宋体" w:hAnsi="宋体" w:eastAsia="宋体" w:cs="宋体"/>
                <w:b w:val="0"/>
                <w:color w:val="auto"/>
                <w:sz w:val="24"/>
                <w:highlight w:val="none"/>
              </w:rPr>
              <w:t>标文件解密时间</w:t>
            </w:r>
          </w:p>
        </w:tc>
        <w:tc>
          <w:tcPr>
            <w:tcW w:w="7174" w:type="dxa"/>
            <w:shd w:val="clear" w:color="auto" w:fill="auto"/>
          </w:tcPr>
          <w:p w14:paraId="42CB5A71">
            <w:pPr>
              <w:pStyle w:val="14"/>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val="en-US" w:eastAsia="zh-CN"/>
              </w:rPr>
              <w:t>投</w:t>
            </w:r>
            <w:r>
              <w:rPr>
                <w:rFonts w:hint="eastAsia" w:ascii="宋体" w:hAnsi="宋体" w:eastAsia="宋体" w:cs="宋体"/>
                <w:b w:val="0"/>
                <w:color w:val="auto"/>
                <w:sz w:val="24"/>
                <w:highlight w:val="none"/>
                <w:u w:val="single"/>
              </w:rPr>
              <w:t>标文件提交截止时间后30分钟内（以系统解密倒计时为准）</w:t>
            </w:r>
          </w:p>
          <w:p w14:paraId="3B35C274">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Cs w:val="0"/>
                <w:color w:val="auto"/>
                <w:sz w:val="24"/>
                <w:highlight w:val="none"/>
              </w:rPr>
              <w:t>其他要求：</w:t>
            </w:r>
            <w:r>
              <w:rPr>
                <w:rFonts w:hint="eastAsia" w:ascii="宋体" w:hAnsi="宋体" w:eastAsia="宋体" w:cs="宋体"/>
                <w:bCs w:val="0"/>
                <w:color w:val="auto"/>
                <w:sz w:val="24"/>
                <w:highlight w:val="none"/>
                <w:lang w:val="en-US" w:eastAsia="zh-CN"/>
              </w:rPr>
              <w:t>投标</w:t>
            </w:r>
            <w:r>
              <w:rPr>
                <w:rFonts w:hint="eastAsia" w:ascii="宋体" w:hAnsi="宋体" w:eastAsia="宋体" w:cs="宋体"/>
                <w:bCs w:val="0"/>
                <w:color w:val="auto"/>
                <w:sz w:val="24"/>
                <w:highlight w:val="none"/>
              </w:rPr>
              <w:t>文件解密可以采用网上远程方式，无需到</w:t>
            </w:r>
            <w:r>
              <w:rPr>
                <w:rFonts w:hint="eastAsia" w:ascii="宋体" w:hAnsi="宋体" w:eastAsia="宋体" w:cs="宋体"/>
                <w:bCs w:val="0"/>
                <w:color w:val="auto"/>
                <w:sz w:val="24"/>
                <w:highlight w:val="none"/>
                <w:lang w:val="en-US" w:eastAsia="zh-CN"/>
              </w:rPr>
              <w:t>开</w:t>
            </w:r>
            <w:r>
              <w:rPr>
                <w:rFonts w:hint="eastAsia" w:ascii="宋体" w:hAnsi="宋体" w:eastAsia="宋体" w:cs="宋体"/>
                <w:bCs w:val="0"/>
                <w:color w:val="auto"/>
                <w:sz w:val="24"/>
                <w:highlight w:val="none"/>
              </w:rPr>
              <w:t>标现场进行解密。解密的CA锁必须与</w:t>
            </w:r>
            <w:r>
              <w:rPr>
                <w:rFonts w:hint="eastAsia" w:ascii="宋体" w:hAnsi="宋体" w:eastAsia="宋体" w:cs="宋体"/>
                <w:bCs w:val="0"/>
                <w:color w:val="auto"/>
                <w:sz w:val="24"/>
                <w:highlight w:val="none"/>
                <w:lang w:val="en-US" w:eastAsia="zh-CN"/>
              </w:rPr>
              <w:t>投标</w:t>
            </w:r>
            <w:r>
              <w:rPr>
                <w:rFonts w:hint="eastAsia" w:ascii="宋体" w:hAnsi="宋体" w:eastAsia="宋体" w:cs="宋体"/>
                <w:bCs w:val="0"/>
                <w:color w:val="auto"/>
                <w:sz w:val="24"/>
                <w:highlight w:val="none"/>
              </w:rPr>
              <w:t>文件加密的CA锁一致，否则造成的后果由投标人自行承担。</w:t>
            </w:r>
          </w:p>
        </w:tc>
      </w:tr>
      <w:tr w14:paraId="07DA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75" w:type="dxa"/>
            <w:shd w:val="clear" w:color="auto" w:fill="auto"/>
            <w:vAlign w:val="center"/>
          </w:tcPr>
          <w:p w14:paraId="16CDAF08">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p>
        </w:tc>
        <w:tc>
          <w:tcPr>
            <w:tcW w:w="1515" w:type="dxa"/>
            <w:shd w:val="clear" w:color="auto" w:fill="auto"/>
            <w:vAlign w:val="center"/>
          </w:tcPr>
          <w:p w14:paraId="2134CC3D">
            <w:pPr>
              <w:spacing w:line="360" w:lineRule="auto"/>
              <w:rPr>
                <w:rFonts w:hint="eastAsia" w:ascii="宋体" w:hAnsi="宋体" w:eastAsia="宋体" w:cs="宋体"/>
                <w:bCs/>
                <w:color w:val="auto"/>
                <w:szCs w:val="24"/>
                <w:highlight w:val="none"/>
              </w:rPr>
            </w:pPr>
            <w:r>
              <w:rPr>
                <w:rFonts w:hint="eastAsia" w:ascii="宋体" w:hAnsi="宋体" w:eastAsia="宋体" w:cs="宋体"/>
                <w:color w:val="auto"/>
                <w:szCs w:val="24"/>
                <w:highlight w:val="none"/>
                <w:lang w:val="en-US" w:eastAsia="zh-CN"/>
              </w:rPr>
              <w:t>开</w:t>
            </w:r>
            <w:r>
              <w:rPr>
                <w:rFonts w:hint="eastAsia" w:ascii="宋体" w:hAnsi="宋体" w:eastAsia="宋体" w:cs="宋体"/>
                <w:color w:val="auto"/>
                <w:szCs w:val="24"/>
                <w:highlight w:val="none"/>
              </w:rPr>
              <w:t>标时间及地点</w:t>
            </w:r>
          </w:p>
        </w:tc>
        <w:tc>
          <w:tcPr>
            <w:tcW w:w="7174" w:type="dxa"/>
            <w:shd w:val="clear" w:color="auto" w:fill="auto"/>
            <w:vAlign w:val="center"/>
          </w:tcPr>
          <w:p w14:paraId="1486A46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Cs w:val="24"/>
                <w:highlight w:val="none"/>
                <w:lang w:val="zh-CN"/>
              </w:rPr>
            </w:pPr>
            <w:r>
              <w:rPr>
                <w:rFonts w:hint="eastAsia" w:ascii="宋体" w:hAnsi="宋体" w:eastAsia="宋体" w:cs="宋体"/>
                <w:color w:val="auto"/>
                <w:highlight w:val="none"/>
                <w:u w:val="single"/>
              </w:rPr>
              <w:t>详见招标公告</w:t>
            </w:r>
          </w:p>
        </w:tc>
      </w:tr>
      <w:tr w14:paraId="72B0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shd w:val="clear" w:color="auto" w:fill="auto"/>
            <w:vAlign w:val="center"/>
          </w:tcPr>
          <w:p w14:paraId="07B012FC">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9</w:t>
            </w:r>
          </w:p>
        </w:tc>
        <w:tc>
          <w:tcPr>
            <w:tcW w:w="1515" w:type="dxa"/>
            <w:shd w:val="clear" w:color="auto" w:fill="auto"/>
            <w:vAlign w:val="center"/>
          </w:tcPr>
          <w:p w14:paraId="1555C2D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招标与评审办法</w:t>
            </w:r>
          </w:p>
        </w:tc>
        <w:tc>
          <w:tcPr>
            <w:tcW w:w="7174" w:type="dxa"/>
            <w:shd w:val="clear" w:color="auto" w:fill="auto"/>
            <w:vAlign w:val="center"/>
          </w:tcPr>
          <w:p w14:paraId="57A0A10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sym w:font="Wingdings" w:char="00FE"/>
            </w:r>
            <w:r>
              <w:rPr>
                <w:rFonts w:hint="eastAsia" w:ascii="宋体" w:hAnsi="宋体" w:eastAsia="宋体" w:cs="宋体"/>
                <w:color w:val="auto"/>
                <w:highlight w:val="none"/>
                <w:u w:val="single"/>
              </w:rPr>
              <w:t>综合评分法</w:t>
            </w:r>
          </w:p>
        </w:tc>
      </w:tr>
      <w:tr w14:paraId="0BCD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shd w:val="clear" w:color="auto" w:fill="auto"/>
            <w:vAlign w:val="center"/>
          </w:tcPr>
          <w:p w14:paraId="35301D26">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20</w:t>
            </w:r>
          </w:p>
        </w:tc>
        <w:tc>
          <w:tcPr>
            <w:tcW w:w="1515" w:type="dxa"/>
            <w:shd w:val="clear" w:color="auto" w:fill="auto"/>
            <w:vAlign w:val="center"/>
          </w:tcPr>
          <w:p w14:paraId="16B28768">
            <w:pPr>
              <w:spacing w:line="360" w:lineRule="auto"/>
              <w:rPr>
                <w:rFonts w:hint="eastAsia" w:ascii="宋体" w:hAnsi="宋体" w:eastAsia="宋体" w:cs="宋体"/>
                <w:color w:val="auto"/>
                <w:szCs w:val="24"/>
                <w:highlight w:val="none"/>
              </w:rPr>
            </w:pPr>
            <w:r>
              <w:rPr>
                <w:rFonts w:hint="eastAsia" w:ascii="宋体" w:hAnsi="宋体" w:eastAsia="宋体" w:cs="宋体"/>
                <w:color w:val="auto"/>
                <w:highlight w:val="none"/>
                <w:lang w:val="en-US" w:eastAsia="zh-CN"/>
              </w:rPr>
              <w:t>评标委员会</w:t>
            </w:r>
            <w:r>
              <w:rPr>
                <w:rFonts w:hint="eastAsia" w:ascii="宋体" w:hAnsi="宋体" w:eastAsia="宋体" w:cs="宋体"/>
                <w:color w:val="auto"/>
                <w:highlight w:val="none"/>
              </w:rPr>
              <w:t>推荐</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候选人的数量</w:t>
            </w:r>
          </w:p>
        </w:tc>
        <w:tc>
          <w:tcPr>
            <w:tcW w:w="7174" w:type="dxa"/>
            <w:shd w:val="clear" w:color="auto" w:fill="auto"/>
            <w:vAlign w:val="center"/>
          </w:tcPr>
          <w:p w14:paraId="36CF05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szCs w:val="24"/>
                <w:highlight w:val="none"/>
                <w:lang w:val="en-US" w:eastAsia="zh-CN"/>
              </w:rPr>
            </w:pPr>
            <w:r>
              <w:rPr>
                <w:rFonts w:hint="eastAsia" w:ascii="宋体" w:hAnsi="宋体" w:eastAsia="宋体" w:cs="宋体"/>
                <w:b/>
                <w:bCs/>
                <w:color w:val="auto"/>
                <w:highlight w:val="none"/>
                <w:u w:val="none"/>
                <w:lang w:val="en-US" w:eastAsia="zh-CN"/>
              </w:rPr>
              <w:t>1</w:t>
            </w:r>
            <w:r>
              <w:rPr>
                <w:rFonts w:hint="eastAsia" w:ascii="宋体" w:hAnsi="宋体" w:eastAsia="宋体" w:cs="宋体"/>
                <w:b/>
                <w:bCs/>
                <w:color w:val="auto"/>
                <w:highlight w:val="none"/>
                <w:u w:val="none"/>
              </w:rPr>
              <w:t>家</w:t>
            </w:r>
          </w:p>
        </w:tc>
      </w:tr>
      <w:tr w14:paraId="79C0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shd w:val="clear" w:color="auto" w:fill="auto"/>
            <w:vAlign w:val="center"/>
          </w:tcPr>
          <w:p w14:paraId="5FDD8DE0">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21</w:t>
            </w:r>
          </w:p>
        </w:tc>
        <w:tc>
          <w:tcPr>
            <w:tcW w:w="1515" w:type="dxa"/>
            <w:shd w:val="clear" w:color="auto" w:fill="auto"/>
            <w:vAlign w:val="center"/>
          </w:tcPr>
          <w:p w14:paraId="25971946">
            <w:pPr>
              <w:spacing w:line="360" w:lineRule="auto"/>
              <w:ind w:left="19"/>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w:t>
            </w:r>
          </w:p>
        </w:tc>
        <w:tc>
          <w:tcPr>
            <w:tcW w:w="7174" w:type="dxa"/>
            <w:shd w:val="clear" w:color="auto" w:fill="auto"/>
          </w:tcPr>
          <w:p w14:paraId="25BB569E">
            <w:pPr>
              <w:pStyle w:val="1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（1）金额：</w:t>
            </w:r>
          </w:p>
          <w:p w14:paraId="4445A927">
            <w:pPr>
              <w:pStyle w:val="1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b w:val="0"/>
                <w:color w:val="auto"/>
                <w:sz w:val="24"/>
                <w:highlight w:val="none"/>
              </w:rPr>
              <w:t>免收</w:t>
            </w:r>
          </w:p>
          <w:p w14:paraId="54653B00">
            <w:pPr>
              <w:pStyle w:val="14"/>
              <w:widowControl w:val="0"/>
              <w:spacing w:before="0" w:beforeAutospacing="0" w:after="0" w:afterAutospacing="0" w:line="360" w:lineRule="auto"/>
              <w:jc w:val="both"/>
              <w:rPr>
                <w:rFonts w:hint="eastAsia" w:ascii="宋体" w:hAnsi="宋体" w:eastAsia="宋体" w:cs="宋体"/>
                <w:b/>
                <w:bCs/>
                <w:color w:val="FF0000"/>
                <w:sz w:val="24"/>
                <w:highlight w:val="none"/>
                <w:u w:val="single"/>
                <w:lang w:val="en-US" w:eastAsia="zh-CN"/>
              </w:rPr>
            </w:pPr>
            <w:r>
              <w:rPr>
                <w:rFonts w:hint="eastAsia" w:cs="宋体"/>
                <w:b/>
                <w:bCs/>
                <w:color w:val="FF0000"/>
                <w:sz w:val="24"/>
                <w:szCs w:val="24"/>
                <w:highlight w:val="none"/>
                <w:lang w:eastAsia="zh-CN"/>
              </w:rPr>
              <w:t>☑</w:t>
            </w:r>
            <w:r>
              <w:rPr>
                <w:rFonts w:hint="eastAsia" w:ascii="宋体" w:hAnsi="宋体" w:eastAsia="宋体" w:cs="宋体"/>
                <w:b/>
                <w:bCs/>
                <w:color w:val="FF0000"/>
                <w:sz w:val="24"/>
                <w:highlight w:val="none"/>
              </w:rPr>
              <w:t>定额收取：人民币</w:t>
            </w:r>
            <w:r>
              <w:rPr>
                <w:rFonts w:hint="eastAsia" w:cs="宋体"/>
                <w:b/>
                <w:bCs/>
                <w:color w:val="FF0000"/>
                <w:sz w:val="24"/>
                <w:highlight w:val="none"/>
                <w:u w:val="single"/>
                <w:lang w:val="en-US" w:eastAsia="zh-CN"/>
              </w:rPr>
              <w:t>100750.00</w:t>
            </w:r>
            <w:r>
              <w:rPr>
                <w:rFonts w:hint="eastAsia" w:ascii="宋体" w:hAnsi="宋体" w:eastAsia="宋体" w:cs="宋体"/>
                <w:b/>
                <w:bCs/>
                <w:color w:val="FF0000"/>
                <w:sz w:val="24"/>
                <w:highlight w:val="none"/>
              </w:rPr>
              <w:t>元</w:t>
            </w:r>
          </w:p>
          <w:p w14:paraId="61A4E745">
            <w:pPr>
              <w:pStyle w:val="14"/>
              <w:widowControl w:val="0"/>
              <w:spacing w:before="0" w:beforeAutospacing="0" w:after="0" w:afterAutospacing="0"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b w:val="0"/>
                <w:color w:val="auto"/>
                <w:sz w:val="24"/>
                <w:highlight w:val="none"/>
              </w:rPr>
              <w:t>按下列标准收取：</w:t>
            </w:r>
            <w:r>
              <w:rPr>
                <w:rFonts w:hint="eastAsia" w:ascii="宋体" w:hAnsi="宋体" w:eastAsia="宋体" w:cs="宋体"/>
                <w:b w:val="0"/>
                <w:color w:val="auto"/>
                <w:sz w:val="24"/>
                <w:highlight w:val="none"/>
                <w:u w:val="single"/>
              </w:rPr>
              <w:t xml:space="preserve"> 详见招标文件第三章投标人须知正文</w:t>
            </w:r>
            <w:r>
              <w:rPr>
                <w:rFonts w:hint="eastAsia" w:ascii="宋体" w:hAnsi="宋体" w:eastAsia="宋体" w:cs="宋体"/>
                <w:b w:val="0"/>
                <w:bCs w:val="0"/>
                <w:color w:val="auto"/>
                <w:sz w:val="24"/>
                <w:highlight w:val="none"/>
                <w:u w:val="single"/>
              </w:rPr>
              <w:t>（如不足4000元的，按4000元收取）</w:t>
            </w:r>
          </w:p>
          <w:p w14:paraId="6600AFC5">
            <w:pPr>
              <w:pStyle w:val="14"/>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（2）支付方式：</w:t>
            </w:r>
            <w:r>
              <w:rPr>
                <w:rFonts w:hint="eastAsia" w:ascii="宋体" w:hAnsi="宋体" w:eastAsia="宋体" w:cs="宋体"/>
                <w:color w:val="auto"/>
                <w:sz w:val="24"/>
                <w:szCs w:val="24"/>
                <w:highlight w:val="none"/>
              </w:rPr>
              <w:sym w:font="Wingdings" w:char="00FE"/>
            </w:r>
            <w:r>
              <w:rPr>
                <w:rFonts w:hint="eastAsia" w:ascii="宋体" w:hAnsi="宋体" w:eastAsia="宋体" w:cs="宋体"/>
                <w:b w:val="0"/>
                <w:color w:val="auto"/>
                <w:sz w:val="24"/>
                <w:highlight w:val="none"/>
              </w:rPr>
              <w:t>转账/电汇</w:t>
            </w:r>
          </w:p>
          <w:p w14:paraId="28550B9D">
            <w:pPr>
              <w:pStyle w:val="14"/>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（3）收取单位：</w:t>
            </w:r>
            <w:r>
              <w:rPr>
                <w:rFonts w:hint="eastAsia" w:ascii="宋体" w:hAnsi="宋体" w:eastAsia="宋体" w:cs="宋体"/>
                <w:b w:val="0"/>
                <w:bCs w:val="0"/>
                <w:color w:val="auto"/>
                <w:sz w:val="24"/>
                <w:szCs w:val="24"/>
                <w:highlight w:val="none"/>
                <w:u w:val="none"/>
                <w:lang w:eastAsia="zh-CN"/>
              </w:rPr>
              <w:t>肥西县公共资源交易有限责任公司</w:t>
            </w:r>
          </w:p>
          <w:p w14:paraId="365CBDA0">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none"/>
              </w:rPr>
              <w:t>（4）缴纳时间：</w:t>
            </w:r>
            <w:r>
              <w:rPr>
                <w:rFonts w:hint="eastAsia" w:ascii="宋体" w:hAnsi="宋体" w:eastAsia="宋体" w:cs="宋体"/>
                <w:b w:val="0"/>
                <w:bCs w:val="0"/>
                <w:color w:val="auto"/>
                <w:sz w:val="24"/>
                <w:szCs w:val="24"/>
                <w:highlight w:val="none"/>
                <w:u w:val="none"/>
                <w:lang w:val="en-US" w:eastAsia="zh-CN"/>
              </w:rPr>
              <w:t>中标</w:t>
            </w:r>
            <w:r>
              <w:rPr>
                <w:rFonts w:hint="eastAsia" w:ascii="宋体" w:hAnsi="宋体" w:eastAsia="宋体" w:cs="宋体"/>
                <w:b w:val="0"/>
                <w:bCs w:val="0"/>
                <w:color w:val="auto"/>
                <w:sz w:val="24"/>
                <w:szCs w:val="24"/>
                <w:highlight w:val="none"/>
                <w:u w:val="none"/>
              </w:rPr>
              <w:t>通知书发放后三个工作日内</w:t>
            </w:r>
          </w:p>
        </w:tc>
      </w:tr>
      <w:tr w14:paraId="7E9F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shd w:val="clear" w:color="auto" w:fill="auto"/>
            <w:vAlign w:val="center"/>
          </w:tcPr>
          <w:p w14:paraId="6055436E">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2</w:t>
            </w:r>
          </w:p>
        </w:tc>
        <w:tc>
          <w:tcPr>
            <w:tcW w:w="1515" w:type="dxa"/>
            <w:shd w:val="clear" w:color="auto" w:fill="auto"/>
            <w:vAlign w:val="center"/>
          </w:tcPr>
          <w:p w14:paraId="4D401EAB">
            <w:pPr>
              <w:pStyle w:val="14"/>
              <w:widowControl w:val="0"/>
              <w:spacing w:before="0" w:beforeAutospacing="0" w:after="0" w:afterAutospacing="0" w:line="360" w:lineRule="auto"/>
              <w:jc w:val="both"/>
              <w:rPr>
                <w:rFonts w:hint="eastAsia" w:ascii="宋体" w:hAnsi="宋体" w:eastAsia="宋体" w:cs="宋体"/>
                <w:color w:val="auto"/>
                <w:sz w:val="24"/>
                <w:szCs w:val="24"/>
                <w:highlight w:val="none"/>
              </w:rPr>
            </w:pPr>
            <w:r>
              <w:rPr>
                <w:rFonts w:hint="eastAsia" w:ascii="宋体" w:hAnsi="宋体" w:eastAsia="宋体" w:cs="宋体"/>
                <w:b w:val="0"/>
                <w:color w:val="auto"/>
                <w:sz w:val="24"/>
                <w:highlight w:val="none"/>
              </w:rPr>
              <w:t>履约保证金</w:t>
            </w:r>
          </w:p>
        </w:tc>
        <w:tc>
          <w:tcPr>
            <w:tcW w:w="7174" w:type="dxa"/>
            <w:shd w:val="clear" w:color="auto" w:fill="auto"/>
          </w:tcPr>
          <w:p w14:paraId="1A8BCE8D">
            <w:pPr>
              <w:adjustRightInd w:val="0"/>
              <w:snapToGrid w:val="0"/>
              <w:spacing w:line="360" w:lineRule="auto"/>
              <w:rPr>
                <w:rFonts w:hint="default"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rPr>
              <w:t>1.履约保证金数额：</w:t>
            </w:r>
            <w:r>
              <w:rPr>
                <w:rFonts w:hint="eastAsia" w:ascii="宋体" w:hAnsi="宋体" w:eastAsia="宋体" w:cs="宋体"/>
                <w:color w:val="auto"/>
                <w:szCs w:val="24"/>
                <w:highlight w:val="none"/>
                <w:u w:val="single"/>
                <w:lang w:val="en-US" w:eastAsia="zh-CN"/>
              </w:rPr>
              <w:t xml:space="preserve"> </w:t>
            </w:r>
            <w:r>
              <w:rPr>
                <w:rFonts w:hint="eastAsia" w:ascii="宋体" w:hAnsi="宋体" w:cs="宋体"/>
                <w:color w:val="auto"/>
                <w:szCs w:val="24"/>
                <w:highlight w:val="none"/>
                <w:u w:val="single"/>
                <w:lang w:val="en-US" w:eastAsia="zh-CN"/>
              </w:rPr>
              <w:t>100000.00元</w:t>
            </w:r>
          </w:p>
          <w:p w14:paraId="61DC79BB">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2.收受方式为：</w:t>
            </w: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 xml:space="preserve">现金保证  </w:t>
            </w: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 xml:space="preserve">现金支票  </w:t>
            </w: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银行汇票</w:t>
            </w:r>
          </w:p>
          <w:p w14:paraId="4AC44792">
            <w:pPr>
              <w:spacing w:line="360" w:lineRule="auto"/>
              <w:ind w:left="874" w:leftChars="114" w:hanging="600" w:hangingChars="250"/>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 xml:space="preserve">银行保函  </w:t>
            </w:r>
            <w:r>
              <w:rPr>
                <w:rFonts w:hint="eastAsia" w:ascii="宋体" w:hAnsi="宋体" w:eastAsia="宋体" w:cs="宋体"/>
                <w:color w:val="auto"/>
                <w:szCs w:val="24"/>
                <w:highlight w:val="none"/>
              </w:rPr>
              <w:sym w:font="Wingdings" w:char="00FE"/>
            </w:r>
            <w:r>
              <w:rPr>
                <w:rFonts w:hint="eastAsia" w:ascii="宋体" w:hAnsi="宋体" w:eastAsia="宋体" w:cs="宋体"/>
                <w:color w:val="auto"/>
                <w:szCs w:val="24"/>
                <w:highlight w:val="none"/>
              </w:rPr>
              <w:t>银行转账</w:t>
            </w:r>
          </w:p>
          <w:p w14:paraId="30389008">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3.收受人为: </w:t>
            </w:r>
            <w:r>
              <w:rPr>
                <w:rFonts w:hint="eastAsia" w:ascii="宋体" w:hAnsi="宋体" w:eastAsia="宋体" w:cs="宋体"/>
                <w:color w:val="auto"/>
                <w:szCs w:val="24"/>
                <w:highlight w:val="none"/>
              </w:rPr>
              <w:sym w:font="Wingdings" w:char="F0FE"/>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rPr>
              <w:sym w:font="Wingdings" w:char="F0FE"/>
            </w:r>
            <w:r>
              <w:rPr>
                <w:rFonts w:hint="eastAsia" w:ascii="宋体" w:hAnsi="宋体" w:eastAsia="宋体" w:cs="宋体"/>
                <w:color w:val="auto"/>
                <w:szCs w:val="24"/>
                <w:highlight w:val="none"/>
              </w:rPr>
              <w:t>委托人、□</w:t>
            </w:r>
            <w:r>
              <w:rPr>
                <w:rFonts w:hint="eastAsia" w:ascii="宋体" w:hAnsi="宋体" w:eastAsia="宋体" w:cs="宋体"/>
                <w:color w:val="auto"/>
                <w:szCs w:val="24"/>
                <w:highlight w:val="none"/>
                <w:lang w:eastAsia="zh-CN"/>
              </w:rPr>
              <w:t>肥西县公共资源交易有限责任公司</w:t>
            </w:r>
          </w:p>
          <w:p w14:paraId="438913A2">
            <w:pPr>
              <w:adjustRightInd w:val="0"/>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4.提交时限：合同签订前按规定提交履约保证金，若</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人在规定时限内未提交</w:t>
            </w:r>
            <w:r>
              <w:rPr>
                <w:rFonts w:hint="eastAsia" w:ascii="宋体" w:hAnsi="宋体" w:eastAsia="宋体" w:cs="宋体"/>
                <w:color w:val="auto"/>
                <w:szCs w:val="24"/>
                <w:highlight w:val="none"/>
                <w:lang w:val="en-US" w:eastAsia="zh-CN"/>
              </w:rPr>
              <w:t>履约</w:t>
            </w:r>
            <w:r>
              <w:rPr>
                <w:rFonts w:hint="eastAsia" w:ascii="宋体" w:hAnsi="宋体" w:eastAsia="宋体" w:cs="宋体"/>
                <w:color w:val="auto"/>
                <w:szCs w:val="24"/>
                <w:highlight w:val="none"/>
              </w:rPr>
              <w:t>保证金的，</w:t>
            </w:r>
            <w:r>
              <w:rPr>
                <w:rFonts w:hint="eastAsia" w:ascii="宋体" w:hAnsi="宋体" w:eastAsia="宋体" w:cs="宋体"/>
                <w:color w:val="auto"/>
                <w:szCs w:val="24"/>
                <w:highlight w:val="none"/>
                <w:lang w:val="en-US" w:eastAsia="zh-CN"/>
              </w:rPr>
              <w:t>招标人</w:t>
            </w:r>
            <w:r>
              <w:rPr>
                <w:rFonts w:hint="eastAsia" w:ascii="宋体" w:hAnsi="宋体" w:eastAsia="宋体" w:cs="宋体"/>
                <w:color w:val="auto"/>
                <w:szCs w:val="24"/>
                <w:highlight w:val="none"/>
              </w:rPr>
              <w:t>将书面通知</w:t>
            </w:r>
            <w:r>
              <w:rPr>
                <w:rFonts w:hint="eastAsia" w:ascii="宋体" w:hAnsi="宋体" w:eastAsia="宋体" w:cs="宋体"/>
                <w:color w:val="auto"/>
                <w:szCs w:val="24"/>
                <w:highlight w:val="none"/>
                <w:lang w:val="en-US" w:eastAsia="zh-CN"/>
              </w:rPr>
              <w:t>中标人</w:t>
            </w:r>
            <w:r>
              <w:rPr>
                <w:rFonts w:hint="eastAsia" w:ascii="宋体" w:hAnsi="宋体" w:eastAsia="宋体" w:cs="宋体"/>
                <w:color w:val="auto"/>
                <w:szCs w:val="24"/>
                <w:highlight w:val="none"/>
              </w:rPr>
              <w:t>，5日内不能办理的，</w:t>
            </w:r>
            <w:r>
              <w:rPr>
                <w:rFonts w:hint="eastAsia" w:ascii="宋体" w:hAnsi="宋体" w:eastAsia="宋体" w:cs="宋体"/>
                <w:color w:val="auto"/>
                <w:szCs w:val="24"/>
                <w:highlight w:val="none"/>
                <w:lang w:val="en-US" w:eastAsia="zh-CN"/>
              </w:rPr>
              <w:t>招标人</w:t>
            </w:r>
            <w:r>
              <w:rPr>
                <w:rFonts w:hint="eastAsia" w:ascii="宋体" w:hAnsi="宋体" w:eastAsia="宋体" w:cs="宋体"/>
                <w:color w:val="auto"/>
                <w:szCs w:val="24"/>
                <w:highlight w:val="none"/>
              </w:rPr>
              <w:t>将有权取消其</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资格,并没收其</w:t>
            </w:r>
            <w:r>
              <w:rPr>
                <w:rFonts w:hint="eastAsia" w:ascii="宋体" w:hAnsi="宋体" w:eastAsia="宋体" w:cs="宋体"/>
                <w:color w:val="auto"/>
                <w:szCs w:val="24"/>
                <w:highlight w:val="none"/>
                <w:lang w:val="en-US" w:eastAsia="zh-CN"/>
              </w:rPr>
              <w:t>履约</w:t>
            </w:r>
            <w:r>
              <w:rPr>
                <w:rFonts w:hint="eastAsia" w:ascii="宋体" w:hAnsi="宋体" w:eastAsia="宋体" w:cs="宋体"/>
                <w:color w:val="auto"/>
                <w:szCs w:val="24"/>
                <w:highlight w:val="none"/>
              </w:rPr>
              <w:t>保证金。在此情况下</w:t>
            </w:r>
            <w:r>
              <w:rPr>
                <w:rFonts w:hint="eastAsia" w:ascii="宋体" w:hAnsi="宋体" w:eastAsia="宋体" w:cs="宋体"/>
                <w:color w:val="auto"/>
                <w:szCs w:val="24"/>
                <w:highlight w:val="none"/>
                <w:lang w:val="en-US" w:eastAsia="zh-CN"/>
              </w:rPr>
              <w:t>招标人</w:t>
            </w:r>
            <w:r>
              <w:rPr>
                <w:rFonts w:hint="eastAsia" w:ascii="宋体" w:hAnsi="宋体" w:eastAsia="宋体" w:cs="宋体"/>
                <w:color w:val="auto"/>
                <w:szCs w:val="24"/>
                <w:highlight w:val="none"/>
              </w:rPr>
              <w:t>可将该项目授予排名第二的</w:t>
            </w:r>
            <w:r>
              <w:rPr>
                <w:rFonts w:hint="eastAsia" w:ascii="宋体" w:hAnsi="宋体" w:eastAsia="宋体" w:cs="宋体"/>
                <w:color w:val="auto"/>
                <w:szCs w:val="24"/>
                <w:highlight w:val="none"/>
                <w:lang w:val="en-US" w:eastAsia="zh-CN"/>
              </w:rPr>
              <w:t>中标候选</w:t>
            </w:r>
            <w:r>
              <w:rPr>
                <w:rFonts w:hint="eastAsia" w:ascii="宋体" w:hAnsi="宋体" w:eastAsia="宋体" w:cs="宋体"/>
                <w:color w:val="auto"/>
                <w:szCs w:val="24"/>
                <w:highlight w:val="none"/>
              </w:rPr>
              <w:t>人或重新招标。</w:t>
            </w:r>
          </w:p>
          <w:p w14:paraId="6B07FD5E">
            <w:pPr>
              <w:adjustRightInd w:val="0"/>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5.退还：合同终止且无</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人责任后，一个月内退还。</w:t>
            </w:r>
          </w:p>
          <w:p w14:paraId="78B592F2">
            <w:pPr>
              <w:adjustRightInd w:val="0"/>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6.如采用银行保函，</w:t>
            </w:r>
            <w:r>
              <w:rPr>
                <w:rFonts w:hint="eastAsia" w:ascii="宋体" w:hAnsi="宋体" w:eastAsia="宋体" w:cs="宋体"/>
                <w:color w:val="auto"/>
                <w:sz w:val="24"/>
                <w:szCs w:val="24"/>
                <w:highlight w:val="none"/>
              </w:rPr>
              <w:t>应为不可撤销、不可转让的见索即付独立保函</w:t>
            </w:r>
            <w:r>
              <w:rPr>
                <w:rFonts w:hint="eastAsia" w:ascii="宋体" w:hAnsi="宋体" w:eastAsia="宋体" w:cs="宋体"/>
                <w:color w:val="auto"/>
                <w:szCs w:val="24"/>
                <w:highlight w:val="none"/>
              </w:rPr>
              <w:t>。</w:t>
            </w:r>
          </w:p>
        </w:tc>
      </w:tr>
      <w:tr w14:paraId="466B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5" w:type="dxa"/>
            <w:shd w:val="clear" w:color="auto" w:fill="auto"/>
            <w:vAlign w:val="center"/>
          </w:tcPr>
          <w:p w14:paraId="0D91574D">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3</w:t>
            </w:r>
          </w:p>
        </w:tc>
        <w:tc>
          <w:tcPr>
            <w:tcW w:w="1515" w:type="dxa"/>
            <w:shd w:val="clear" w:color="auto" w:fill="auto"/>
            <w:vAlign w:val="center"/>
          </w:tcPr>
          <w:p w14:paraId="1952715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本项目提供除招标文件以外的其他资料</w:t>
            </w:r>
          </w:p>
        </w:tc>
        <w:tc>
          <w:tcPr>
            <w:tcW w:w="7174" w:type="dxa"/>
            <w:shd w:val="clear" w:color="auto" w:fill="auto"/>
            <w:vAlign w:val="center"/>
          </w:tcPr>
          <w:p w14:paraId="37F018B2">
            <w:pPr>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sym w:font="Wingdings" w:char="F0FE"/>
            </w:r>
            <w:r>
              <w:rPr>
                <w:rFonts w:hint="eastAsia" w:ascii="宋体" w:hAnsi="宋体" w:eastAsia="宋体" w:cs="宋体"/>
                <w:color w:val="auto"/>
                <w:szCs w:val="24"/>
                <w:highlight w:val="none"/>
              </w:rPr>
              <w:t>无</w:t>
            </w:r>
          </w:p>
        </w:tc>
      </w:tr>
      <w:tr w14:paraId="1B8A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shd w:val="clear" w:color="auto" w:fill="auto"/>
            <w:vAlign w:val="center"/>
          </w:tcPr>
          <w:p w14:paraId="14E7D1AA">
            <w:pPr>
              <w:spacing w:line="360" w:lineRule="auto"/>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p>
        </w:tc>
        <w:tc>
          <w:tcPr>
            <w:tcW w:w="1515" w:type="dxa"/>
            <w:shd w:val="clear" w:color="auto" w:fill="auto"/>
            <w:vAlign w:val="center"/>
          </w:tcPr>
          <w:p w14:paraId="3AE003A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w:t>
            </w:r>
          </w:p>
        </w:tc>
        <w:tc>
          <w:tcPr>
            <w:tcW w:w="7174" w:type="dxa"/>
            <w:shd w:val="clear" w:color="auto" w:fill="auto"/>
          </w:tcPr>
          <w:p w14:paraId="3883219B">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1.无论何种原因，即使投标人</w:t>
            </w:r>
            <w:r>
              <w:rPr>
                <w:rFonts w:hint="eastAsia" w:ascii="宋体" w:hAnsi="宋体" w:eastAsia="宋体" w:cs="宋体"/>
                <w:color w:val="auto"/>
                <w:szCs w:val="24"/>
                <w:highlight w:val="none"/>
                <w:lang w:val="en-US" w:eastAsia="zh-CN"/>
              </w:rPr>
              <w:t>投</w:t>
            </w:r>
            <w:r>
              <w:rPr>
                <w:rFonts w:hint="eastAsia" w:ascii="宋体" w:hAnsi="宋体" w:eastAsia="宋体" w:cs="宋体"/>
                <w:color w:val="auto"/>
                <w:szCs w:val="24"/>
                <w:highlight w:val="none"/>
              </w:rPr>
              <w:t>标时携带了证书等材料的原件，但在招标文件中未提供与之内容完全一致的扫描件的，</w:t>
            </w:r>
            <w:r>
              <w:rPr>
                <w:rFonts w:hint="eastAsia" w:ascii="宋体" w:hAnsi="宋体" w:eastAsia="宋体" w:cs="宋体"/>
                <w:color w:val="auto"/>
                <w:szCs w:val="24"/>
                <w:highlight w:val="none"/>
                <w:lang w:val="en-US" w:eastAsia="zh-CN"/>
              </w:rPr>
              <w:t>评标委员会</w:t>
            </w:r>
            <w:r>
              <w:rPr>
                <w:rFonts w:hint="eastAsia" w:ascii="宋体" w:hAnsi="宋体" w:eastAsia="宋体" w:cs="宋体"/>
                <w:color w:val="auto"/>
                <w:szCs w:val="24"/>
                <w:highlight w:val="none"/>
              </w:rPr>
              <w:t>可以视同其未提供。</w:t>
            </w:r>
          </w:p>
          <w:p w14:paraId="5481090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2.招标文件中要求加盖公章，均可以提供加盖公章的扫描件；招标文件要求提供的证明资料均应制作在</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文件中。</w:t>
            </w:r>
            <w:r>
              <w:rPr>
                <w:rFonts w:hint="eastAsia" w:ascii="宋体" w:hAnsi="宋体" w:eastAsia="宋体" w:cs="宋体"/>
                <w:color w:val="auto"/>
                <w:szCs w:val="24"/>
                <w:highlight w:val="none"/>
                <w:lang w:val="en-US" w:eastAsia="zh-CN"/>
              </w:rPr>
              <w:t>投标</w:t>
            </w:r>
            <w:r>
              <w:rPr>
                <w:rFonts w:hint="eastAsia" w:ascii="宋体" w:hAnsi="宋体" w:eastAsia="宋体" w:cs="宋体"/>
                <w:color w:val="auto"/>
                <w:szCs w:val="24"/>
                <w:highlight w:val="none"/>
              </w:rPr>
              <w:t>文件中的</w:t>
            </w:r>
            <w:r>
              <w:rPr>
                <w:rFonts w:hint="eastAsia" w:ascii="宋体" w:hAnsi="宋体" w:eastAsia="宋体" w:cs="宋体"/>
                <w:color w:val="auto"/>
                <w:szCs w:val="24"/>
                <w:highlight w:val="none"/>
                <w:lang w:val="en-US" w:eastAsia="zh-CN"/>
              </w:rPr>
              <w:t>投</w:t>
            </w:r>
            <w:r>
              <w:rPr>
                <w:rFonts w:hint="eastAsia" w:ascii="宋体" w:hAnsi="宋体" w:eastAsia="宋体" w:cs="宋体"/>
                <w:color w:val="auto"/>
                <w:szCs w:val="24"/>
                <w:highlight w:val="none"/>
              </w:rPr>
              <w:t>标资料模糊不清的，</w:t>
            </w:r>
            <w:r>
              <w:rPr>
                <w:rFonts w:hint="eastAsia" w:ascii="宋体" w:hAnsi="宋体" w:eastAsia="宋体" w:cs="宋体"/>
                <w:color w:val="auto"/>
                <w:szCs w:val="24"/>
                <w:highlight w:val="none"/>
                <w:lang w:val="en-US" w:eastAsia="zh-CN"/>
              </w:rPr>
              <w:t>评标委员会</w:t>
            </w:r>
            <w:r>
              <w:rPr>
                <w:rFonts w:hint="eastAsia" w:ascii="宋体" w:hAnsi="宋体" w:eastAsia="宋体" w:cs="宋体"/>
                <w:color w:val="auto"/>
                <w:szCs w:val="24"/>
                <w:highlight w:val="none"/>
              </w:rPr>
              <w:t>将按不利于投标人的理解进行评审，由此产生的一切后果由投标人自行承担。</w:t>
            </w:r>
          </w:p>
          <w:p w14:paraId="29FF7207">
            <w:pPr>
              <w:spacing w:line="360" w:lineRule="auto"/>
              <w:rPr>
                <w:rFonts w:hint="eastAsia" w:ascii="宋体" w:hAnsi="宋体" w:eastAsia="宋体" w:cs="宋体"/>
                <w:strike/>
                <w:color w:val="auto"/>
                <w:szCs w:val="24"/>
                <w:highlight w:val="none"/>
              </w:rPr>
            </w:pPr>
            <w:r>
              <w:rPr>
                <w:rFonts w:hint="eastAsia" w:ascii="宋体" w:hAnsi="宋体" w:eastAsia="宋体" w:cs="宋体"/>
                <w:color w:val="auto"/>
                <w:szCs w:val="24"/>
                <w:highlight w:val="none"/>
              </w:rPr>
              <w:t>3.本项目将对</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候选人经</w:t>
            </w:r>
            <w:r>
              <w:rPr>
                <w:rFonts w:hint="eastAsia" w:ascii="宋体" w:hAnsi="宋体" w:eastAsia="宋体" w:cs="宋体"/>
                <w:color w:val="auto"/>
                <w:szCs w:val="24"/>
                <w:highlight w:val="none"/>
                <w:lang w:val="en-US" w:eastAsia="zh-CN"/>
              </w:rPr>
              <w:t>评标委员会</w:t>
            </w:r>
            <w:r>
              <w:rPr>
                <w:rFonts w:hint="eastAsia" w:ascii="宋体" w:hAnsi="宋体" w:eastAsia="宋体" w:cs="宋体"/>
                <w:color w:val="auto"/>
                <w:szCs w:val="24"/>
                <w:highlight w:val="none"/>
              </w:rPr>
              <w:t>评审认可的以下内容进行公示：</w:t>
            </w:r>
          </w:p>
          <w:p w14:paraId="4A848D44">
            <w:pPr>
              <w:spacing w:line="360" w:lineRule="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（1）投标人业绩（如有，得分业绩）：项目名称；</w:t>
            </w:r>
          </w:p>
          <w:p w14:paraId="5B2BE25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（2）银行保函或担保机构担保或保证保险形式的投标保证金扫描件（如采用）。</w:t>
            </w:r>
          </w:p>
          <w:p w14:paraId="225D8AC2">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注：如存在弄虚作假行为，将取消成交资格并上报监管部门按有关规定处理。</w:t>
            </w:r>
          </w:p>
          <w:p w14:paraId="6DFF3F3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4.如有最新国家和地方标准、规范等，应按最新标准、规范执行，如多个规范对同一问题的标准和要求不一致时，应按较高标准和要求内容执行。</w:t>
            </w:r>
          </w:p>
        </w:tc>
      </w:tr>
      <w:tr w14:paraId="42B3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75" w:type="dxa"/>
            <w:shd w:val="clear" w:color="auto" w:fill="auto"/>
            <w:vAlign w:val="center"/>
          </w:tcPr>
          <w:p w14:paraId="4B9930B9">
            <w:pPr>
              <w:spacing w:line="360" w:lineRule="auto"/>
              <w:jc w:val="center"/>
              <w:rPr>
                <w:rFonts w:hint="eastAsia" w:ascii="宋体" w:hAnsi="宋体" w:eastAsia="宋体" w:cs="宋体"/>
                <w:strike/>
                <w:color w:val="auto"/>
                <w:szCs w:val="24"/>
                <w:highlight w:val="none"/>
                <w:lang w:eastAsia="zh-CN"/>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p>
        </w:tc>
        <w:tc>
          <w:tcPr>
            <w:tcW w:w="1515" w:type="dxa"/>
            <w:shd w:val="clear" w:color="auto" w:fill="auto"/>
            <w:vAlign w:val="center"/>
          </w:tcPr>
          <w:p w14:paraId="40F1E43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重要提示</w:t>
            </w:r>
          </w:p>
        </w:tc>
        <w:tc>
          <w:tcPr>
            <w:tcW w:w="7174" w:type="dxa"/>
            <w:shd w:val="clear" w:color="auto" w:fill="auto"/>
          </w:tcPr>
          <w:p w14:paraId="12E930B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之后，应当在规定的期间内与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签订合同，</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拒绝签订合同的，</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人应当及时向监管部门反映，以便协调处理；</w:t>
            </w:r>
          </w:p>
          <w:p w14:paraId="31F67C08">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之后，应当在规定的时间内与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签订合同，</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人拒绝签订合同的，</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应当及时向监管部门反映，以便协调处理；</w:t>
            </w:r>
          </w:p>
          <w:p w14:paraId="643B1E8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3.合同签订后，</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人未及时履行义务的，</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应当及时向监管部门反映，以便协调处理；</w:t>
            </w:r>
          </w:p>
          <w:p w14:paraId="6BF1350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4.合同签订后，</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未及时履行义务影响</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人履行义务的，</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人应当及时向监管部门反映，以便协调处理。</w:t>
            </w:r>
          </w:p>
          <w:p w14:paraId="0788217D">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人未履行上述义务的，监管部门将依法对</w:t>
            </w:r>
            <w:r>
              <w:rPr>
                <w:rFonts w:hint="eastAsia" w:ascii="宋体" w:hAnsi="宋体" w:eastAsia="宋体" w:cs="宋体"/>
                <w:color w:val="auto"/>
                <w:szCs w:val="24"/>
                <w:highlight w:val="none"/>
                <w:lang w:eastAsia="zh-CN"/>
              </w:rPr>
              <w:t>招标人</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en-US" w:eastAsia="zh-CN"/>
              </w:rPr>
              <w:t>中标</w:t>
            </w:r>
            <w:r>
              <w:rPr>
                <w:rFonts w:hint="eastAsia" w:ascii="宋体" w:hAnsi="宋体" w:eastAsia="宋体" w:cs="宋体"/>
                <w:color w:val="auto"/>
                <w:szCs w:val="24"/>
                <w:highlight w:val="none"/>
              </w:rPr>
              <w:t>人进行处理，追究相关责任。</w:t>
            </w:r>
          </w:p>
        </w:tc>
      </w:tr>
    </w:tbl>
    <w:p w14:paraId="16F4A1E4">
      <w:pPr>
        <w:widowControl/>
        <w:jc w:val="left"/>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p>
    <w:p w14:paraId="695679AA">
      <w:pPr>
        <w:pStyle w:val="2"/>
        <w:spacing w:line="500" w:lineRule="exact"/>
        <w:ind w:firstLine="0"/>
        <w:outlineLvl w:val="0"/>
        <w:rPr>
          <w:rFonts w:hint="eastAsia" w:ascii="宋体" w:hAnsi="宋体" w:eastAsia="宋体" w:cs="宋体"/>
          <w:color w:val="auto"/>
          <w:sz w:val="24"/>
          <w:szCs w:val="24"/>
          <w:highlight w:val="none"/>
        </w:rPr>
      </w:pPr>
      <w:bookmarkStart w:id="14" w:name="_Toc28866"/>
      <w:r>
        <w:rPr>
          <w:rFonts w:hint="eastAsia" w:ascii="宋体" w:hAnsi="宋体" w:eastAsia="宋体" w:cs="宋体"/>
          <w:color w:val="auto"/>
          <w:highlight w:val="none"/>
        </w:rPr>
        <w:t>第三章 投标人须知</w:t>
      </w:r>
      <w:bookmarkEnd w:id="12"/>
      <w:bookmarkEnd w:id="14"/>
    </w:p>
    <w:p w14:paraId="0E892F65">
      <w:pPr>
        <w:pStyle w:val="3"/>
        <w:spacing w:line="500" w:lineRule="exact"/>
        <w:rPr>
          <w:rFonts w:hint="eastAsia" w:ascii="宋体" w:hAnsi="宋体" w:eastAsia="宋体" w:cs="宋体"/>
          <w:color w:val="auto"/>
          <w:sz w:val="28"/>
          <w:highlight w:val="none"/>
        </w:rPr>
      </w:pPr>
      <w:bookmarkStart w:id="15" w:name="_Hlt509650955"/>
      <w:bookmarkEnd w:id="15"/>
      <w:bookmarkStart w:id="16" w:name="_Hlt509650126"/>
      <w:bookmarkEnd w:id="16"/>
      <w:bookmarkStart w:id="17" w:name="_Hlt526418143"/>
      <w:bookmarkEnd w:id="17"/>
      <w:bookmarkStart w:id="18" w:name="_Hlt509649722"/>
      <w:bookmarkEnd w:id="18"/>
      <w:bookmarkStart w:id="19" w:name="_Hlt509650686"/>
      <w:bookmarkEnd w:id="19"/>
      <w:bookmarkStart w:id="20" w:name="_Hlt509649998"/>
      <w:bookmarkEnd w:id="20"/>
      <w:bookmarkStart w:id="21" w:name="_Toc23579"/>
      <w:r>
        <w:rPr>
          <w:rFonts w:hint="eastAsia" w:ascii="宋体" w:hAnsi="宋体" w:eastAsia="宋体" w:cs="宋体"/>
          <w:color w:val="auto"/>
          <w:sz w:val="28"/>
          <w:highlight w:val="none"/>
        </w:rPr>
        <w:t>一．总    则</w:t>
      </w:r>
      <w:bookmarkEnd w:id="21"/>
    </w:p>
    <w:p w14:paraId="49417EBA">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1.适用范围</w:t>
      </w:r>
    </w:p>
    <w:p w14:paraId="106A9283">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1.1本招标文件仅适用于本次公开招标所述的服务项目招标。</w:t>
      </w:r>
    </w:p>
    <w:p w14:paraId="0ABE9730">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2.有关定义</w:t>
      </w:r>
    </w:p>
    <w:p w14:paraId="227651C5">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2.1公共资源交易监督部门：/。</w:t>
      </w:r>
    </w:p>
    <w:p w14:paraId="37058891">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2.2招标人：系指本次招标项目的业主方。</w:t>
      </w:r>
    </w:p>
    <w:p w14:paraId="1C161D63">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2.3委托人：系指本次招标项目的委托方。</w:t>
      </w:r>
    </w:p>
    <w:p w14:paraId="666784FA">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2.4招标代理机构：系指</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，以下简称“</w:t>
      </w:r>
      <w:r>
        <w:rPr>
          <w:rFonts w:hint="eastAsia" w:ascii="宋体" w:hAnsi="宋体" w:eastAsia="宋体" w:cs="宋体"/>
          <w:color w:val="auto"/>
          <w:szCs w:val="24"/>
          <w:highlight w:val="none"/>
          <w:lang w:val="en-US" w:eastAsia="zh-CN"/>
        </w:rPr>
        <w:t>县交易公司</w:t>
      </w:r>
      <w:r>
        <w:rPr>
          <w:rFonts w:hint="eastAsia" w:ascii="宋体" w:hAnsi="宋体" w:eastAsia="宋体" w:cs="宋体"/>
          <w:color w:val="auto"/>
          <w:szCs w:val="24"/>
          <w:highlight w:val="none"/>
        </w:rPr>
        <w:t>”。</w:t>
      </w:r>
    </w:p>
    <w:p w14:paraId="2406987C">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2.5投标人：系指按规定获取了本招标文件，且已经提交或准备提交本次投标文件的法人或者其他组织。</w:t>
      </w:r>
    </w:p>
    <w:p w14:paraId="6F704B12">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2.6服务：系指除货物和工程以外的其他招标对象，包括咨询、调研、评估、规划、设计、监理、审计、保险、租赁、印刷、维修、物业管理、运营等。</w:t>
      </w:r>
    </w:p>
    <w:p w14:paraId="55EAB657">
      <w:pPr>
        <w:spacing w:line="360" w:lineRule="auto"/>
        <w:ind w:firstLine="550"/>
        <w:rPr>
          <w:rFonts w:hint="eastAsia" w:ascii="宋体" w:hAnsi="宋体" w:eastAsia="宋体" w:cs="宋体"/>
          <w:color w:val="auto"/>
          <w:highlight w:val="none"/>
        </w:rPr>
      </w:pPr>
      <w:r>
        <w:rPr>
          <w:rFonts w:hint="eastAsia" w:ascii="宋体" w:hAnsi="宋体" w:eastAsia="宋体" w:cs="宋体"/>
          <w:b/>
          <w:color w:val="auto"/>
          <w:highlight w:val="none"/>
        </w:rPr>
        <w:t>2.7业绩：</w:t>
      </w:r>
      <w:r>
        <w:rPr>
          <w:rFonts w:hint="eastAsia" w:ascii="宋体" w:hAnsi="宋体" w:eastAsia="宋体" w:cs="宋体"/>
          <w:color w:val="auto"/>
          <w:highlight w:val="none"/>
        </w:rPr>
        <w:t>投标人与其关联公司（如母公司、分公司、全资子公司、控股子公司、同一法定代表人的公司）之间签订的合同，均不予认可。</w:t>
      </w:r>
    </w:p>
    <w:p w14:paraId="40A3DBA9">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3.投标费用</w:t>
      </w:r>
    </w:p>
    <w:p w14:paraId="74A28E07">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3.1无论投标结果如何，投标人应自行承担其编制与递交投标文件所涉及的一切费用。</w:t>
      </w:r>
    </w:p>
    <w:p w14:paraId="21909343">
      <w:pPr>
        <w:spacing w:line="360" w:lineRule="auto"/>
        <w:ind w:firstLine="55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4.合格的投标人</w:t>
      </w:r>
    </w:p>
    <w:p w14:paraId="75E87C08">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4.1合格的投标人应符合招标文件载明的投标资格。</w:t>
      </w:r>
    </w:p>
    <w:p w14:paraId="79D53EAD">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4.1.1除非招标文件认可，否则母、子公司之间的业绩、资质不得互用。</w:t>
      </w:r>
    </w:p>
    <w:p w14:paraId="652EE1CB">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4.2与招标人存在利害关系可能影响招标公正性的法人、其他组织或个人，不得参加投标。</w:t>
      </w:r>
    </w:p>
    <w:p w14:paraId="53741346">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单位负责人为同一人或者存在控股、管理关系的不同单位，不得参加同一标的投标或者未划分标的的同一招标项目投标。</w:t>
      </w:r>
    </w:p>
    <w:p w14:paraId="29D0D922">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违反前两款规定的，相关投标均无效。</w:t>
      </w:r>
    </w:p>
    <w:p w14:paraId="297424B0">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5.踏勘现场</w:t>
      </w:r>
    </w:p>
    <w:p w14:paraId="74AC5F19">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5.1投标人应自行对服务现场和周围环境进行踏勘，以获取编制投标文件和签署合同所需的资料。踏勘现场的方式、地址及联系方式见投标人须知前附表。</w:t>
      </w:r>
    </w:p>
    <w:p w14:paraId="46B1A6AC">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5.2踏勘现场所发生的费用由投标人自行承担。招标人向投标人提供的有关服务现场的资料和数据，是招标人现有的能使投标人利用的资料。招标人对投标人由此而做出的推论、理解和结论概不负责。投标人未到服务现场实地踏勘的，中标后签订合同时和履约过程中，不得以不完全了解现场情况为由，提出任何形式的增加合同价款或索赔的要求。</w:t>
      </w:r>
    </w:p>
    <w:p w14:paraId="290B44EF">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5.3除非有特殊要求，招标文件不单独提供服务地点的自然环境、气候条件、公用设施等情况，投标人被视为熟悉上述与履行合同有关的一切情况。</w:t>
      </w:r>
    </w:p>
    <w:p w14:paraId="114CF9A6">
      <w:pPr>
        <w:spacing w:line="360" w:lineRule="auto"/>
        <w:ind w:firstLine="550"/>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6.知识产权</w:t>
      </w:r>
    </w:p>
    <w:p w14:paraId="5DC6A82B">
      <w:pPr>
        <w:spacing w:line="360" w:lineRule="auto"/>
        <w:ind w:firstLine="549"/>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6.1</w:t>
      </w:r>
      <w:r>
        <w:rPr>
          <w:rFonts w:hint="eastAsia" w:ascii="宋体" w:hAnsi="宋体" w:eastAsia="宋体" w:cs="宋体"/>
          <w:bCs/>
          <w:color w:val="auto"/>
          <w:szCs w:val="24"/>
          <w:highlight w:val="none"/>
        </w:rPr>
        <w:t>投标人须保证，招标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eastAsia="宋体" w:cs="宋体"/>
          <w:color w:val="auto"/>
          <w:szCs w:val="24"/>
          <w:highlight w:val="none"/>
        </w:rPr>
        <w:t>如因此导致招标人损失的，投标人须承担全部赔偿责任。</w:t>
      </w:r>
    </w:p>
    <w:p w14:paraId="6F375D67">
      <w:pPr>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    6.2投标人如欲在项目实施过程中采用自有知识成果，须在投标文件中声明，并提供相关知识产权证明文件。使用该知识成果后，投标人须提供开发接口和开发手册等技术文档。</w:t>
      </w:r>
    </w:p>
    <w:p w14:paraId="3D9FF7D8">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7.纪律与保密</w:t>
      </w:r>
    </w:p>
    <w:p w14:paraId="7390028D">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7.1投标人的投标行为应遵守中国的有关法律、法规和规章。</w:t>
      </w:r>
    </w:p>
    <w:p w14:paraId="157F8E71">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7.2投标人不得相互串通投标报价，不得排挤其他投标人的公平竞争，损害招标人或其他投标人的合法权益。</w:t>
      </w:r>
    </w:p>
    <w:p w14:paraId="1E10CA55">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投标人不得与招标人串通投标，损害国家利益、社会公共利益或者他人的合法权益。</w:t>
      </w:r>
    </w:p>
    <w:p w14:paraId="480E0005">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禁止投标人以向招标人或评标委员会成员行贿的手段谋取中标。</w:t>
      </w:r>
    </w:p>
    <w:p w14:paraId="5C91D07F">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投标人不得以低于成本的报价竞标，也不得以他人名义投标或者以其他方式弄虚作假，骗取中标。</w:t>
      </w:r>
    </w:p>
    <w:p w14:paraId="1024916F">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7.3在确定中标人之前，投标人不得与招标人就投标价格、投标方案等实质性内容进行谈判，也不得私下接触评标委员会成员。</w:t>
      </w:r>
    </w:p>
    <w:p w14:paraId="42FA6B90">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7.4在确定中标人之前，投标人试图在投标文件审查、澄清、比较和评价时对评标委员会、招标人和</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施加任何影响都可能导致其投标无效。</w:t>
      </w:r>
    </w:p>
    <w:p w14:paraId="31A5D82A">
      <w:pPr>
        <w:spacing w:line="360" w:lineRule="auto"/>
        <w:ind w:firstLine="549"/>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7.5由招标人向投标人提供的图纸、详细资料、样品、模型、模件和所有其它资料，被视为保密资料，仅被用于它所规定的用途。除非得到招标人的同意，不能向任何第三方透露。开标结束后，应招标人要求，投标人应归还所有从招标人处获得的保密资料。</w:t>
      </w:r>
    </w:p>
    <w:p w14:paraId="2229C086">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8.联合体投标</w:t>
      </w:r>
    </w:p>
    <w:p w14:paraId="3F833715">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8.1除非本项目明确要求不接受联合体形式投标外，两个以上法人（招标文件如有约定，从其约定）或者其他组织可以组成一个联合体，以一个投标人的身份共同投标。</w:t>
      </w:r>
    </w:p>
    <w:p w14:paraId="7D70C9F1">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8.2以联合体形式参加投标的，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17596CA3">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8.3联合体各方应当签订联合体协议，明确约定各方拟承担的工作和责任，并将联合体协议连同投标文件一并提交。联合体中标的，联合体各方应当共同与招标人签订合同，就中标项目向招标人承担连带责任。联合体各方在同一招标项目（标的）中以自己名义单独投标或者参加其他联合体投标的，相关投标均无效。</w:t>
      </w:r>
    </w:p>
    <w:p w14:paraId="183E0835">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8.4联合体投标的，可以由联合体中的一方或者共同提交投标保证金，以一方名义提交保证金的，对联合体各方均具有约束力。</w:t>
      </w:r>
    </w:p>
    <w:p w14:paraId="72CD97F3">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8.5除招标文件有明确约定的，联合体参加投标的，可以由联合体中的任一方获取招标文件。</w:t>
      </w:r>
    </w:p>
    <w:p w14:paraId="1AD4538D">
      <w:pPr>
        <w:spacing w:line="360" w:lineRule="auto"/>
        <w:ind w:firstLine="525"/>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9.投标专用章的效力</w:t>
      </w:r>
    </w:p>
    <w:p w14:paraId="4EEED211">
      <w:pPr>
        <w:spacing w:line="360" w:lineRule="auto"/>
        <w:ind w:firstLine="525"/>
        <w:rPr>
          <w:rFonts w:hint="eastAsia" w:ascii="宋体" w:hAnsi="宋体" w:eastAsia="宋体" w:cs="宋体"/>
          <w:color w:val="auto"/>
          <w:szCs w:val="24"/>
          <w:highlight w:val="none"/>
        </w:rPr>
      </w:pPr>
      <w:r>
        <w:rPr>
          <w:rFonts w:hint="eastAsia" w:ascii="宋体" w:hAnsi="宋体" w:eastAsia="宋体" w:cs="宋体"/>
          <w:color w:val="auto"/>
          <w:szCs w:val="24"/>
          <w:highlight w:val="none"/>
        </w:rPr>
        <w:t>9.1招标文件中明确要求加盖公章的，投标人必须加盖投标人公章。在有授权文件(原件或原件的复印件或影印件)表明投标专用章法律效力等同于投标人公章的情况下，可以加盖投标专用章，否则将导致投标无效。</w:t>
      </w:r>
    </w:p>
    <w:p w14:paraId="58958D38">
      <w:pPr>
        <w:spacing w:line="360" w:lineRule="auto"/>
        <w:ind w:firstLine="55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10.合同标的转让</w:t>
      </w:r>
    </w:p>
    <w:p w14:paraId="12ABEEB9">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10.1合同未约定或者未经招标人同意，中标人不得向他人转让中标项目，也不得将中标项目肢解后分别向他人转让。 </w:t>
      </w:r>
    </w:p>
    <w:p w14:paraId="118642A1">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合同约定或者经招标人同意，中标人可以将中标项目的部分非主体、非关键性工作分包给他人完成。接受分包的人应当具备相应的资格条件，并不得再次分包。如果本项目允许分包，投标人根据招标项目的实际情况，拟在中标后将中标项目的非主体、非关键性工作交由他人完成的，应在投标文件中载明。</w:t>
      </w:r>
    </w:p>
    <w:p w14:paraId="15EC31E0">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10.3中标人应当就分包项目向招标人负责，接受分包的人就分包项目承担连带责任。</w:t>
      </w:r>
    </w:p>
    <w:p w14:paraId="7DC03ABB">
      <w:pPr>
        <w:numPr>
          <w:ilvl w:val="0"/>
          <w:numId w:val="1"/>
        </w:numPr>
        <w:spacing w:line="360" w:lineRule="auto"/>
        <w:ind w:firstLine="550"/>
        <w:rPr>
          <w:rFonts w:hint="eastAsia" w:ascii="宋体" w:hAnsi="宋体" w:eastAsia="宋体" w:cs="宋体"/>
          <w:b/>
          <w:bCs/>
          <w:color w:val="auto"/>
          <w:szCs w:val="24"/>
          <w:highlight w:val="none"/>
        </w:rPr>
      </w:pPr>
      <w:bookmarkStart w:id="22" w:name="_Hlt509649795"/>
      <w:bookmarkEnd w:id="22"/>
      <w:bookmarkStart w:id="23" w:name="_Hlt509649678"/>
      <w:bookmarkEnd w:id="23"/>
      <w:bookmarkStart w:id="24" w:name="_Hlt509650690"/>
      <w:bookmarkEnd w:id="24"/>
      <w:bookmarkStart w:id="25" w:name="_Hlt509650103"/>
      <w:bookmarkEnd w:id="25"/>
      <w:bookmarkStart w:id="26" w:name="_Hlt509649330"/>
      <w:bookmarkEnd w:id="26"/>
      <w:bookmarkStart w:id="27" w:name="_Hlt526418153"/>
      <w:bookmarkEnd w:id="27"/>
      <w:bookmarkStart w:id="28" w:name="_Hlt509650936"/>
      <w:bookmarkEnd w:id="28"/>
      <w:bookmarkStart w:id="29" w:name="_Hlt509650929"/>
      <w:bookmarkEnd w:id="29"/>
      <w:bookmarkStart w:id="30" w:name="_Hlt509650961"/>
      <w:bookmarkEnd w:id="30"/>
      <w:bookmarkStart w:id="31" w:name="_Hlt509650333"/>
      <w:bookmarkEnd w:id="31"/>
      <w:bookmarkStart w:id="32" w:name="_Hlt509649645"/>
      <w:bookmarkEnd w:id="32"/>
      <w:bookmarkStart w:id="33" w:name="_Hlt509650116"/>
      <w:bookmarkEnd w:id="33"/>
      <w:bookmarkStart w:id="34" w:name="_Hlt509649669"/>
      <w:bookmarkEnd w:id="34"/>
      <w:bookmarkStart w:id="35" w:name="_Hlt509650932"/>
      <w:bookmarkEnd w:id="35"/>
      <w:r>
        <w:rPr>
          <w:rFonts w:hint="eastAsia" w:ascii="宋体" w:hAnsi="宋体" w:eastAsia="宋体" w:cs="宋体"/>
          <w:b/>
          <w:bCs/>
          <w:color w:val="auto"/>
          <w:szCs w:val="24"/>
          <w:highlight w:val="none"/>
        </w:rPr>
        <w:t>招标信息的发布</w:t>
      </w:r>
      <w:bookmarkStart w:id="36" w:name="_Toc10709"/>
    </w:p>
    <w:p w14:paraId="7C4E93F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 与本次招标活动相关的信息，将在</w:t>
      </w:r>
      <w:r>
        <w:rPr>
          <w:rFonts w:hint="eastAsia" w:ascii="宋体" w:hAnsi="宋体" w:eastAsia="宋体" w:cs="宋体"/>
          <w:color w:val="auto"/>
          <w:sz w:val="24"/>
          <w:highlight w:val="none"/>
        </w:rPr>
        <w:t>优质采云采购平台（</w:t>
      </w:r>
      <w:r>
        <w:rPr>
          <w:rFonts w:hint="eastAsia" w:ascii="宋体" w:hAnsi="宋体" w:eastAsia="宋体" w:cs="宋体"/>
          <w:color w:val="auto"/>
          <w:sz w:val="24"/>
          <w:szCs w:val="18"/>
          <w:highlight w:val="none"/>
        </w:rPr>
        <w:t>http://www.youzhicai.com/</w:t>
      </w:r>
      <w:r>
        <w:rPr>
          <w:rFonts w:hint="eastAsia" w:ascii="宋体" w:hAnsi="宋体" w:eastAsia="宋体" w:cs="宋体"/>
          <w:color w:val="auto"/>
          <w:sz w:val="24"/>
          <w:highlight w:val="none"/>
        </w:rPr>
        <w:t>）</w:t>
      </w:r>
      <w:r>
        <w:rPr>
          <w:rFonts w:hint="eastAsia" w:ascii="宋体" w:hAnsi="宋体" w:eastAsia="宋体" w:cs="宋体"/>
          <w:color w:val="auto"/>
          <w:szCs w:val="24"/>
          <w:highlight w:val="none"/>
        </w:rPr>
        <w:t>发布。</w:t>
      </w:r>
    </w:p>
    <w:p w14:paraId="7BFA7226">
      <w:pPr>
        <w:pStyle w:val="3"/>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二．招标文件</w:t>
      </w:r>
      <w:bookmarkEnd w:id="36"/>
      <w:bookmarkStart w:id="37" w:name="_Hlt509650361"/>
      <w:bookmarkEnd w:id="37"/>
      <w:bookmarkStart w:id="38" w:name="_Hlt509649791"/>
      <w:bookmarkEnd w:id="38"/>
      <w:bookmarkStart w:id="39" w:name="_Hlt509649930"/>
      <w:bookmarkEnd w:id="39"/>
    </w:p>
    <w:p w14:paraId="5EBA81F8">
      <w:pPr>
        <w:spacing w:line="360" w:lineRule="auto"/>
        <w:ind w:firstLine="549"/>
        <w:rPr>
          <w:rFonts w:hint="eastAsia" w:ascii="宋体" w:hAnsi="宋体" w:eastAsia="宋体" w:cs="宋体"/>
          <w:b/>
          <w:color w:val="auto"/>
          <w:szCs w:val="24"/>
          <w:highlight w:val="none"/>
        </w:rPr>
      </w:pPr>
      <w:bookmarkStart w:id="40" w:name="_Hlt509650734"/>
      <w:bookmarkEnd w:id="40"/>
      <w:r>
        <w:rPr>
          <w:rFonts w:hint="eastAsia" w:ascii="宋体" w:hAnsi="宋体" w:eastAsia="宋体" w:cs="宋体"/>
          <w:b/>
          <w:color w:val="auto"/>
          <w:szCs w:val="24"/>
          <w:highlight w:val="none"/>
        </w:rPr>
        <w:t>12.招标文件构成</w:t>
      </w:r>
    </w:p>
    <w:p w14:paraId="2C70AE7F">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12.1招标文件包括以下部分：</w:t>
      </w:r>
    </w:p>
    <w:p w14:paraId="090102AD">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12.1.1第一章：投标邀请（招标公告）；</w:t>
      </w:r>
    </w:p>
    <w:p w14:paraId="335C97A7">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12.1.2第二章：</w:t>
      </w:r>
      <w:bookmarkStart w:id="41" w:name="_Hlt509650925"/>
      <w:bookmarkEnd w:id="41"/>
      <w:r>
        <w:rPr>
          <w:rFonts w:hint="eastAsia" w:ascii="宋体" w:hAnsi="宋体" w:eastAsia="宋体" w:cs="宋体"/>
          <w:color w:val="auto"/>
          <w:szCs w:val="24"/>
          <w:highlight w:val="none"/>
        </w:rPr>
        <w:t>投标人须知前附表；</w:t>
      </w:r>
    </w:p>
    <w:p w14:paraId="6848D48B">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12.1.3第三章：投标人须知；</w:t>
      </w:r>
    </w:p>
    <w:p w14:paraId="70A80538">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12.1.4第四章：招标需求；</w:t>
      </w:r>
    </w:p>
    <w:p w14:paraId="2971F9E0">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12.1.5第五章：评标办法；</w:t>
      </w:r>
    </w:p>
    <w:p w14:paraId="1C4ECA8E">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12.1.6第六章：合同；</w:t>
      </w:r>
    </w:p>
    <w:p w14:paraId="44ECD965">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12.1.7第七章：投标文件格式；</w:t>
      </w:r>
    </w:p>
    <w:p w14:paraId="58AFF24E">
      <w:pPr>
        <w:spacing w:line="360" w:lineRule="auto"/>
        <w:ind w:firstLine="523" w:firstLineChars="218"/>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12.1.8</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发布的图纸、答疑、补遗、补充通知等。</w:t>
      </w:r>
    </w:p>
    <w:p w14:paraId="0624201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 投标人应认真阅读招标文件中所有的事项、格式、条件、条款和规范等要求。</w:t>
      </w:r>
    </w:p>
    <w:p w14:paraId="5B5B0287">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12.3投标人应当按照招标文件的要求编制投标文件。投标文件应对招标文件提出的要求和条件作出实质性响应。</w:t>
      </w:r>
    </w:p>
    <w:p w14:paraId="6977CA9A">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12.4投标人获取招标文件后，应仔细检查招标文件的所有内容，如有残缺等问题应在获得招标文件3日内向代理机构提出，否则，由此引起的损失由投标人自行承担。</w:t>
      </w:r>
    </w:p>
    <w:p w14:paraId="59D8D504">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13.答疑及招标文件的澄清与修改</w:t>
      </w:r>
    </w:p>
    <w:p w14:paraId="3AF29469">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 投标人如果对招标文件及相关附件等招标文件的其他任何内容有相关疑问，可以于投标人须知前附表列明的答疑接受时间前，向</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提出。</w:t>
      </w:r>
    </w:p>
    <w:p w14:paraId="13FFCD8A">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13.2如招标文件存在不一致时，优先顺序如下：（1）招标公告；（2）投标人须知前附表；（3）招标需求；（4）评标办法；（5）其他。</w:t>
      </w:r>
    </w:p>
    <w:p w14:paraId="7F7F8E72">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 疑问的提出与答疑获取具体步骤：投标人需提供盖章版纸质疑问至项目负责人处。</w:t>
      </w:r>
    </w:p>
    <w:p w14:paraId="567DEEDD">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请投标人及时通过网站答疑公告栏目查看答疑文件。</w:t>
      </w:r>
    </w:p>
    <w:p w14:paraId="7B9F13F6">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13.4 </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文件（公告）为准。投标人应主动上网查询。</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不承担投标人未及时关注相关信息引发的相关责任。</w:t>
      </w:r>
      <w:bookmarkStart w:id="42" w:name="_Hlt510342861"/>
      <w:bookmarkEnd w:id="42"/>
      <w:bookmarkStart w:id="43" w:name="_Hlt509649724"/>
      <w:bookmarkEnd w:id="43"/>
      <w:bookmarkStart w:id="44" w:name="_Hlt509650697"/>
      <w:bookmarkEnd w:id="44"/>
      <w:bookmarkStart w:id="45" w:name="_Toc21761"/>
    </w:p>
    <w:p w14:paraId="210DAF70">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 在投标截止时间前，</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可以视招标具体情况，延长投标截止时间和开标时间，并及时在网站上发布变更（延期）公告。在上述情况下，</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和投标人在投标截止期方面的全部权力、责任和义务，将适用于延长后新的投标截止期。</w:t>
      </w:r>
    </w:p>
    <w:p w14:paraId="3F0531CA">
      <w:pPr>
        <w:pStyle w:val="3"/>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三．投标文件的编制</w:t>
      </w:r>
      <w:bookmarkEnd w:id="45"/>
    </w:p>
    <w:p w14:paraId="33BAD4CA">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14.投标文件构成与要求</w:t>
      </w:r>
    </w:p>
    <w:p w14:paraId="4C49B750">
      <w:pPr>
        <w:spacing w:line="360" w:lineRule="auto"/>
        <w:ind w:firstLine="550"/>
        <w:rPr>
          <w:rFonts w:hint="eastAsia" w:ascii="宋体" w:hAnsi="宋体" w:eastAsia="宋体" w:cs="宋体"/>
          <w:color w:val="auto"/>
          <w:szCs w:val="24"/>
          <w:highlight w:val="none"/>
        </w:rPr>
      </w:pPr>
      <w:bookmarkStart w:id="46" w:name="_Hlt509650345"/>
      <w:bookmarkEnd w:id="46"/>
      <w:r>
        <w:rPr>
          <w:rFonts w:hint="eastAsia" w:ascii="宋体" w:hAnsi="宋体" w:eastAsia="宋体" w:cs="宋体"/>
          <w:color w:val="auto"/>
          <w:szCs w:val="24"/>
          <w:highlight w:val="none"/>
        </w:rPr>
        <w:t>14.1投标文件是对招标文件的实质性响应及承诺文件。</w:t>
      </w:r>
    </w:p>
    <w:p w14:paraId="6BECF9F0">
      <w:pPr>
        <w:spacing w:line="360" w:lineRule="auto"/>
        <w:ind w:firstLine="5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r>
        <w:rPr>
          <w:rFonts w:hint="eastAsia" w:ascii="宋体" w:hAnsi="宋体" w:eastAsia="宋体" w:cs="宋体"/>
          <w:bCs/>
          <w:color w:val="auto"/>
          <w:szCs w:val="24"/>
          <w:highlight w:val="none"/>
        </w:rPr>
        <w:t>除非注明“投标人</w:t>
      </w:r>
      <w:r>
        <w:rPr>
          <w:rFonts w:hint="eastAsia" w:ascii="宋体" w:hAnsi="宋体" w:eastAsia="宋体" w:cs="宋体"/>
          <w:color w:val="auto"/>
          <w:szCs w:val="24"/>
          <w:highlight w:val="none"/>
        </w:rPr>
        <w:t>可自行制作格式”，投标文件应使用招标文件提供的格式。</w:t>
      </w:r>
    </w:p>
    <w:p w14:paraId="03B92A68">
      <w:pPr>
        <w:spacing w:line="360" w:lineRule="auto"/>
        <w:ind w:firstLine="5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除专用术语外，投标文件以及投标人与招标人就有关投标的往来函电均应使用中文。投标人提交的支持性文件和印制的文件可以用另一种语言，但相应内容应翻译成中文，对不同文字文本投标文件的解释发生异议的，以中文文本为准。</w:t>
      </w:r>
    </w:p>
    <w:p w14:paraId="468E415D">
      <w:pPr>
        <w:spacing w:line="360" w:lineRule="auto"/>
        <w:ind w:firstLine="5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14.4除非招标文件另有规定，投标文件应使用中华人民共和国法定计量单位。</w:t>
      </w:r>
    </w:p>
    <w:p w14:paraId="26F2EEAB">
      <w:pPr>
        <w:spacing w:line="360" w:lineRule="auto"/>
        <w:ind w:firstLine="5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除非招标文件另有规定，投标文件应使用人民币填报所有报价。允许以多种货币报价的，或涉及合同金额等计算的，均按照中国银行在开标日公布的汇率中间价换算成人民币。公司注册资本为外币，须折算成人民币的，按照公司成立日期当日(以营业执照注明的成立日期为准）中国人民银行公布的汇率的中间价计算（投标人应提供成立日期当日中国人民银行公布的汇率的中间价作为参考）。</w:t>
      </w:r>
    </w:p>
    <w:p w14:paraId="39B7D1CB">
      <w:pPr>
        <w:spacing w:line="360" w:lineRule="auto"/>
        <w:ind w:firstLine="5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14.6投标人提供的资质证书（或资格证明、认证证书等）处于年检、换证、升级、变更等期间，除非法律法规或发证机构有书面材料明确表明投标人资质（或资格)有效，否则一律不予认可。</w:t>
      </w:r>
    </w:p>
    <w:p w14:paraId="78D8A32E">
      <w:pPr>
        <w:spacing w:line="360" w:lineRule="auto"/>
        <w:ind w:firstLine="550"/>
        <w:jc w:val="left"/>
        <w:rPr>
          <w:rFonts w:hint="eastAsia" w:ascii="宋体" w:hAnsi="宋体" w:eastAsia="宋体" w:cs="宋体"/>
          <w:color w:val="auto"/>
          <w:highlight w:val="none"/>
        </w:rPr>
      </w:pPr>
      <w:r>
        <w:rPr>
          <w:rFonts w:hint="eastAsia" w:ascii="宋体" w:hAnsi="宋体" w:eastAsia="宋体" w:cs="宋体"/>
          <w:color w:val="auto"/>
          <w:highlight w:val="none"/>
        </w:rPr>
        <w:t>14.7</w:t>
      </w:r>
      <w:r>
        <w:rPr>
          <w:rFonts w:hint="eastAsia" w:ascii="宋体" w:hAnsi="宋体" w:eastAsia="宋体" w:cs="宋体"/>
          <w:bCs/>
          <w:color w:val="auto"/>
          <w:highlight w:val="none"/>
        </w:rPr>
        <w:t>建议投标文件编制连续页码。</w:t>
      </w:r>
      <w:r>
        <w:rPr>
          <w:rFonts w:hint="eastAsia" w:ascii="宋体" w:hAnsi="宋体" w:eastAsia="宋体" w:cs="宋体"/>
          <w:color w:val="auto"/>
          <w:highlight w:val="none"/>
        </w:rPr>
        <w:t>投标文件除特殊规格的图纸或方案、图片资料等外，均应按A4规格制作，为节约和环保，建议投标文件双面打印。</w:t>
      </w:r>
    </w:p>
    <w:p w14:paraId="548294E4">
      <w:pPr>
        <w:spacing w:line="360" w:lineRule="auto"/>
        <w:ind w:firstLine="550"/>
        <w:jc w:val="left"/>
        <w:rPr>
          <w:rFonts w:hint="eastAsia" w:ascii="宋体" w:hAnsi="宋体" w:eastAsia="宋体" w:cs="宋体"/>
          <w:color w:val="auto"/>
          <w:highlight w:val="none"/>
        </w:rPr>
      </w:pPr>
      <w:r>
        <w:rPr>
          <w:rFonts w:hint="eastAsia" w:ascii="宋体" w:hAnsi="宋体" w:eastAsia="宋体" w:cs="宋体"/>
          <w:color w:val="auto"/>
          <w:highlight w:val="none"/>
        </w:rPr>
        <w:t>14.8电报、电话、传真形式的投标概不接受。</w:t>
      </w:r>
    </w:p>
    <w:p w14:paraId="228BF602">
      <w:pPr>
        <w:spacing w:line="360" w:lineRule="auto"/>
        <w:ind w:firstLine="550"/>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14.9除非招标文件另有规定，</w:t>
      </w:r>
      <w:r>
        <w:rPr>
          <w:rFonts w:hint="eastAsia" w:ascii="宋体" w:hAnsi="宋体" w:eastAsia="宋体" w:cs="宋体"/>
          <w:b/>
          <w:color w:val="auto"/>
          <w:szCs w:val="24"/>
          <w:highlight w:val="none"/>
          <w:lang w:eastAsia="zh-CN"/>
        </w:rPr>
        <w:t>肥西县公共资源交易有限责任公司</w:t>
      </w:r>
      <w:r>
        <w:rPr>
          <w:rFonts w:hint="eastAsia" w:ascii="宋体" w:hAnsi="宋体" w:eastAsia="宋体" w:cs="宋体"/>
          <w:b/>
          <w:color w:val="auto"/>
          <w:szCs w:val="24"/>
          <w:highlight w:val="none"/>
        </w:rPr>
        <w:t>一律不予退还投标人的投标文件。</w:t>
      </w:r>
    </w:p>
    <w:p w14:paraId="4FFA6ED5">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14.10 本招标文件所要求的证书、认证、资质，均应当是有权机构颁发，且在有效期内的。</w:t>
      </w:r>
    </w:p>
    <w:p w14:paraId="7EF56208">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15.报价</w:t>
      </w:r>
    </w:p>
    <w:p w14:paraId="512DFDB0">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15.1投标人应以“标的”为报价的基本单位。若整个需求分为若干标的，则投标人可选择其中的部分或所有标的报价。标的内所有项目均应报价（免费赠送的除外），否则将导致投标无效。</w:t>
      </w:r>
    </w:p>
    <w:p w14:paraId="2F41739E">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15.2投标人的报价应包含所投服务、保险、税费、验收和交付后约定期限内免费服务等工作所发生的一切应有费用。投标报价为签订合同的依据。</w:t>
      </w:r>
    </w:p>
    <w:p w14:paraId="648D8BD4">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15.3除非招标文件另有规定，投标报价均不得低于招标文件（公告）列明的控制价、项目概算。</w:t>
      </w:r>
    </w:p>
    <w:p w14:paraId="05F6E1D0">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15.4除非招标文件另有规定，每一标的只允许有一个最终报价，任何有选择的报价或替代方案将导致投标无效。</w:t>
      </w:r>
    </w:p>
    <w:p w14:paraId="3C76272D">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15.5除政策性文件规定及招标文件约定以外，投标人所报价格在合同实施期间不因市场变化因素而变动。</w:t>
      </w:r>
    </w:p>
    <w:p w14:paraId="5D44822E">
      <w:pPr>
        <w:spacing w:line="360" w:lineRule="auto"/>
        <w:ind w:firstLine="54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16.投标内容填写及说明</w:t>
      </w:r>
    </w:p>
    <w:p w14:paraId="5F07C3E9">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投标文件须对招标文件载明的全部初审要求（如投标资格、技术、资信、服务、报价等），做出实质性响应，如果投标文件填报的内容资料不详，或没有提供招标文件中所要求的资料、证明及数据，将导致投标无效。</w:t>
      </w:r>
    </w:p>
    <w:p w14:paraId="10A963E7">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16.2投标人应在投标文件中提交招标文件要求的有关证明文件，作为其投标文件的一部分。</w:t>
      </w:r>
    </w:p>
    <w:p w14:paraId="352D185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16.3投标人应在投标文件中提交招标文件要求的所有服务的合格性以及符合招标文件规定的证明文件（可以是手册、图纸和资料）等，并作为其投标文件的一部分。包括服务主要内容的详细描述等。</w:t>
      </w:r>
    </w:p>
    <w:p w14:paraId="3EC3C387">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16.4投标文件应字迹清楚、编排有序、内容齐全、不得涂改或增删。如有错漏处必须修改，应在修改处加盖投标人公章。</w:t>
      </w:r>
    </w:p>
    <w:p w14:paraId="2331F226">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16.5投标人应根据其投标文件中开标一览表的内容填写唱标信息，唱标信息不作为评审的依据。</w:t>
      </w:r>
    </w:p>
    <w:p w14:paraId="256C7422">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17.投标保证金</w:t>
      </w:r>
    </w:p>
    <w:p w14:paraId="000B267A">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17.1投标前，投标人应向</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提交投标人须知前附表规定金额的投标保证金，作为投标的一部分，投标保证金应当从投标人本单位账户转出，并在投标截止时间前足额到达本次招标公告指定账号。</w:t>
      </w:r>
    </w:p>
    <w:p w14:paraId="3DC80329">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开标后，</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将从投标保证金查询系统中查询投标保证金信息，并提交评标委员会评审。</w:t>
      </w:r>
    </w:p>
    <w:p w14:paraId="11AF7115">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 投标保证金可采取下列任何一种形式：</w:t>
      </w:r>
    </w:p>
    <w:p w14:paraId="35D0F602">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17.2.1异地电汇；</w:t>
      </w:r>
    </w:p>
    <w:p w14:paraId="10E8570B">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17.2.2本地转帐。</w:t>
      </w:r>
    </w:p>
    <w:p w14:paraId="1B702DBF">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不接收以现金或汇票形式递交的投标保证金；投标保证金交纳人名称与投标人名称应当一致。分公司或子公司代缴投标保证金，视同名称不一致。投标保证金交纳人名称与投标人名称不一致的，投标无效。</w:t>
      </w:r>
    </w:p>
    <w:p w14:paraId="7E51BAE5">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17.4未按要求提交投标保证金的投标，将被视为非响应性投标而导致投标无效。</w:t>
      </w:r>
    </w:p>
    <w:p w14:paraId="2831133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17.5 招标人最迟应当在书面合同签订后5日内向中标人和未中标的投标人退还投标保证金。投标保证金只退还至投标人账户。</w:t>
      </w:r>
    </w:p>
    <w:p w14:paraId="7D6064B3">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17.6有下列情形之一的，招标人不予退还投标保证金：</w:t>
      </w:r>
    </w:p>
    <w:p w14:paraId="020C047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17.6.1投标人在规定的投标有效期内撤回或修改其投标；</w:t>
      </w:r>
    </w:p>
    <w:p w14:paraId="796018C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17.6.2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14:paraId="11C6CEEE">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17.7由于投标人行为导致招标人或</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损失的，相应损失由投标人承担，从投标保证金中扣除。投标保证金扣除后仍不足以弥补损失的，投标人应当对超过部分予以赔偿。</w:t>
      </w:r>
    </w:p>
    <w:p w14:paraId="16F7BECB">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18.投标有效期</w:t>
      </w:r>
    </w:p>
    <w:p w14:paraId="6A28D5A2">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18.1为保证招标人有足够的时间完成评标和与中标人签订合同，规定投标有效期。投标有效期期限见投标人须知前附表。</w:t>
      </w:r>
    </w:p>
    <w:p w14:paraId="3E029E71">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18.2在投标有效期内，投标人的投标保持有效，投标人不得要求撤销或修改其投标文件。</w:t>
      </w:r>
    </w:p>
    <w:p w14:paraId="08E91B2E">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18.3投标有效期从投标截止日起计算。</w:t>
      </w:r>
    </w:p>
    <w:p w14:paraId="388757FE">
      <w:pPr>
        <w:spacing w:line="360" w:lineRule="auto"/>
        <w:ind w:firstLine="55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18.4在原定投标有效期满之前，如果出现特殊情况，</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可以书面形式提出延长投标有效期的要求。投标人以书面形式予以答复，投标人可以拒绝这种要求而不被没收投标保证金。同意延长投标有效期的投标人不允许修改其投标文件的实质性内容，且需要相应地延长投标保证金的有效期。</w:t>
      </w:r>
    </w:p>
    <w:p w14:paraId="52296EA7">
      <w:pPr>
        <w:spacing w:line="360" w:lineRule="auto"/>
        <w:ind w:firstLine="437"/>
        <w:outlineLvl w:val="3"/>
        <w:rPr>
          <w:rFonts w:hint="eastAsia" w:ascii="宋体" w:hAnsi="宋体" w:eastAsia="宋体" w:cs="宋体"/>
          <w:b/>
          <w:color w:val="auto"/>
          <w:sz w:val="24"/>
          <w:highlight w:val="none"/>
        </w:rPr>
      </w:pPr>
      <w:bookmarkStart w:id="47" w:name="_Toc2273"/>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.投标文件的制作</w:t>
      </w:r>
    </w:p>
    <w:p w14:paraId="4C4015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19.1本项目采用全流程电子化招标采购方式，投标人必须递交电子投标文件，并对电子投标文件进行电子签章并使用CA锁进行加密，在招标文件规定的投标截止时间前使用“优质采投标工具客户端”完成上传。</w:t>
      </w:r>
    </w:p>
    <w:p w14:paraId="714EED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19.2全流程电子招标采购项目投标人必须上传CA锁加密的电子投标文件，投标人下载招标文件后，如未在招标文件规定的投标文件递交截止时间前上传电子投标文件，视为投标无效；投标人在投标文件递交截止时间前，可以对其所递交的电子投标文件进行撤回，修改后重新上传（具体操作详见教程）；</w:t>
      </w:r>
    </w:p>
    <w:p w14:paraId="15E0D4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19.3投标文件递交截止时间以优质采云采购平台（www.youzhicai.com）系统的时间为准，逾期系统将自动关闭,电子响应文件未完成上传的，视为没有递交投标文件；</w:t>
      </w:r>
    </w:p>
    <w:p w14:paraId="373A44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19.4投标文件可远程解密，投标人无需到达开标现场。招标文件“投标人须知”中另有规定的，从其规定。</w:t>
      </w:r>
    </w:p>
    <w:p w14:paraId="23EE6464">
      <w:pPr>
        <w:spacing w:line="360" w:lineRule="auto"/>
        <w:ind w:firstLine="437"/>
        <w:outlineLvl w:val="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19.5投标人在制作、上传电子投标文件过程中，若存在技术操作问题，请及时联系优质采云采购平台客服人员，客服电话：400-0099-555，0551-62220164，0551-62220012。</w:t>
      </w:r>
    </w:p>
    <w:p w14:paraId="4B5CA46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.投标截止</w:t>
      </w:r>
    </w:p>
    <w:p w14:paraId="4F33F1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中规定的投标截止时间前，在网上提交加密电子投标文件。</w:t>
      </w:r>
    </w:p>
    <w:p w14:paraId="365F4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.2投标人在招标文件规定的投标截止时间前上传了网上加密电子投标文件，但未在规定时间内进行解密的，</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7F7359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有权按本招标文件的规定，延迟投标截止时间。在此情况下，</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和投标人受投标截止时间制约的所有权利和义务均应延长至新的截止时间。</w:t>
      </w:r>
    </w:p>
    <w:p w14:paraId="36EF774F">
      <w:pPr>
        <w:pStyle w:val="3"/>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四．投标文件的递交</w:t>
      </w:r>
      <w:bookmarkEnd w:id="47"/>
      <w:bookmarkStart w:id="48" w:name="_Hlt509649414"/>
      <w:bookmarkEnd w:id="48"/>
    </w:p>
    <w:p w14:paraId="550490E5">
      <w:pPr>
        <w:spacing w:line="360" w:lineRule="auto"/>
        <w:ind w:firstLine="437"/>
        <w:outlineLvl w:val="3"/>
        <w:rPr>
          <w:rFonts w:hint="eastAsia" w:ascii="宋体" w:hAnsi="宋体" w:eastAsia="宋体" w:cs="宋体"/>
          <w:b/>
          <w:color w:val="auto"/>
          <w:sz w:val="24"/>
          <w:highlight w:val="none"/>
        </w:rPr>
      </w:pPr>
      <w:bookmarkStart w:id="49" w:name="_Toc13768"/>
      <w:r>
        <w:rPr>
          <w:rFonts w:hint="eastAsia" w:ascii="宋体" w:hAnsi="宋体" w:eastAsia="宋体" w:cs="宋体"/>
          <w:b/>
          <w:color w:val="auto"/>
          <w:sz w:val="24"/>
          <w:highlight w:val="none"/>
          <w:lang w:val="en-US" w:eastAsia="zh-CN"/>
        </w:rPr>
        <w:t>21</w:t>
      </w:r>
      <w:r>
        <w:rPr>
          <w:rFonts w:hint="eastAsia" w:ascii="宋体" w:hAnsi="宋体" w:eastAsia="宋体" w:cs="宋体"/>
          <w:b/>
          <w:color w:val="auto"/>
          <w:sz w:val="24"/>
          <w:highlight w:val="none"/>
        </w:rPr>
        <w:t>.投标文件的递交、修改与撤回</w:t>
      </w:r>
    </w:p>
    <w:p w14:paraId="125D15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.1投标人应当在第一章“投标邀请”规定的投标截止时间前，将加密的投标文件在电子交易系统上传。</w:t>
      </w:r>
    </w:p>
    <w:p w14:paraId="3260B04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4C75E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.3投标人在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规定的解密时间（以电子交易系统解密倒计时为准）内完成电子投标文件的解密工作。</w:t>
      </w:r>
    </w:p>
    <w:p w14:paraId="6156B274">
      <w:pPr>
        <w:pStyle w:val="3"/>
        <w:spacing w:line="5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五．开标与评标</w:t>
      </w:r>
      <w:bookmarkEnd w:id="49"/>
    </w:p>
    <w:p w14:paraId="3E7C82FC">
      <w:pPr>
        <w:spacing w:line="360" w:lineRule="auto"/>
        <w:ind w:firstLine="55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2</w:t>
      </w:r>
      <w:r>
        <w:rPr>
          <w:rFonts w:hint="eastAsia" w:ascii="宋体" w:hAnsi="宋体" w:eastAsia="宋体" w:cs="宋体"/>
          <w:b/>
          <w:color w:val="auto"/>
          <w:szCs w:val="24"/>
          <w:highlight w:val="none"/>
        </w:rPr>
        <w:t>.开标</w:t>
      </w:r>
    </w:p>
    <w:p w14:paraId="7D5524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中规定的开标时间和地点组织公开开标。</w:t>
      </w:r>
    </w:p>
    <w:p w14:paraId="400084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.2开标时，各投标人应在规定时间前（以电子交易系统解密倒计时为准）对本单位的投标文件进行解密。</w:t>
      </w:r>
    </w:p>
    <w:p w14:paraId="3340D6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.3开标时，</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将通过网上开标系统公布开标结果，公布内容包括投标人名称、投标价格及招标文件规定的内容。</w:t>
      </w:r>
    </w:p>
    <w:p w14:paraId="05F943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将对开标过程进行记录，由参加开标的各投标人代表和相关工作人员签字确认，并存档备查。</w:t>
      </w:r>
    </w:p>
    <w:p w14:paraId="7C6C3C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440C5E14">
      <w:pPr>
        <w:spacing w:line="360" w:lineRule="auto"/>
        <w:ind w:firstLine="54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.5投标人代表对开标过程和开标记录有疑义，以及认为</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相关工作人员有需要回避的情形的，应当场提出询问或者回避申请。</w:t>
      </w:r>
    </w:p>
    <w:p w14:paraId="1297193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23</w:t>
      </w:r>
      <w:r>
        <w:rPr>
          <w:rFonts w:hint="eastAsia" w:ascii="宋体" w:hAnsi="宋体" w:eastAsia="宋体" w:cs="宋体"/>
          <w:b/>
          <w:color w:val="auto"/>
          <w:sz w:val="24"/>
          <w:highlight w:val="none"/>
        </w:rPr>
        <w:t>.资格审查</w:t>
      </w:r>
    </w:p>
    <w:p w14:paraId="0E625D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本招标项目采用资格后审方式进行资格审查。</w:t>
      </w:r>
      <w:r>
        <w:rPr>
          <w:rFonts w:hint="eastAsia" w:ascii="宋体" w:hAnsi="宋体" w:eastAsia="宋体" w:cs="宋体"/>
          <w:color w:val="auto"/>
          <w:sz w:val="24"/>
          <w:highlight w:val="none"/>
        </w:rPr>
        <w:t>未通过资格审查的投标人不进入评标。</w:t>
      </w:r>
    </w:p>
    <w:p w14:paraId="76217C1E">
      <w:pPr>
        <w:spacing w:line="360" w:lineRule="auto"/>
        <w:ind w:firstLine="435"/>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23.2</w:t>
      </w:r>
      <w:r>
        <w:rPr>
          <w:rFonts w:hint="eastAsia" w:ascii="宋体" w:hAnsi="宋体" w:eastAsia="宋体" w:cs="宋体"/>
          <w:b w:val="0"/>
          <w:bCs w:val="0"/>
          <w:color w:val="auto"/>
          <w:sz w:val="24"/>
          <w:szCs w:val="24"/>
          <w:highlight w:val="none"/>
        </w:rPr>
        <w:t>按照有关规定依法组建的评标委员会，负责本项目评标工作。</w:t>
      </w:r>
    </w:p>
    <w:p w14:paraId="5E613694">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.投标文件符合性审查与澄清</w:t>
      </w:r>
    </w:p>
    <w:p w14:paraId="06DB14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2296D0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.2投标文件的澄清</w:t>
      </w:r>
    </w:p>
    <w:p w14:paraId="26701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199D57C6">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6B3FE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.2.2投标人的澄清、说明或补正将作为投标文件的一部分。</w:t>
      </w:r>
    </w:p>
    <w:p w14:paraId="0EBFC2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.2.3评标委员会对投标人提交的澄清、说明或补正有疑问的，可以要求投标人进一步澄清、说明或补正，直至满足评标委员会的要求。</w:t>
      </w:r>
    </w:p>
    <w:p w14:paraId="217206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.3投标文件报价出现前后不一致的，按照下列规定修正：</w:t>
      </w:r>
    </w:p>
    <w:p w14:paraId="3E04C4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747B61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74733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DFE8AD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561DDE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067B9EE">
      <w:pPr>
        <w:spacing w:line="360" w:lineRule="auto"/>
        <w:ind w:firstLine="549"/>
        <w:rPr>
          <w:rFonts w:hint="eastAsia" w:ascii="宋体" w:hAnsi="宋体" w:eastAsia="宋体" w:cs="宋体"/>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6B83C2E0">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25.评标</w:t>
      </w:r>
    </w:p>
    <w:p w14:paraId="3AC08770">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25.1 评标委员会将按照招标文件规定的评标办法对投标人独立进行评审。</w:t>
      </w:r>
    </w:p>
    <w:p w14:paraId="0282914C">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25.2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因疫情影响，项目负责人将电话联系投标人进行询标，请投标人保持电话畅通，因投标人授权代表联系不上等情形而无法接受评标委员会询标的，视为放弃澄清，有关风险投标人自行承担。</w:t>
      </w:r>
    </w:p>
    <w:p w14:paraId="602B8914">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评标委员会将首先审查投标文件是否实质上响应招标文件的初审指标要求。实质上响应的投标应与招标文件的全部条款、条件和规格相符，没有重大偏离或保留。所谓重大偏离或保留是指影响合同的服务范围、质量和性能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404737E1">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有下列情形之一的，评标委员会应当否决其投标：</w:t>
      </w:r>
    </w:p>
    <w:p w14:paraId="7720C550">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25.3.1投标文件未经投标单位盖章和单位负责人签字；</w:t>
      </w:r>
    </w:p>
    <w:p w14:paraId="4125218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25.3.2投标联合体没有提交共同投标协议；</w:t>
      </w:r>
    </w:p>
    <w:p w14:paraId="4880758A">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25.3.3投标人不符合国家或者招标文件规定的资格条件；</w:t>
      </w:r>
    </w:p>
    <w:p w14:paraId="0D3C357D">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25.3.4同一投标人提交两个以上不同的投标文件或者投标报价，但招标文件要求提交备选投标的除外；</w:t>
      </w:r>
    </w:p>
    <w:p w14:paraId="56FC970D">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25.3.5投标报价低于招标文件设定的最低投标限价；</w:t>
      </w:r>
    </w:p>
    <w:p w14:paraId="61CAF262">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25.3.6投标文件没有对招标文件的实质性要求和条件作出响应；</w:t>
      </w:r>
    </w:p>
    <w:p w14:paraId="5062FC8C">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25.3.7投标人有串通投标、弄虚作假、行贿等违法行为。</w:t>
      </w:r>
    </w:p>
    <w:p w14:paraId="0BDDD220">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25.4评审时，评标委员会将审查投标文件是否符合招标文件的评审指标要求。</w:t>
      </w:r>
    </w:p>
    <w:p w14:paraId="496047C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25.5如果投标文件未通过投标有效性评审（初审），投标无效。</w:t>
      </w:r>
    </w:p>
    <w:p w14:paraId="53576213">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25.6</w:t>
      </w:r>
      <w:r>
        <w:rPr>
          <w:rFonts w:hint="eastAsia" w:ascii="宋体" w:hAnsi="宋体" w:eastAsia="宋体" w:cs="宋体"/>
          <w:color w:val="auto"/>
          <w:highlight w:val="none"/>
        </w:rPr>
        <w:t>除非招标文件另有规定，</w:t>
      </w:r>
      <w:r>
        <w:rPr>
          <w:rFonts w:hint="eastAsia" w:ascii="宋体" w:hAnsi="宋体" w:eastAsia="宋体" w:cs="宋体"/>
          <w:color w:val="auto"/>
          <w:szCs w:val="24"/>
          <w:highlight w:val="none"/>
        </w:rPr>
        <w:t>评标委员会决定投标文件的响应性及符合性只根据投标文件本身的内容，而不寻求其他外部证据。</w:t>
      </w:r>
    </w:p>
    <w:p w14:paraId="36E899C3">
      <w:pPr>
        <w:spacing w:line="360" w:lineRule="auto"/>
        <w:ind w:firstLine="54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26</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流标处理</w:t>
      </w:r>
    </w:p>
    <w:p w14:paraId="32631C42">
      <w:pPr>
        <w:spacing w:line="360" w:lineRule="auto"/>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26.1在招标中，符合专业条件的投标人或对招标文件作实质响应的投标人不足规定家数的，评标委员会有权对招标项目作流标处理。流标后，流标原因将在网上公示。</w:t>
      </w:r>
    </w:p>
    <w:p w14:paraId="649755A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27</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重新招标</w:t>
      </w:r>
    </w:p>
    <w:p w14:paraId="5FCE511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27.1项目流标后，</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可能重新发布招标公告（投标邀请），进行重新招标。</w:t>
      </w:r>
    </w:p>
    <w:p w14:paraId="675CB549">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27.2重新招标公告发布后，前次招标文件获取成功的投标人，依照以下方式获取新的招标文件。</w:t>
      </w:r>
    </w:p>
    <w:p w14:paraId="64A614F9">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27.2.1重新招标采用现场获取招标文件的，可在现场免费获取新的招标文件。</w:t>
      </w:r>
    </w:p>
    <w:p w14:paraId="2D73EFE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27.2.2重新招标采用企业库方式网上获取招标文件的，可网上免费下载新的招标文件。</w:t>
      </w:r>
    </w:p>
    <w:p w14:paraId="710B55F0">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27.2.3</w:t>
      </w:r>
      <w:r>
        <w:rPr>
          <w:rFonts w:hint="eastAsia" w:ascii="宋体" w:hAnsi="宋体" w:eastAsia="宋体" w:cs="宋体"/>
          <w:color w:val="auto"/>
          <w:highlight w:val="none"/>
        </w:rPr>
        <w:t>重新招标采用非企业库方式网上获取招标文件的，将前次招标文件获取交费凭证重新上传并经审核通过后，可网上免费下载新的招标文件。</w:t>
      </w:r>
    </w:p>
    <w:p w14:paraId="55BD886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27.3重新招标可能调整前次招标的各项规定及要求，包括招标</w:t>
      </w:r>
      <w:r>
        <w:rPr>
          <w:rFonts w:hint="eastAsia" w:ascii="宋体" w:hAnsi="宋体" w:eastAsia="宋体" w:cs="宋体"/>
          <w:color w:val="auto"/>
          <w:szCs w:val="24"/>
          <w:highlight w:val="none"/>
          <w:lang w:val="en-US" w:eastAsia="zh-CN"/>
        </w:rPr>
        <w:t>方</w:t>
      </w:r>
      <w:r>
        <w:rPr>
          <w:rFonts w:hint="eastAsia" w:ascii="宋体" w:hAnsi="宋体" w:eastAsia="宋体" w:cs="宋体"/>
          <w:color w:val="auto"/>
          <w:szCs w:val="24"/>
          <w:highlight w:val="none"/>
        </w:rPr>
        <w:t>式、项目预算、投标人资格、付款方式、招标需求、评标办法等。投标人参与重新招标，应及时获取新的招标文件，以新的招标文件为依据，编制投标文件。</w:t>
      </w:r>
    </w:p>
    <w:p w14:paraId="76D399F9">
      <w:pPr>
        <w:pStyle w:val="3"/>
        <w:spacing w:line="500" w:lineRule="exact"/>
        <w:rPr>
          <w:rFonts w:hint="eastAsia" w:ascii="宋体" w:hAnsi="宋体" w:eastAsia="宋体" w:cs="宋体"/>
          <w:color w:val="auto"/>
          <w:sz w:val="28"/>
          <w:highlight w:val="none"/>
        </w:rPr>
      </w:pPr>
      <w:bookmarkStart w:id="50" w:name="_Toc23402"/>
      <w:bookmarkStart w:id="51" w:name="_Toc516969091"/>
      <w:r>
        <w:rPr>
          <w:rFonts w:hint="eastAsia" w:ascii="宋体" w:hAnsi="宋体" w:eastAsia="宋体" w:cs="宋体"/>
          <w:color w:val="auto"/>
          <w:sz w:val="28"/>
          <w:highlight w:val="none"/>
        </w:rPr>
        <w:t>六．定标与签订合同</w:t>
      </w:r>
      <w:bookmarkEnd w:id="50"/>
      <w:bookmarkEnd w:id="51"/>
    </w:p>
    <w:p w14:paraId="1C782F03">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28.定标</w:t>
      </w:r>
    </w:p>
    <w:p w14:paraId="7D512182">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28.1评标委员会应当按招标文件规定的标准和方法提出独立评审意见，推荐中标候选人。</w:t>
      </w:r>
    </w:p>
    <w:p w14:paraId="25EE4C9F">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如评标委员会认为有必要，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14:paraId="63838AC2">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AA3AFA7">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28.3原则上把合同授予实质上响应招标文件要求的排名最前的中标候选人或通过上条资格审查的中标候选人。</w:t>
      </w:r>
    </w:p>
    <w:p w14:paraId="7D23929D">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28.4 最高报价并不是被授予合同的保证。</w:t>
      </w:r>
    </w:p>
    <w:p w14:paraId="70C5A42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 凡发现中标候选人有下列行为之一的，其中标无效，并移交公共资源交易监督部门依法处理：</w:t>
      </w:r>
    </w:p>
    <w:p w14:paraId="13911402">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28.5.1有下列情形之一的，属于投标人相互串通投标：</w:t>
      </w:r>
    </w:p>
    <w:p w14:paraId="006E0FA6">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28.5.1.1投标人之间协商投标报价等投标文件的实质性内容；</w:t>
      </w:r>
    </w:p>
    <w:p w14:paraId="1DC54AFF">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28.5.1.2投标人之间约定中标人；</w:t>
      </w:r>
    </w:p>
    <w:p w14:paraId="09E22E49">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28.5.1.3投标人之间约定部分投标人放弃投标或者中标；</w:t>
      </w:r>
    </w:p>
    <w:p w14:paraId="60BC9F87">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28.5.1.4属于同一集团、协会、商会等组织成员的投标人按照该组织要求协同投标；</w:t>
      </w:r>
    </w:p>
    <w:p w14:paraId="1FBE445A">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28.5.1.5投标人之间为谋取中标或者排斥特定投标人而采取的其他联合行动。</w:t>
      </w:r>
    </w:p>
    <w:p w14:paraId="1B3EE96B">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28.5.2</w:t>
      </w:r>
      <w:r>
        <w:rPr>
          <w:rFonts w:hint="eastAsia" w:ascii="宋体" w:hAnsi="宋体" w:eastAsia="宋体" w:cs="宋体"/>
          <w:color w:val="auto"/>
          <w:szCs w:val="24"/>
          <w:highlight w:val="none"/>
        </w:rPr>
        <w:t>有下列情形之一的，视为投标人相互串通投标：</w:t>
      </w:r>
    </w:p>
    <w:p w14:paraId="0F170920">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28.5.2.1不同投标人的投标文件由同一单位或者个人编制；</w:t>
      </w:r>
    </w:p>
    <w:p w14:paraId="74B1B165">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28.5.2.2不同投标人委托同一单位或者个人办理投标事宜；</w:t>
      </w:r>
    </w:p>
    <w:p w14:paraId="77235EEA">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28.5.2.3不同投标人的投标文件载明的项目管理成员为同一人；</w:t>
      </w:r>
    </w:p>
    <w:p w14:paraId="002E5BFD">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28.5.2.4不同投标人的投标文件异常一致或者投标报价呈规律性差异；</w:t>
      </w:r>
    </w:p>
    <w:p w14:paraId="42EE323F">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28.5.2.5不同投标人的投标文件相互混装；</w:t>
      </w:r>
    </w:p>
    <w:p w14:paraId="2A0D46D9">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28.5.2.6不同投标人的投标保证金从同一单位或者个人的账户转出。</w:t>
      </w:r>
    </w:p>
    <w:p w14:paraId="3EF339E7">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w:t>
      </w:r>
      <w:r>
        <w:rPr>
          <w:rFonts w:hint="eastAsia" w:ascii="宋体" w:hAnsi="宋体" w:eastAsia="宋体" w:cs="宋体"/>
          <w:color w:val="auto"/>
          <w:szCs w:val="24"/>
          <w:highlight w:val="none"/>
        </w:rPr>
        <w:t>有下列情形之一的，属于招标人与投标人串通投标：</w:t>
      </w:r>
    </w:p>
    <w:p w14:paraId="625CB014">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28.5.3.1</w:t>
      </w:r>
      <w:r>
        <w:rPr>
          <w:rFonts w:hint="eastAsia" w:ascii="宋体" w:hAnsi="宋体" w:eastAsia="宋体" w:cs="宋体"/>
          <w:color w:val="auto"/>
          <w:szCs w:val="24"/>
          <w:highlight w:val="none"/>
        </w:rPr>
        <w:t>招标人在开标前开启投标文件并将有关信息泄露给其他投标人；</w:t>
      </w:r>
    </w:p>
    <w:p w14:paraId="05CC1455">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28.5.3.2</w:t>
      </w:r>
      <w:r>
        <w:rPr>
          <w:rFonts w:hint="eastAsia" w:ascii="宋体" w:hAnsi="宋体" w:eastAsia="宋体" w:cs="宋体"/>
          <w:color w:val="auto"/>
          <w:szCs w:val="24"/>
          <w:highlight w:val="none"/>
        </w:rPr>
        <w:t>招标人直接或者间接向投标人泄露标底、评标委员会成员等信息；</w:t>
      </w:r>
    </w:p>
    <w:p w14:paraId="17566E9F">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28.5.3.3</w:t>
      </w:r>
      <w:r>
        <w:rPr>
          <w:rFonts w:hint="eastAsia" w:ascii="宋体" w:hAnsi="宋体" w:eastAsia="宋体" w:cs="宋体"/>
          <w:color w:val="auto"/>
          <w:szCs w:val="24"/>
          <w:highlight w:val="none"/>
        </w:rPr>
        <w:t>招标人明示或者暗示投标人压低或者抬高投标报价；</w:t>
      </w:r>
    </w:p>
    <w:p w14:paraId="37133676">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28.5.3.4</w:t>
      </w:r>
      <w:r>
        <w:rPr>
          <w:rFonts w:hint="eastAsia" w:ascii="宋体" w:hAnsi="宋体" w:eastAsia="宋体" w:cs="宋体"/>
          <w:color w:val="auto"/>
          <w:szCs w:val="24"/>
          <w:highlight w:val="none"/>
        </w:rPr>
        <w:t>招标人授意投标人撤换、修改投标文件；</w:t>
      </w:r>
    </w:p>
    <w:p w14:paraId="78DBE21B">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28.5.3.5</w:t>
      </w:r>
      <w:r>
        <w:rPr>
          <w:rFonts w:hint="eastAsia" w:ascii="宋体" w:hAnsi="宋体" w:eastAsia="宋体" w:cs="宋体"/>
          <w:color w:val="auto"/>
          <w:szCs w:val="24"/>
          <w:highlight w:val="none"/>
        </w:rPr>
        <w:t>招标人明示或者暗示投标人为特定投标人中标提供方便；</w:t>
      </w:r>
    </w:p>
    <w:p w14:paraId="3B849DB6">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28.5.3.6</w:t>
      </w:r>
      <w:r>
        <w:rPr>
          <w:rFonts w:hint="eastAsia" w:ascii="宋体" w:hAnsi="宋体" w:eastAsia="宋体" w:cs="宋体"/>
          <w:color w:val="auto"/>
          <w:szCs w:val="24"/>
          <w:highlight w:val="none"/>
        </w:rPr>
        <w:t>招标人与投标人为谋求特定投标人中标而采取的其他串通行为。</w:t>
      </w:r>
    </w:p>
    <w:p w14:paraId="6CF3F5BF">
      <w:pPr>
        <w:spacing w:line="360" w:lineRule="auto"/>
        <w:ind w:left="549"/>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28.5.4</w:t>
      </w:r>
      <w:r>
        <w:rPr>
          <w:rFonts w:hint="eastAsia" w:ascii="宋体" w:hAnsi="宋体" w:eastAsia="宋体" w:cs="宋体"/>
          <w:color w:val="auto"/>
          <w:szCs w:val="24"/>
          <w:highlight w:val="none"/>
        </w:rPr>
        <w:t>使用通过受让或者租借等方式获取的资格、资质证书投标的。</w:t>
      </w:r>
    </w:p>
    <w:p w14:paraId="2A1F8957">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28.5.5投标人有下列情形之一的，属于招标投标法第三十三条规定的以其他方式弄虚作假的行为：</w:t>
      </w:r>
    </w:p>
    <w:p w14:paraId="45558F3A">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28.5.5.1使用伪造、变造的许可证件；</w:t>
      </w:r>
    </w:p>
    <w:p w14:paraId="3555B011">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28.5.5.2提供虚假的财务状况或者业绩；</w:t>
      </w:r>
    </w:p>
    <w:p w14:paraId="3C1FA6C1">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28.5.5.3提供虚假的项目负责人或者主要技术人员简历、劳动关系证明；</w:t>
      </w:r>
    </w:p>
    <w:p w14:paraId="6E90E0D0">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28.5.5.4提供虚假的信用状况；</w:t>
      </w:r>
    </w:p>
    <w:p w14:paraId="2687D400">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28.5.5.5其他弄虚作假的行为。</w:t>
      </w:r>
    </w:p>
    <w:p w14:paraId="7D1DA797">
      <w:pPr>
        <w:spacing w:line="360" w:lineRule="auto"/>
        <w:ind w:left="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28.5.6其他违反招投标法律、法规和规章强制性规定的行为。</w:t>
      </w:r>
    </w:p>
    <w:p w14:paraId="13DA7163">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28.6 定标前，</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可能会同招标人对中标候选人进行约谈，约谈包括诚信承诺、履约承诺以及原件核查等内容。</w:t>
      </w:r>
    </w:p>
    <w:p w14:paraId="0C4A78C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28.7</w:t>
      </w:r>
      <w:r>
        <w:rPr>
          <w:rFonts w:hint="eastAsia" w:ascii="宋体" w:hAnsi="宋体" w:eastAsia="宋体" w:cs="宋体"/>
          <w:color w:val="auto"/>
          <w:highlight w:val="none"/>
        </w:rPr>
        <w:t>中标候选人信息将</w:t>
      </w:r>
      <w:r>
        <w:rPr>
          <w:rFonts w:hint="eastAsia" w:ascii="宋体" w:hAnsi="宋体" w:eastAsia="宋体" w:cs="宋体"/>
          <w:bCs/>
          <w:color w:val="auto"/>
          <w:highlight w:val="none"/>
        </w:rPr>
        <w:t>在网上公</w:t>
      </w:r>
      <w:r>
        <w:rPr>
          <w:rFonts w:hint="eastAsia" w:ascii="宋体" w:hAnsi="宋体" w:eastAsia="宋体" w:cs="宋体"/>
          <w:color w:val="auto"/>
          <w:highlight w:val="none"/>
        </w:rPr>
        <w:t>示</w:t>
      </w:r>
      <w:r>
        <w:rPr>
          <w:rFonts w:hint="eastAsia" w:ascii="宋体" w:hAnsi="宋体" w:eastAsia="宋体" w:cs="宋体"/>
          <w:color w:val="auto"/>
          <w:szCs w:val="24"/>
          <w:highlight w:val="none"/>
        </w:rPr>
        <w:t>，公示期不少于3日，期满无异议则将发布中标结果公告。</w:t>
      </w:r>
    </w:p>
    <w:p w14:paraId="7475E2A7">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29.中标通知书</w:t>
      </w:r>
    </w:p>
    <w:p w14:paraId="36A0E128">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29.1</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将以中标通知书形式通知中标人，其投标已被接受。</w:t>
      </w:r>
    </w:p>
    <w:p w14:paraId="7F302D9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29.2</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对未中标的投标人不做未中标原因的解释。</w:t>
      </w:r>
    </w:p>
    <w:p w14:paraId="1E0BD4AB">
      <w:pPr>
        <w:spacing w:line="360" w:lineRule="auto"/>
        <w:ind w:firstLine="549"/>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29.3中标结果公告发布后，中标人请在3个工作日内委派专人凭介绍信或公司授权书（须同时携带有效身份证明）</w:t>
      </w:r>
      <w:r>
        <w:rPr>
          <w:rFonts w:hint="eastAsia" w:ascii="宋体" w:hAnsi="宋体" w:eastAsia="宋体" w:cs="宋体"/>
          <w:b/>
          <w:bCs/>
          <w:color w:val="auto"/>
          <w:highlight w:val="none"/>
        </w:rPr>
        <w:t>联系本项目负责人领取中标通知书。</w:t>
      </w:r>
    </w:p>
    <w:p w14:paraId="01A1FE88">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30.招标代理服务费</w:t>
      </w:r>
    </w:p>
    <w:p w14:paraId="32119EA3">
      <w:pPr>
        <w:spacing w:line="360" w:lineRule="auto"/>
        <w:ind w:firstLine="549"/>
        <w:rPr>
          <w:rFonts w:hint="eastAsia" w:ascii="宋体" w:hAnsi="宋体" w:eastAsia="宋体" w:cs="宋体"/>
          <w:color w:val="auto"/>
          <w:highlight w:val="none"/>
        </w:rPr>
      </w:pPr>
      <w:r>
        <w:rPr>
          <w:rFonts w:hint="eastAsia" w:ascii="宋体" w:hAnsi="宋体" w:eastAsia="宋体" w:cs="宋体"/>
          <w:color w:val="auto"/>
          <w:szCs w:val="24"/>
          <w:highlight w:val="none"/>
        </w:rPr>
        <w:t>30.1中标人在收到中标通知书后三个工作日内应向</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交纳招标代理服务费，可以转账的形式交纳。</w:t>
      </w:r>
      <w:r>
        <w:rPr>
          <w:rFonts w:hint="eastAsia" w:ascii="宋体" w:hAnsi="宋体" w:eastAsia="宋体" w:cs="宋体"/>
          <w:color w:val="auto"/>
          <w:highlight w:val="none"/>
        </w:rPr>
        <w:t>招标人招标代理服务费的缴纳按项目委托合同执行。</w:t>
      </w:r>
    </w:p>
    <w:p w14:paraId="5D8A22CB">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30.2招标代理服务费的收取采用差额定率累进计费方式，具体收费标准如下：</w:t>
      </w:r>
    </w:p>
    <w:p w14:paraId="058F435E">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代理服务费缴纳账户：</w:t>
      </w:r>
    </w:p>
    <w:p w14:paraId="06D6FF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开户银行：中国银行股份有限公司肥西支行</w:t>
      </w:r>
    </w:p>
    <w:p w14:paraId="20149C8A">
      <w:pPr>
        <w:spacing w:line="360" w:lineRule="auto"/>
        <w:ind w:firstLine="480" w:firstLineChars="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开户名：</w:t>
      </w:r>
      <w:r>
        <w:rPr>
          <w:rFonts w:hint="eastAsia" w:ascii="宋体" w:hAnsi="宋体" w:eastAsia="宋体" w:cs="宋体"/>
          <w:color w:val="auto"/>
          <w:szCs w:val="24"/>
          <w:highlight w:val="none"/>
          <w:lang w:eastAsia="zh-CN"/>
        </w:rPr>
        <w:t>肥西县公共资源交易有限责任公司</w:t>
      </w:r>
    </w:p>
    <w:p w14:paraId="0F005D3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账号：179746801939</w:t>
      </w:r>
    </w:p>
    <w:p w14:paraId="75D7263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代理服务费的收取采用差额定率累进计费方式，具体收费标准参照关于印发《招标（采购）代理行业服务收费指导意见》的通知（合公协〔2023]03号）文件收取。</w:t>
      </w:r>
    </w:p>
    <w:p w14:paraId="42D82BB8">
      <w:pPr>
        <w:ind w:firstLine="482"/>
        <w:jc w:val="center"/>
        <w:rPr>
          <w:rFonts w:hint="eastAsia" w:ascii="宋体" w:hAnsi="宋体" w:eastAsia="宋体" w:cs="宋体"/>
          <w:bCs/>
          <w:color w:val="auto"/>
          <w:highlight w:val="none"/>
        </w:rPr>
      </w:pPr>
      <w:r>
        <w:rPr>
          <w:rFonts w:hint="eastAsia" w:ascii="宋体" w:hAnsi="宋体" w:eastAsia="宋体" w:cs="宋体"/>
          <w:b/>
          <w:bCs/>
          <w:color w:val="auto"/>
          <w:highlight w:val="none"/>
        </w:rPr>
        <w:t>代理服务收费标准</w:t>
      </w:r>
    </w:p>
    <w:tbl>
      <w:tblPr>
        <w:tblStyle w:val="10"/>
        <w:tblW w:w="93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36"/>
        <w:gridCol w:w="2336"/>
        <w:gridCol w:w="2336"/>
        <w:gridCol w:w="2337"/>
      </w:tblGrid>
      <w:tr w14:paraId="3C8C2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4C8B940C">
            <w:pPr>
              <w:spacing w:line="360" w:lineRule="auto"/>
              <w:ind w:firstLine="48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成交金额</w:t>
            </w:r>
          </w:p>
        </w:tc>
        <w:tc>
          <w:tcPr>
            <w:tcW w:w="2336" w:type="dxa"/>
            <w:tcBorders>
              <w:top w:val="single" w:color="auto" w:sz="4" w:space="0"/>
              <w:left w:val="single" w:color="auto" w:sz="4" w:space="0"/>
              <w:bottom w:val="single" w:color="auto" w:sz="4" w:space="0"/>
              <w:right w:val="single" w:color="auto" w:sz="4" w:space="0"/>
            </w:tcBorders>
            <w:vAlign w:val="center"/>
          </w:tcPr>
          <w:p w14:paraId="63677DC1">
            <w:pPr>
              <w:spacing w:line="360" w:lineRule="auto"/>
              <w:ind w:firstLine="48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货物</w:t>
            </w:r>
          </w:p>
        </w:tc>
        <w:tc>
          <w:tcPr>
            <w:tcW w:w="2336" w:type="dxa"/>
            <w:tcBorders>
              <w:top w:val="single" w:color="auto" w:sz="4" w:space="0"/>
              <w:left w:val="single" w:color="auto" w:sz="4" w:space="0"/>
              <w:bottom w:val="single" w:color="auto" w:sz="4" w:space="0"/>
              <w:right w:val="single" w:color="auto" w:sz="4" w:space="0"/>
            </w:tcBorders>
            <w:vAlign w:val="center"/>
          </w:tcPr>
          <w:p w14:paraId="71A48ECD">
            <w:pPr>
              <w:spacing w:line="360" w:lineRule="auto"/>
              <w:ind w:firstLine="48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服务</w:t>
            </w:r>
          </w:p>
        </w:tc>
        <w:tc>
          <w:tcPr>
            <w:tcW w:w="2337" w:type="dxa"/>
            <w:tcBorders>
              <w:top w:val="single" w:color="auto" w:sz="4" w:space="0"/>
              <w:left w:val="single" w:color="auto" w:sz="4" w:space="0"/>
              <w:bottom w:val="single" w:color="auto" w:sz="4" w:space="0"/>
            </w:tcBorders>
            <w:vAlign w:val="center"/>
          </w:tcPr>
          <w:p w14:paraId="56C96039">
            <w:pPr>
              <w:spacing w:line="360" w:lineRule="auto"/>
              <w:ind w:firstLine="48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工程</w:t>
            </w:r>
          </w:p>
        </w:tc>
      </w:tr>
      <w:tr w14:paraId="63C1EC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55DAA86">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100万元以下</w:t>
            </w:r>
          </w:p>
        </w:tc>
        <w:tc>
          <w:tcPr>
            <w:tcW w:w="2336" w:type="dxa"/>
            <w:tcBorders>
              <w:top w:val="single" w:color="auto" w:sz="4" w:space="0"/>
              <w:left w:val="single" w:color="auto" w:sz="4" w:space="0"/>
              <w:bottom w:val="single" w:color="auto" w:sz="4" w:space="0"/>
              <w:right w:val="single" w:color="auto" w:sz="4" w:space="0"/>
            </w:tcBorders>
            <w:vAlign w:val="center"/>
          </w:tcPr>
          <w:p w14:paraId="19E53B61">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2336" w:type="dxa"/>
            <w:tcBorders>
              <w:top w:val="single" w:color="auto" w:sz="4" w:space="0"/>
              <w:left w:val="single" w:color="auto" w:sz="4" w:space="0"/>
              <w:bottom w:val="single" w:color="auto" w:sz="4" w:space="0"/>
              <w:right w:val="single" w:color="auto" w:sz="4" w:space="0"/>
            </w:tcBorders>
            <w:vAlign w:val="center"/>
          </w:tcPr>
          <w:p w14:paraId="594BAB32">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1.5%</w:t>
            </w:r>
          </w:p>
        </w:tc>
        <w:tc>
          <w:tcPr>
            <w:tcW w:w="2337" w:type="dxa"/>
            <w:tcBorders>
              <w:top w:val="single" w:color="auto" w:sz="4" w:space="0"/>
              <w:left w:val="single" w:color="auto" w:sz="4" w:space="0"/>
              <w:bottom w:val="single" w:color="auto" w:sz="4" w:space="0"/>
            </w:tcBorders>
            <w:vAlign w:val="center"/>
          </w:tcPr>
          <w:p w14:paraId="71137814">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w:t>
            </w:r>
          </w:p>
        </w:tc>
      </w:tr>
      <w:tr w14:paraId="57774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14736EBD">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100万元-500万元（含500万元）</w:t>
            </w:r>
          </w:p>
        </w:tc>
        <w:tc>
          <w:tcPr>
            <w:tcW w:w="2336" w:type="dxa"/>
            <w:tcBorders>
              <w:top w:val="single" w:color="auto" w:sz="4" w:space="0"/>
              <w:left w:val="single" w:color="auto" w:sz="4" w:space="0"/>
              <w:bottom w:val="single" w:color="auto" w:sz="4" w:space="0"/>
              <w:right w:val="single" w:color="auto" w:sz="4" w:space="0"/>
            </w:tcBorders>
            <w:vAlign w:val="center"/>
          </w:tcPr>
          <w:p w14:paraId="49E909B0">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1.1%</w:t>
            </w:r>
          </w:p>
        </w:tc>
        <w:tc>
          <w:tcPr>
            <w:tcW w:w="2336" w:type="dxa"/>
            <w:tcBorders>
              <w:top w:val="single" w:color="auto" w:sz="4" w:space="0"/>
              <w:left w:val="single" w:color="auto" w:sz="4" w:space="0"/>
              <w:bottom w:val="single" w:color="auto" w:sz="4" w:space="0"/>
              <w:right w:val="single" w:color="auto" w:sz="4" w:space="0"/>
            </w:tcBorders>
            <w:vAlign w:val="center"/>
          </w:tcPr>
          <w:p w14:paraId="3AC930FF">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0.8%</w:t>
            </w:r>
          </w:p>
        </w:tc>
        <w:tc>
          <w:tcPr>
            <w:tcW w:w="2337" w:type="dxa"/>
            <w:tcBorders>
              <w:top w:val="single" w:color="auto" w:sz="4" w:space="0"/>
              <w:left w:val="single" w:color="auto" w:sz="4" w:space="0"/>
              <w:bottom w:val="single" w:color="auto" w:sz="4" w:space="0"/>
            </w:tcBorders>
            <w:vAlign w:val="center"/>
          </w:tcPr>
          <w:p w14:paraId="1355CCFC">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0.7%</w:t>
            </w:r>
          </w:p>
        </w:tc>
      </w:tr>
      <w:tr w14:paraId="0EAB6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7571576C">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500万元-1000万元（含1000万元）</w:t>
            </w:r>
          </w:p>
        </w:tc>
        <w:tc>
          <w:tcPr>
            <w:tcW w:w="2336" w:type="dxa"/>
            <w:tcBorders>
              <w:top w:val="single" w:color="auto" w:sz="4" w:space="0"/>
              <w:left w:val="single" w:color="auto" w:sz="4" w:space="0"/>
              <w:bottom w:val="single" w:color="auto" w:sz="4" w:space="0"/>
              <w:right w:val="single" w:color="auto" w:sz="4" w:space="0"/>
            </w:tcBorders>
            <w:vAlign w:val="center"/>
          </w:tcPr>
          <w:p w14:paraId="2A274BF5">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0.8%</w:t>
            </w:r>
          </w:p>
        </w:tc>
        <w:tc>
          <w:tcPr>
            <w:tcW w:w="2336" w:type="dxa"/>
            <w:tcBorders>
              <w:top w:val="single" w:color="auto" w:sz="4" w:space="0"/>
              <w:left w:val="single" w:color="auto" w:sz="4" w:space="0"/>
              <w:bottom w:val="single" w:color="auto" w:sz="4" w:space="0"/>
              <w:right w:val="single" w:color="auto" w:sz="4" w:space="0"/>
            </w:tcBorders>
            <w:vAlign w:val="center"/>
          </w:tcPr>
          <w:p w14:paraId="78592EA3">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0.45%</w:t>
            </w:r>
          </w:p>
        </w:tc>
        <w:tc>
          <w:tcPr>
            <w:tcW w:w="2337" w:type="dxa"/>
            <w:tcBorders>
              <w:top w:val="single" w:color="auto" w:sz="4" w:space="0"/>
              <w:left w:val="single" w:color="auto" w:sz="4" w:space="0"/>
              <w:bottom w:val="single" w:color="auto" w:sz="4" w:space="0"/>
            </w:tcBorders>
            <w:vAlign w:val="center"/>
          </w:tcPr>
          <w:p w14:paraId="723F9286">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0.55%</w:t>
            </w:r>
          </w:p>
        </w:tc>
      </w:tr>
      <w:tr w14:paraId="6DE23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692EE253">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1000万元-5000万元（含5000万元）</w:t>
            </w:r>
          </w:p>
        </w:tc>
        <w:tc>
          <w:tcPr>
            <w:tcW w:w="2336" w:type="dxa"/>
            <w:tcBorders>
              <w:top w:val="single" w:color="auto" w:sz="4" w:space="0"/>
              <w:left w:val="single" w:color="auto" w:sz="4" w:space="0"/>
              <w:bottom w:val="single" w:color="auto" w:sz="4" w:space="0"/>
              <w:right w:val="single" w:color="auto" w:sz="4" w:space="0"/>
            </w:tcBorders>
            <w:vAlign w:val="center"/>
          </w:tcPr>
          <w:p w14:paraId="56F7B2B4">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0.5%</w:t>
            </w:r>
          </w:p>
        </w:tc>
        <w:tc>
          <w:tcPr>
            <w:tcW w:w="2336" w:type="dxa"/>
            <w:tcBorders>
              <w:top w:val="single" w:color="auto" w:sz="4" w:space="0"/>
              <w:left w:val="single" w:color="auto" w:sz="4" w:space="0"/>
              <w:bottom w:val="single" w:color="auto" w:sz="4" w:space="0"/>
              <w:right w:val="single" w:color="auto" w:sz="4" w:space="0"/>
            </w:tcBorders>
            <w:vAlign w:val="center"/>
          </w:tcPr>
          <w:p w14:paraId="45A6EC0C">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0.25%</w:t>
            </w:r>
          </w:p>
        </w:tc>
        <w:tc>
          <w:tcPr>
            <w:tcW w:w="2337" w:type="dxa"/>
            <w:tcBorders>
              <w:top w:val="single" w:color="auto" w:sz="4" w:space="0"/>
              <w:left w:val="single" w:color="auto" w:sz="4" w:space="0"/>
              <w:bottom w:val="single" w:color="auto" w:sz="4" w:space="0"/>
            </w:tcBorders>
            <w:vAlign w:val="center"/>
          </w:tcPr>
          <w:p w14:paraId="45DF3347">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0.35%</w:t>
            </w:r>
          </w:p>
        </w:tc>
      </w:tr>
      <w:tr w14:paraId="452A7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2ACA7E33">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5000万元-1亿元（含1亿元）</w:t>
            </w:r>
          </w:p>
        </w:tc>
        <w:tc>
          <w:tcPr>
            <w:tcW w:w="2336" w:type="dxa"/>
            <w:tcBorders>
              <w:top w:val="single" w:color="auto" w:sz="4" w:space="0"/>
              <w:left w:val="single" w:color="auto" w:sz="4" w:space="0"/>
              <w:bottom w:val="single" w:color="auto" w:sz="4" w:space="0"/>
              <w:right w:val="single" w:color="auto" w:sz="4" w:space="0"/>
            </w:tcBorders>
            <w:vAlign w:val="center"/>
          </w:tcPr>
          <w:p w14:paraId="3ACEE762">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0.25%</w:t>
            </w:r>
          </w:p>
        </w:tc>
        <w:tc>
          <w:tcPr>
            <w:tcW w:w="2336" w:type="dxa"/>
            <w:tcBorders>
              <w:top w:val="single" w:color="auto" w:sz="4" w:space="0"/>
              <w:left w:val="single" w:color="auto" w:sz="4" w:space="0"/>
              <w:bottom w:val="single" w:color="auto" w:sz="4" w:space="0"/>
              <w:right w:val="single" w:color="auto" w:sz="4" w:space="0"/>
            </w:tcBorders>
            <w:vAlign w:val="center"/>
          </w:tcPr>
          <w:p w14:paraId="68523E77">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0.1%</w:t>
            </w:r>
          </w:p>
        </w:tc>
        <w:tc>
          <w:tcPr>
            <w:tcW w:w="2337" w:type="dxa"/>
            <w:tcBorders>
              <w:top w:val="single" w:color="auto" w:sz="4" w:space="0"/>
              <w:left w:val="single" w:color="auto" w:sz="4" w:space="0"/>
              <w:bottom w:val="single" w:color="auto" w:sz="4" w:space="0"/>
            </w:tcBorders>
            <w:vAlign w:val="center"/>
          </w:tcPr>
          <w:p w14:paraId="405E4BF9">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0.2%</w:t>
            </w:r>
          </w:p>
        </w:tc>
      </w:tr>
      <w:tr w14:paraId="0DE22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35B41CEB">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1亿元-10亿元</w:t>
            </w:r>
          </w:p>
        </w:tc>
        <w:tc>
          <w:tcPr>
            <w:tcW w:w="2336" w:type="dxa"/>
            <w:tcBorders>
              <w:top w:val="single" w:color="auto" w:sz="4" w:space="0"/>
              <w:left w:val="single" w:color="auto" w:sz="4" w:space="0"/>
              <w:bottom w:val="single" w:color="auto" w:sz="4" w:space="0"/>
              <w:right w:val="single" w:color="auto" w:sz="4" w:space="0"/>
            </w:tcBorders>
            <w:vAlign w:val="center"/>
          </w:tcPr>
          <w:p w14:paraId="20823E5A">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c>
          <w:tcPr>
            <w:tcW w:w="2336" w:type="dxa"/>
            <w:tcBorders>
              <w:top w:val="single" w:color="auto" w:sz="4" w:space="0"/>
              <w:left w:val="single" w:color="auto" w:sz="4" w:space="0"/>
              <w:bottom w:val="single" w:color="auto" w:sz="4" w:space="0"/>
              <w:right w:val="single" w:color="auto" w:sz="4" w:space="0"/>
            </w:tcBorders>
            <w:vAlign w:val="center"/>
          </w:tcPr>
          <w:p w14:paraId="7B665FEA">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c>
          <w:tcPr>
            <w:tcW w:w="2337" w:type="dxa"/>
            <w:tcBorders>
              <w:top w:val="single" w:color="auto" w:sz="4" w:space="0"/>
              <w:left w:val="single" w:color="auto" w:sz="4" w:space="0"/>
              <w:bottom w:val="single" w:color="auto" w:sz="4" w:space="0"/>
            </w:tcBorders>
            <w:vAlign w:val="center"/>
          </w:tcPr>
          <w:p w14:paraId="1FA48D0B">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0.05%</w:t>
            </w:r>
          </w:p>
        </w:tc>
      </w:tr>
      <w:tr w14:paraId="0015A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36" w:type="dxa"/>
            <w:tcBorders>
              <w:top w:val="single" w:color="auto" w:sz="4" w:space="0"/>
              <w:bottom w:val="single" w:color="auto" w:sz="4" w:space="0"/>
              <w:right w:val="single" w:color="auto" w:sz="4" w:space="0"/>
            </w:tcBorders>
            <w:vAlign w:val="center"/>
          </w:tcPr>
          <w:p w14:paraId="55BB085D">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10亿以上</w:t>
            </w:r>
          </w:p>
        </w:tc>
        <w:tc>
          <w:tcPr>
            <w:tcW w:w="2336" w:type="dxa"/>
            <w:tcBorders>
              <w:top w:val="single" w:color="auto" w:sz="4" w:space="0"/>
              <w:left w:val="single" w:color="auto" w:sz="4" w:space="0"/>
              <w:bottom w:val="single" w:color="auto" w:sz="4" w:space="0"/>
              <w:right w:val="single" w:color="auto" w:sz="4" w:space="0"/>
            </w:tcBorders>
            <w:vAlign w:val="center"/>
          </w:tcPr>
          <w:p w14:paraId="15E645F3">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c>
          <w:tcPr>
            <w:tcW w:w="2336" w:type="dxa"/>
            <w:tcBorders>
              <w:top w:val="single" w:color="auto" w:sz="4" w:space="0"/>
              <w:left w:val="single" w:color="auto" w:sz="4" w:space="0"/>
              <w:bottom w:val="single" w:color="auto" w:sz="4" w:space="0"/>
              <w:right w:val="single" w:color="auto" w:sz="4" w:space="0"/>
            </w:tcBorders>
            <w:vAlign w:val="center"/>
          </w:tcPr>
          <w:p w14:paraId="121F6C98">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c>
          <w:tcPr>
            <w:tcW w:w="2337" w:type="dxa"/>
            <w:tcBorders>
              <w:top w:val="single" w:color="auto" w:sz="4" w:space="0"/>
              <w:left w:val="single" w:color="auto" w:sz="4" w:space="0"/>
              <w:bottom w:val="single" w:color="auto" w:sz="4" w:space="0"/>
            </w:tcBorders>
            <w:vAlign w:val="center"/>
          </w:tcPr>
          <w:p w14:paraId="0217D81D">
            <w:pPr>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0.01%</w:t>
            </w:r>
          </w:p>
        </w:tc>
      </w:tr>
    </w:tbl>
    <w:p w14:paraId="153269A0">
      <w:pPr>
        <w:wordWrap w:val="0"/>
        <w:spacing w:line="360" w:lineRule="auto"/>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注：(1)</w:t>
      </w:r>
      <w:r>
        <w:rPr>
          <w:rFonts w:hint="eastAsia" w:ascii="宋体" w:hAnsi="宋体" w:eastAsia="宋体" w:cs="宋体"/>
          <w:color w:val="auto"/>
          <w:szCs w:val="24"/>
          <w:highlight w:val="none"/>
        </w:rPr>
        <w:t>交易服务费不足4000元的，按4000元收取。</w:t>
      </w:r>
    </w:p>
    <w:p w14:paraId="4CDC2448">
      <w:pPr>
        <w:wordWrap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(2)招标人及中标人代理服务费均按上述标准收取。</w:t>
      </w:r>
    </w:p>
    <w:p w14:paraId="02B824CD">
      <w:pPr>
        <w:wordWrap w:val="0"/>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例如：某服务招标代理业务中标金额为900万元/每年，服务期限6年。计算招标代理服务费额如下：</w:t>
      </w:r>
    </w:p>
    <w:p w14:paraId="7E42D566">
      <w:pPr>
        <w:wordWrap w:val="0"/>
        <w:spacing w:line="360" w:lineRule="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中标总价（900万元/每年×6年）=5400万元</w:t>
      </w:r>
    </w:p>
    <w:p w14:paraId="55930421">
      <w:pPr>
        <w:wordWrap w:val="0"/>
        <w:spacing w:line="360" w:lineRule="auto"/>
        <w:ind w:firstLine="960" w:firstLineChars="4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100万元×1.5％＝1.5万元</w:t>
      </w:r>
    </w:p>
    <w:p w14:paraId="31A29467">
      <w:pPr>
        <w:wordWrap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（500－100）万元×0.8％＝3.2万元</w:t>
      </w:r>
    </w:p>
    <w:p w14:paraId="5CCF7ED8">
      <w:pPr>
        <w:wordWrap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（1000－500）万元×0.45％＝2.25万元</w:t>
      </w:r>
    </w:p>
    <w:p w14:paraId="5CA46EB8">
      <w:pPr>
        <w:wordWrap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（5000－1000）万元×0.25％＝10万元</w:t>
      </w:r>
    </w:p>
    <w:p w14:paraId="1FC06F3D">
      <w:pPr>
        <w:wordWrap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（5400－5000）万元×0.1％＝0.4万元</w:t>
      </w:r>
    </w:p>
    <w:p w14:paraId="7F38C759">
      <w:pPr>
        <w:wordWrap w:val="0"/>
        <w:spacing w:line="360" w:lineRule="auto"/>
        <w:ind w:firstLine="720" w:firstLineChars="3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合计收费＝1.5＋3.2＋2.25＋10＋0.4＝17.35(万元)</w:t>
      </w:r>
    </w:p>
    <w:p w14:paraId="1B4B0772">
      <w:pPr>
        <w:wordWrap w:val="0"/>
        <w:spacing w:line="360" w:lineRule="auto"/>
        <w:ind w:firstLine="523" w:firstLineChars="218"/>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30.2投标人须知前附表约定收取定额服务费或免收服务费的，从其规定。</w:t>
      </w:r>
    </w:p>
    <w:p w14:paraId="653F5C0F">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31.履约保证金</w:t>
      </w:r>
    </w:p>
    <w:p w14:paraId="68670770">
      <w:pPr>
        <w:spacing w:line="360" w:lineRule="auto"/>
        <w:ind w:firstLine="549"/>
        <w:rPr>
          <w:rFonts w:hint="eastAsia" w:ascii="宋体" w:hAnsi="宋体" w:eastAsia="宋体" w:cs="宋体"/>
          <w:dstrike/>
          <w:color w:val="auto"/>
          <w:szCs w:val="24"/>
          <w:highlight w:val="none"/>
        </w:rPr>
      </w:pPr>
      <w:r>
        <w:rPr>
          <w:rFonts w:hint="eastAsia" w:ascii="宋体" w:hAnsi="宋体" w:eastAsia="宋体" w:cs="宋体"/>
          <w:color w:val="auto"/>
          <w:szCs w:val="24"/>
          <w:highlight w:val="none"/>
        </w:rPr>
        <w:t>31.1签订合同前，投标人应提交履约保证金。履约保证金金额、收受方式及收受人见投标人须知前附表规定。</w:t>
      </w:r>
    </w:p>
    <w:p w14:paraId="7344690E">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31.2投标人须知前附表约定收取定额履约保证金或免收履约保证金的，从其规定。</w:t>
      </w:r>
    </w:p>
    <w:p w14:paraId="2BDB45FA">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31.3如果中标人未按规定交纳履约保证金，招标人有权取消该授标，并没收其投标保证金。在此情况下招标人可将该标授予其下一个中标候选人或重新招标。</w:t>
      </w:r>
    </w:p>
    <w:p w14:paraId="136F50A5">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32.签订合同</w:t>
      </w:r>
    </w:p>
    <w:p w14:paraId="576D0099">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32.1中标人应在中标通知书发出之日起三十日内（具体时间、地点见中标通知书）与招标人签订合同。招标文件、中标人的投标文件及澄清文件等，均作为合同的附件。合同签订前中标人应向</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出示招标代理服务费和履约保证金交纳证明。</w:t>
      </w:r>
    </w:p>
    <w:p w14:paraId="2149D9E6">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32.2 招标双方必须严格按照招标文件、投标文件及有关承诺签订合同，不得擅自变更。合同的标的、价款、质量、履行期限等主要条款应当与招标文件和中标人的投标文件的内容一致，招标人和中标人不得再行订立背离合同实质性内容的其他协议。对任何因双方擅自变更合同引起的问题</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概不负责，合同风险由双方自行承担。</w:t>
      </w:r>
    </w:p>
    <w:p w14:paraId="76C83548">
      <w:pPr>
        <w:spacing w:line="360" w:lineRule="auto"/>
        <w:ind w:firstLine="523" w:firstLineChars="218"/>
        <w:rPr>
          <w:rFonts w:hint="eastAsia" w:ascii="宋体" w:hAnsi="宋体" w:eastAsia="宋体" w:cs="宋体"/>
          <w:color w:val="auto"/>
          <w:szCs w:val="24"/>
          <w:highlight w:val="none"/>
        </w:rPr>
      </w:pPr>
      <w:r>
        <w:rPr>
          <w:rFonts w:hint="eastAsia" w:ascii="宋体" w:hAnsi="宋体" w:eastAsia="宋体" w:cs="宋体"/>
          <w:color w:val="auto"/>
          <w:szCs w:val="24"/>
          <w:highlight w:val="none"/>
        </w:rPr>
        <w:t>32.3招标人保留以书面形式要求合同的卖方对其所投服务的方式、地点及服务细则等作适当调整的权利。</w:t>
      </w:r>
    </w:p>
    <w:p w14:paraId="4C23C6AA">
      <w:pPr>
        <w:spacing w:line="360" w:lineRule="auto"/>
        <w:ind w:firstLine="523" w:firstLineChars="218"/>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32.4</w:t>
      </w:r>
      <w:r>
        <w:rPr>
          <w:rFonts w:hint="eastAsia" w:ascii="宋体" w:hAnsi="宋体" w:eastAsia="宋体" w:cs="宋体"/>
          <w:bCs/>
          <w:color w:val="auto"/>
          <w:szCs w:val="24"/>
          <w:highlight w:val="none"/>
        </w:rPr>
        <w:t>无论基于何种原因，各项本应作拒绝处理的情形即便未被及时发现而使该投标人进入评审或其它后续程序，包括已经签约的情形，一旦在任何时间被发现，招标人或</w:t>
      </w:r>
      <w:r>
        <w:rPr>
          <w:rFonts w:hint="eastAsia" w:ascii="宋体" w:hAnsi="宋体" w:eastAsia="宋体" w:cs="宋体"/>
          <w:bCs/>
          <w:color w:val="auto"/>
          <w:szCs w:val="24"/>
          <w:highlight w:val="none"/>
          <w:lang w:eastAsia="zh-CN"/>
        </w:rPr>
        <w:t>肥西县公共资源交易有限责任公司</w:t>
      </w:r>
      <w:r>
        <w:rPr>
          <w:rFonts w:hint="eastAsia" w:ascii="宋体" w:hAnsi="宋体" w:eastAsia="宋体" w:cs="宋体"/>
          <w:bCs/>
          <w:color w:val="auto"/>
          <w:szCs w:val="24"/>
          <w:highlight w:val="none"/>
        </w:rPr>
        <w:t>均有权决定是否取消该投标人此前评议的结果或是否对该报价予以拒绝，并有权采取相应的补救或纠正措施。一旦该投标人被拒绝或被取消此前评议结果，其现有的位置将被其他投标人依序替代或重新组织招标，相关的一切损失均由该投标人自行承担。</w:t>
      </w:r>
    </w:p>
    <w:p w14:paraId="1D4DCDC0">
      <w:pPr>
        <w:spacing w:line="360" w:lineRule="auto"/>
        <w:ind w:firstLine="54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33</w:t>
      </w:r>
      <w:r>
        <w:rPr>
          <w:rFonts w:hint="eastAsia" w:ascii="宋体" w:hAnsi="宋体" w:eastAsia="宋体" w:cs="宋体"/>
          <w:b/>
          <w:color w:val="auto"/>
          <w:szCs w:val="24"/>
          <w:highlight w:val="none"/>
        </w:rPr>
        <w:t>.</w:t>
      </w:r>
      <w:r>
        <w:rPr>
          <w:rFonts w:hint="eastAsia" w:ascii="宋体" w:hAnsi="宋体" w:eastAsia="宋体" w:cs="宋体"/>
          <w:b/>
          <w:bCs/>
          <w:color w:val="auto"/>
          <w:szCs w:val="24"/>
          <w:highlight w:val="none"/>
        </w:rPr>
        <w:t>异议</w:t>
      </w:r>
    </w:p>
    <w:p w14:paraId="2E220696">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33.1若投标人对评标结果有异议，可在中标候选人公示期内以书面形式在工作时间向</w:t>
      </w:r>
      <w:r>
        <w:rPr>
          <w:rFonts w:hint="eastAsia" w:ascii="宋体" w:hAnsi="宋体" w:eastAsia="宋体" w:cs="宋体"/>
          <w:bCs/>
          <w:color w:val="auto"/>
          <w:highlight w:val="none"/>
          <w:lang w:eastAsia="zh-CN"/>
        </w:rPr>
        <w:t>肥西县公共资源交易有限责任公司</w:t>
      </w:r>
      <w:r>
        <w:rPr>
          <w:rFonts w:hint="eastAsia" w:ascii="宋体" w:hAnsi="宋体" w:eastAsia="宋体" w:cs="宋体"/>
          <w:bCs/>
          <w:color w:val="auto"/>
          <w:highlight w:val="none"/>
        </w:rPr>
        <w:t>提出。</w:t>
      </w:r>
    </w:p>
    <w:p w14:paraId="01936769">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33.2异议应以书面形式实名提出，书面异议材料应当包括以下内容：</w:t>
      </w:r>
    </w:p>
    <w:p w14:paraId="3D658BFF">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33.2.1异议人的名称、地址、有效联系方式；</w:t>
      </w:r>
    </w:p>
    <w:p w14:paraId="4A8CB9CA">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33.2.2项目名称、项目编号、标的号（如有）；</w:t>
      </w:r>
    </w:p>
    <w:p w14:paraId="0BB6B389">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33.2.3被异议人名称；</w:t>
      </w:r>
    </w:p>
    <w:p w14:paraId="25775CBF">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33.2.4具体的异议事项、基本事实及必要的证明材料；</w:t>
      </w:r>
    </w:p>
    <w:p w14:paraId="42AC5E55">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33.2.5明确的请求及主张；</w:t>
      </w:r>
    </w:p>
    <w:p w14:paraId="633B4F7C">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33.2.6提起异议的日期。</w:t>
      </w:r>
    </w:p>
    <w:p w14:paraId="21D377C8">
      <w:pPr>
        <w:spacing w:line="360" w:lineRule="auto"/>
        <w:ind w:firstLine="523" w:firstLineChars="218"/>
        <w:rPr>
          <w:rFonts w:hint="eastAsia" w:ascii="宋体" w:hAnsi="宋体" w:eastAsia="宋体" w:cs="宋体"/>
          <w:bCs/>
          <w:color w:val="auto"/>
          <w:highlight w:val="none"/>
        </w:rPr>
      </w:pPr>
      <w:r>
        <w:rPr>
          <w:rFonts w:hint="eastAsia" w:ascii="宋体" w:hAnsi="宋体" w:eastAsia="宋体" w:cs="宋体"/>
          <w:bCs/>
          <w:color w:val="auto"/>
          <w:highlight w:val="none"/>
        </w:rPr>
        <w:t>异议人为法人或者其他组织的，应当由法定代表人或其委托代理人（需有委托授权书）签字并加盖公章。</w:t>
      </w:r>
    </w:p>
    <w:p w14:paraId="16DD858F">
      <w:pPr>
        <w:spacing w:line="360" w:lineRule="auto"/>
        <w:ind w:firstLine="523" w:firstLineChars="218"/>
        <w:rPr>
          <w:rFonts w:hint="eastAsia" w:ascii="宋体" w:hAnsi="宋体" w:eastAsia="宋体" w:cs="宋体"/>
          <w:bCs/>
          <w:color w:val="auto"/>
          <w:szCs w:val="24"/>
          <w:highlight w:val="none"/>
        </w:rPr>
      </w:pPr>
      <w:r>
        <w:rPr>
          <w:rFonts w:hint="eastAsia" w:ascii="宋体" w:hAnsi="宋体" w:eastAsia="宋体" w:cs="宋体"/>
          <w:bCs/>
          <w:color w:val="auto"/>
          <w:highlight w:val="none"/>
        </w:rPr>
        <w:t>异议人需要修改、补充异议材料的，应当在异议期内提交修改或补充材料。</w:t>
      </w:r>
    </w:p>
    <w:p w14:paraId="59DC5876">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34.投诉受理</w:t>
      </w:r>
    </w:p>
    <w:p w14:paraId="6A706C74">
      <w:pPr>
        <w:spacing w:line="360" w:lineRule="auto"/>
        <w:ind w:firstLine="523" w:firstLineChars="218"/>
        <w:rPr>
          <w:rFonts w:hint="eastAsia" w:ascii="宋体" w:hAnsi="宋体" w:eastAsia="宋体" w:cs="宋体"/>
          <w:bCs/>
          <w:color w:val="auto"/>
          <w:szCs w:val="24"/>
          <w:highlight w:val="none"/>
        </w:rPr>
      </w:pPr>
      <w:r>
        <w:rPr>
          <w:rFonts w:hint="eastAsia" w:ascii="宋体" w:hAnsi="宋体" w:eastAsia="宋体" w:cs="宋体"/>
          <w:color w:val="auto"/>
          <w:szCs w:val="22"/>
          <w:highlight w:val="none"/>
        </w:rPr>
        <w:t>投诉受理见</w:t>
      </w:r>
      <w:r>
        <w:rPr>
          <w:rFonts w:hint="eastAsia" w:ascii="宋体" w:hAnsi="宋体" w:eastAsia="宋体" w:cs="宋体"/>
          <w:color w:val="auto"/>
          <w:szCs w:val="22"/>
          <w:highlight w:val="none"/>
          <w:lang w:eastAsia="zh-CN"/>
        </w:rPr>
        <w:t>优质采云采购平台（www.youzhicai.com）</w:t>
      </w:r>
      <w:r>
        <w:rPr>
          <w:rFonts w:hint="eastAsia" w:ascii="宋体" w:hAnsi="宋体" w:eastAsia="宋体" w:cs="宋体"/>
          <w:color w:val="auto"/>
          <w:szCs w:val="22"/>
          <w:highlight w:val="none"/>
        </w:rPr>
        <w:t>中标候选人公示</w:t>
      </w:r>
      <w:r>
        <w:rPr>
          <w:rFonts w:hint="eastAsia" w:ascii="宋体" w:hAnsi="宋体" w:eastAsia="宋体" w:cs="宋体"/>
          <w:color w:val="auto"/>
          <w:highlight w:val="none"/>
        </w:rPr>
        <w:t>。</w:t>
      </w:r>
    </w:p>
    <w:p w14:paraId="4FCC4D42">
      <w:pPr>
        <w:spacing w:line="360" w:lineRule="auto"/>
        <w:ind w:firstLine="54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35.未尽事宜</w:t>
      </w:r>
    </w:p>
    <w:p w14:paraId="10019287">
      <w:pPr>
        <w:spacing w:line="360" w:lineRule="auto"/>
        <w:ind w:firstLine="549"/>
        <w:rPr>
          <w:rFonts w:hint="eastAsia" w:ascii="宋体" w:hAnsi="宋体" w:eastAsia="宋体" w:cs="宋体"/>
          <w:color w:val="auto"/>
          <w:szCs w:val="24"/>
          <w:highlight w:val="none"/>
        </w:rPr>
      </w:pPr>
      <w:r>
        <w:rPr>
          <w:rFonts w:hint="eastAsia" w:ascii="宋体" w:hAnsi="宋体" w:eastAsia="宋体" w:cs="宋体"/>
          <w:color w:val="auto"/>
          <w:szCs w:val="24"/>
          <w:highlight w:val="none"/>
        </w:rPr>
        <w:t>35.1未尽事宜按《中华人民共和国招标投标法》、《中华人民共和国招标投标法实施条例》及其他有关法律法规的规定执行。</w:t>
      </w:r>
    </w:p>
    <w:p w14:paraId="31AEDEFA">
      <w:pPr>
        <w:spacing w:line="360" w:lineRule="auto"/>
        <w:ind w:firstLine="549"/>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36.解释权</w:t>
      </w:r>
    </w:p>
    <w:p w14:paraId="6F72470C">
      <w:pPr>
        <w:spacing w:line="360" w:lineRule="auto"/>
        <w:ind w:firstLine="549"/>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36.1</w:t>
      </w:r>
      <w:r>
        <w:rPr>
          <w:rFonts w:hint="eastAsia" w:ascii="宋体" w:hAnsi="宋体" w:eastAsia="宋体" w:cs="宋体"/>
          <w:bCs/>
          <w:color w:val="auto"/>
          <w:kern w:val="0"/>
          <w:highlight w:val="none"/>
        </w:rPr>
        <w:t>本招</w:t>
      </w:r>
      <w:r>
        <w:rPr>
          <w:rFonts w:hint="eastAsia" w:ascii="宋体" w:hAnsi="宋体" w:eastAsia="宋体" w:cs="宋体"/>
          <w:color w:val="auto"/>
          <w:szCs w:val="24"/>
          <w:highlight w:val="none"/>
        </w:rPr>
        <w:t>标文件的解释权属于招标人和</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color w:val="auto"/>
          <w:szCs w:val="24"/>
          <w:highlight w:val="none"/>
        </w:rPr>
        <w:t>。</w:t>
      </w:r>
    </w:p>
    <w:p w14:paraId="202E3CDA">
      <w:pPr>
        <w:spacing w:line="360" w:lineRule="auto"/>
        <w:ind w:firstLine="549"/>
        <w:rPr>
          <w:rFonts w:hint="eastAsia" w:ascii="宋体" w:hAnsi="宋体" w:eastAsia="宋体" w:cs="宋体"/>
          <w:bCs/>
          <w:color w:val="auto"/>
          <w:szCs w:val="24"/>
          <w:highlight w:val="none"/>
        </w:rPr>
      </w:pPr>
    </w:p>
    <w:p w14:paraId="7BFD9B0D">
      <w:pPr>
        <w:spacing w:line="360" w:lineRule="auto"/>
        <w:ind w:firstLine="549"/>
        <w:rPr>
          <w:rFonts w:hint="eastAsia" w:ascii="宋体" w:hAnsi="宋体" w:eastAsia="宋体" w:cs="宋体"/>
          <w:bCs/>
          <w:color w:val="auto"/>
          <w:szCs w:val="24"/>
          <w:highlight w:val="none"/>
        </w:rPr>
      </w:pPr>
    </w:p>
    <w:p w14:paraId="07AC590C">
      <w:pPr>
        <w:pStyle w:val="2"/>
        <w:outlineLvl w:val="0"/>
        <w:rPr>
          <w:rFonts w:hint="eastAsia" w:ascii="宋体" w:hAnsi="宋体" w:eastAsia="宋体" w:cs="宋体"/>
          <w:color w:val="auto"/>
          <w:highlight w:val="none"/>
        </w:rPr>
      </w:pPr>
      <w:bookmarkStart w:id="52" w:name="_Toc220232390"/>
      <w:r>
        <w:rPr>
          <w:rFonts w:hint="eastAsia" w:ascii="宋体" w:hAnsi="宋体" w:eastAsia="宋体" w:cs="宋体"/>
          <w:color w:val="auto"/>
          <w:sz w:val="24"/>
          <w:szCs w:val="24"/>
          <w:highlight w:val="none"/>
        </w:rPr>
        <w:br w:type="page"/>
      </w:r>
      <w:bookmarkStart w:id="53" w:name="_Toc3433"/>
      <w:bookmarkStart w:id="54" w:name="_Toc5043"/>
      <w:r>
        <w:rPr>
          <w:rFonts w:hint="eastAsia" w:ascii="宋体" w:hAnsi="宋体" w:eastAsia="宋体" w:cs="宋体"/>
          <w:color w:val="auto"/>
          <w:highlight w:val="none"/>
        </w:rPr>
        <w:t xml:space="preserve">第四章 </w:t>
      </w:r>
      <w:bookmarkEnd w:id="52"/>
      <w:r>
        <w:rPr>
          <w:rFonts w:hint="eastAsia" w:ascii="宋体" w:hAnsi="宋体" w:eastAsia="宋体" w:cs="宋体"/>
          <w:color w:val="auto"/>
          <w:highlight w:val="none"/>
        </w:rPr>
        <w:t>招标需求</w:t>
      </w:r>
      <w:bookmarkEnd w:id="53"/>
      <w:bookmarkEnd w:id="54"/>
    </w:p>
    <w:p w14:paraId="5A17A953">
      <w:pPr>
        <w:spacing w:line="360" w:lineRule="auto"/>
        <w:rPr>
          <w:rFonts w:hint="eastAsia" w:ascii="宋体" w:hAnsi="宋体" w:eastAsia="宋体" w:cs="宋体"/>
        </w:rPr>
      </w:pPr>
      <w:bookmarkStart w:id="55" w:name="_Hlt509716920"/>
      <w:bookmarkEnd w:id="55"/>
      <w:bookmarkStart w:id="56" w:name="_Toc9404"/>
      <w:r>
        <w:rPr>
          <w:rFonts w:hint="eastAsia" w:ascii="宋体" w:hAnsi="宋体" w:eastAsia="宋体" w:cs="宋体"/>
        </w:rPr>
        <w:t>前注：</w:t>
      </w:r>
    </w:p>
    <w:p w14:paraId="4E49F2F7">
      <w:pPr>
        <w:spacing w:line="360" w:lineRule="auto"/>
        <w:ind w:firstLine="720" w:firstLineChars="300"/>
        <w:rPr>
          <w:rFonts w:hint="eastAsia" w:ascii="宋体" w:hAnsi="宋体" w:eastAsia="宋体" w:cs="宋体"/>
          <w:bCs/>
          <w:szCs w:val="18"/>
        </w:rPr>
      </w:pPr>
      <w:r>
        <w:rPr>
          <w:rFonts w:hint="eastAsia" w:ascii="宋体" w:hAnsi="宋体" w:eastAsia="宋体" w:cs="宋体"/>
        </w:rPr>
        <w:t>本招标需求中提出的服务方案（如有）仅为参考，如无明确限制，投标人可以进行优化，提供满足招标人实际需要的更优（或者性能实质上不低于的）服务方案，且此方案须经评标委员会评审认可。</w:t>
      </w:r>
    </w:p>
    <w:p w14:paraId="623879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bookmarkStart w:id="57" w:name="_Toc26715"/>
      <w:r>
        <w:rPr>
          <w:rFonts w:hint="eastAsia" w:ascii="宋体" w:hAnsi="宋体" w:eastAsia="宋体" w:cs="宋体"/>
          <w:b/>
          <w:bCs/>
        </w:rPr>
        <w:t>一、项目概况</w:t>
      </w:r>
    </w:p>
    <w:p w14:paraId="357900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安徽师范大学附属肥西第二中学位于肥西县上派镇望水路与肥光路交口。规划办学规模48个教学班，2026年秋学期预计有60个教学班，</w:t>
      </w:r>
      <w:r>
        <w:rPr>
          <w:rFonts w:hint="eastAsia" w:ascii="宋体" w:hAnsi="宋体" w:eastAsia="宋体" w:cs="宋体"/>
          <w:color w:val="auto"/>
          <w:sz w:val="24"/>
          <w:szCs w:val="24"/>
          <w:highlight w:val="none"/>
        </w:rPr>
        <w:t>在校</w:t>
      </w:r>
      <w:r>
        <w:rPr>
          <w:rFonts w:hint="eastAsia" w:ascii="宋体" w:hAnsi="宋体" w:cs="宋体"/>
          <w:color w:val="auto"/>
          <w:sz w:val="24"/>
          <w:szCs w:val="24"/>
          <w:highlight w:val="none"/>
          <w:lang w:val="en-US" w:eastAsia="zh-CN"/>
        </w:rPr>
        <w:t>人数</w:t>
      </w:r>
      <w:r>
        <w:rPr>
          <w:rFonts w:hint="eastAsia" w:ascii="宋体" w:hAnsi="宋体" w:eastAsia="宋体" w:cs="宋体"/>
          <w:color w:val="auto"/>
          <w:sz w:val="24"/>
          <w:szCs w:val="24"/>
          <w:highlight w:val="none"/>
        </w:rPr>
        <w:t>3000</w:t>
      </w:r>
      <w:r>
        <w:rPr>
          <w:rFonts w:hint="eastAsia" w:ascii="宋体" w:hAnsi="宋体" w:cs="宋体"/>
          <w:color w:val="auto"/>
          <w:sz w:val="24"/>
          <w:szCs w:val="24"/>
          <w:highlight w:val="none"/>
          <w:lang w:val="en-US" w:eastAsia="zh-CN"/>
        </w:rPr>
        <w:t>余</w:t>
      </w:r>
      <w:r>
        <w:rPr>
          <w:rFonts w:hint="eastAsia" w:ascii="宋体" w:hAnsi="宋体" w:eastAsia="宋体" w:cs="宋体"/>
          <w:color w:val="auto"/>
          <w:sz w:val="24"/>
          <w:szCs w:val="24"/>
          <w:highlight w:val="none"/>
        </w:rPr>
        <w:t>人，其中在校就餐</w:t>
      </w:r>
      <w:r>
        <w:rPr>
          <w:rFonts w:hint="eastAsia" w:ascii="宋体" w:hAnsi="宋体" w:cs="宋体"/>
          <w:color w:val="auto"/>
          <w:sz w:val="24"/>
          <w:szCs w:val="24"/>
          <w:highlight w:val="none"/>
          <w:lang w:val="en-US" w:eastAsia="zh-CN"/>
        </w:rPr>
        <w:t>约3000</w:t>
      </w:r>
      <w:r>
        <w:rPr>
          <w:rFonts w:hint="eastAsia" w:ascii="宋体" w:hAnsi="宋体" w:eastAsia="宋体" w:cs="宋体"/>
          <w:color w:val="auto"/>
          <w:sz w:val="24"/>
          <w:szCs w:val="24"/>
          <w:highlight w:val="none"/>
        </w:rPr>
        <w:t>人</w:t>
      </w:r>
      <w:r>
        <w:rPr>
          <w:rFonts w:hint="eastAsia" w:ascii="宋体" w:hAnsi="宋体" w:eastAsia="宋体" w:cs="宋体"/>
        </w:rPr>
        <w:t>，包含早中晚餐。学校食堂共二层，均按照标准设计建设，功能用房齐全，配套设施完善。</w:t>
      </w:r>
    </w:p>
    <w:p w14:paraId="6A0F2E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二、服务需求</w:t>
      </w:r>
    </w:p>
    <w:p w14:paraId="561C287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eastAsia="宋体" w:cs="宋体"/>
          <w:b/>
          <w:bCs/>
        </w:rPr>
        <w:t>（一）基本管理要求</w:t>
      </w:r>
    </w:p>
    <w:p w14:paraId="21114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1.遵照《中华人民共和国食品安全法》等法律法规规范操作。 </w:t>
      </w:r>
    </w:p>
    <w:p w14:paraId="05938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2.中标人应独立自主经营，不得对外经营业务，自负盈亏；按国家规定向税务机关缴纳各种税费。 </w:t>
      </w:r>
    </w:p>
    <w:p w14:paraId="485FE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3.中标人按投标书承诺的各项运营管理指标以及双方签订的《食堂托管经营合同》要求承担全部的质量、安全、效益、风险责任。 </w:t>
      </w:r>
    </w:p>
    <w:p w14:paraId="301EB4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中标人不允许分包、二次转包或委托他人经营食堂，不得从事与食堂运营范围内无关的业务，一年内不得更换项目负责人，一经发现擅自更换项目负责人，学校有权取消其托管资格，并给予经济处罚或诉诸法律。  </w:t>
      </w:r>
    </w:p>
    <w:p w14:paraId="563B0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5.中标人要积极办理本次托管食堂的餐饮经营许可证，和水电、燃气等租赁、开通工作，确保食堂合法有效经营。 </w:t>
      </w:r>
    </w:p>
    <w:p w14:paraId="461DC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lang w:val="en-US" w:eastAsia="zh-CN" w:bidi="ar-SA"/>
        </w:rPr>
      </w:pPr>
      <w:r>
        <w:rPr>
          <w:rFonts w:hint="eastAsia" w:ascii="宋体" w:hAnsi="宋体" w:eastAsia="宋体" w:cs="宋体"/>
          <w:kern w:val="2"/>
          <w:sz w:val="24"/>
          <w:highlight w:val="none"/>
          <w:lang w:val="en-US" w:eastAsia="zh-CN" w:bidi="ar-SA"/>
        </w:rPr>
        <w:t>6.根据肥教体【2024】69号文件《关于印发&lt;肥西县校园食堂膳食经费管理暂行规定&gt;的通知》要求，食堂通过中国农业银行肥西县支行APP收取，所收取的膳食经费均需统一汇缴至“肥西县教育体育局”户（账号：12-283301040001000；开户行：农行肥西县巢湖路支行），由局教育核算中心统一管理，中标经营单位依需开具正式发票，实行报账支出。</w:t>
      </w:r>
    </w:p>
    <w:p w14:paraId="584216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（二）食品安全要求</w:t>
      </w:r>
    </w:p>
    <w:p w14:paraId="4DDDA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1.保证采购、储存、制作、销售的食品质量符合国家卫生、安全标准。 </w:t>
      </w:r>
    </w:p>
    <w:p w14:paraId="336BEE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2.中标人使用的食用油、米、面、副食以及所有调料用品由中标人采购并索证索票。 </w:t>
      </w:r>
    </w:p>
    <w:p w14:paraId="05806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3.原料供应厂家须具有相应的生产许可证，经销商须具有相应资质。 </w:t>
      </w:r>
    </w:p>
    <w:p w14:paraId="3BCF2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4.根据学生营养膳食需求制定搭配合理的不同食谱，每周在供饭窗口墙上、学校QQ群和微信群及时更新菜谱、饭菜分量及价格，并接受学校和师生监督。 </w:t>
      </w:r>
    </w:p>
    <w:p w14:paraId="64B45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食堂餐厅、操作间、烹调区、售饭区、加工区、主副食仓库、更衣室等均属于中标人管理范围，其卫生防疫、就餐环境等必须达到食品安全监督管理部门和教育部门制定的标准。若卫生防疫、就餐环境不能达到相应标准，由中标人进行相关整改，涉及的所有费用由中标人自行承担。 </w:t>
      </w:r>
    </w:p>
    <w:p w14:paraId="171D3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6.因中标人管理责任造成食物中毒等恶性事件，或受到食品安全监督管理部门的处罚，</w:t>
      </w:r>
      <w:r>
        <w:rPr>
          <w:rFonts w:hint="eastAsia" w:ascii="宋体" w:hAnsi="宋体" w:eastAsia="宋体" w:cs="宋体"/>
          <w:highlight w:val="none"/>
        </w:rPr>
        <w:t>由供餐企业自行承担相关责任，并承担涉及的所有费用。</w:t>
      </w:r>
    </w:p>
    <w:p w14:paraId="682A92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7.按食品安全监督管理部门和学校要求建好各类台账，如：索证、食品添加剂领用记录、消毒记录、采购、支出账目等。接受学校和食品安全监督管理部门的监督检查，虚心听取意见,对所提出的问题和师生投诉意见要及时清查和整改。 </w:t>
      </w:r>
    </w:p>
    <w:p w14:paraId="68858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8.中标人采购的主副食品原材料应符合规定标准和有关要求，建立台帐管理和索票索证制度；严格执行食品加工流程；销售食品要符合卫生规范；销售食品成品要实行留样制度；不得制作售卖凉菜。  </w:t>
      </w:r>
    </w:p>
    <w:p w14:paraId="7B4CFC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9.中标人应建立符合卫生标准的食品储藏、储存场所，配备必要的食品储藏保鲜设施。  </w:t>
      </w:r>
    </w:p>
    <w:p w14:paraId="113D7B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10.中标人应建立健全食品出入库管理制度和收发登记制度；食品储存期间，要按照食品保管要求，分类存放，安全管理；要严防食品在储存期间发生霉变、腐烂和生虫不洁等现象；对过期食品和霉变食品要按规定及时处理，严禁不符合质量卫生要求的食品流向学校和学生餐桌。  </w:t>
      </w:r>
    </w:p>
    <w:p w14:paraId="4E17D1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11.中标人应加强食品安全管理，建立原材料采购索证验收、仓库卫生管理、食品加工卫生管理、餐具清洗消毒、食品留样、从业人员卫生管理、卫生检查及奖惩、除虫灭害卫生和突发公共卫生事件及时报告和紧急处置等制度，并上墙明示。  </w:t>
      </w:r>
    </w:p>
    <w:p w14:paraId="3DA4FD1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（三）从业人员要求</w:t>
      </w:r>
    </w:p>
    <w:p w14:paraId="031D4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1.食堂操作人员应有健康证，每年体检一次。卫生检疫、工作人员体检、伤残疾病等费用均由中标人自理。</w:t>
      </w:r>
    </w:p>
    <w:p w14:paraId="39AD90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2.运营期间，中标人必须按《劳动法》规范用工，自行解决员工工资、福利、社会保险、办证等事项，如产生劳务纠纷由中标人负责，食堂管理人员须与中标人有合同关系。 </w:t>
      </w:r>
    </w:p>
    <w:p w14:paraId="3FEE33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3.中标人应负责所属工作人员的安全教育和管理工作。人员到岗和变动前需向学校通报和备案相关信息，提交所有从业人员的健康证以及相关证书。 </w:t>
      </w:r>
    </w:p>
    <w:p w14:paraId="422AB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4.所属工作人员要遵守餐饮法规以及校纪校规，统一着装，要有良好的服务态度并监督实施。 </w:t>
      </w:r>
    </w:p>
    <w:p w14:paraId="2150A2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5.所有员工不允许带家属（含老人、小孩、包括不在校内工作的配偶等）进入学校。 </w:t>
      </w:r>
    </w:p>
    <w:p w14:paraId="6A23EB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6.运营期间，出现工作人员工伤或死亡事故，中标人负完全责任，学校不承担任何责任。  </w:t>
      </w:r>
    </w:p>
    <w:p w14:paraId="151E0D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7.中标人法定代表人或委托代理人每周到学校督查工作不少于2个工作日，项目负责人必须在校常驻。凡遇到学校通知，中标人法定代表人或委托代理人应准时到校方参加会议，参与检查或处理各种突发事件。 </w:t>
      </w:r>
    </w:p>
    <w:p w14:paraId="32206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8.中标人应设置食品安全管理专（兼）职人员，承担食品卫生管理职责。</w:t>
      </w:r>
    </w:p>
    <w:p w14:paraId="1CDBA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9.中标人应依照规定对所属员工进行食品安全知识培训和相应岗位技能培训；中标人所属员工必须进行健康检查，取得有效健康证明后方可上岗。</w:t>
      </w:r>
    </w:p>
    <w:p w14:paraId="61477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10.中标人所属员工应有良好的个人卫生习惯。工作前、处理食品原料及便后，必须用肥皂及流动清水洗手；接触直接入口食品之前，应洗手消毒，穿戴清洁的工作衣、口罩、帽子，并把头发置于帽内；勤洗手，不得留长指甲、涂指甲油、戴戒指加工食品；不在食品加工和销售场所内吸烟。</w:t>
      </w:r>
    </w:p>
    <w:p w14:paraId="17455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11.运营期间，因管理人员重大疾病、死亡、调离所在单位、辞职、犯罪、移民等原因确须变更的，提供相关证明材料，且经学校同意更换的。        </w:t>
      </w:r>
    </w:p>
    <w:p w14:paraId="248072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rPr>
      </w:pPr>
      <w:r>
        <w:rPr>
          <w:rFonts w:hint="eastAsia" w:ascii="宋体" w:hAnsi="宋体" w:eastAsia="宋体" w:cs="宋体"/>
          <w:b/>
          <w:bCs/>
        </w:rPr>
        <w:t>（四）运营管理要求</w:t>
      </w:r>
    </w:p>
    <w:p w14:paraId="08C391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1.为了保证开饭时的窗口数量和服务质量，中标人需自行用标准隔离设施布置好就餐排队隔离带。 </w:t>
      </w:r>
    </w:p>
    <w:p w14:paraId="0B685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2.运营期间，不得售卖生冷食品和烧烤类食物，不准出售剩饭菜等违法违规经营行为。 </w:t>
      </w:r>
    </w:p>
    <w:p w14:paraId="70D0F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3.周末和假期中的供应保障要服从学校统一安排，积极配合学校一切重大活动，做好餐饮的供应保障；学校放假和开学时间，按学校通知执行。 </w:t>
      </w:r>
    </w:p>
    <w:p w14:paraId="41B7C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4.保证每日三餐供应正点、足量、优质，注重营养搭配。</w:t>
      </w:r>
    </w:p>
    <w:p w14:paraId="16DE8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中标人应主动接受食品安全监督管理部门、教育行政部门、学校和餐饮行业的监督、指导与管理，积极配合学校排出的监督员工作，接受监督员对原材料采购、生产流程、卫生消毒、供应价格、服务规范等的全方位监控。 </w:t>
      </w:r>
    </w:p>
    <w:p w14:paraId="3D662D6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（五）设备管理要求</w:t>
      </w:r>
    </w:p>
    <w:p w14:paraId="3E80C7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1.供电使用须严格按规范要求进行，严禁违规使用，确保食堂不发生火灾。 </w:t>
      </w:r>
    </w:p>
    <w:p w14:paraId="2773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2.中标人负责托管区域治安保卫、安全防火、防盗等工作，保证托管区域内所有设施设备、工具物品及不动产的安全完好。   </w:t>
      </w:r>
    </w:p>
    <w:p w14:paraId="617BA7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学校提供食堂日常经营所需的设备、厨具（具体以交接清单为准），有需要补充的由中标人自行采购。中标人需自行配备食堂正常运营所需的碗筷。中标人要爱护学校设备设施，不得将产权属学校的设备、用具等拿到校外。加强对厨具、餐具等设施设备的管理和规范使用，确保所有设施设备状态良好和正常运行，并负责日常维修和保养。在托管期满或解除、终止合同时，中标方对学校提供的设施设备应完好无损地移交学校，破损者须照价赔偿。  </w:t>
      </w:r>
    </w:p>
    <w:p w14:paraId="115A1F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中标人单独安装水表电表气表，水费电费气费由中标人自行负责；小型设备不符合运营需求的，由乙方自行添置；食堂内部和周围清洁要及时，清洁费（含排污、垃圾清运）由中标人自行负责；办公设备不足的由承租方自行添置和处理。 </w:t>
      </w:r>
    </w:p>
    <w:p w14:paraId="43669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5.中标人应建立健全消防安全制度，防止火灾事故发生。  </w:t>
      </w:r>
    </w:p>
    <w:p w14:paraId="12B18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6.“明厨亮灶”工程的管理和维护由中标人负责。  </w:t>
      </w:r>
    </w:p>
    <w:p w14:paraId="3EB4CD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w:t>
      </w:r>
      <w:r>
        <w:rPr>
          <w:rFonts w:hint="eastAsia" w:ascii="宋体" w:hAnsi="宋体" w:eastAsia="宋体" w:cs="宋体"/>
          <w:b/>
          <w:bCs/>
          <w:lang w:val="en-US" w:eastAsia="zh-CN"/>
        </w:rPr>
        <w:t>六</w:t>
      </w:r>
      <w:r>
        <w:rPr>
          <w:rFonts w:hint="eastAsia" w:ascii="宋体" w:hAnsi="宋体" w:eastAsia="宋体" w:cs="宋体"/>
          <w:b/>
          <w:bCs/>
        </w:rPr>
        <w:t>）其他要求</w:t>
      </w:r>
    </w:p>
    <w:p w14:paraId="61E4E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1.学校派人随时监督食品原料的采购、使用、加工、售卖的整个过程。学校膳食管理领导小组定期或不定期在学生中调查饭菜质量、数量、价格及服务情况，调查结果通报供餐企业。 </w:t>
      </w:r>
    </w:p>
    <w:p w14:paraId="68E8C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2.学校有权对供餐企业的财务状况、经营状况、成本利润、服务管理、价格质量、卫生秩序等进行监督检查、考核评价和结算管理。   </w:t>
      </w:r>
    </w:p>
    <w:p w14:paraId="32103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3.中标人应自合同签订之日起5日内为食堂投保公众责任险。</w:t>
      </w:r>
    </w:p>
    <w:p w14:paraId="29E64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4.中标人出现下列情况之一者，学校可停止其托管资格： </w:t>
      </w:r>
    </w:p>
    <w:p w14:paraId="620C1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（1）中标人工作人员不能满足就餐需要，经学校多次提出不予整改的。  </w:t>
      </w:r>
    </w:p>
    <w:p w14:paraId="46E01F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（2）中标人在投标文件中承诺的人员未经批准更换的。  </w:t>
      </w:r>
    </w:p>
    <w:p w14:paraId="4F08C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（3）掺杂使假，使用无证、过期、有害食品，危害学生身心健康，情节严重的。  </w:t>
      </w:r>
    </w:p>
    <w:p w14:paraId="1A199C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（4）发生食物中毒或安全安全生产事故且造成严重后果。  </w:t>
      </w:r>
    </w:p>
    <w:p w14:paraId="7304AB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（5）因食品价格、质量、卫生和服务等引发群发事情、影响恶劣的。  </w:t>
      </w:r>
    </w:p>
    <w:p w14:paraId="276BF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（6）擅自停止经营的。  </w:t>
      </w:r>
    </w:p>
    <w:p w14:paraId="0C1E0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（7）运营期内存在转包、分包经营或挂靠经营行为的。  </w:t>
      </w:r>
    </w:p>
    <w:p w14:paraId="4B9BA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（8）运营期内因承租者过失导致一方或双方被行政处罚或其他违反法律法规导致严重后果的。  </w:t>
      </w:r>
    </w:p>
    <w:p w14:paraId="687CC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（9）因运营不善，师生意见大，在运营期内食堂满意度调查问卷（满意+基本满意）连续三次低于60%的。  </w:t>
      </w:r>
    </w:p>
    <w:p w14:paraId="16716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（10）招投标时以弄虚作假等欺骗手段获得准入资格，或经营情况发生变化不符合准入条件的。  </w:t>
      </w:r>
    </w:p>
    <w:p w14:paraId="0D9847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（11）其他违反合同规定，拒不整改或整改后仍未达到要求的。 </w:t>
      </w:r>
    </w:p>
    <w:p w14:paraId="66EF0F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5.履约保证金：中标人必须向学校缴纳履约保证金拾万元整。履约保证金用于有下列现象之一，给委托人造成各种损失的补偿：  </w:t>
      </w:r>
    </w:p>
    <w:p w14:paraId="0D1DA7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（1）违反《食品安全法》；  </w:t>
      </w:r>
    </w:p>
    <w:p w14:paraId="13675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（2）违反校内外有关管理条例或没有按合同经营至运营期满；  </w:t>
      </w:r>
    </w:p>
    <w:p w14:paraId="42984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（3）运营期内不正常经营； </w:t>
      </w:r>
    </w:p>
    <w:p w14:paraId="132BFB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（4）对招标文件承诺相应但又没实际履行的中标人； </w:t>
      </w:r>
    </w:p>
    <w:p w14:paraId="5B7E4E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中标人在运营期内若无上述现象，合同期满后，其履约保证金一次性无息如数退还。  </w:t>
      </w:r>
    </w:p>
    <w:p w14:paraId="5E0AC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 xml:space="preserve">6.运营期结束后，中标人须保证学校资产、设备完好，且按时交付学校。中标人自行购置的设备用品无条件带走，学校不承担一切费用。合同期内因不可抗力造成的合同终止，学校不承担补偿责任，但对可预知的因素，学校预先通知中标人做好防控准备。 </w:t>
      </w:r>
    </w:p>
    <w:p w14:paraId="0AB58F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rPr>
      </w:pPr>
      <w:r>
        <w:rPr>
          <w:rFonts w:hint="eastAsia" w:ascii="宋体" w:hAnsi="宋体" w:eastAsia="宋体" w:cs="宋体"/>
          <w:b/>
          <w:bCs/>
        </w:rPr>
        <w:t>三、报价及付款方式</w:t>
      </w:r>
    </w:p>
    <w:p w14:paraId="23D1D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本项目无需报价，投标人须无条件响应招标文件要求。</w:t>
      </w:r>
    </w:p>
    <w:p w14:paraId="014A96A4">
      <w:pPr>
        <w:pageBreakBefore w:val="0"/>
        <w:widowControl w:val="0"/>
        <w:kinsoku/>
        <w:wordWrap/>
        <w:overflowPunct/>
        <w:topLinePunct w:val="0"/>
        <w:bidi w:val="0"/>
        <w:spacing w:line="360" w:lineRule="auto"/>
        <w:textAlignment w:val="auto"/>
        <w:rPr>
          <w:rFonts w:hint="eastAsia" w:ascii="宋体" w:hAnsi="宋体" w:eastAsia="宋体" w:cs="宋体"/>
          <w:highlight w:val="cyan"/>
          <w:lang w:val="en-US" w:eastAsia="zh-CN"/>
        </w:rPr>
      </w:pPr>
    </w:p>
    <w:p w14:paraId="5A266018">
      <w:pPr>
        <w:pStyle w:val="3"/>
        <w:rPr>
          <w:rFonts w:hint="eastAsia" w:ascii="宋体" w:hAnsi="宋体" w:eastAsia="宋体" w:cs="宋体"/>
          <w:lang w:val="en-US" w:eastAsia="zh-CN"/>
        </w:rPr>
      </w:pPr>
    </w:p>
    <w:p w14:paraId="61DADFDD">
      <w:pPr>
        <w:jc w:val="center"/>
        <w:rPr>
          <w:rFonts w:hint="eastAsia" w:ascii="宋体" w:hAnsi="宋体" w:eastAsia="宋体" w:cs="宋体"/>
          <w:b/>
          <w:bCs/>
          <w:color w:val="auto"/>
          <w:kern w:val="2"/>
          <w:sz w:val="32"/>
          <w:szCs w:val="32"/>
          <w:highlight w:val="none"/>
          <w:lang w:val="en-US" w:eastAsia="zh-CN" w:bidi="ar-SA"/>
        </w:rPr>
      </w:pPr>
    </w:p>
    <w:p w14:paraId="4B48B349">
      <w:pPr>
        <w:jc w:val="center"/>
        <w:rPr>
          <w:rFonts w:hint="eastAsia" w:ascii="宋体" w:hAnsi="宋体" w:eastAsia="宋体" w:cs="宋体"/>
          <w:b/>
          <w:bCs/>
          <w:color w:val="auto"/>
          <w:kern w:val="2"/>
          <w:sz w:val="32"/>
          <w:szCs w:val="32"/>
          <w:highlight w:val="none"/>
          <w:lang w:val="en-US" w:eastAsia="zh-CN" w:bidi="ar-SA"/>
        </w:rPr>
      </w:pPr>
    </w:p>
    <w:p w14:paraId="594E07D5">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14:paraId="7E0B7FA7">
      <w:pPr>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w:t>
      </w:r>
      <w:bookmarkStart w:id="58" w:name="_Hlt240110027"/>
      <w:bookmarkEnd w:id="58"/>
      <w:r>
        <w:rPr>
          <w:rFonts w:hint="eastAsia" w:ascii="宋体" w:hAnsi="宋体" w:eastAsia="宋体" w:cs="宋体"/>
          <w:b/>
          <w:bCs/>
          <w:color w:val="auto"/>
          <w:kern w:val="2"/>
          <w:sz w:val="32"/>
          <w:szCs w:val="32"/>
          <w:highlight w:val="none"/>
          <w:lang w:val="en-US" w:eastAsia="zh-CN" w:bidi="ar-SA"/>
        </w:rPr>
        <w:t>五章 评标办法</w:t>
      </w:r>
      <w:bookmarkEnd w:id="56"/>
      <w:bookmarkEnd w:id="57"/>
    </w:p>
    <w:p w14:paraId="299D89A0">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1.为了做好</w:t>
      </w:r>
      <w:r>
        <w:rPr>
          <w:rFonts w:hint="eastAsia" w:ascii="宋体" w:hAnsi="宋体" w:eastAsia="宋体" w:cs="宋体"/>
          <w:bCs/>
          <w:color w:val="auto"/>
          <w:szCs w:val="24"/>
          <w:highlight w:val="none"/>
          <w:lang w:eastAsia="zh-CN"/>
        </w:rPr>
        <w:t>安徽师范大学附属肥西第二中学食堂委托运营</w:t>
      </w:r>
      <w:r>
        <w:rPr>
          <w:rFonts w:hint="eastAsia" w:ascii="宋体" w:hAnsi="宋体" w:eastAsia="宋体" w:cs="宋体"/>
          <w:bCs/>
          <w:color w:val="auto"/>
          <w:szCs w:val="24"/>
          <w:highlight w:val="none"/>
        </w:rPr>
        <w:t>（项目编号：</w:t>
      </w:r>
      <w:r>
        <w:rPr>
          <w:rFonts w:hint="eastAsia" w:ascii="宋体" w:hAnsi="宋体" w:cs="宋体"/>
          <w:bCs/>
          <w:color w:val="auto"/>
          <w:szCs w:val="24"/>
          <w:highlight w:val="none"/>
          <w:lang w:eastAsia="zh-CN"/>
        </w:rPr>
        <w:t>2026PHBZ355</w:t>
      </w:r>
      <w:r>
        <w:rPr>
          <w:rFonts w:hint="eastAsia" w:ascii="宋体" w:hAnsi="宋体" w:eastAsia="宋体" w:cs="宋体"/>
          <w:bCs/>
          <w:color w:val="auto"/>
          <w:szCs w:val="24"/>
          <w:highlight w:val="none"/>
        </w:rPr>
        <w:t>）的招标评标工作，保证项目评审工作的正常有序进行，维护招标人、投标人的合法权益，本着公开、公平、公正的原则，制定评标办法。</w:t>
      </w:r>
    </w:p>
    <w:p w14:paraId="48FB0B24">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2.本次项目评标采用综合评分法作为对投标人标书的比较方法。</w:t>
      </w:r>
    </w:p>
    <w:p w14:paraId="68E0CCEF">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3.本项目将依法组建不少于5人的评标委员会，负责本项目的评标工作。</w:t>
      </w:r>
    </w:p>
    <w:p w14:paraId="57EA5632">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4．评标委员会按照“客观公正，实事求是”的原则，评价参加本次招标的投标人所提供的产品或服务价格、性能、质量、服务及对招标文件的符合性及响应性。</w:t>
      </w:r>
    </w:p>
    <w:p w14:paraId="242710AF">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5.评标工作于开标后进行。评标委员会应认真研究招标文件，至少应了解和熟悉以下内容：</w:t>
      </w:r>
    </w:p>
    <w:p w14:paraId="625B74CB">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5.1招标的目标；</w:t>
      </w:r>
    </w:p>
    <w:p w14:paraId="51BF7D66">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5.2招标项目的范围和性质；</w:t>
      </w:r>
    </w:p>
    <w:p w14:paraId="094F77A4">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5.3招标文件中规定的主要技术要求、标准和商务条款；</w:t>
      </w:r>
    </w:p>
    <w:p w14:paraId="27085CD8">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5.4招标文件规定的评标标准、评标方法和在评标过程中考虑的相关因素。</w:t>
      </w:r>
    </w:p>
    <w:p w14:paraId="2B72FC79">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6有效投标应符合以下原则：</w:t>
      </w:r>
    </w:p>
    <w:p w14:paraId="06DCA839">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6.1满足招标文件的实质性要求；</w:t>
      </w:r>
    </w:p>
    <w:p w14:paraId="3EAD46D6">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6.2无重大偏离、保留或招标人不能接受的附加条件；</w:t>
      </w:r>
    </w:p>
    <w:p w14:paraId="15AB5A4E">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6.3通过初审；</w:t>
      </w:r>
    </w:p>
    <w:p w14:paraId="763197E6">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6.4评标委员会依据招标文件认定的其他原则。</w:t>
      </w:r>
    </w:p>
    <w:p w14:paraId="0832BC75">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7.评标委员会遵循公开、公平、公正和科学诚信的原则，对所有投标文件均采用相同程序和标准，进行评定。</w:t>
      </w:r>
    </w:p>
    <w:p w14:paraId="71B98537">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8.评审程序</w:t>
      </w:r>
    </w:p>
    <w:p w14:paraId="1973C745">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8.1本项目采用综合评分法进行评审，在最大限度地满足招标文件实质性要求前提下，按照招标文件中规定的各项因素进行综合评审。综合评分法的主要因素是：技术部分、商务部分以及相应的比重。</w:t>
      </w:r>
    </w:p>
    <w:p w14:paraId="61ACEC69">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8.2评标委员会首先对所有投标人进行初审，初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初审结论分为通过和未通过。</w:t>
      </w:r>
    </w:p>
    <w:p w14:paraId="145985A9">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8.3评委独立评审后，评标委员会对投标人某项指标如有不同意见，按照少数服从多数的原则，确定该项指标是否通过。符合初审指标通过标准的，为有效投标。评标委员会按下表内容进行初审。</w:t>
      </w:r>
    </w:p>
    <w:p w14:paraId="73BCE087">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8.4初审</w:t>
      </w:r>
    </w:p>
    <w:tbl>
      <w:tblPr>
        <w:tblStyle w:val="1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6"/>
        <w:gridCol w:w="2839"/>
        <w:gridCol w:w="819"/>
        <w:gridCol w:w="2717"/>
      </w:tblGrid>
      <w:tr w14:paraId="6A3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14:paraId="76EFEB55">
            <w:pPr>
              <w:pStyle w:val="15"/>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b/>
                <w:color w:val="auto"/>
                <w:szCs w:val="24"/>
                <w:highlight w:val="none"/>
              </w:rPr>
              <w:t>初审表（废标指标一览表）</w:t>
            </w:r>
          </w:p>
        </w:tc>
      </w:tr>
      <w:tr w14:paraId="7F32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14:paraId="7A0A6B2B">
            <w:pPr>
              <w:adjustRightInd w:val="0"/>
              <w:snapToGrid w:val="0"/>
              <w:spacing w:line="360" w:lineRule="auto"/>
              <w:ind w:right="-1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初审指标</w:t>
            </w:r>
          </w:p>
        </w:tc>
      </w:tr>
      <w:tr w14:paraId="5C99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14:paraId="44516387">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066" w:type="dxa"/>
            <w:tcBorders>
              <w:bottom w:val="single" w:color="auto" w:sz="4" w:space="0"/>
            </w:tcBorders>
            <w:vAlign w:val="center"/>
          </w:tcPr>
          <w:p w14:paraId="2B7924C7">
            <w:pPr>
              <w:pStyle w:val="15"/>
              <w:pBdr>
                <w:bottom w:val="none" w:color="auto" w:sz="0" w:space="0"/>
              </w:pBdr>
              <w:tabs>
                <w:tab w:val="clear" w:pos="4153"/>
                <w:tab w:val="clear" w:pos="8306"/>
              </w:tabs>
              <w:snapToGrid w:val="0"/>
              <w:spacing w:line="360" w:lineRule="auto"/>
              <w:ind w:right="-11"/>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指标名称</w:t>
            </w:r>
          </w:p>
        </w:tc>
        <w:tc>
          <w:tcPr>
            <w:tcW w:w="2839" w:type="dxa"/>
            <w:tcBorders>
              <w:bottom w:val="single" w:color="auto" w:sz="4" w:space="0"/>
            </w:tcBorders>
            <w:vAlign w:val="center"/>
          </w:tcPr>
          <w:p w14:paraId="7F6BBC11">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指标要求</w:t>
            </w:r>
          </w:p>
        </w:tc>
        <w:tc>
          <w:tcPr>
            <w:tcW w:w="819" w:type="dxa"/>
            <w:tcBorders>
              <w:bottom w:val="single" w:color="auto" w:sz="4" w:space="0"/>
            </w:tcBorders>
            <w:vAlign w:val="center"/>
          </w:tcPr>
          <w:p w14:paraId="7142480B">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是否通过</w:t>
            </w:r>
          </w:p>
        </w:tc>
        <w:tc>
          <w:tcPr>
            <w:tcW w:w="2717" w:type="dxa"/>
            <w:tcBorders>
              <w:bottom w:val="single" w:color="auto" w:sz="4" w:space="0"/>
            </w:tcBorders>
            <w:vAlign w:val="center"/>
          </w:tcPr>
          <w:p w14:paraId="2753CEFA">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投标文件格式及提交资料要求</w:t>
            </w:r>
          </w:p>
        </w:tc>
      </w:tr>
      <w:tr w14:paraId="1016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atLeast"/>
        </w:trPr>
        <w:tc>
          <w:tcPr>
            <w:tcW w:w="720" w:type="dxa"/>
            <w:vAlign w:val="center"/>
          </w:tcPr>
          <w:p w14:paraId="7990ABDC">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066" w:type="dxa"/>
            <w:vAlign w:val="center"/>
          </w:tcPr>
          <w:p w14:paraId="6CFFFF46">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营业执照或事业单位法人证书</w:t>
            </w:r>
          </w:p>
        </w:tc>
        <w:tc>
          <w:tcPr>
            <w:tcW w:w="2839" w:type="dxa"/>
            <w:vAlign w:val="center"/>
          </w:tcPr>
          <w:p w14:paraId="2DB66BF5">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合法有效</w:t>
            </w:r>
          </w:p>
        </w:tc>
        <w:tc>
          <w:tcPr>
            <w:tcW w:w="819" w:type="dxa"/>
            <w:vAlign w:val="center"/>
          </w:tcPr>
          <w:p w14:paraId="38F34BE7">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013448E2">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提供有效的营业执照（或事业单位法人证书）的复印件或影印件</w:t>
            </w:r>
            <w:r>
              <w:rPr>
                <w:rFonts w:hint="eastAsia" w:ascii="宋体" w:hAnsi="宋体" w:eastAsia="宋体" w:cs="宋体"/>
                <w:b/>
                <w:bCs/>
                <w:color w:val="auto"/>
                <w:szCs w:val="24"/>
                <w:highlight w:val="none"/>
              </w:rPr>
              <w:t>，应完整的体现出营业执照</w:t>
            </w:r>
            <w:r>
              <w:rPr>
                <w:rFonts w:hint="eastAsia" w:ascii="宋体" w:hAnsi="宋体" w:eastAsia="宋体" w:cs="宋体"/>
                <w:b/>
                <w:color w:val="auto"/>
                <w:szCs w:val="24"/>
                <w:highlight w:val="none"/>
              </w:rPr>
              <w:t>（或事业单位法人证书）</w:t>
            </w:r>
            <w:r>
              <w:rPr>
                <w:rFonts w:hint="eastAsia" w:ascii="宋体" w:hAnsi="宋体" w:eastAsia="宋体" w:cs="宋体"/>
                <w:b/>
                <w:bCs/>
                <w:color w:val="auto"/>
                <w:szCs w:val="24"/>
                <w:highlight w:val="none"/>
              </w:rPr>
              <w:t>的全部内容</w:t>
            </w:r>
          </w:p>
        </w:tc>
      </w:tr>
      <w:tr w14:paraId="14B1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20" w:type="dxa"/>
            <w:vAlign w:val="center"/>
          </w:tcPr>
          <w:p w14:paraId="1C804064">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066" w:type="dxa"/>
            <w:vAlign w:val="center"/>
          </w:tcPr>
          <w:p w14:paraId="7F87B1F8">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投标函</w:t>
            </w:r>
          </w:p>
        </w:tc>
        <w:tc>
          <w:tcPr>
            <w:tcW w:w="2839" w:type="dxa"/>
            <w:vAlign w:val="center"/>
          </w:tcPr>
          <w:p w14:paraId="2DD4852B">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符合招标文件要求</w:t>
            </w:r>
          </w:p>
        </w:tc>
        <w:tc>
          <w:tcPr>
            <w:tcW w:w="819" w:type="dxa"/>
            <w:vAlign w:val="center"/>
          </w:tcPr>
          <w:p w14:paraId="64E75775">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39C61AC1">
            <w:pPr>
              <w:adjustRightInd w:val="0"/>
              <w:snapToGrid w:val="0"/>
              <w:spacing w:line="360" w:lineRule="auto"/>
              <w:ind w:right="-11"/>
              <w:jc w:val="center"/>
              <w:rPr>
                <w:rFonts w:hint="eastAsia" w:ascii="宋体" w:hAnsi="宋体" w:eastAsia="宋体" w:cs="宋体"/>
                <w:color w:val="auto"/>
                <w:szCs w:val="24"/>
                <w:highlight w:val="none"/>
              </w:rPr>
            </w:pPr>
          </w:p>
        </w:tc>
      </w:tr>
      <w:tr w14:paraId="5D9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20" w:type="dxa"/>
            <w:vAlign w:val="center"/>
          </w:tcPr>
          <w:p w14:paraId="4A1E5F0D">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2066" w:type="dxa"/>
            <w:vAlign w:val="center"/>
          </w:tcPr>
          <w:p w14:paraId="4E98F3D7">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投标授权书</w:t>
            </w:r>
          </w:p>
        </w:tc>
        <w:tc>
          <w:tcPr>
            <w:tcW w:w="2839" w:type="dxa"/>
            <w:vAlign w:val="center"/>
          </w:tcPr>
          <w:p w14:paraId="08FCAC64">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符合招标文件要求</w:t>
            </w:r>
          </w:p>
        </w:tc>
        <w:tc>
          <w:tcPr>
            <w:tcW w:w="819" w:type="dxa"/>
            <w:vAlign w:val="center"/>
          </w:tcPr>
          <w:p w14:paraId="0B202462">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3546692F">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要求详见第七章投标文件格式“投标授权书”</w:t>
            </w:r>
          </w:p>
        </w:tc>
      </w:tr>
      <w:tr w14:paraId="0FD6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32B8D5B9">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2066" w:type="dxa"/>
            <w:vAlign w:val="center"/>
          </w:tcPr>
          <w:p w14:paraId="4639512F">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电子交易服务费</w:t>
            </w:r>
          </w:p>
        </w:tc>
        <w:tc>
          <w:tcPr>
            <w:tcW w:w="2839" w:type="dxa"/>
            <w:vAlign w:val="center"/>
          </w:tcPr>
          <w:p w14:paraId="0B66F882">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符合招标文件要求</w:t>
            </w:r>
          </w:p>
        </w:tc>
        <w:tc>
          <w:tcPr>
            <w:tcW w:w="819" w:type="dxa"/>
            <w:vAlign w:val="center"/>
          </w:tcPr>
          <w:p w14:paraId="27C01B34">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3EDB1699">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第二章投标人须知前附表11条</w:t>
            </w:r>
            <w:r>
              <w:rPr>
                <w:rFonts w:hint="eastAsia" w:ascii="宋体" w:hAnsi="宋体" w:eastAsia="宋体" w:cs="宋体"/>
                <w:b/>
                <w:bCs/>
                <w:color w:val="auto"/>
                <w:szCs w:val="24"/>
                <w:highlight w:val="none"/>
              </w:rPr>
              <w:t>（以代理机构财务查询为准）</w:t>
            </w:r>
          </w:p>
        </w:tc>
      </w:tr>
      <w:tr w14:paraId="647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1185077D">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2066" w:type="dxa"/>
            <w:vAlign w:val="center"/>
          </w:tcPr>
          <w:p w14:paraId="0EE524BC">
            <w:pPr>
              <w:spacing w:after="50"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投标人信用承诺</w:t>
            </w:r>
          </w:p>
        </w:tc>
        <w:tc>
          <w:tcPr>
            <w:tcW w:w="2839" w:type="dxa"/>
            <w:vAlign w:val="center"/>
          </w:tcPr>
          <w:p w14:paraId="44B55108">
            <w:pPr>
              <w:spacing w:after="50"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符合招标文件要求</w:t>
            </w:r>
          </w:p>
        </w:tc>
        <w:tc>
          <w:tcPr>
            <w:tcW w:w="819" w:type="dxa"/>
            <w:vAlign w:val="center"/>
          </w:tcPr>
          <w:p w14:paraId="4A8EE5BE">
            <w:pPr>
              <w:adjustRightInd w:val="0"/>
              <w:snapToGrid w:val="0"/>
              <w:spacing w:line="360" w:lineRule="auto"/>
              <w:ind w:right="-10"/>
              <w:jc w:val="center"/>
              <w:rPr>
                <w:rFonts w:hint="eastAsia" w:ascii="宋体" w:hAnsi="宋体" w:eastAsia="宋体" w:cs="宋体"/>
                <w:color w:val="auto"/>
                <w:szCs w:val="24"/>
                <w:highlight w:val="none"/>
              </w:rPr>
            </w:pPr>
          </w:p>
        </w:tc>
        <w:tc>
          <w:tcPr>
            <w:tcW w:w="2717" w:type="dxa"/>
            <w:vAlign w:val="center"/>
          </w:tcPr>
          <w:p w14:paraId="6B53F012">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详见第七章投标文件格式</w:t>
            </w:r>
            <w:r>
              <w:rPr>
                <w:rFonts w:hint="eastAsia" w:ascii="宋体" w:hAnsi="宋体" w:eastAsia="宋体" w:cs="宋体"/>
                <w:color w:val="auto"/>
                <w:highlight w:val="none"/>
              </w:rPr>
              <w:t>“</w:t>
            </w:r>
            <w:r>
              <w:rPr>
                <w:rFonts w:hint="eastAsia" w:ascii="宋体" w:hAnsi="宋体" w:eastAsia="宋体" w:cs="宋体"/>
                <w:color w:val="auto"/>
                <w:szCs w:val="24"/>
                <w:highlight w:val="none"/>
              </w:rPr>
              <w:t>投标人信用承诺</w:t>
            </w:r>
            <w:r>
              <w:rPr>
                <w:rFonts w:hint="eastAsia" w:ascii="宋体" w:hAnsi="宋体" w:eastAsia="宋体" w:cs="宋体"/>
                <w:color w:val="auto"/>
                <w:highlight w:val="none"/>
              </w:rPr>
              <w:t>”</w:t>
            </w:r>
          </w:p>
        </w:tc>
      </w:tr>
      <w:tr w14:paraId="4163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7FF01BC8">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2066" w:type="dxa"/>
            <w:vAlign w:val="center"/>
          </w:tcPr>
          <w:p w14:paraId="2991B02A">
            <w:pPr>
              <w:spacing w:after="50"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开标一览表</w:t>
            </w:r>
          </w:p>
        </w:tc>
        <w:tc>
          <w:tcPr>
            <w:tcW w:w="2839" w:type="dxa"/>
            <w:vAlign w:val="center"/>
          </w:tcPr>
          <w:p w14:paraId="7E2E031C">
            <w:pPr>
              <w:spacing w:after="50"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符合招标文件要求</w:t>
            </w:r>
          </w:p>
        </w:tc>
        <w:tc>
          <w:tcPr>
            <w:tcW w:w="819" w:type="dxa"/>
            <w:vAlign w:val="center"/>
          </w:tcPr>
          <w:p w14:paraId="393204C1">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2BB9CBAB">
            <w:pPr>
              <w:adjustRightInd w:val="0"/>
              <w:snapToGrid w:val="0"/>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第七章投标文件格式一</w:t>
            </w:r>
          </w:p>
        </w:tc>
      </w:tr>
      <w:tr w14:paraId="74AB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4EEF5B60">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2066" w:type="dxa"/>
            <w:vAlign w:val="center"/>
          </w:tcPr>
          <w:p w14:paraId="1BA3B047">
            <w:pPr>
              <w:spacing w:line="360" w:lineRule="auto"/>
              <w:ind w:right="-11"/>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投标人资格</w:t>
            </w:r>
          </w:p>
        </w:tc>
        <w:tc>
          <w:tcPr>
            <w:tcW w:w="2839" w:type="dxa"/>
            <w:vAlign w:val="center"/>
          </w:tcPr>
          <w:p w14:paraId="033BB5E4">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符合招标公告要求</w:t>
            </w:r>
          </w:p>
        </w:tc>
        <w:tc>
          <w:tcPr>
            <w:tcW w:w="819" w:type="dxa"/>
            <w:vAlign w:val="center"/>
          </w:tcPr>
          <w:p w14:paraId="27804B8A">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6B0D2FCE">
            <w:pPr>
              <w:adjustRightInd w:val="0"/>
              <w:snapToGrid w:val="0"/>
              <w:spacing w:line="360" w:lineRule="auto"/>
              <w:ind w:right="-1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提供复印件或影印件</w:t>
            </w:r>
          </w:p>
        </w:tc>
      </w:tr>
      <w:tr w14:paraId="5A7B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14:paraId="63690B67">
            <w:pPr>
              <w:adjustRightInd w:val="0"/>
              <w:snapToGrid w:val="0"/>
              <w:spacing w:line="360" w:lineRule="auto"/>
              <w:ind w:right="-1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8</w:t>
            </w:r>
          </w:p>
        </w:tc>
        <w:tc>
          <w:tcPr>
            <w:tcW w:w="2066" w:type="dxa"/>
            <w:vAlign w:val="center"/>
          </w:tcPr>
          <w:p w14:paraId="74DF8D49">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其他要求</w:t>
            </w:r>
          </w:p>
        </w:tc>
        <w:tc>
          <w:tcPr>
            <w:tcW w:w="2839" w:type="dxa"/>
            <w:vAlign w:val="center"/>
          </w:tcPr>
          <w:p w14:paraId="3F715A12">
            <w:pPr>
              <w:spacing w:line="360" w:lineRule="auto"/>
              <w:ind w:right="-11"/>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上述指标中未列出，但国家相关法律法规或招标文件有明确规定的</w:t>
            </w:r>
          </w:p>
        </w:tc>
        <w:tc>
          <w:tcPr>
            <w:tcW w:w="819" w:type="dxa"/>
            <w:vAlign w:val="center"/>
          </w:tcPr>
          <w:p w14:paraId="14911AEE">
            <w:pPr>
              <w:adjustRightInd w:val="0"/>
              <w:snapToGrid w:val="0"/>
              <w:spacing w:line="360" w:lineRule="auto"/>
              <w:ind w:right="-11"/>
              <w:jc w:val="center"/>
              <w:rPr>
                <w:rFonts w:hint="eastAsia" w:ascii="宋体" w:hAnsi="宋体" w:eastAsia="宋体" w:cs="宋体"/>
                <w:color w:val="auto"/>
                <w:szCs w:val="24"/>
                <w:highlight w:val="none"/>
              </w:rPr>
            </w:pPr>
          </w:p>
        </w:tc>
        <w:tc>
          <w:tcPr>
            <w:tcW w:w="2717" w:type="dxa"/>
            <w:vAlign w:val="center"/>
          </w:tcPr>
          <w:p w14:paraId="410CD91C">
            <w:pPr>
              <w:adjustRightInd w:val="0"/>
              <w:snapToGrid w:val="0"/>
              <w:spacing w:line="360" w:lineRule="auto"/>
              <w:ind w:right="-11"/>
              <w:jc w:val="center"/>
              <w:rPr>
                <w:rFonts w:hint="eastAsia" w:ascii="宋体" w:hAnsi="宋体" w:eastAsia="宋体" w:cs="宋体"/>
                <w:color w:val="auto"/>
                <w:szCs w:val="24"/>
                <w:highlight w:val="none"/>
              </w:rPr>
            </w:pPr>
          </w:p>
        </w:tc>
      </w:tr>
      <w:tr w14:paraId="31DB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14:paraId="38EC8FF0">
            <w:pPr>
              <w:adjustRightInd w:val="0"/>
              <w:snapToGrid w:val="0"/>
              <w:spacing w:line="360" w:lineRule="auto"/>
              <w:ind w:right="-1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初审指标通过标准：投标人必须通过上述全部指标。</w:t>
            </w:r>
          </w:p>
          <w:p w14:paraId="796C3F39">
            <w:pPr>
              <w:adjustRightInd w:val="0"/>
              <w:snapToGrid w:val="0"/>
              <w:spacing w:line="360" w:lineRule="auto"/>
              <w:ind w:right="-11"/>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评标委员会根据表中所列各项指标对投标人是否为有效标进行评审，未列入上表中的指标不得作为废标依据。</w:t>
            </w:r>
          </w:p>
        </w:tc>
      </w:tr>
    </w:tbl>
    <w:p w14:paraId="053B29A0">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8.5评标委员会将对所有通过初审的投标文件进行详细评审，具体如下：</w:t>
      </w:r>
    </w:p>
    <w:p w14:paraId="5742DF16">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根据评分的细则，评委应对进入详细评审的所有投标文件进行评分，并分别填写打分表。</w:t>
      </w:r>
    </w:p>
    <w:tbl>
      <w:tblPr>
        <w:tblStyle w:val="10"/>
        <w:tblW w:w="96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61"/>
        <w:gridCol w:w="1200"/>
        <w:gridCol w:w="5857"/>
        <w:gridCol w:w="1288"/>
      </w:tblGrid>
      <w:tr w14:paraId="5C1C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tcBorders>
              <w:top w:val="single" w:color="000000" w:sz="6" w:space="0"/>
              <w:left w:val="single" w:color="000000" w:sz="6" w:space="0"/>
              <w:bottom w:val="single" w:color="000000" w:sz="6" w:space="0"/>
              <w:right w:val="single" w:color="000000" w:sz="6" w:space="0"/>
            </w:tcBorders>
            <w:vAlign w:val="center"/>
          </w:tcPr>
          <w:p w14:paraId="5E663B0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类别</w:t>
            </w:r>
          </w:p>
        </w:tc>
        <w:tc>
          <w:tcPr>
            <w:tcW w:w="1200" w:type="dxa"/>
            <w:tcBorders>
              <w:top w:val="single" w:color="000000" w:sz="6" w:space="0"/>
              <w:left w:val="single" w:color="000000" w:sz="6" w:space="0"/>
              <w:bottom w:val="single" w:color="000000" w:sz="6" w:space="0"/>
              <w:right w:val="single" w:color="000000" w:sz="6" w:space="0"/>
            </w:tcBorders>
            <w:vAlign w:val="center"/>
          </w:tcPr>
          <w:p w14:paraId="5DF0932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b/>
                <w:bCs/>
                <w:color w:val="auto"/>
                <w:sz w:val="24"/>
                <w:u w:val="none"/>
              </w:rPr>
              <w:t>评分内容</w:t>
            </w:r>
          </w:p>
        </w:tc>
        <w:tc>
          <w:tcPr>
            <w:tcW w:w="5857" w:type="dxa"/>
            <w:tcBorders>
              <w:top w:val="single" w:color="000000" w:sz="6" w:space="0"/>
              <w:left w:val="single" w:color="000000" w:sz="6" w:space="0"/>
              <w:bottom w:val="single" w:color="000000" w:sz="6" w:space="0"/>
              <w:right w:val="single" w:color="000000" w:sz="6" w:space="0"/>
            </w:tcBorders>
            <w:vAlign w:val="center"/>
          </w:tcPr>
          <w:p w14:paraId="0996776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b/>
                <w:bCs/>
                <w:color w:val="auto"/>
                <w:sz w:val="24"/>
                <w:u w:val="none"/>
              </w:rPr>
              <w:t>评分标准</w:t>
            </w:r>
          </w:p>
        </w:tc>
        <w:tc>
          <w:tcPr>
            <w:tcW w:w="1288" w:type="dxa"/>
            <w:tcBorders>
              <w:top w:val="single" w:color="000000" w:sz="6" w:space="0"/>
              <w:left w:val="single" w:color="000000" w:sz="6" w:space="0"/>
              <w:bottom w:val="single" w:color="000000" w:sz="6" w:space="0"/>
              <w:right w:val="single" w:color="000000" w:sz="6" w:space="0"/>
            </w:tcBorders>
            <w:vAlign w:val="center"/>
          </w:tcPr>
          <w:p w14:paraId="2CC424E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分值范围</w:t>
            </w:r>
          </w:p>
        </w:tc>
      </w:tr>
      <w:tr w14:paraId="158E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restart"/>
            <w:tcBorders>
              <w:top w:val="single" w:color="000000" w:sz="6" w:space="0"/>
              <w:left w:val="single" w:color="000000" w:sz="6" w:space="0"/>
              <w:right w:val="single" w:color="000000" w:sz="6" w:space="0"/>
            </w:tcBorders>
            <w:vAlign w:val="center"/>
          </w:tcPr>
          <w:p w14:paraId="5A804CA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技术资信分</w:t>
            </w:r>
          </w:p>
          <w:p w14:paraId="5EB6036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（100</w:t>
            </w:r>
            <w:r>
              <w:rPr>
                <w:rFonts w:hint="eastAsia" w:ascii="宋体" w:hAnsi="宋体" w:cs="宋体"/>
                <w:color w:val="000000"/>
                <w:kern w:val="0"/>
                <w:sz w:val="24"/>
                <w:szCs w:val="24"/>
                <w:lang w:val="en-US" w:eastAsia="zh-CN"/>
              </w:rPr>
              <w:t>分</w:t>
            </w:r>
            <w:r>
              <w:rPr>
                <w:rFonts w:hint="eastAsia" w:ascii="宋体" w:hAnsi="宋体" w:eastAsia="宋体" w:cs="宋体"/>
                <w:color w:val="000000"/>
                <w:kern w:val="0"/>
                <w:sz w:val="24"/>
                <w:szCs w:val="24"/>
              </w:rPr>
              <w:t>）</w:t>
            </w:r>
          </w:p>
        </w:tc>
        <w:tc>
          <w:tcPr>
            <w:tcW w:w="1200" w:type="dxa"/>
            <w:tcBorders>
              <w:top w:val="single" w:color="000000" w:sz="6" w:space="0"/>
              <w:left w:val="single" w:color="000000" w:sz="6" w:space="0"/>
              <w:bottom w:val="single" w:color="000000" w:sz="6" w:space="0"/>
              <w:right w:val="single" w:color="000000" w:sz="6" w:space="0"/>
            </w:tcBorders>
            <w:vAlign w:val="center"/>
          </w:tcPr>
          <w:p w14:paraId="184916B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经营方案</w:t>
            </w:r>
          </w:p>
        </w:tc>
        <w:tc>
          <w:tcPr>
            <w:tcW w:w="5857" w:type="dxa"/>
            <w:tcBorders>
              <w:top w:val="single" w:color="000000" w:sz="6" w:space="0"/>
              <w:left w:val="single" w:color="000000" w:sz="6" w:space="0"/>
              <w:bottom w:val="single" w:color="000000" w:sz="6" w:space="0"/>
              <w:right w:val="single" w:color="000000" w:sz="6" w:space="0"/>
            </w:tcBorders>
            <w:vAlign w:val="center"/>
          </w:tcPr>
          <w:p w14:paraId="516AAAD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lang w:eastAsia="zh-CN"/>
              </w:rPr>
              <w:t>投标人</w:t>
            </w:r>
            <w:r>
              <w:rPr>
                <w:rFonts w:hint="eastAsia" w:ascii="宋体" w:hAnsi="宋体" w:eastAsia="宋体" w:cs="宋体"/>
                <w:b/>
                <w:bCs/>
                <w:color w:val="000000"/>
                <w:kern w:val="0"/>
                <w:sz w:val="24"/>
                <w:szCs w:val="24"/>
              </w:rPr>
              <w:t>围绕经营管理、原材料采购、饭菜品种、价格、食品安全环境卫生、食品质量控制、服务质量控制、卫生管理控制（食品卫生、人员卫生、环境卫生、垃圾处理）等内容编制经营方案，评标委员会根据上述内容综合评分：</w:t>
            </w:r>
          </w:p>
          <w:p w14:paraId="4D529D4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方案</w:t>
            </w:r>
            <w:r>
              <w:rPr>
                <w:rFonts w:hint="eastAsia" w:ascii="宋体" w:hAnsi="宋体" w:cs="宋体"/>
                <w:color w:val="000000"/>
                <w:kern w:val="0"/>
                <w:sz w:val="24"/>
                <w:szCs w:val="24"/>
                <w:lang w:val="en-US" w:eastAsia="zh-CN"/>
              </w:rPr>
              <w:t>完整详细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p w14:paraId="355BBC8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方案</w:t>
            </w:r>
            <w:r>
              <w:rPr>
                <w:rFonts w:hint="eastAsia" w:ascii="宋体" w:hAnsi="宋体" w:cs="宋体"/>
                <w:color w:val="000000"/>
                <w:kern w:val="0"/>
                <w:sz w:val="24"/>
                <w:szCs w:val="24"/>
                <w:lang w:val="en-US" w:eastAsia="zh-CN"/>
              </w:rPr>
              <w:t>较详细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可行性、实用性、针对性较强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p w14:paraId="02F6F893">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方案基本符合要求</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可行性、实用性、针对性有待改善</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w:t>
            </w:r>
          </w:p>
          <w:p w14:paraId="3C87F04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未提供的不得分。</w:t>
            </w:r>
          </w:p>
          <w:p w14:paraId="624297C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注：F为本项得分。</w:t>
            </w:r>
          </w:p>
        </w:tc>
        <w:tc>
          <w:tcPr>
            <w:tcW w:w="1288" w:type="dxa"/>
            <w:tcBorders>
              <w:top w:val="single" w:color="000000" w:sz="6" w:space="0"/>
              <w:left w:val="single" w:color="000000" w:sz="6" w:space="0"/>
              <w:bottom w:val="single" w:color="000000" w:sz="6" w:space="0"/>
              <w:right w:val="single" w:color="000000" w:sz="6" w:space="0"/>
            </w:tcBorders>
            <w:vAlign w:val="center"/>
          </w:tcPr>
          <w:p w14:paraId="367E19B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tc>
      </w:tr>
      <w:tr w14:paraId="6057B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vAlign w:val="center"/>
          </w:tcPr>
          <w:p w14:paraId="3D8D56E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100D75F">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企业内部管理制度</w:t>
            </w:r>
          </w:p>
        </w:tc>
        <w:tc>
          <w:tcPr>
            <w:tcW w:w="5857" w:type="dxa"/>
            <w:tcBorders>
              <w:top w:val="single" w:color="000000" w:sz="6" w:space="0"/>
              <w:left w:val="single" w:color="000000" w:sz="6" w:space="0"/>
              <w:bottom w:val="single" w:color="000000" w:sz="6" w:space="0"/>
              <w:right w:val="single" w:color="000000" w:sz="6" w:space="0"/>
            </w:tcBorders>
            <w:vAlign w:val="center"/>
          </w:tcPr>
          <w:p w14:paraId="4220B1C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eastAsia="zh-CN"/>
              </w:rPr>
              <w:t>投标人</w:t>
            </w:r>
            <w:r>
              <w:rPr>
                <w:rFonts w:hint="eastAsia" w:ascii="宋体" w:hAnsi="宋体" w:eastAsia="宋体" w:cs="宋体"/>
                <w:b/>
                <w:bCs/>
                <w:color w:val="000000"/>
                <w:kern w:val="0"/>
                <w:sz w:val="24"/>
                <w:szCs w:val="24"/>
              </w:rPr>
              <w:t>按照《食品安全法》要求，采购索证、出入库台账制度、食品加工、销售、存储、餐具消毒制度、财务管理制度、员工管理制度、员工服务规范、着装、文明用语、意见反映渠道、反馈流程与改进方案等内容制定企业内部管理制度，评标委员会根据上述内容综合评分：</w:t>
            </w:r>
          </w:p>
          <w:p w14:paraId="4FCA474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制度完整详细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p w14:paraId="06B5B13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制度较详细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可行性、实用性、针对性较强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p w14:paraId="39E89FE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制度</w:t>
            </w:r>
            <w:r>
              <w:rPr>
                <w:rFonts w:hint="eastAsia" w:ascii="宋体" w:hAnsi="宋体" w:eastAsia="宋体" w:cs="宋体"/>
                <w:color w:val="000000"/>
                <w:kern w:val="0"/>
                <w:sz w:val="24"/>
                <w:szCs w:val="24"/>
              </w:rPr>
              <w:t>基本符合要求</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可行性、实用性、针对性有待改善</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w:t>
            </w:r>
          </w:p>
          <w:p w14:paraId="098FDAA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未提供的不得分。</w:t>
            </w:r>
          </w:p>
          <w:p w14:paraId="7F73892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注：F为本项得分。</w:t>
            </w:r>
          </w:p>
        </w:tc>
        <w:tc>
          <w:tcPr>
            <w:tcW w:w="1288" w:type="dxa"/>
            <w:vAlign w:val="center"/>
          </w:tcPr>
          <w:p w14:paraId="5BA32EF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tc>
      </w:tr>
      <w:tr w14:paraId="49A7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vAlign w:val="center"/>
          </w:tcPr>
          <w:p w14:paraId="3A47F6D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C29DF4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应急服务方案</w:t>
            </w:r>
          </w:p>
        </w:tc>
        <w:tc>
          <w:tcPr>
            <w:tcW w:w="5857" w:type="dxa"/>
            <w:tcBorders>
              <w:top w:val="single" w:color="000000" w:sz="6" w:space="0"/>
              <w:left w:val="single" w:color="000000" w:sz="6" w:space="0"/>
              <w:bottom w:val="single" w:color="000000" w:sz="6" w:space="0"/>
              <w:right w:val="single" w:color="000000" w:sz="6" w:space="0"/>
            </w:tcBorders>
            <w:vAlign w:val="center"/>
          </w:tcPr>
          <w:p w14:paraId="3A05BC3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投标人针对恶劣天气、突发状况（停水、停电等）下保证全校师生正常就餐</w:t>
            </w:r>
            <w:r>
              <w:rPr>
                <w:rFonts w:hint="eastAsia" w:ascii="宋体" w:hAnsi="宋体" w:cs="宋体"/>
                <w:b/>
                <w:bCs/>
                <w:color w:val="000000"/>
                <w:kern w:val="0"/>
                <w:sz w:val="24"/>
                <w:szCs w:val="24"/>
                <w:lang w:val="en-US" w:eastAsia="zh-CN"/>
              </w:rPr>
              <w:t>等内容编制</w:t>
            </w:r>
            <w:r>
              <w:rPr>
                <w:rFonts w:hint="eastAsia" w:ascii="宋体" w:hAnsi="宋体" w:eastAsia="宋体" w:cs="宋体"/>
                <w:b/>
                <w:bCs/>
                <w:color w:val="000000"/>
                <w:kern w:val="0"/>
                <w:sz w:val="24"/>
                <w:szCs w:val="24"/>
                <w:lang w:val="en-US" w:eastAsia="zh-CN"/>
              </w:rPr>
              <w:t>应急服务方案</w:t>
            </w:r>
            <w:r>
              <w:rPr>
                <w:rFonts w:hint="eastAsia" w:ascii="宋体" w:hAnsi="宋体" w:cs="宋体"/>
                <w:b/>
                <w:bCs/>
                <w:color w:val="000000"/>
                <w:kern w:val="0"/>
                <w:sz w:val="24"/>
                <w:szCs w:val="24"/>
                <w:lang w:val="en-US" w:eastAsia="zh-CN"/>
              </w:rPr>
              <w:t>，</w:t>
            </w:r>
            <w:r>
              <w:rPr>
                <w:rFonts w:hint="eastAsia" w:ascii="宋体" w:hAnsi="宋体" w:eastAsia="宋体" w:cs="宋体"/>
                <w:b/>
                <w:bCs/>
                <w:color w:val="000000"/>
                <w:kern w:val="0"/>
                <w:sz w:val="24"/>
                <w:szCs w:val="24"/>
              </w:rPr>
              <w:t>评标委员会根据上述内容综合评分：</w:t>
            </w:r>
          </w:p>
          <w:p w14:paraId="67BE8A0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方案完整详细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p w14:paraId="61E89CC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方案较详细</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可行性、实用性、针对性较强</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p w14:paraId="37EA21C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方案</w:t>
            </w:r>
            <w:r>
              <w:rPr>
                <w:rFonts w:hint="eastAsia" w:ascii="宋体" w:hAnsi="宋体" w:eastAsia="宋体" w:cs="宋体"/>
                <w:color w:val="000000"/>
                <w:kern w:val="0"/>
                <w:sz w:val="24"/>
                <w:szCs w:val="24"/>
              </w:rPr>
              <w:t>基本符合要求</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可行性、实用性、针对性有待改善</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＜F＜</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w:t>
            </w:r>
          </w:p>
          <w:p w14:paraId="554605A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未提供的不得分。</w:t>
            </w:r>
          </w:p>
          <w:p w14:paraId="499F53D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注：F为本项得分。</w:t>
            </w:r>
          </w:p>
        </w:tc>
        <w:tc>
          <w:tcPr>
            <w:tcW w:w="1288" w:type="dxa"/>
            <w:vAlign w:val="center"/>
          </w:tcPr>
          <w:p w14:paraId="026BB6B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0-7分</w:t>
            </w:r>
          </w:p>
        </w:tc>
      </w:tr>
      <w:tr w14:paraId="06D05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68158B1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4FADB6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经营承诺</w:t>
            </w:r>
          </w:p>
        </w:tc>
        <w:tc>
          <w:tcPr>
            <w:tcW w:w="5857" w:type="dxa"/>
            <w:tcBorders>
              <w:top w:val="single" w:color="000000" w:sz="6" w:space="0"/>
              <w:left w:val="single" w:color="000000" w:sz="6" w:space="0"/>
              <w:bottom w:val="single" w:color="000000" w:sz="6" w:space="0"/>
              <w:right w:val="single" w:color="000000" w:sz="6" w:space="0"/>
            </w:tcBorders>
            <w:vAlign w:val="center"/>
          </w:tcPr>
          <w:p w14:paraId="6B19141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针对本项目提供经营承诺，内容包括</w:t>
            </w:r>
            <w:r>
              <w:rPr>
                <w:rFonts w:hint="eastAsia" w:ascii="宋体" w:hAnsi="宋体" w:eastAsia="宋体" w:cs="宋体"/>
                <w:color w:val="000000"/>
                <w:kern w:val="0"/>
                <w:sz w:val="24"/>
                <w:szCs w:val="24"/>
                <w:lang w:val="en-US" w:eastAsia="zh-CN"/>
              </w:rPr>
              <w:t>：</w:t>
            </w:r>
          </w:p>
          <w:p w14:paraId="4D5CB9A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服务态度（文明经营）承诺</w:t>
            </w:r>
            <w:r>
              <w:rPr>
                <w:rFonts w:hint="eastAsia" w:ascii="宋体" w:hAnsi="宋体" w:eastAsia="宋体" w:cs="宋体"/>
                <w:color w:val="000000"/>
                <w:kern w:val="0"/>
                <w:sz w:val="24"/>
                <w:szCs w:val="24"/>
                <w:lang w:eastAsia="zh-CN"/>
              </w:rPr>
              <w:t>；</w:t>
            </w:r>
          </w:p>
          <w:p w14:paraId="65BFD60F">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风险责任承诺</w:t>
            </w:r>
            <w:r>
              <w:rPr>
                <w:rFonts w:hint="eastAsia" w:ascii="宋体" w:hAnsi="宋体" w:eastAsia="宋体" w:cs="宋体"/>
                <w:color w:val="000000"/>
                <w:kern w:val="0"/>
                <w:sz w:val="24"/>
                <w:szCs w:val="24"/>
                <w:lang w:eastAsia="zh-CN"/>
              </w:rPr>
              <w:t>；</w:t>
            </w:r>
          </w:p>
          <w:p w14:paraId="72EEA6F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食品安全承诺</w:t>
            </w:r>
            <w:r>
              <w:rPr>
                <w:rFonts w:hint="eastAsia" w:ascii="宋体" w:hAnsi="宋体" w:eastAsia="宋体" w:cs="宋体"/>
                <w:color w:val="000000"/>
                <w:kern w:val="0"/>
                <w:sz w:val="24"/>
                <w:szCs w:val="24"/>
                <w:lang w:eastAsia="zh-CN"/>
              </w:rPr>
              <w:t>；</w:t>
            </w:r>
          </w:p>
          <w:p w14:paraId="16EDB48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购买公众责任险承诺</w:t>
            </w:r>
            <w:r>
              <w:rPr>
                <w:rFonts w:hint="eastAsia" w:ascii="宋体" w:hAnsi="宋体" w:eastAsia="宋体" w:cs="宋体"/>
                <w:color w:val="000000"/>
                <w:kern w:val="0"/>
                <w:sz w:val="24"/>
                <w:szCs w:val="24"/>
                <w:lang w:eastAsia="zh-CN"/>
              </w:rPr>
              <w:t>；</w:t>
            </w:r>
          </w:p>
          <w:p w14:paraId="3F5A29B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卫生及消防承诺。</w:t>
            </w:r>
          </w:p>
          <w:p w14:paraId="50B7168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每提供上述一项承诺得</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分，本项满分</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p w14:paraId="6BCD7948">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注：投标文件中提供承诺</w:t>
            </w:r>
            <w:r>
              <w:rPr>
                <w:rFonts w:hint="eastAsia" w:ascii="宋体" w:hAnsi="宋体" w:eastAsia="宋体" w:cs="宋体"/>
                <w:b/>
                <w:bCs/>
                <w:color w:val="000000"/>
                <w:kern w:val="0"/>
                <w:sz w:val="24"/>
                <w:szCs w:val="24"/>
                <w:lang w:val="en-US" w:eastAsia="zh-CN"/>
              </w:rPr>
              <w:t>函，格式自拟，未提供不得分</w:t>
            </w:r>
            <w:r>
              <w:rPr>
                <w:rFonts w:hint="eastAsia" w:ascii="宋体" w:hAnsi="宋体" w:eastAsia="宋体" w:cs="宋体"/>
                <w:b/>
                <w:bCs/>
                <w:color w:val="000000"/>
                <w:kern w:val="0"/>
                <w:sz w:val="24"/>
                <w:szCs w:val="24"/>
              </w:rPr>
              <w:t>。</w:t>
            </w:r>
          </w:p>
        </w:tc>
        <w:tc>
          <w:tcPr>
            <w:tcW w:w="1288" w:type="dxa"/>
            <w:tcBorders>
              <w:top w:val="single" w:color="000000" w:sz="6" w:space="0"/>
              <w:left w:val="single" w:color="000000" w:sz="6" w:space="0"/>
              <w:bottom w:val="single" w:color="000000" w:sz="6" w:space="0"/>
              <w:right w:val="single" w:color="000000" w:sz="6" w:space="0"/>
            </w:tcBorders>
            <w:vAlign w:val="center"/>
          </w:tcPr>
          <w:p w14:paraId="2A59B88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rPr>
              <w:t>分</w:t>
            </w:r>
          </w:p>
        </w:tc>
      </w:tr>
      <w:tr w14:paraId="12F7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4997590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A53626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人员配备</w:t>
            </w:r>
          </w:p>
        </w:tc>
        <w:tc>
          <w:tcPr>
            <w:tcW w:w="5857" w:type="dxa"/>
            <w:tcBorders>
              <w:top w:val="single" w:color="000000" w:sz="6" w:space="0"/>
              <w:left w:val="single" w:color="000000" w:sz="6" w:space="0"/>
              <w:bottom w:val="single" w:color="000000" w:sz="6" w:space="0"/>
              <w:right w:val="single" w:color="000000" w:sz="6" w:space="0"/>
            </w:tcBorders>
            <w:vAlign w:val="center"/>
          </w:tcPr>
          <w:p w14:paraId="3FAD5EC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cs="宋体"/>
                <w:b/>
                <w:strike w:val="0"/>
                <w:dstrike w:val="0"/>
                <w:color w:val="auto"/>
                <w:kern w:val="0"/>
                <w:sz w:val="24"/>
                <w:szCs w:val="24"/>
                <w:highlight w:val="none"/>
                <w:lang w:val="en-US" w:eastAsia="zh-CN"/>
              </w:rPr>
              <w:t>一、</w:t>
            </w:r>
            <w:r>
              <w:rPr>
                <w:rFonts w:hint="eastAsia" w:ascii="宋体" w:hAnsi="宋体" w:eastAsia="宋体" w:cs="宋体"/>
                <w:b/>
                <w:strike w:val="0"/>
                <w:dstrike w:val="0"/>
                <w:color w:val="auto"/>
                <w:kern w:val="0"/>
                <w:sz w:val="24"/>
                <w:szCs w:val="24"/>
                <w:highlight w:val="none"/>
              </w:rPr>
              <w:t>拟派项目经理1名（满分</w:t>
            </w:r>
            <w:r>
              <w:rPr>
                <w:rFonts w:hint="eastAsia" w:ascii="宋体" w:hAnsi="宋体" w:cs="宋体"/>
                <w:b/>
                <w:strike w:val="0"/>
                <w:dstrike w:val="0"/>
                <w:color w:val="auto"/>
                <w:kern w:val="0"/>
                <w:sz w:val="24"/>
                <w:szCs w:val="24"/>
                <w:highlight w:val="none"/>
                <w:lang w:val="en-US" w:eastAsia="zh-CN"/>
              </w:rPr>
              <w:t>8</w:t>
            </w:r>
            <w:r>
              <w:rPr>
                <w:rFonts w:hint="eastAsia" w:ascii="宋体" w:hAnsi="宋体" w:eastAsia="宋体" w:cs="宋体"/>
                <w:b/>
                <w:strike w:val="0"/>
                <w:dstrike w:val="0"/>
                <w:color w:val="auto"/>
                <w:kern w:val="0"/>
                <w:sz w:val="24"/>
                <w:szCs w:val="24"/>
                <w:highlight w:val="none"/>
              </w:rPr>
              <w:t>分）</w:t>
            </w:r>
            <w:r>
              <w:rPr>
                <w:rFonts w:hint="eastAsia" w:ascii="宋体" w:hAnsi="宋体" w:cs="宋体"/>
                <w:b/>
                <w:strike w:val="0"/>
                <w:dstrike w:val="0"/>
                <w:color w:val="auto"/>
                <w:kern w:val="0"/>
                <w:sz w:val="24"/>
                <w:szCs w:val="24"/>
                <w:highlight w:val="none"/>
                <w:lang w:eastAsia="zh-CN"/>
              </w:rPr>
              <w:t>：</w:t>
            </w:r>
          </w:p>
          <w:p w14:paraId="1EB501C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strike w:val="0"/>
                <w:dstrike w:val="0"/>
                <w:color w:val="auto"/>
                <w:kern w:val="0"/>
                <w:sz w:val="24"/>
                <w:szCs w:val="24"/>
                <w:highlight w:val="none"/>
                <w:lang w:val="en-US" w:eastAsia="zh-CN"/>
              </w:rPr>
            </w:pP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具有本科及以上学历</w:t>
            </w:r>
            <w:r>
              <w:rPr>
                <w:rFonts w:hint="eastAsia" w:ascii="宋体" w:hAnsi="宋体" w:cs="宋体"/>
                <w:strike w:val="0"/>
                <w:dstrike w:val="0"/>
                <w:color w:val="auto"/>
                <w:kern w:val="0"/>
                <w:sz w:val="24"/>
                <w:szCs w:val="24"/>
                <w:highlight w:val="none"/>
                <w:lang w:val="en-US" w:eastAsia="zh-CN"/>
              </w:rPr>
              <w:t>证书，得2分；具有专科学历证书，得1分。</w:t>
            </w:r>
          </w:p>
          <w:p w14:paraId="4492FB6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cs="宋体"/>
                <w:strike w:val="0"/>
                <w:dstrike w:val="0"/>
                <w:color w:val="auto"/>
                <w:kern w:val="0"/>
                <w:sz w:val="24"/>
                <w:szCs w:val="24"/>
                <w:highlight w:val="none"/>
                <w:lang w:val="en-US" w:eastAsia="zh-CN"/>
              </w:rPr>
              <w:t>2.具有</w:t>
            </w:r>
            <w:r>
              <w:rPr>
                <w:rFonts w:hint="eastAsia" w:ascii="宋体" w:hAnsi="宋体" w:eastAsia="宋体" w:cs="宋体"/>
                <w:strike w:val="0"/>
                <w:dstrike w:val="0"/>
                <w:color w:val="auto"/>
                <w:kern w:val="0"/>
                <w:sz w:val="24"/>
                <w:szCs w:val="24"/>
                <w:highlight w:val="none"/>
              </w:rPr>
              <w:t>餐饮业高级职业经理人证书，得</w:t>
            </w:r>
            <w:r>
              <w:rPr>
                <w:rFonts w:hint="eastAsia" w:ascii="宋体" w:hAnsi="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分。</w:t>
            </w:r>
          </w:p>
          <w:p w14:paraId="0FC1888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rPr>
              <w:t>具有二级中式烹调师证书</w:t>
            </w:r>
            <w:r>
              <w:rPr>
                <w:rFonts w:hint="eastAsia" w:ascii="宋体" w:hAnsi="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得1分</w:t>
            </w:r>
            <w:r>
              <w:rPr>
                <w:rFonts w:hint="eastAsia" w:ascii="宋体" w:hAnsi="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具有一级中式烹调师证书</w:t>
            </w:r>
            <w:r>
              <w:rPr>
                <w:rFonts w:hint="eastAsia" w:ascii="宋体" w:hAnsi="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得2分。</w:t>
            </w:r>
          </w:p>
          <w:p w14:paraId="27D4884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cs="宋体"/>
                <w:strike w:val="0"/>
                <w:dstrike w:val="0"/>
                <w:color w:val="auto"/>
                <w:kern w:val="0"/>
                <w:sz w:val="24"/>
                <w:szCs w:val="24"/>
                <w:highlight w:val="none"/>
                <w:lang w:val="en-US" w:eastAsia="zh-CN"/>
              </w:rPr>
              <w:t>4.</w:t>
            </w:r>
            <w:r>
              <w:rPr>
                <w:rFonts w:hint="eastAsia" w:ascii="宋体" w:hAnsi="宋体" w:eastAsia="宋体" w:cs="宋体"/>
                <w:strike w:val="0"/>
                <w:dstrike w:val="0"/>
                <w:color w:val="auto"/>
                <w:kern w:val="0"/>
                <w:sz w:val="24"/>
                <w:szCs w:val="24"/>
                <w:highlight w:val="none"/>
              </w:rPr>
              <w:t>获得</w:t>
            </w:r>
            <w:r>
              <w:rPr>
                <w:rFonts w:hint="eastAsia" w:ascii="宋体" w:hAnsi="宋体" w:eastAsia="宋体" w:cs="宋体"/>
                <w:strike w:val="0"/>
                <w:dstrike w:val="0"/>
                <w:color w:val="auto"/>
                <w:kern w:val="0"/>
                <w:sz w:val="24"/>
                <w:szCs w:val="24"/>
                <w:highlight w:val="none"/>
                <w:u w:val="none"/>
              </w:rPr>
              <w:t>国内依法注册登记的协会(学会)或</w:t>
            </w:r>
            <w:r>
              <w:rPr>
                <w:rFonts w:hint="eastAsia" w:ascii="宋体" w:hAnsi="宋体" w:eastAsia="宋体" w:cs="宋体"/>
                <w:strike w:val="0"/>
                <w:dstrike w:val="0"/>
                <w:color w:val="auto"/>
                <w:kern w:val="0"/>
                <w:sz w:val="24"/>
                <w:szCs w:val="24"/>
                <w:highlight w:val="none"/>
              </w:rPr>
              <w:t>行政主管部门颁发的餐饮类荣誉奖项得2分。</w:t>
            </w:r>
          </w:p>
          <w:p w14:paraId="1807B68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kern w:val="0"/>
                <w:sz w:val="24"/>
                <w:szCs w:val="24"/>
                <w:highlight w:val="none"/>
                <w:lang w:eastAsia="zh-CN"/>
              </w:rPr>
            </w:pPr>
            <w:r>
              <w:rPr>
                <w:rFonts w:hint="eastAsia" w:ascii="宋体" w:hAnsi="宋体" w:cs="宋体"/>
                <w:b/>
                <w:strike w:val="0"/>
                <w:dstrike w:val="0"/>
                <w:color w:val="auto"/>
                <w:kern w:val="0"/>
                <w:sz w:val="24"/>
                <w:szCs w:val="24"/>
                <w:highlight w:val="none"/>
                <w:lang w:val="en-US" w:eastAsia="zh-CN"/>
              </w:rPr>
              <w:t>二、</w:t>
            </w:r>
            <w:r>
              <w:rPr>
                <w:rFonts w:hint="eastAsia" w:ascii="宋体" w:hAnsi="宋体" w:eastAsia="宋体" w:cs="宋体"/>
                <w:b/>
                <w:strike w:val="0"/>
                <w:dstrike w:val="0"/>
                <w:color w:val="auto"/>
                <w:kern w:val="0"/>
                <w:sz w:val="24"/>
                <w:szCs w:val="24"/>
                <w:highlight w:val="none"/>
              </w:rPr>
              <w:t>拟派厨师长1名（满分</w:t>
            </w:r>
            <w:r>
              <w:rPr>
                <w:rFonts w:hint="eastAsia" w:ascii="宋体" w:hAnsi="宋体" w:cs="宋体"/>
                <w:b/>
                <w:strike w:val="0"/>
                <w:dstrike w:val="0"/>
                <w:color w:val="auto"/>
                <w:kern w:val="0"/>
                <w:sz w:val="24"/>
                <w:szCs w:val="24"/>
                <w:highlight w:val="none"/>
                <w:lang w:val="en-US" w:eastAsia="zh-CN"/>
              </w:rPr>
              <w:t>4</w:t>
            </w:r>
            <w:r>
              <w:rPr>
                <w:rFonts w:hint="eastAsia" w:ascii="宋体" w:hAnsi="宋体" w:eastAsia="宋体" w:cs="宋体"/>
                <w:b/>
                <w:strike w:val="0"/>
                <w:dstrike w:val="0"/>
                <w:color w:val="auto"/>
                <w:kern w:val="0"/>
                <w:sz w:val="24"/>
                <w:szCs w:val="24"/>
                <w:highlight w:val="none"/>
              </w:rPr>
              <w:t>分）</w:t>
            </w:r>
            <w:r>
              <w:rPr>
                <w:rFonts w:hint="eastAsia" w:ascii="宋体" w:hAnsi="宋体" w:cs="宋体"/>
                <w:b/>
                <w:strike w:val="0"/>
                <w:dstrike w:val="0"/>
                <w:color w:val="auto"/>
                <w:kern w:val="0"/>
                <w:sz w:val="24"/>
                <w:szCs w:val="24"/>
                <w:highlight w:val="none"/>
                <w:lang w:eastAsia="zh-CN"/>
              </w:rPr>
              <w:t>：</w:t>
            </w:r>
          </w:p>
          <w:p w14:paraId="6DD6378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具有</w:t>
            </w:r>
            <w:r>
              <w:rPr>
                <w:rFonts w:hint="eastAsia" w:ascii="宋体" w:hAnsi="宋体" w:cs="宋体"/>
                <w:strike w:val="0"/>
                <w:dstrike w:val="0"/>
                <w:color w:val="auto"/>
                <w:kern w:val="0"/>
                <w:sz w:val="24"/>
                <w:szCs w:val="24"/>
                <w:highlight w:val="none"/>
                <w:lang w:val="en-US" w:eastAsia="zh-CN"/>
              </w:rPr>
              <w:t>二</w:t>
            </w:r>
            <w:r>
              <w:rPr>
                <w:rFonts w:hint="eastAsia" w:ascii="宋体" w:hAnsi="宋体" w:eastAsia="宋体" w:cs="宋体"/>
                <w:strike w:val="0"/>
                <w:dstrike w:val="0"/>
                <w:color w:val="auto"/>
                <w:kern w:val="0"/>
                <w:sz w:val="24"/>
                <w:szCs w:val="24"/>
                <w:highlight w:val="none"/>
              </w:rPr>
              <w:t>级中式烹调师证</w:t>
            </w:r>
            <w:r>
              <w:rPr>
                <w:rFonts w:hint="eastAsia" w:ascii="宋体" w:hAnsi="宋体" w:cs="宋体"/>
                <w:strike w:val="0"/>
                <w:dstrike w:val="0"/>
                <w:color w:val="auto"/>
                <w:kern w:val="0"/>
                <w:sz w:val="24"/>
                <w:szCs w:val="24"/>
                <w:highlight w:val="none"/>
                <w:lang w:val="en-US" w:eastAsia="zh-CN"/>
              </w:rPr>
              <w:t>书</w:t>
            </w:r>
            <w:r>
              <w:rPr>
                <w:rFonts w:hint="eastAsia" w:ascii="宋体" w:hAnsi="宋体" w:eastAsia="宋体" w:cs="宋体"/>
                <w:strike w:val="0"/>
                <w:dstrike w:val="0"/>
                <w:color w:val="auto"/>
                <w:kern w:val="0"/>
                <w:sz w:val="24"/>
                <w:szCs w:val="24"/>
                <w:highlight w:val="none"/>
              </w:rPr>
              <w:t>，得</w:t>
            </w: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分</w:t>
            </w:r>
            <w:r>
              <w:rPr>
                <w:rFonts w:hint="eastAsia" w:ascii="宋体" w:hAnsi="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具有一级中式烹调师证，得2分。</w:t>
            </w:r>
          </w:p>
          <w:p w14:paraId="6E2EF67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strike w:val="0"/>
                <w:dstrike w:val="0"/>
                <w:color w:val="auto"/>
                <w:kern w:val="0"/>
                <w:sz w:val="24"/>
                <w:szCs w:val="24"/>
                <w:highlight w:val="none"/>
                <w:lang w:val="en-US" w:eastAsia="zh-CN"/>
              </w:rPr>
            </w:pPr>
            <w:r>
              <w:rPr>
                <w:rFonts w:hint="eastAsia" w:ascii="宋体" w:hAnsi="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具有</w:t>
            </w:r>
            <w:r>
              <w:rPr>
                <w:rFonts w:hint="eastAsia" w:ascii="宋体" w:hAnsi="宋体" w:cs="宋体"/>
                <w:strike w:val="0"/>
                <w:dstrike w:val="0"/>
                <w:color w:val="auto"/>
                <w:kern w:val="0"/>
                <w:sz w:val="24"/>
                <w:szCs w:val="24"/>
                <w:highlight w:val="none"/>
                <w:lang w:val="en-US" w:eastAsia="zh-CN"/>
              </w:rPr>
              <w:t>二</w:t>
            </w:r>
            <w:r>
              <w:rPr>
                <w:rFonts w:hint="eastAsia" w:ascii="宋体" w:hAnsi="宋体" w:eastAsia="宋体" w:cs="宋体"/>
                <w:strike w:val="0"/>
                <w:dstrike w:val="0"/>
                <w:color w:val="auto"/>
                <w:kern w:val="0"/>
                <w:sz w:val="24"/>
                <w:szCs w:val="24"/>
                <w:highlight w:val="none"/>
              </w:rPr>
              <w:t>级中式面点师</w:t>
            </w:r>
            <w:r>
              <w:rPr>
                <w:rFonts w:hint="eastAsia" w:ascii="宋体" w:hAnsi="宋体" w:cs="宋体"/>
                <w:strike w:val="0"/>
                <w:dstrike w:val="0"/>
                <w:color w:val="auto"/>
                <w:kern w:val="0"/>
                <w:sz w:val="24"/>
                <w:szCs w:val="24"/>
                <w:highlight w:val="none"/>
                <w:lang w:val="en-US" w:eastAsia="zh-CN"/>
              </w:rPr>
              <w:t>证书</w:t>
            </w:r>
            <w:r>
              <w:rPr>
                <w:rFonts w:hint="eastAsia" w:ascii="宋体" w:hAnsi="宋体" w:eastAsia="宋体" w:cs="宋体"/>
                <w:strike w:val="0"/>
                <w:dstrike w:val="0"/>
                <w:color w:val="auto"/>
                <w:kern w:val="0"/>
                <w:sz w:val="24"/>
                <w:szCs w:val="24"/>
                <w:highlight w:val="none"/>
              </w:rPr>
              <w:t>，得</w:t>
            </w: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分</w:t>
            </w:r>
            <w:r>
              <w:rPr>
                <w:rFonts w:hint="eastAsia" w:ascii="宋体" w:hAnsi="宋体" w:cs="宋体"/>
                <w:strike w:val="0"/>
                <w:dstrike w:val="0"/>
                <w:color w:val="auto"/>
                <w:kern w:val="0"/>
                <w:sz w:val="24"/>
                <w:szCs w:val="24"/>
                <w:highlight w:val="none"/>
                <w:lang w:eastAsia="zh-CN"/>
              </w:rPr>
              <w:t>；</w:t>
            </w:r>
            <w:r>
              <w:rPr>
                <w:rFonts w:hint="eastAsia" w:ascii="宋体" w:hAnsi="宋体" w:eastAsia="宋体" w:cs="宋体"/>
                <w:strike w:val="0"/>
                <w:dstrike w:val="0"/>
                <w:color w:val="auto"/>
                <w:kern w:val="0"/>
                <w:sz w:val="24"/>
                <w:szCs w:val="24"/>
                <w:highlight w:val="none"/>
              </w:rPr>
              <w:t>具有一级中式面点师证，得2分</w:t>
            </w:r>
            <w:r>
              <w:rPr>
                <w:rFonts w:hint="eastAsia" w:ascii="宋体" w:hAnsi="宋体" w:cs="宋体"/>
                <w:strike w:val="0"/>
                <w:dstrike w:val="0"/>
                <w:color w:val="auto"/>
                <w:kern w:val="0"/>
                <w:sz w:val="24"/>
                <w:szCs w:val="24"/>
                <w:highlight w:val="none"/>
                <w:lang w:eastAsia="zh-CN"/>
              </w:rPr>
              <w:t>。</w:t>
            </w:r>
          </w:p>
          <w:p w14:paraId="126B985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kern w:val="0"/>
                <w:sz w:val="24"/>
                <w:szCs w:val="24"/>
                <w:highlight w:val="none"/>
                <w:lang w:eastAsia="zh-CN"/>
              </w:rPr>
            </w:pPr>
            <w:r>
              <w:rPr>
                <w:rFonts w:hint="eastAsia" w:ascii="宋体" w:hAnsi="宋体" w:cs="宋体"/>
                <w:b/>
                <w:strike w:val="0"/>
                <w:dstrike w:val="0"/>
                <w:color w:val="auto"/>
                <w:kern w:val="0"/>
                <w:sz w:val="24"/>
                <w:szCs w:val="24"/>
                <w:highlight w:val="none"/>
                <w:lang w:val="en-US" w:eastAsia="zh-CN"/>
              </w:rPr>
              <w:t>三、</w:t>
            </w:r>
            <w:r>
              <w:rPr>
                <w:rFonts w:hint="eastAsia" w:ascii="宋体" w:hAnsi="宋体" w:eastAsia="宋体" w:cs="宋体"/>
                <w:b/>
                <w:strike w:val="0"/>
                <w:dstrike w:val="0"/>
                <w:color w:val="auto"/>
                <w:kern w:val="0"/>
                <w:sz w:val="24"/>
                <w:szCs w:val="24"/>
                <w:highlight w:val="none"/>
              </w:rPr>
              <w:t>拟派食品安全总监1名（满分</w:t>
            </w:r>
            <w:r>
              <w:rPr>
                <w:rFonts w:hint="eastAsia" w:ascii="宋体" w:hAnsi="宋体" w:cs="宋体"/>
                <w:b/>
                <w:strike w:val="0"/>
                <w:dstrike w:val="0"/>
                <w:color w:val="auto"/>
                <w:kern w:val="0"/>
                <w:sz w:val="24"/>
                <w:szCs w:val="24"/>
                <w:highlight w:val="none"/>
                <w:lang w:val="en-US" w:eastAsia="zh-CN"/>
              </w:rPr>
              <w:t>4</w:t>
            </w:r>
            <w:r>
              <w:rPr>
                <w:rFonts w:hint="eastAsia" w:ascii="宋体" w:hAnsi="宋体" w:eastAsia="宋体" w:cs="宋体"/>
                <w:b/>
                <w:strike w:val="0"/>
                <w:dstrike w:val="0"/>
                <w:color w:val="auto"/>
                <w:kern w:val="0"/>
                <w:sz w:val="24"/>
                <w:szCs w:val="24"/>
                <w:highlight w:val="none"/>
              </w:rPr>
              <w:t xml:space="preserve"> 分）</w:t>
            </w:r>
            <w:r>
              <w:rPr>
                <w:rFonts w:hint="eastAsia" w:ascii="宋体" w:hAnsi="宋体" w:cs="宋体"/>
                <w:b/>
                <w:strike w:val="0"/>
                <w:dstrike w:val="0"/>
                <w:color w:val="auto"/>
                <w:kern w:val="0"/>
                <w:sz w:val="24"/>
                <w:szCs w:val="24"/>
                <w:highlight w:val="none"/>
                <w:lang w:eastAsia="zh-CN"/>
              </w:rPr>
              <w:t>：</w:t>
            </w:r>
          </w:p>
          <w:p w14:paraId="5351BC2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lang w:eastAsia="zh-CN"/>
              </w:rPr>
            </w:pP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具有本科及以上学历</w:t>
            </w:r>
            <w:r>
              <w:rPr>
                <w:rFonts w:hint="eastAsia" w:ascii="宋体" w:hAnsi="宋体" w:cs="宋体"/>
                <w:strike w:val="0"/>
                <w:dstrike w:val="0"/>
                <w:color w:val="auto"/>
                <w:kern w:val="0"/>
                <w:sz w:val="24"/>
                <w:szCs w:val="24"/>
                <w:highlight w:val="none"/>
                <w:lang w:val="en-US" w:eastAsia="zh-CN"/>
              </w:rPr>
              <w:t>证书，得2分；具有专科学历证书，得1分。</w:t>
            </w:r>
          </w:p>
          <w:p w14:paraId="0393CA3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strike w:val="0"/>
                <w:dstrike w:val="0"/>
                <w:color w:val="auto"/>
                <w:kern w:val="0"/>
                <w:sz w:val="24"/>
                <w:szCs w:val="24"/>
                <w:highlight w:val="none"/>
              </w:rPr>
              <w:t>2.具有市场监督管理部门颁发的食品安全总监培训合格证书，得</w:t>
            </w:r>
            <w:r>
              <w:rPr>
                <w:rFonts w:hint="eastAsia" w:ascii="宋体" w:hAnsi="宋体" w:cs="宋体"/>
                <w:strike w:val="0"/>
                <w:dstrike w:val="0"/>
                <w:color w:val="auto"/>
                <w:kern w:val="0"/>
                <w:sz w:val="24"/>
                <w:szCs w:val="24"/>
                <w:highlight w:val="none"/>
                <w:lang w:val="en-US" w:eastAsia="zh-CN"/>
              </w:rPr>
              <w:t>2</w:t>
            </w:r>
            <w:r>
              <w:rPr>
                <w:rFonts w:hint="eastAsia" w:ascii="宋体" w:hAnsi="宋体" w:eastAsia="宋体" w:cs="宋体"/>
                <w:strike w:val="0"/>
                <w:dstrike w:val="0"/>
                <w:color w:val="auto"/>
                <w:kern w:val="0"/>
                <w:sz w:val="24"/>
                <w:szCs w:val="24"/>
                <w:highlight w:val="none"/>
              </w:rPr>
              <w:t>分。</w:t>
            </w:r>
          </w:p>
          <w:p w14:paraId="0C0C5E8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kern w:val="0"/>
                <w:sz w:val="24"/>
                <w:szCs w:val="24"/>
                <w:highlight w:val="none"/>
                <w:lang w:eastAsia="zh-CN"/>
              </w:rPr>
            </w:pPr>
            <w:r>
              <w:rPr>
                <w:rFonts w:hint="eastAsia" w:ascii="宋体" w:hAnsi="宋体" w:cs="宋体"/>
                <w:b/>
                <w:strike w:val="0"/>
                <w:dstrike w:val="0"/>
                <w:color w:val="auto"/>
                <w:kern w:val="0"/>
                <w:sz w:val="24"/>
                <w:szCs w:val="24"/>
                <w:highlight w:val="none"/>
                <w:lang w:val="en-US" w:eastAsia="zh-CN"/>
              </w:rPr>
              <w:t>四、拟派</w:t>
            </w:r>
            <w:r>
              <w:rPr>
                <w:rFonts w:hint="eastAsia" w:ascii="宋体" w:hAnsi="宋体" w:eastAsia="宋体" w:cs="宋体"/>
                <w:b/>
                <w:strike w:val="0"/>
                <w:dstrike w:val="0"/>
                <w:color w:val="auto"/>
                <w:kern w:val="0"/>
                <w:sz w:val="24"/>
                <w:szCs w:val="24"/>
                <w:highlight w:val="none"/>
              </w:rPr>
              <w:t>营养师1名（满分2 分）</w:t>
            </w:r>
            <w:r>
              <w:rPr>
                <w:rFonts w:hint="eastAsia" w:ascii="宋体" w:hAnsi="宋体" w:cs="宋体"/>
                <w:b/>
                <w:strike w:val="0"/>
                <w:dstrike w:val="0"/>
                <w:color w:val="auto"/>
                <w:kern w:val="0"/>
                <w:sz w:val="24"/>
                <w:szCs w:val="24"/>
                <w:highlight w:val="none"/>
                <w:lang w:eastAsia="zh-CN"/>
              </w:rPr>
              <w:t>：</w:t>
            </w:r>
          </w:p>
          <w:p w14:paraId="6A1F43F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rPr>
              <w:t>具有三级及以上公共营养师</w:t>
            </w:r>
            <w:r>
              <w:rPr>
                <w:rFonts w:hint="eastAsia" w:ascii="宋体" w:hAnsi="宋体" w:cs="宋体"/>
                <w:strike w:val="0"/>
                <w:dstrike w:val="0"/>
                <w:color w:val="auto"/>
                <w:kern w:val="0"/>
                <w:sz w:val="24"/>
                <w:szCs w:val="24"/>
                <w:highlight w:val="none"/>
                <w:lang w:val="en-US" w:eastAsia="zh-CN"/>
              </w:rPr>
              <w:t>证书，</w:t>
            </w:r>
            <w:r>
              <w:rPr>
                <w:rFonts w:hint="eastAsia" w:ascii="宋体" w:hAnsi="宋体" w:eastAsia="宋体" w:cs="宋体"/>
                <w:strike w:val="0"/>
                <w:dstrike w:val="0"/>
                <w:color w:val="auto"/>
                <w:kern w:val="0"/>
                <w:sz w:val="24"/>
                <w:szCs w:val="24"/>
                <w:highlight w:val="none"/>
              </w:rPr>
              <w:t>得2分。</w:t>
            </w:r>
          </w:p>
          <w:p w14:paraId="6E27728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sz w:val="24"/>
                <w:highlight w:val="none"/>
                <w:u w:val="none"/>
              </w:rPr>
            </w:pPr>
            <w:r>
              <w:rPr>
                <w:rFonts w:hint="eastAsia" w:ascii="宋体" w:hAnsi="宋体" w:eastAsia="宋体" w:cs="宋体"/>
                <w:b/>
                <w:strike w:val="0"/>
                <w:dstrike w:val="0"/>
                <w:color w:val="auto"/>
                <w:sz w:val="24"/>
                <w:highlight w:val="none"/>
                <w:u w:val="none"/>
              </w:rPr>
              <w:t>注：上述人员不得兼任；</w:t>
            </w:r>
            <w:r>
              <w:rPr>
                <w:rFonts w:hint="eastAsia" w:ascii="宋体" w:hAnsi="宋体" w:eastAsia="宋体" w:cs="宋体"/>
                <w:b/>
                <w:strike w:val="0"/>
                <w:dstrike w:val="0"/>
                <w:color w:val="auto"/>
                <w:sz w:val="24"/>
                <w:highlight w:val="none"/>
                <w:u w:val="none"/>
                <w:lang w:val="en-US" w:eastAsia="zh-CN"/>
              </w:rPr>
              <w:t>投标</w:t>
            </w:r>
            <w:r>
              <w:rPr>
                <w:rFonts w:hint="eastAsia" w:ascii="宋体" w:hAnsi="宋体" w:eastAsia="宋体" w:cs="宋体"/>
                <w:b/>
                <w:strike w:val="0"/>
                <w:dstrike w:val="0"/>
                <w:color w:val="auto"/>
                <w:sz w:val="24"/>
                <w:highlight w:val="none"/>
                <w:u w:val="none"/>
                <w:lang w:eastAsia="zh-CN"/>
              </w:rPr>
              <w:t>文件</w:t>
            </w:r>
            <w:r>
              <w:rPr>
                <w:rFonts w:hint="eastAsia" w:ascii="宋体" w:hAnsi="宋体" w:eastAsia="宋体" w:cs="宋体"/>
                <w:b/>
                <w:strike w:val="0"/>
                <w:dstrike w:val="0"/>
                <w:color w:val="auto"/>
                <w:sz w:val="24"/>
                <w:highlight w:val="none"/>
                <w:u w:val="none"/>
              </w:rPr>
              <w:t>中同时提供以下证明材料：</w:t>
            </w:r>
          </w:p>
          <w:p w14:paraId="2E9C670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sz w:val="24"/>
                <w:highlight w:val="none"/>
                <w:u w:val="none"/>
              </w:rPr>
            </w:pPr>
            <w:r>
              <w:rPr>
                <w:rFonts w:hint="eastAsia" w:ascii="宋体" w:hAnsi="宋体" w:eastAsia="宋体" w:cs="宋体"/>
                <w:b/>
                <w:strike w:val="0"/>
                <w:dstrike w:val="0"/>
                <w:color w:val="auto"/>
                <w:sz w:val="24"/>
                <w:highlight w:val="none"/>
                <w:u w:val="none"/>
              </w:rPr>
              <w:t>（1）人员名单（格式自拟）；</w:t>
            </w:r>
          </w:p>
          <w:p w14:paraId="1452C80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sz w:val="24"/>
                <w:highlight w:val="none"/>
                <w:u w:val="none"/>
              </w:rPr>
            </w:pPr>
            <w:r>
              <w:rPr>
                <w:rFonts w:hint="eastAsia" w:ascii="宋体" w:hAnsi="宋体" w:eastAsia="宋体" w:cs="宋体"/>
                <w:b/>
                <w:strike w:val="0"/>
                <w:dstrike w:val="0"/>
                <w:color w:val="auto"/>
                <w:sz w:val="24"/>
                <w:highlight w:val="none"/>
                <w:u w:val="none"/>
              </w:rPr>
              <w:t>（2）上述人员证书扫描件</w:t>
            </w:r>
            <w:r>
              <w:rPr>
                <w:rFonts w:hint="eastAsia" w:ascii="宋体" w:hAnsi="宋体" w:eastAsia="宋体" w:cs="宋体"/>
                <w:b/>
                <w:strike w:val="0"/>
                <w:dstrike w:val="0"/>
                <w:color w:val="auto"/>
                <w:sz w:val="24"/>
                <w:highlight w:val="none"/>
                <w:u w:val="none"/>
                <w:lang w:val="en-US" w:eastAsia="zh-CN"/>
              </w:rPr>
              <w:t>或影印件</w:t>
            </w:r>
            <w:r>
              <w:rPr>
                <w:rFonts w:hint="eastAsia" w:ascii="宋体" w:hAnsi="宋体" w:eastAsia="宋体" w:cs="宋体"/>
                <w:b/>
                <w:strike w:val="0"/>
                <w:dstrike w:val="0"/>
                <w:color w:val="auto"/>
                <w:sz w:val="24"/>
                <w:highlight w:val="none"/>
                <w:u w:val="none"/>
              </w:rPr>
              <w:t>；</w:t>
            </w:r>
          </w:p>
          <w:p w14:paraId="2FA94FA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strike w:val="0"/>
                <w:dstrike w:val="0"/>
                <w:color w:val="auto"/>
                <w:sz w:val="24"/>
                <w:highlight w:val="none"/>
                <w:u w:val="none"/>
              </w:rPr>
            </w:pPr>
            <w:r>
              <w:rPr>
                <w:rFonts w:hint="eastAsia" w:ascii="宋体" w:hAnsi="宋体" w:eastAsia="宋体" w:cs="宋体"/>
                <w:b/>
                <w:strike w:val="0"/>
                <w:dstrike w:val="0"/>
                <w:color w:val="auto"/>
                <w:sz w:val="24"/>
                <w:highlight w:val="none"/>
                <w:u w:val="none"/>
              </w:rPr>
              <w:t>（3）</w:t>
            </w:r>
            <w:r>
              <w:rPr>
                <w:rFonts w:hint="eastAsia" w:ascii="宋体" w:hAnsi="宋体" w:eastAsia="宋体" w:cs="宋体"/>
                <w:b/>
                <w:strike w:val="0"/>
                <w:dstrike w:val="0"/>
                <w:color w:val="auto"/>
                <w:sz w:val="24"/>
                <w:highlight w:val="none"/>
                <w:u w:val="none"/>
                <w:lang w:val="en-US" w:eastAsia="zh-CN"/>
              </w:rPr>
              <w:t>投标人</w:t>
            </w:r>
            <w:r>
              <w:rPr>
                <w:rFonts w:hint="eastAsia" w:ascii="宋体" w:hAnsi="宋体" w:eastAsia="宋体" w:cs="宋体"/>
                <w:b/>
                <w:strike w:val="0"/>
                <w:dstrike w:val="0"/>
                <w:color w:val="auto"/>
                <w:sz w:val="24"/>
                <w:highlight w:val="none"/>
                <w:u w:val="none"/>
              </w:rPr>
              <w:t>为上述人员缴纳的近3个月内（任意一个月即可）社保证明材料扫描件</w:t>
            </w:r>
            <w:r>
              <w:rPr>
                <w:rFonts w:hint="eastAsia" w:ascii="宋体" w:hAnsi="宋体" w:eastAsia="宋体" w:cs="宋体"/>
                <w:b/>
                <w:strike w:val="0"/>
                <w:dstrike w:val="0"/>
                <w:color w:val="auto"/>
                <w:sz w:val="24"/>
                <w:highlight w:val="none"/>
                <w:u w:val="none"/>
                <w:lang w:val="en-US" w:eastAsia="zh-CN"/>
              </w:rPr>
              <w:t>或影印件。</w:t>
            </w:r>
            <w:r>
              <w:rPr>
                <w:rFonts w:hint="eastAsia" w:ascii="宋体" w:hAnsi="宋体" w:eastAsia="宋体" w:cs="宋体"/>
                <w:b/>
                <w:strike w:val="0"/>
                <w:dstrike w:val="0"/>
                <w:color w:val="auto"/>
                <w:sz w:val="24"/>
                <w:highlight w:val="none"/>
                <w:u w:val="none"/>
              </w:rPr>
              <w:t>（注：社保证明材料至少含养老保险）。</w:t>
            </w:r>
          </w:p>
          <w:p w14:paraId="6FE350C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strike w:val="0"/>
                <w:dstrike w:val="0"/>
                <w:color w:val="auto"/>
                <w:kern w:val="0"/>
                <w:sz w:val="24"/>
                <w:szCs w:val="24"/>
                <w:highlight w:val="none"/>
                <w:lang w:val="en-US" w:eastAsia="zh-CN"/>
              </w:rPr>
            </w:pPr>
            <w:r>
              <w:rPr>
                <w:rFonts w:hint="eastAsia" w:ascii="宋体" w:hAnsi="宋体" w:eastAsia="宋体" w:cs="宋体"/>
                <w:b/>
                <w:strike w:val="0"/>
                <w:dstrike w:val="0"/>
                <w:color w:val="auto"/>
                <w:sz w:val="24"/>
                <w:highlight w:val="none"/>
                <w:u w:val="none"/>
              </w:rPr>
              <w:t>具体可通过下述形式之一</w:t>
            </w:r>
            <w:r>
              <w:rPr>
                <w:rFonts w:hint="eastAsia" w:ascii="宋体" w:hAnsi="宋体" w:eastAsia="宋体" w:cs="宋体"/>
                <w:b/>
                <w:strike w:val="0"/>
                <w:dstrike w:val="0"/>
                <w:color w:val="auto"/>
                <w:sz w:val="24"/>
                <w:highlight w:val="none"/>
                <w:u w:val="none"/>
                <w:lang w:eastAsia="zh-CN"/>
              </w:rPr>
              <w:t>：</w:t>
            </w:r>
            <w:r>
              <w:rPr>
                <w:rFonts w:hint="eastAsia" w:ascii="宋体" w:hAnsi="宋体" w:eastAsia="宋体" w:cs="宋体"/>
                <w:b/>
                <w:strike w:val="0"/>
                <w:dstrike w:val="0"/>
                <w:color w:val="auto"/>
                <w:sz w:val="24"/>
                <w:highlight w:val="none"/>
                <w:u w:val="none"/>
                <w:lang w:val="en-US" w:eastAsia="zh-CN"/>
              </w:rPr>
              <w:t>①</w:t>
            </w:r>
            <w:r>
              <w:rPr>
                <w:rFonts w:hint="eastAsia" w:ascii="宋体" w:hAnsi="宋体" w:eastAsia="宋体" w:cs="宋体"/>
                <w:b/>
                <w:strike w:val="0"/>
                <w:dstrike w:val="0"/>
                <w:color w:val="auto"/>
                <w:sz w:val="24"/>
                <w:highlight w:val="none"/>
                <w:u w:val="none"/>
              </w:rPr>
              <w:t>社保局官方网站查询的个人缴费记录截图打印件；</w:t>
            </w:r>
            <w:r>
              <w:rPr>
                <w:rFonts w:hint="eastAsia" w:ascii="宋体" w:hAnsi="宋体" w:eastAsia="宋体" w:cs="宋体"/>
                <w:b/>
                <w:strike w:val="0"/>
                <w:dstrike w:val="0"/>
                <w:color w:val="auto"/>
                <w:sz w:val="24"/>
                <w:highlight w:val="none"/>
                <w:u w:val="none"/>
                <w:lang w:val="en-US" w:eastAsia="zh-CN"/>
              </w:rPr>
              <w:t>②</w:t>
            </w:r>
            <w:r>
              <w:rPr>
                <w:rFonts w:hint="eastAsia" w:ascii="宋体" w:hAnsi="宋体" w:eastAsia="宋体" w:cs="宋体"/>
                <w:b/>
                <w:strike w:val="0"/>
                <w:dstrike w:val="0"/>
                <w:color w:val="auto"/>
                <w:sz w:val="24"/>
                <w:highlight w:val="none"/>
                <w:u w:val="none"/>
              </w:rPr>
              <w:t>社保局的书面证明材料；</w:t>
            </w:r>
            <w:r>
              <w:rPr>
                <w:rFonts w:hint="eastAsia" w:ascii="宋体" w:hAnsi="宋体" w:eastAsia="宋体" w:cs="宋体"/>
                <w:b/>
                <w:strike w:val="0"/>
                <w:dstrike w:val="0"/>
                <w:color w:val="auto"/>
                <w:sz w:val="24"/>
                <w:highlight w:val="none"/>
                <w:u w:val="none"/>
                <w:lang w:val="en-US" w:eastAsia="zh-CN"/>
              </w:rPr>
              <w:t>③</w:t>
            </w:r>
            <w:r>
              <w:rPr>
                <w:rFonts w:hint="eastAsia" w:ascii="宋体" w:hAnsi="宋体" w:eastAsia="宋体" w:cs="宋体"/>
                <w:b/>
                <w:strike w:val="0"/>
                <w:dstrike w:val="0"/>
                <w:color w:val="auto"/>
                <w:sz w:val="24"/>
                <w:highlight w:val="none"/>
                <w:u w:val="none"/>
              </w:rPr>
              <w:t>经</w:t>
            </w:r>
            <w:r>
              <w:rPr>
                <w:rFonts w:hint="eastAsia" w:ascii="宋体" w:hAnsi="宋体" w:eastAsia="宋体" w:cs="宋体"/>
                <w:b/>
                <w:strike w:val="0"/>
                <w:dstrike w:val="0"/>
                <w:color w:val="auto"/>
                <w:sz w:val="24"/>
                <w:highlight w:val="none"/>
                <w:u w:val="none"/>
                <w:lang w:eastAsia="zh-CN"/>
              </w:rPr>
              <w:t>投标人</w:t>
            </w:r>
            <w:r>
              <w:rPr>
                <w:rFonts w:hint="eastAsia" w:ascii="宋体" w:hAnsi="宋体" w:eastAsia="宋体" w:cs="宋体"/>
                <w:b/>
                <w:strike w:val="0"/>
                <w:dstrike w:val="0"/>
                <w:color w:val="auto"/>
                <w:sz w:val="24"/>
                <w:highlight w:val="none"/>
                <w:u w:val="none"/>
              </w:rPr>
              <w:t>委托的第三方人力资源服务机构或与投标人有直接隶属关系的机构可以代缴社保，但须提供有关证明材料并经评委会确认。未提供或提供不全不得分。</w:t>
            </w:r>
          </w:p>
          <w:p w14:paraId="0EC208D9">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eastAsia="宋体" w:cs="宋体"/>
                <w:b/>
                <w:strike w:val="0"/>
                <w:dstrike w:val="0"/>
                <w:color w:val="auto"/>
                <w:sz w:val="24"/>
                <w:highlight w:val="none"/>
                <w:u w:val="none"/>
                <w:lang w:eastAsia="zh-CN"/>
              </w:rPr>
              <w:t>（</w:t>
            </w:r>
            <w:r>
              <w:rPr>
                <w:rFonts w:hint="eastAsia" w:ascii="宋体" w:hAnsi="宋体" w:eastAsia="宋体" w:cs="宋体"/>
                <w:b/>
                <w:strike w:val="0"/>
                <w:dstrike w:val="0"/>
                <w:color w:val="auto"/>
                <w:sz w:val="24"/>
                <w:highlight w:val="none"/>
                <w:u w:val="none"/>
                <w:lang w:val="en-US" w:eastAsia="zh-CN"/>
              </w:rPr>
              <w:t>4</w:t>
            </w:r>
            <w:r>
              <w:rPr>
                <w:rFonts w:hint="eastAsia" w:ascii="宋体" w:hAnsi="宋体" w:eastAsia="宋体" w:cs="宋体"/>
                <w:b/>
                <w:strike w:val="0"/>
                <w:dstrike w:val="0"/>
                <w:color w:val="auto"/>
                <w:sz w:val="24"/>
                <w:highlight w:val="none"/>
                <w:u w:val="none"/>
                <w:lang w:eastAsia="zh-CN"/>
              </w:rPr>
              <w:t>）</w:t>
            </w:r>
            <w:r>
              <w:rPr>
                <w:rFonts w:hint="eastAsia" w:ascii="宋体" w:hAnsi="宋体" w:eastAsia="宋体" w:cs="宋体"/>
                <w:b/>
                <w:strike w:val="0"/>
                <w:dstrike w:val="0"/>
                <w:color w:val="auto"/>
                <w:sz w:val="24"/>
                <w:highlight w:val="none"/>
                <w:u w:val="none"/>
                <w:lang w:val="en-US" w:eastAsia="zh-CN"/>
              </w:rPr>
              <w:t>其中“</w:t>
            </w:r>
            <w:r>
              <w:rPr>
                <w:rFonts w:hint="eastAsia" w:ascii="宋体" w:hAnsi="宋体" w:eastAsia="宋体" w:cs="宋体"/>
                <w:b/>
                <w:strike w:val="0"/>
                <w:dstrike w:val="0"/>
                <w:color w:val="auto"/>
                <w:sz w:val="24"/>
                <w:highlight w:val="none"/>
                <w:u w:val="none"/>
              </w:rPr>
              <w:t>中式烹调师、中式面点师、健康管理师、公共营养师</w:t>
            </w:r>
            <w:r>
              <w:rPr>
                <w:rFonts w:hint="eastAsia" w:ascii="宋体" w:hAnsi="宋体" w:eastAsia="宋体" w:cs="宋体"/>
                <w:b/>
                <w:strike w:val="0"/>
                <w:dstrike w:val="0"/>
                <w:color w:val="auto"/>
                <w:sz w:val="24"/>
                <w:highlight w:val="none"/>
                <w:u w:val="none"/>
                <w:lang w:val="en-US" w:eastAsia="zh-CN"/>
              </w:rPr>
              <w:t>”需提供“国家职业资格证书全国联网查询”或“技能人才评价证书全国联网查询”网站（网址：http://zscx.osta.org.cn）查询截图。</w:t>
            </w:r>
          </w:p>
          <w:p w14:paraId="383E781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rPr>
            </w:pPr>
            <w:r>
              <w:rPr>
                <w:rFonts w:hint="eastAsia" w:ascii="宋体" w:hAnsi="宋体" w:cs="宋体"/>
                <w:b/>
                <w:bCs/>
                <w:strike w:val="0"/>
                <w:dstrike w:val="0"/>
                <w:color w:val="auto"/>
                <w:kern w:val="0"/>
                <w:sz w:val="24"/>
                <w:szCs w:val="24"/>
                <w:highlight w:val="none"/>
                <w:lang w:eastAsia="zh-CN"/>
              </w:rPr>
              <w:t>（</w:t>
            </w:r>
            <w:r>
              <w:rPr>
                <w:rFonts w:hint="eastAsia" w:ascii="宋体" w:hAnsi="宋体" w:cs="宋体"/>
                <w:b/>
                <w:bCs/>
                <w:strike w:val="0"/>
                <w:dstrike w:val="0"/>
                <w:color w:val="auto"/>
                <w:kern w:val="0"/>
                <w:sz w:val="24"/>
                <w:szCs w:val="24"/>
                <w:highlight w:val="none"/>
                <w:lang w:val="en-US" w:eastAsia="zh-CN"/>
              </w:rPr>
              <w:t>5</w:t>
            </w:r>
            <w:r>
              <w:rPr>
                <w:rFonts w:hint="eastAsia" w:ascii="宋体" w:hAnsi="宋体" w:cs="宋体"/>
                <w:b/>
                <w:bCs/>
                <w:strike w:val="0"/>
                <w:dstrike w:val="0"/>
                <w:color w:val="auto"/>
                <w:kern w:val="0"/>
                <w:sz w:val="24"/>
                <w:szCs w:val="24"/>
                <w:highlight w:val="none"/>
                <w:lang w:eastAsia="zh-CN"/>
              </w:rPr>
              <w:t>）</w:t>
            </w:r>
            <w:r>
              <w:rPr>
                <w:rFonts w:hint="eastAsia" w:ascii="宋体" w:hAnsi="宋体" w:eastAsia="宋体" w:cs="宋体"/>
                <w:b/>
                <w:bCs/>
                <w:strike w:val="0"/>
                <w:dstrike w:val="0"/>
                <w:color w:val="auto"/>
                <w:kern w:val="0"/>
                <w:sz w:val="24"/>
                <w:szCs w:val="24"/>
                <w:highlight w:val="none"/>
                <w:lang w:val="en-US" w:eastAsia="zh-CN"/>
              </w:rPr>
              <w:t>荣誉奖项：</w:t>
            </w:r>
            <w:r>
              <w:rPr>
                <w:rFonts w:hint="eastAsia" w:ascii="宋体" w:hAnsi="宋体" w:eastAsia="宋体" w:cs="宋体"/>
                <w:b/>
                <w:bCs/>
                <w:strike w:val="0"/>
                <w:dstrike w:val="0"/>
                <w:color w:val="auto"/>
                <w:kern w:val="0"/>
                <w:sz w:val="24"/>
                <w:szCs w:val="24"/>
                <w:highlight w:val="none"/>
              </w:rPr>
              <w:t>投标文件中需提供获奖证书、 批复、颁奖单位、颁奖文件，网上公示截图（具有其中之一即可）等证明材料。以上材料提供扫描件或影印见，须能体现人员姓名，如无法体现，须另附颁奖单位的相关证明文件，未提供或提供不全的不得分。</w:t>
            </w:r>
          </w:p>
        </w:tc>
        <w:tc>
          <w:tcPr>
            <w:tcW w:w="1288" w:type="dxa"/>
            <w:tcBorders>
              <w:top w:val="single" w:color="000000" w:sz="6" w:space="0"/>
              <w:left w:val="single" w:color="000000" w:sz="6" w:space="0"/>
              <w:bottom w:val="single" w:color="000000" w:sz="6" w:space="0"/>
              <w:right w:val="single" w:color="000000" w:sz="6" w:space="0"/>
            </w:tcBorders>
            <w:vAlign w:val="center"/>
          </w:tcPr>
          <w:p w14:paraId="03E6B51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18</w:t>
            </w:r>
            <w:r>
              <w:rPr>
                <w:rFonts w:hint="eastAsia" w:ascii="宋体" w:hAnsi="宋体" w:eastAsia="宋体" w:cs="宋体"/>
                <w:color w:val="000000"/>
                <w:kern w:val="0"/>
                <w:sz w:val="24"/>
                <w:szCs w:val="24"/>
              </w:rPr>
              <w:t>分</w:t>
            </w:r>
          </w:p>
        </w:tc>
      </w:tr>
      <w:tr w14:paraId="644E6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3E127E0F">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C1E00EC">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项目经理业绩</w:t>
            </w:r>
          </w:p>
        </w:tc>
        <w:tc>
          <w:tcPr>
            <w:tcW w:w="5857" w:type="dxa"/>
            <w:tcBorders>
              <w:top w:val="single" w:color="000000" w:sz="6" w:space="0"/>
              <w:left w:val="single" w:color="000000" w:sz="6" w:space="0"/>
              <w:bottom w:val="single" w:color="000000" w:sz="6" w:space="0"/>
              <w:right w:val="single" w:color="000000" w:sz="6" w:space="0"/>
            </w:tcBorders>
            <w:vAlign w:val="center"/>
          </w:tcPr>
          <w:p w14:paraId="5E8A5CB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strike w:val="0"/>
                <w:dstrike w:val="0"/>
                <w:color w:val="auto"/>
                <w:kern w:val="0"/>
                <w:sz w:val="24"/>
                <w:szCs w:val="24"/>
                <w:highlight w:val="none"/>
                <w:lang w:val="en-US" w:eastAsia="zh-CN"/>
              </w:rPr>
            </w:pPr>
            <w:r>
              <w:rPr>
                <w:rFonts w:hint="eastAsia" w:ascii="宋体" w:hAnsi="宋体" w:eastAsia="宋体" w:cs="宋体"/>
                <w:strike w:val="0"/>
                <w:dstrike w:val="0"/>
                <w:color w:val="auto"/>
                <w:kern w:val="0"/>
                <w:sz w:val="24"/>
                <w:szCs w:val="24"/>
                <w:highlight w:val="none"/>
                <w:lang w:val="en-US" w:eastAsia="zh-CN"/>
              </w:rPr>
              <w:t>自</w:t>
            </w:r>
            <w:r>
              <w:rPr>
                <w:rFonts w:hint="eastAsia" w:ascii="宋体" w:hAnsi="宋体" w:cs="宋体"/>
                <w:strike w:val="0"/>
                <w:dstrike w:val="0"/>
                <w:color w:val="auto"/>
                <w:kern w:val="0"/>
                <w:sz w:val="24"/>
                <w:szCs w:val="24"/>
                <w:highlight w:val="none"/>
                <w:lang w:val="en-US" w:eastAsia="zh-CN"/>
              </w:rPr>
              <w:t>2022</w:t>
            </w:r>
            <w:r>
              <w:rPr>
                <w:rFonts w:hint="eastAsia" w:ascii="宋体" w:hAnsi="宋体" w:eastAsia="宋体" w:cs="宋体"/>
                <w:strike w:val="0"/>
                <w:dstrike w:val="0"/>
                <w:color w:val="auto"/>
                <w:kern w:val="0"/>
                <w:sz w:val="24"/>
                <w:szCs w:val="24"/>
                <w:highlight w:val="none"/>
                <w:lang w:val="en-US" w:eastAsia="zh-CN"/>
              </w:rPr>
              <w:t>年1月1日以来</w:t>
            </w:r>
            <w:r>
              <w:rPr>
                <w:rFonts w:hint="eastAsia" w:ascii="宋体" w:hAnsi="宋体" w:eastAsia="宋体" w:cs="宋体"/>
                <w:b/>
                <w:bCs/>
                <w:strike w:val="0"/>
                <w:dstrike w:val="0"/>
                <w:color w:val="auto"/>
                <w:kern w:val="0"/>
                <w:sz w:val="24"/>
                <w:szCs w:val="24"/>
                <w:highlight w:val="none"/>
                <w:lang w:val="en-US" w:eastAsia="zh-CN"/>
              </w:rPr>
              <w:t>（以合同签订时间为准）</w:t>
            </w:r>
            <w:r>
              <w:rPr>
                <w:rFonts w:hint="eastAsia" w:ascii="宋体" w:hAnsi="宋体" w:eastAsia="宋体" w:cs="宋体"/>
                <w:strike w:val="0"/>
                <w:dstrike w:val="0"/>
                <w:color w:val="auto"/>
                <w:kern w:val="0"/>
                <w:sz w:val="24"/>
                <w:szCs w:val="24"/>
                <w:highlight w:val="none"/>
                <w:lang w:val="en-US" w:eastAsia="zh-CN"/>
              </w:rPr>
              <w:t>，</w:t>
            </w:r>
            <w:r>
              <w:rPr>
                <w:rFonts w:hint="eastAsia" w:ascii="宋体" w:hAnsi="宋体" w:cs="宋体"/>
                <w:strike w:val="0"/>
                <w:dstrike w:val="0"/>
                <w:color w:val="auto"/>
                <w:kern w:val="0"/>
                <w:sz w:val="24"/>
                <w:szCs w:val="24"/>
                <w:highlight w:val="none"/>
                <w:lang w:val="en-US" w:eastAsia="zh-CN"/>
              </w:rPr>
              <w:t>拟派项目经理</w:t>
            </w:r>
            <w:r>
              <w:rPr>
                <w:rFonts w:hint="eastAsia" w:ascii="宋体" w:hAnsi="宋体" w:eastAsia="宋体" w:cs="宋体"/>
                <w:strike w:val="0"/>
                <w:dstrike w:val="0"/>
                <w:color w:val="auto"/>
                <w:kern w:val="0"/>
                <w:sz w:val="24"/>
                <w:szCs w:val="24"/>
                <w:highlight w:val="none"/>
                <w:lang w:val="en-US" w:eastAsia="zh-CN"/>
              </w:rPr>
              <w:t>具有食堂餐饮服务业绩,（含在管/已履约完毕），每个得</w:t>
            </w:r>
            <w:r>
              <w:rPr>
                <w:rFonts w:hint="eastAsia" w:ascii="宋体" w:hAnsi="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lang w:val="en-US" w:eastAsia="zh-CN"/>
              </w:rPr>
              <w:t>分，满分</w:t>
            </w:r>
            <w:r>
              <w:rPr>
                <w:rFonts w:hint="eastAsia" w:ascii="宋体" w:hAnsi="宋体" w:cs="宋体"/>
                <w:strike w:val="0"/>
                <w:dstrike w:val="0"/>
                <w:color w:val="auto"/>
                <w:kern w:val="0"/>
                <w:sz w:val="24"/>
                <w:szCs w:val="24"/>
                <w:highlight w:val="none"/>
                <w:lang w:val="en-US" w:eastAsia="zh-CN"/>
              </w:rPr>
              <w:t>3</w:t>
            </w:r>
            <w:r>
              <w:rPr>
                <w:rFonts w:hint="eastAsia" w:ascii="宋体" w:hAnsi="宋体" w:eastAsia="宋体" w:cs="宋体"/>
                <w:strike w:val="0"/>
                <w:dstrike w:val="0"/>
                <w:color w:val="auto"/>
                <w:kern w:val="0"/>
                <w:sz w:val="24"/>
                <w:szCs w:val="24"/>
                <w:highlight w:val="none"/>
                <w:lang w:val="en-US" w:eastAsia="zh-CN"/>
              </w:rPr>
              <w:t>分。</w:t>
            </w:r>
          </w:p>
          <w:p w14:paraId="2375167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strike w:val="0"/>
                <w:dstrike w:val="0"/>
                <w:color w:val="auto"/>
                <w:kern w:val="0"/>
                <w:sz w:val="24"/>
                <w:szCs w:val="24"/>
                <w:highlight w:val="none"/>
                <w:lang w:val="en-US" w:eastAsia="zh-CN"/>
              </w:rPr>
            </w:pPr>
            <w:r>
              <w:rPr>
                <w:rFonts w:hint="eastAsia" w:ascii="宋体" w:hAnsi="宋体" w:eastAsia="宋体" w:cs="宋体"/>
                <w:b/>
                <w:bCs/>
                <w:color w:val="000000"/>
                <w:sz w:val="24"/>
                <w:u w:val="none"/>
              </w:rPr>
              <w:t>注：</w:t>
            </w:r>
            <w:r>
              <w:rPr>
                <w:rFonts w:hint="eastAsia" w:ascii="宋体" w:hAnsi="宋体" w:cs="宋体"/>
                <w:b/>
                <w:bCs/>
                <w:color w:val="000000"/>
                <w:sz w:val="24"/>
                <w:u w:val="none"/>
                <w:lang w:val="en-US" w:eastAsia="zh-CN"/>
              </w:rPr>
              <w:t>投标</w:t>
            </w:r>
            <w:r>
              <w:rPr>
                <w:rFonts w:hint="eastAsia" w:ascii="宋体" w:hAnsi="宋体" w:eastAsia="宋体" w:cs="宋体"/>
                <w:b/>
                <w:bCs/>
                <w:color w:val="000000"/>
                <w:sz w:val="24"/>
                <w:u w:val="none"/>
                <w:lang w:eastAsia="zh-CN"/>
              </w:rPr>
              <w:t>文件</w:t>
            </w:r>
            <w:r>
              <w:rPr>
                <w:rFonts w:hint="eastAsia" w:ascii="宋体" w:hAnsi="宋体" w:eastAsia="宋体" w:cs="宋体"/>
                <w:b/>
                <w:bCs/>
                <w:color w:val="000000"/>
                <w:sz w:val="24"/>
                <w:u w:val="none"/>
              </w:rPr>
              <w:t>中提供业绩合同扫描件，若合同中无法体现签订时间、</w:t>
            </w:r>
            <w:r>
              <w:rPr>
                <w:rFonts w:hint="eastAsia" w:ascii="宋体" w:hAnsi="宋体" w:cs="宋体"/>
                <w:b/>
                <w:bCs/>
                <w:color w:val="000000"/>
                <w:sz w:val="24"/>
                <w:u w:val="none"/>
                <w:lang w:val="en-US" w:eastAsia="zh-CN"/>
              </w:rPr>
              <w:t>项目经理名称、</w:t>
            </w:r>
            <w:r>
              <w:rPr>
                <w:rFonts w:hint="eastAsia" w:ascii="宋体" w:hAnsi="宋体" w:eastAsia="宋体" w:cs="宋体"/>
                <w:b/>
                <w:bCs/>
                <w:color w:val="000000"/>
                <w:sz w:val="24"/>
                <w:u w:val="none"/>
              </w:rPr>
              <w:t>服务内容等关键评审因素的，须同时提供业主（合同甲方）证明材料，否则不得分。</w:t>
            </w:r>
          </w:p>
        </w:tc>
        <w:tc>
          <w:tcPr>
            <w:tcW w:w="1288" w:type="dxa"/>
            <w:tcBorders>
              <w:top w:val="single" w:color="000000" w:sz="6" w:space="0"/>
              <w:left w:val="single" w:color="000000" w:sz="6" w:space="0"/>
              <w:bottom w:val="single" w:color="000000" w:sz="6" w:space="0"/>
              <w:right w:val="single" w:color="000000" w:sz="6" w:space="0"/>
            </w:tcBorders>
            <w:vAlign w:val="center"/>
          </w:tcPr>
          <w:p w14:paraId="3539D61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0-3分</w:t>
            </w:r>
          </w:p>
        </w:tc>
      </w:tr>
      <w:tr w14:paraId="68FF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32DD54F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3A748F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业绩</w:t>
            </w:r>
          </w:p>
        </w:tc>
        <w:tc>
          <w:tcPr>
            <w:tcW w:w="5857" w:type="dxa"/>
            <w:tcBorders>
              <w:top w:val="single" w:color="000000" w:sz="6" w:space="0"/>
              <w:left w:val="single" w:color="000000" w:sz="6" w:space="0"/>
              <w:bottom w:val="single" w:color="000000" w:sz="6" w:space="0"/>
              <w:right w:val="single" w:color="000000" w:sz="6" w:space="0"/>
            </w:tcBorders>
            <w:vAlign w:val="center"/>
          </w:tcPr>
          <w:p w14:paraId="0B24771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sz w:val="24"/>
                <w:u w:val="none"/>
              </w:rPr>
            </w:pPr>
            <w:r>
              <w:rPr>
                <w:rFonts w:hint="eastAsia" w:ascii="宋体" w:hAnsi="宋体" w:cs="宋体"/>
                <w:strike w:val="0"/>
                <w:dstrike w:val="0"/>
                <w:color w:val="auto"/>
                <w:kern w:val="0"/>
                <w:sz w:val="24"/>
                <w:szCs w:val="24"/>
                <w:highlight w:val="none"/>
                <w:lang w:val="en-US" w:eastAsia="zh-CN"/>
              </w:rPr>
              <w:t>1.</w:t>
            </w:r>
            <w:r>
              <w:rPr>
                <w:rFonts w:hint="eastAsia" w:ascii="宋体" w:hAnsi="宋体" w:eastAsia="宋体" w:cs="宋体"/>
                <w:strike w:val="0"/>
                <w:dstrike w:val="0"/>
                <w:color w:val="auto"/>
                <w:kern w:val="0"/>
                <w:sz w:val="24"/>
                <w:szCs w:val="24"/>
                <w:highlight w:val="none"/>
                <w:lang w:val="en-US" w:eastAsia="zh-CN"/>
              </w:rPr>
              <w:t>自</w:t>
            </w:r>
            <w:r>
              <w:rPr>
                <w:rFonts w:hint="eastAsia" w:ascii="宋体" w:hAnsi="宋体" w:cs="宋体"/>
                <w:strike w:val="0"/>
                <w:dstrike w:val="0"/>
                <w:color w:val="auto"/>
                <w:kern w:val="0"/>
                <w:sz w:val="24"/>
                <w:szCs w:val="24"/>
                <w:highlight w:val="none"/>
                <w:lang w:val="en-US" w:eastAsia="zh-CN"/>
              </w:rPr>
              <w:t>2022</w:t>
            </w:r>
            <w:r>
              <w:rPr>
                <w:rFonts w:hint="eastAsia" w:ascii="宋体" w:hAnsi="宋体" w:eastAsia="宋体" w:cs="宋体"/>
                <w:strike w:val="0"/>
                <w:dstrike w:val="0"/>
                <w:color w:val="auto"/>
                <w:kern w:val="0"/>
                <w:sz w:val="24"/>
                <w:szCs w:val="24"/>
                <w:highlight w:val="none"/>
                <w:lang w:val="en-US" w:eastAsia="zh-CN"/>
              </w:rPr>
              <w:t>年1月1日以来</w:t>
            </w:r>
            <w:r>
              <w:rPr>
                <w:rFonts w:hint="eastAsia" w:ascii="宋体" w:hAnsi="宋体" w:eastAsia="宋体" w:cs="宋体"/>
                <w:b/>
                <w:bCs/>
                <w:strike w:val="0"/>
                <w:dstrike w:val="0"/>
                <w:color w:val="auto"/>
                <w:kern w:val="0"/>
                <w:sz w:val="24"/>
                <w:szCs w:val="24"/>
                <w:highlight w:val="none"/>
                <w:lang w:val="en-US" w:eastAsia="zh-CN"/>
              </w:rPr>
              <w:t>（以合同签订时间为准）</w:t>
            </w:r>
            <w:r>
              <w:rPr>
                <w:rFonts w:hint="eastAsia" w:ascii="宋体" w:hAnsi="宋体" w:eastAsia="宋体" w:cs="宋体"/>
                <w:strike w:val="0"/>
                <w:dstrike w:val="0"/>
                <w:color w:val="auto"/>
                <w:kern w:val="0"/>
                <w:sz w:val="24"/>
                <w:szCs w:val="24"/>
                <w:highlight w:val="none"/>
                <w:lang w:val="en-US" w:eastAsia="zh-CN"/>
              </w:rPr>
              <w:t>，投标人具有</w:t>
            </w:r>
            <w:r>
              <w:rPr>
                <w:rFonts w:hint="eastAsia" w:ascii="宋体" w:hAnsi="宋体" w:cs="宋体"/>
                <w:strike w:val="0"/>
                <w:dstrike w:val="0"/>
                <w:color w:val="auto"/>
                <w:kern w:val="0"/>
                <w:sz w:val="24"/>
                <w:szCs w:val="24"/>
                <w:highlight w:val="none"/>
                <w:lang w:val="en-US" w:eastAsia="zh-CN"/>
              </w:rPr>
              <w:t>单餐</w:t>
            </w:r>
            <w:r>
              <w:rPr>
                <w:rFonts w:hint="eastAsia" w:ascii="宋体" w:hAnsi="宋体" w:eastAsia="宋体" w:cs="宋体"/>
                <w:strike w:val="0"/>
                <w:dstrike w:val="0"/>
                <w:color w:val="auto"/>
                <w:kern w:val="0"/>
                <w:sz w:val="24"/>
                <w:szCs w:val="24"/>
                <w:highlight w:val="none"/>
                <w:lang w:val="en-US" w:eastAsia="zh-CN"/>
              </w:rPr>
              <w:t>就餐人数不少于</w:t>
            </w:r>
            <w:r>
              <w:rPr>
                <w:rFonts w:hint="eastAsia" w:ascii="宋体" w:hAnsi="宋体" w:cs="宋体"/>
                <w:strike w:val="0"/>
                <w:dstrike w:val="0"/>
                <w:color w:val="auto"/>
                <w:kern w:val="0"/>
                <w:sz w:val="24"/>
                <w:szCs w:val="24"/>
                <w:highlight w:val="none"/>
                <w:lang w:val="en-US" w:eastAsia="zh-CN"/>
              </w:rPr>
              <w:t>1000</w:t>
            </w:r>
            <w:r>
              <w:rPr>
                <w:rFonts w:hint="eastAsia" w:ascii="宋体" w:hAnsi="宋体" w:eastAsia="宋体" w:cs="宋体"/>
                <w:strike w:val="0"/>
                <w:dstrike w:val="0"/>
                <w:color w:val="auto"/>
                <w:kern w:val="0"/>
                <w:sz w:val="24"/>
                <w:szCs w:val="24"/>
                <w:highlight w:val="none"/>
                <w:lang w:val="en-US" w:eastAsia="zh-CN"/>
              </w:rPr>
              <w:t>人的</w:t>
            </w:r>
            <w:r>
              <w:rPr>
                <w:rFonts w:hint="eastAsia" w:ascii="宋体" w:hAnsi="宋体" w:cs="宋体"/>
                <w:strike w:val="0"/>
                <w:dstrike w:val="0"/>
                <w:color w:val="auto"/>
                <w:kern w:val="0"/>
                <w:sz w:val="24"/>
                <w:szCs w:val="24"/>
                <w:highlight w:val="none"/>
                <w:lang w:val="en-US" w:eastAsia="zh-CN"/>
              </w:rPr>
              <w:t>学校</w:t>
            </w:r>
            <w:r>
              <w:rPr>
                <w:rFonts w:hint="eastAsia" w:ascii="宋体" w:hAnsi="宋体" w:eastAsia="宋体" w:cs="宋体"/>
                <w:strike w:val="0"/>
                <w:dstrike w:val="0"/>
                <w:color w:val="auto"/>
                <w:kern w:val="0"/>
                <w:sz w:val="24"/>
                <w:szCs w:val="24"/>
                <w:highlight w:val="none"/>
                <w:lang w:val="en-US" w:eastAsia="zh-CN"/>
              </w:rPr>
              <w:t>食堂餐饮服务业绩，每个得3分，满分9分。</w:t>
            </w:r>
          </w:p>
          <w:p w14:paraId="265A89D5">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2.上述经评标委员会认可的业绩中，单个合同就餐人数在2000人及以上的，每个加1分，满分3分；</w:t>
            </w:r>
          </w:p>
          <w:p w14:paraId="217A7761">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cs="宋体"/>
                <w:kern w:val="0"/>
                <w:sz w:val="24"/>
                <w:szCs w:val="24"/>
                <w:lang w:val="en-US" w:eastAsia="zh-CN"/>
              </w:rPr>
            </w:pPr>
            <w:r>
              <w:rPr>
                <w:rFonts w:hint="eastAsia" w:ascii="宋体" w:hAnsi="宋体" w:eastAsia="宋体" w:cs="宋体"/>
                <w:b/>
                <w:bCs/>
                <w:color w:val="000000"/>
                <w:sz w:val="24"/>
                <w:u w:val="none"/>
              </w:rPr>
              <w:t>注：同一业主单位不同年限的多份合同不累计计分</w:t>
            </w:r>
            <w:r>
              <w:rPr>
                <w:rFonts w:hint="eastAsia" w:ascii="宋体" w:hAnsi="宋体" w:cs="宋体"/>
                <w:b/>
                <w:bCs/>
                <w:color w:val="000000"/>
                <w:sz w:val="24"/>
                <w:u w:val="none"/>
                <w:lang w:eastAsia="zh-CN"/>
              </w:rPr>
              <w:t>。</w:t>
            </w:r>
            <w:r>
              <w:rPr>
                <w:rFonts w:hint="eastAsia" w:ascii="宋体" w:hAnsi="宋体" w:cs="宋体"/>
                <w:b/>
                <w:bCs/>
                <w:color w:val="000000"/>
                <w:sz w:val="24"/>
                <w:u w:val="none"/>
                <w:lang w:val="en-US" w:eastAsia="zh-CN"/>
              </w:rPr>
              <w:t>投标</w:t>
            </w:r>
            <w:r>
              <w:rPr>
                <w:rFonts w:hint="eastAsia" w:ascii="宋体" w:hAnsi="宋体" w:eastAsia="宋体" w:cs="宋体"/>
                <w:b/>
                <w:bCs/>
                <w:color w:val="000000"/>
                <w:sz w:val="24"/>
                <w:u w:val="none"/>
                <w:lang w:eastAsia="zh-CN"/>
              </w:rPr>
              <w:t>文件</w:t>
            </w:r>
            <w:r>
              <w:rPr>
                <w:rFonts w:hint="eastAsia" w:ascii="宋体" w:hAnsi="宋体" w:eastAsia="宋体" w:cs="宋体"/>
                <w:b/>
                <w:bCs/>
                <w:color w:val="000000"/>
                <w:sz w:val="24"/>
                <w:u w:val="none"/>
              </w:rPr>
              <w:t>中提供业绩合同扫描件，若合同中无法体现签订时间、服务内容等关键评审因素的，须同时提供业主（合同甲方）证明材料，否则不得分。</w:t>
            </w:r>
          </w:p>
          <w:p w14:paraId="1D9D85E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上述</w:t>
            </w:r>
            <w:r>
              <w:rPr>
                <w:rFonts w:hint="eastAsia" w:ascii="宋体" w:hAnsi="宋体" w:eastAsia="宋体" w:cs="宋体"/>
                <w:kern w:val="0"/>
                <w:sz w:val="24"/>
                <w:szCs w:val="24"/>
                <w:lang w:val="en-US" w:eastAsia="zh-CN"/>
              </w:rPr>
              <w:t>经评标委员会</w:t>
            </w:r>
            <w:r>
              <w:rPr>
                <w:rFonts w:hint="eastAsia" w:ascii="宋体" w:hAnsi="宋体" w:eastAsia="宋体" w:cs="宋体"/>
                <w:kern w:val="0"/>
                <w:sz w:val="24"/>
                <w:szCs w:val="24"/>
              </w:rPr>
              <w:t>认可的业绩中，</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具有业主单位</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反馈意见，且反馈意见为良好及以上的，每提供1个上述业绩业主单位反馈意见得</w:t>
            </w:r>
            <w:r>
              <w:rPr>
                <w:rFonts w:hint="eastAsia" w:ascii="宋体" w:hAnsi="宋体" w:cs="宋体"/>
                <w:kern w:val="0"/>
                <w:sz w:val="24"/>
                <w:szCs w:val="24"/>
                <w:lang w:val="en-US" w:eastAsia="zh-CN"/>
              </w:rPr>
              <w:t>1</w:t>
            </w:r>
            <w:r>
              <w:rPr>
                <w:rFonts w:hint="eastAsia" w:ascii="宋体" w:hAnsi="宋体" w:eastAsia="宋体" w:cs="宋体"/>
                <w:kern w:val="0"/>
                <w:sz w:val="24"/>
                <w:szCs w:val="24"/>
              </w:rPr>
              <w:t>分，满分</w:t>
            </w:r>
            <w:r>
              <w:rPr>
                <w:rFonts w:hint="eastAsia" w:ascii="宋体" w:hAnsi="宋体" w:cs="宋体"/>
                <w:kern w:val="0"/>
                <w:sz w:val="24"/>
                <w:szCs w:val="24"/>
                <w:lang w:val="en-US" w:eastAsia="zh-CN"/>
              </w:rPr>
              <w:t>3</w:t>
            </w:r>
            <w:r>
              <w:rPr>
                <w:rFonts w:hint="eastAsia" w:ascii="宋体" w:hAnsi="宋体" w:eastAsia="宋体" w:cs="宋体"/>
                <w:kern w:val="0"/>
                <w:sz w:val="24"/>
                <w:szCs w:val="24"/>
              </w:rPr>
              <w:t>分。</w:t>
            </w:r>
          </w:p>
          <w:p w14:paraId="3416B288">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注：</w:t>
            </w:r>
          </w:p>
          <w:p w14:paraId="094C6542">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1.投标</w:t>
            </w:r>
            <w:r>
              <w:rPr>
                <w:rFonts w:hint="eastAsia" w:ascii="宋体" w:hAnsi="宋体" w:eastAsia="宋体" w:cs="宋体"/>
                <w:b/>
                <w:bCs/>
                <w:kern w:val="0"/>
                <w:sz w:val="24"/>
                <w:szCs w:val="24"/>
              </w:rPr>
              <w:t>文件中须提供业主单位</w:t>
            </w:r>
            <w:r>
              <w:rPr>
                <w:rFonts w:hint="eastAsia" w:ascii="宋体" w:hAnsi="宋体" w:eastAsia="宋体" w:cs="宋体"/>
                <w:b/>
                <w:bCs/>
                <w:kern w:val="0"/>
                <w:sz w:val="24"/>
                <w:szCs w:val="24"/>
                <w:lang w:val="en-US" w:eastAsia="zh-CN"/>
              </w:rPr>
              <w:t>的</w:t>
            </w:r>
            <w:r>
              <w:rPr>
                <w:rFonts w:hint="eastAsia" w:ascii="宋体" w:hAnsi="宋体" w:eastAsia="宋体" w:cs="宋体"/>
                <w:b/>
                <w:bCs/>
                <w:kern w:val="0"/>
                <w:sz w:val="24"/>
                <w:szCs w:val="24"/>
              </w:rPr>
              <w:t>反馈意见扫描件；</w:t>
            </w:r>
          </w:p>
          <w:p w14:paraId="600CE1B3">
            <w:pPr>
              <w:keepNext w:val="0"/>
              <w:keepLines w:val="0"/>
              <w:pageBreakBefore w:val="0"/>
              <w:kinsoku/>
              <w:wordWrap/>
              <w:overflowPunct/>
              <w:topLinePunct w:val="0"/>
              <w:autoSpaceDE/>
              <w:autoSpaceDN/>
              <w:bidi w:val="0"/>
              <w:spacing w:line="460" w:lineRule="exact"/>
              <w:jc w:val="left"/>
              <w:textAlignment w:val="auto"/>
              <w:rPr>
                <w:rStyle w:val="16"/>
                <w:rFonts w:hint="default" w:ascii="宋体" w:hAnsi="宋体" w:cs="宋体"/>
                <w:strike w:val="0"/>
                <w:dstrike w:val="0"/>
                <w:color w:val="auto"/>
                <w:highlight w:val="none"/>
                <w:lang w:val="en-US" w:eastAsia="zh-CN"/>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此处良好即表达到良好意思即可，同等意思表达如满意、非常满意、认可、高度认可、考核得分80或以上等均予以认可。</w:t>
            </w:r>
            <w:r>
              <w:rPr>
                <w:rFonts w:hint="eastAsia" w:ascii="宋体" w:hAnsi="宋体" w:eastAsia="宋体" w:cs="宋体"/>
                <w:kern w:val="0"/>
                <w:sz w:val="24"/>
                <w:szCs w:val="24"/>
              </w:rPr>
              <w:t xml:space="preserve"> </w:t>
            </w:r>
          </w:p>
        </w:tc>
        <w:tc>
          <w:tcPr>
            <w:tcW w:w="1288" w:type="dxa"/>
            <w:tcBorders>
              <w:top w:val="single" w:color="000000" w:sz="6" w:space="0"/>
              <w:left w:val="single" w:color="000000" w:sz="6" w:space="0"/>
              <w:bottom w:val="single" w:color="000000" w:sz="6" w:space="0"/>
              <w:right w:val="single" w:color="000000" w:sz="6" w:space="0"/>
            </w:tcBorders>
            <w:vAlign w:val="center"/>
          </w:tcPr>
          <w:p w14:paraId="1F86906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rPr>
              <w:t>分</w:t>
            </w:r>
          </w:p>
        </w:tc>
      </w:tr>
      <w:tr w14:paraId="2E8F1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6E207CD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37C693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lang w:eastAsia="zh-CN"/>
              </w:rPr>
            </w:pPr>
            <w:r>
              <w:rPr>
                <w:rFonts w:hint="eastAsia" w:ascii="宋体" w:hAnsi="宋体" w:cs="宋体"/>
                <w:color w:val="000000"/>
                <w:kern w:val="0"/>
                <w:sz w:val="24"/>
                <w:szCs w:val="24"/>
                <w:lang w:val="en-US" w:eastAsia="zh-CN"/>
              </w:rPr>
              <w:t>管理体系认证</w:t>
            </w:r>
          </w:p>
        </w:tc>
        <w:tc>
          <w:tcPr>
            <w:tcW w:w="5857" w:type="dxa"/>
            <w:tcBorders>
              <w:top w:val="single" w:color="000000" w:sz="6" w:space="0"/>
              <w:left w:val="single" w:color="000000" w:sz="6" w:space="0"/>
              <w:bottom w:val="single" w:color="000000" w:sz="6" w:space="0"/>
              <w:right w:val="single" w:color="000000" w:sz="6" w:space="0"/>
            </w:tcBorders>
            <w:vAlign w:val="center"/>
          </w:tcPr>
          <w:p w14:paraId="2DEDA857">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具有经中国国家认证认可监督管理委员会认证机构颁发的有效的下列认证：</w:t>
            </w:r>
          </w:p>
          <w:p w14:paraId="4717A62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食品安全管理体系认证</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w:t>
            </w:r>
          </w:p>
          <w:p w14:paraId="73FA25D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HACCP认证证书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w:t>
            </w:r>
            <w:r>
              <w:rPr>
                <w:rFonts w:hint="eastAsia" w:ascii="宋体" w:hAnsi="宋体" w:cs="宋体"/>
                <w:color w:val="000000"/>
                <w:kern w:val="0"/>
                <w:sz w:val="24"/>
                <w:szCs w:val="24"/>
                <w:lang w:eastAsia="zh-CN"/>
              </w:rPr>
              <w:t>；</w:t>
            </w:r>
          </w:p>
          <w:p w14:paraId="041B544D">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供应链安全管理体系认证证书</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分；</w:t>
            </w:r>
          </w:p>
          <w:p w14:paraId="1D97D782">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环境管理体系认证</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w:t>
            </w:r>
          </w:p>
          <w:p w14:paraId="5191A004">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职业健康安全管理体系认证</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得</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w:t>
            </w:r>
          </w:p>
          <w:p w14:paraId="20287D30">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注：投标文件中提供上述证书扫描件及全国国家认证认可监督管理委员会官网证书信息查询截图</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证书状态为有效</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w:t>
            </w:r>
          </w:p>
        </w:tc>
        <w:tc>
          <w:tcPr>
            <w:tcW w:w="1288" w:type="dxa"/>
            <w:tcBorders>
              <w:top w:val="single" w:color="000000" w:sz="6" w:space="0"/>
              <w:left w:val="single" w:color="000000" w:sz="6" w:space="0"/>
              <w:bottom w:val="single" w:color="000000" w:sz="6" w:space="0"/>
              <w:right w:val="single" w:color="000000" w:sz="6" w:space="0"/>
            </w:tcBorders>
            <w:vAlign w:val="center"/>
          </w:tcPr>
          <w:p w14:paraId="428383D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auto"/>
                <w:kern w:val="0"/>
                <w:sz w:val="24"/>
                <w:szCs w:val="24"/>
                <w:highlight w:val="none"/>
              </w:rPr>
              <w:t>0-</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分</w:t>
            </w:r>
          </w:p>
        </w:tc>
      </w:tr>
      <w:tr w14:paraId="01D0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261" w:type="dxa"/>
            <w:vMerge w:val="continue"/>
            <w:tcBorders>
              <w:left w:val="single" w:color="000000" w:sz="6" w:space="0"/>
              <w:right w:val="single" w:color="000000" w:sz="6" w:space="0"/>
            </w:tcBorders>
          </w:tcPr>
          <w:p w14:paraId="04494A45">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000000"/>
                <w:kern w:val="0"/>
                <w:sz w:val="24"/>
                <w:szCs w:val="24"/>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3D0E3C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lang w:eastAsia="zh-CN"/>
              </w:rPr>
              <w:t>投标人</w:t>
            </w:r>
            <w:r>
              <w:rPr>
                <w:rFonts w:hint="eastAsia" w:ascii="宋体" w:hAnsi="宋体" w:eastAsia="宋体" w:cs="宋体"/>
                <w:color w:val="000000"/>
                <w:kern w:val="0"/>
                <w:sz w:val="24"/>
                <w:szCs w:val="24"/>
              </w:rPr>
              <w:t>荣誉</w:t>
            </w:r>
          </w:p>
        </w:tc>
        <w:tc>
          <w:tcPr>
            <w:tcW w:w="5857" w:type="dxa"/>
            <w:tcBorders>
              <w:top w:val="single" w:color="000000" w:sz="6" w:space="0"/>
              <w:left w:val="single" w:color="000000" w:sz="6" w:space="0"/>
              <w:bottom w:val="single" w:color="000000" w:sz="6" w:space="0"/>
              <w:right w:val="single" w:color="000000" w:sz="6" w:space="0"/>
            </w:tcBorders>
            <w:vAlign w:val="center"/>
          </w:tcPr>
          <w:p w14:paraId="19C53D0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自202</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年1月1日以来</w:t>
            </w:r>
            <w:r>
              <w:rPr>
                <w:rFonts w:hint="eastAsia" w:ascii="宋体" w:hAnsi="宋体" w:eastAsia="宋体" w:cs="宋体"/>
                <w:b/>
                <w:bCs/>
                <w:color w:val="000000"/>
                <w:kern w:val="0"/>
                <w:sz w:val="24"/>
                <w:szCs w:val="24"/>
                <w:highlight w:val="none"/>
              </w:rPr>
              <w:t>（以获奖时间为准）</w:t>
            </w:r>
            <w:r>
              <w:rPr>
                <w:rFonts w:hint="eastAsia" w:ascii="宋体" w:hAnsi="宋体" w:eastAsia="宋体" w:cs="宋体"/>
                <w:color w:val="000000"/>
                <w:kern w:val="0"/>
                <w:sz w:val="24"/>
                <w:szCs w:val="24"/>
                <w:highlight w:val="none"/>
              </w:rPr>
              <w:t>，投标人（或其所服务项目）具有行政主管部门或在国内依法登记注册的协会（或学会）颁发的餐饮行业奖项或荣誉的，每个得</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分，满分</w:t>
            </w:r>
            <w:r>
              <w:rPr>
                <w:rFonts w:hint="eastAsia" w:ascii="宋体" w:hAnsi="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分。</w:t>
            </w:r>
          </w:p>
          <w:p w14:paraId="50E3438B">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w:t>
            </w:r>
          </w:p>
          <w:p w14:paraId="5BA5501A">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1.投标文件中提供获奖证书、批复、颁奖单位颁奖文件、网上公示截图（具有其中之一即可）等证明材料。以上材料提供扫描件，须能体现投标人名称，如无法体现，须另附颁奖单位的相关证明材料，未提供或提供不全的不得分。</w:t>
            </w:r>
          </w:p>
          <w:p w14:paraId="7B81E15C">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2.“国内依法登记注册”以中国社会组织网查询结果为准。投标文件中须提供该协会（学会）在中国社会组织网查询结果截图。民政部公布的“离岸社团”、“山寨社团”颁发的荣誉、奖励均无效。</w:t>
            </w:r>
          </w:p>
          <w:p w14:paraId="71A43F1E">
            <w:pPr>
              <w:keepNext w:val="0"/>
              <w:keepLines w:val="0"/>
              <w:pageBreakBefore w:val="0"/>
              <w:widowControl/>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kern w:val="0"/>
                <w:sz w:val="24"/>
                <w:szCs w:val="24"/>
              </w:rPr>
            </w:pPr>
            <w:r>
              <w:rPr>
                <w:rFonts w:hint="eastAsia" w:ascii="宋体" w:hAnsi="宋体" w:eastAsia="宋体" w:cs="宋体"/>
                <w:b/>
                <w:bCs/>
                <w:color w:val="000000"/>
                <w:kern w:val="0"/>
                <w:sz w:val="24"/>
                <w:szCs w:val="24"/>
              </w:rPr>
              <w:t>3.如为所服务项目获奖，投标文件中同时提供业绩合同扫描件</w:t>
            </w:r>
            <w:r>
              <w:rPr>
                <w:rFonts w:hint="eastAsia" w:ascii="宋体" w:hAnsi="宋体" w:eastAsia="宋体" w:cs="宋体"/>
                <w:color w:val="000000"/>
                <w:kern w:val="0"/>
                <w:sz w:val="24"/>
                <w:szCs w:val="24"/>
              </w:rPr>
              <w:t>。</w:t>
            </w:r>
          </w:p>
        </w:tc>
        <w:tc>
          <w:tcPr>
            <w:tcW w:w="1288" w:type="dxa"/>
            <w:tcBorders>
              <w:top w:val="single" w:color="000000" w:sz="6" w:space="0"/>
              <w:left w:val="single" w:color="000000" w:sz="6" w:space="0"/>
              <w:bottom w:val="single" w:color="000000" w:sz="6" w:space="0"/>
              <w:right w:val="single" w:color="000000" w:sz="6" w:space="0"/>
            </w:tcBorders>
            <w:vAlign w:val="center"/>
          </w:tcPr>
          <w:p w14:paraId="212E208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rPr>
              <w:t>0-</w:t>
            </w:r>
            <w:r>
              <w:rPr>
                <w:rFonts w:hint="eastAsia" w:ascii="宋体" w:hAnsi="宋体" w:cs="宋体"/>
                <w:color w:val="000000"/>
                <w:kern w:val="0"/>
                <w:sz w:val="24"/>
                <w:szCs w:val="24"/>
                <w:lang w:val="en-US" w:eastAsia="zh-CN"/>
              </w:rPr>
              <w:t>9</w:t>
            </w:r>
            <w:r>
              <w:rPr>
                <w:rFonts w:hint="eastAsia" w:ascii="宋体" w:hAnsi="宋体" w:eastAsia="宋体" w:cs="宋体"/>
                <w:color w:val="000000"/>
                <w:kern w:val="0"/>
                <w:sz w:val="24"/>
                <w:szCs w:val="24"/>
              </w:rPr>
              <w:t>分</w:t>
            </w:r>
          </w:p>
        </w:tc>
      </w:tr>
    </w:tbl>
    <w:p w14:paraId="4C116648">
      <w:pPr>
        <w:adjustRightInd w:val="0"/>
        <w:snapToGrid w:val="0"/>
        <w:spacing w:line="360" w:lineRule="auto"/>
        <w:ind w:right="-10" w:firstLine="420" w:firstLineChars="175"/>
        <w:rPr>
          <w:rFonts w:hint="eastAsia" w:ascii="宋体" w:hAnsi="宋体" w:eastAsia="宋体" w:cs="宋体"/>
          <w:color w:val="auto"/>
          <w:highlight w:val="none"/>
        </w:rPr>
      </w:pPr>
      <w:r>
        <w:rPr>
          <w:rFonts w:hint="eastAsia" w:ascii="宋体" w:hAnsi="宋体" w:eastAsia="宋体" w:cs="宋体"/>
          <w:bCs/>
          <w:color w:val="auto"/>
          <w:szCs w:val="24"/>
          <w:highlight w:val="none"/>
        </w:rPr>
        <w:t>8.6详细评审指标如下：</w:t>
      </w:r>
    </w:p>
    <w:p w14:paraId="1F155632">
      <w:pPr>
        <w:adjustRightInd w:val="0"/>
        <w:snapToGrid w:val="0"/>
        <w:spacing w:line="360" w:lineRule="auto"/>
        <w:ind w:right="-10"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8.7汇总排序</w:t>
      </w:r>
    </w:p>
    <w:p w14:paraId="218770D0">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每个有效投标人的技术部分得分即为该投标人的最终得分。投标人的各项得分均保留小数点后两位（小数点后第三位四舍五入）。</w:t>
      </w:r>
    </w:p>
    <w:p w14:paraId="419D6D4F">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按照有效投标人最终得分由高到低排出中标候选人。最终得分相同的，则采取抽签方式确定其前后次序。</w:t>
      </w:r>
    </w:p>
    <w:p w14:paraId="6AD4538C">
      <w:pPr>
        <w:adjustRightInd w:val="0"/>
        <w:snapToGrid w:val="0"/>
        <w:spacing w:line="360" w:lineRule="auto"/>
        <w:ind w:right="-10"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如有效投标人不少于规定数量，各投标人的最终总得分将随中标候选人公示同时公布，不公布其他评分明细。</w:t>
      </w:r>
      <w:r>
        <w:rPr>
          <w:rFonts w:hint="eastAsia" w:ascii="宋体" w:hAnsi="宋体" w:eastAsia="宋体" w:cs="宋体"/>
          <w:bCs/>
          <w:color w:val="auto"/>
          <w:szCs w:val="24"/>
          <w:highlight w:val="none"/>
          <w:lang w:eastAsia="zh-CN"/>
        </w:rPr>
        <w:t>肥西县公共资源交易有限责任公司</w:t>
      </w:r>
      <w:r>
        <w:rPr>
          <w:rFonts w:hint="eastAsia" w:ascii="宋体" w:hAnsi="宋体" w:eastAsia="宋体" w:cs="宋体"/>
          <w:bCs/>
          <w:color w:val="auto"/>
          <w:szCs w:val="24"/>
          <w:highlight w:val="none"/>
        </w:rPr>
        <w:t>不对投标人得分情况做任何解释。</w:t>
      </w:r>
    </w:p>
    <w:p w14:paraId="41FC3080">
      <w:pPr>
        <w:keepNext w:val="0"/>
        <w:keepLines w:val="0"/>
        <w:pageBreakBefore w:val="0"/>
        <w:widowControl w:val="0"/>
        <w:kinsoku/>
        <w:wordWrap/>
        <w:overflowPunct/>
        <w:topLinePunct w:val="0"/>
        <w:autoSpaceDE/>
        <w:autoSpaceDN/>
        <w:bidi w:val="0"/>
        <w:adjustRightInd w:val="0"/>
        <w:snapToGrid w:val="0"/>
        <w:spacing w:line="360" w:lineRule="auto"/>
        <w:ind w:right="0" w:firstLine="420" w:firstLineChars="175"/>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9.各投标人的得分一经得出，并核对无误后，任何人不得更改。</w:t>
      </w:r>
    </w:p>
    <w:p w14:paraId="4F2AE7DF">
      <w:pPr>
        <w:keepNext w:val="0"/>
        <w:keepLines w:val="0"/>
        <w:pageBreakBefore w:val="0"/>
        <w:widowControl w:val="0"/>
        <w:kinsoku/>
        <w:wordWrap/>
        <w:overflowPunct/>
        <w:topLinePunct w:val="0"/>
        <w:autoSpaceDE/>
        <w:autoSpaceDN/>
        <w:bidi w:val="0"/>
        <w:adjustRightInd w:val="0"/>
        <w:snapToGrid w:val="0"/>
        <w:spacing w:line="440" w:lineRule="exact"/>
        <w:ind w:right="0" w:firstLine="420" w:firstLineChars="175"/>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10.评标委员会在评标过程中发现的问题，应当及时作出处理或者向招标人提出处理建议，并作书面记录。</w:t>
      </w:r>
    </w:p>
    <w:p w14:paraId="28A09F80">
      <w:pPr>
        <w:adjustRightInd w:val="0"/>
        <w:snapToGrid w:val="0"/>
        <w:spacing w:line="440" w:lineRule="exact"/>
        <w:ind w:right="-11"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526F1EA4">
      <w:pPr>
        <w:adjustRightInd w:val="0"/>
        <w:snapToGrid w:val="0"/>
        <w:spacing w:line="440" w:lineRule="exact"/>
        <w:ind w:right="-11" w:firstLine="420" w:firstLineChars="175"/>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12.评标委员会和评标工作人员应严格遵守国家的法律、法规和规章制度；严格按照本次招标文件进行评标；公正廉洁、不徇私情，不得损害国家利益；保护招、投标人的合法权益。</w:t>
      </w:r>
    </w:p>
    <w:p w14:paraId="7710D4C4">
      <w:pPr>
        <w:adjustRightInd w:val="0"/>
        <w:snapToGrid w:val="0"/>
        <w:spacing w:line="440" w:lineRule="exact"/>
        <w:ind w:right="-11" w:firstLine="420" w:firstLineChars="175"/>
        <w:rPr>
          <w:rFonts w:hint="eastAsia" w:ascii="宋体" w:hAnsi="宋体" w:eastAsia="宋体" w:cs="宋体"/>
          <w:color w:val="auto"/>
          <w:highlight w:val="none"/>
        </w:rPr>
      </w:pPr>
      <w:r>
        <w:rPr>
          <w:rFonts w:hint="eastAsia" w:ascii="宋体" w:hAnsi="宋体" w:eastAsia="宋体" w:cs="宋体"/>
          <w:bCs/>
          <w:color w:val="auto"/>
          <w:szCs w:val="24"/>
          <w:highlight w:val="none"/>
        </w:rPr>
        <w:t>13.在评标过程中，评委及其他评标工作人员必须对评标情况严格保密，任何人不得将评标情况透露给与投标人有关的单位和个人。如有违反评标纪律的情况发生，将依据有关法律法规的规定，追究有关当事人的责任。</w:t>
      </w:r>
      <w:bookmarkStart w:id="59" w:name="_Toc477794142"/>
      <w:bookmarkStart w:id="60" w:name="_Hlt509738509"/>
      <w:bookmarkStart w:id="61" w:name="_Hlt519045391"/>
      <w:bookmarkStart w:id="62" w:name="_Hlt509738521"/>
    </w:p>
    <w:p w14:paraId="767DB317">
      <w:pPr>
        <w:pStyle w:val="2"/>
        <w:spacing w:line="500" w:lineRule="exact"/>
        <w:ind w:firstLine="0"/>
        <w:jc w:val="both"/>
        <w:outlineLvl w:val="9"/>
        <w:rPr>
          <w:rFonts w:hint="eastAsia" w:ascii="宋体" w:hAnsi="宋体" w:eastAsia="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247" w:header="851" w:footer="992" w:gutter="0"/>
          <w:cols w:space="720" w:num="1"/>
          <w:docGrid w:linePitch="303" w:charSpace="0"/>
        </w:sectPr>
      </w:pPr>
    </w:p>
    <w:p w14:paraId="6CAE245E">
      <w:pPr>
        <w:pStyle w:val="2"/>
        <w:numPr>
          <w:ilvl w:val="0"/>
          <w:numId w:val="2"/>
        </w:numPr>
        <w:spacing w:before="0" w:after="0" w:line="240" w:lineRule="auto"/>
        <w:ind w:firstLine="0"/>
        <w:outlineLvl w:val="0"/>
        <w:rPr>
          <w:rFonts w:hint="eastAsia" w:ascii="宋体" w:hAnsi="宋体" w:eastAsia="宋体" w:cs="宋体"/>
        </w:rPr>
      </w:pPr>
      <w:r>
        <w:rPr>
          <w:rFonts w:hint="eastAsia" w:ascii="宋体" w:hAnsi="宋体" w:eastAsia="宋体" w:cs="宋体"/>
          <w:color w:val="auto"/>
          <w:highlight w:val="none"/>
        </w:rPr>
        <w:t xml:space="preserve"> </w:t>
      </w:r>
      <w:bookmarkStart w:id="63" w:name="_Toc27779"/>
      <w:r>
        <w:rPr>
          <w:rFonts w:hint="eastAsia" w:ascii="宋体" w:hAnsi="宋体" w:eastAsia="宋体" w:cs="宋体"/>
          <w:color w:val="auto"/>
          <w:highlight w:val="none"/>
        </w:rPr>
        <w:t>合同</w:t>
      </w:r>
      <w:bookmarkStart w:id="64" w:name="_Toc12755"/>
      <w:r>
        <w:rPr>
          <w:rFonts w:hint="eastAsia" w:ascii="宋体" w:hAnsi="宋体" w:eastAsia="宋体" w:cs="宋体"/>
          <w:color w:val="auto"/>
          <w:highlight w:val="none"/>
          <w:lang w:val="en-US" w:eastAsia="zh-CN"/>
        </w:rPr>
        <w:t>条款及格式</w:t>
      </w:r>
      <w:bookmarkEnd w:id="63"/>
      <w:bookmarkStart w:id="65" w:name="_Hlk11711914"/>
    </w:p>
    <w:p w14:paraId="1A897149">
      <w:pPr>
        <w:rPr>
          <w:rFonts w:hint="eastAsia" w:ascii="宋体" w:hAnsi="宋体" w:eastAsia="宋体" w:cs="宋体"/>
          <w:b/>
          <w:bCs/>
        </w:rPr>
      </w:pPr>
    </w:p>
    <w:p w14:paraId="3EA98043">
      <w:pPr>
        <w:jc w:val="center"/>
        <w:rPr>
          <w:rFonts w:hint="eastAsia" w:eastAsia="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双方依法签订</w:t>
      </w:r>
      <w:r>
        <w:rPr>
          <w:rFonts w:hint="eastAsia" w:ascii="宋体" w:hAnsi="宋体" w:cs="宋体"/>
          <w:sz w:val="28"/>
          <w:szCs w:val="28"/>
          <w:lang w:eastAsia="zh-CN"/>
        </w:rPr>
        <w:t>）</w:t>
      </w:r>
    </w:p>
    <w:p w14:paraId="2D5E6A52">
      <w:pPr>
        <w:rPr>
          <w:rFonts w:hint="eastAsia" w:ascii="宋体" w:hAnsi="宋体" w:eastAsia="宋体" w:cs="宋体"/>
        </w:rPr>
      </w:pPr>
    </w:p>
    <w:p w14:paraId="4CB7E40E">
      <w:pPr>
        <w:rPr>
          <w:rFonts w:hint="eastAsia" w:ascii="宋体" w:hAnsi="宋体" w:eastAsia="宋体" w:cs="宋体"/>
        </w:rPr>
      </w:pPr>
    </w:p>
    <w:p w14:paraId="6B3A08EE">
      <w:pPr>
        <w:rPr>
          <w:rFonts w:hint="eastAsia" w:ascii="宋体" w:hAnsi="宋体" w:eastAsia="宋体" w:cs="宋体"/>
        </w:rPr>
      </w:pPr>
    </w:p>
    <w:p w14:paraId="16A96FA4">
      <w:pPr>
        <w:rPr>
          <w:rFonts w:hint="eastAsia" w:ascii="宋体" w:hAnsi="宋体" w:eastAsia="宋体" w:cs="宋体"/>
        </w:rPr>
      </w:pPr>
    </w:p>
    <w:bookmarkEnd w:id="65"/>
    <w:p w14:paraId="3D6688EF">
      <w:pPr>
        <w:rPr>
          <w:rFonts w:hint="eastAsia" w:ascii="宋体" w:hAnsi="宋体" w:eastAsia="宋体" w:cs="宋体"/>
        </w:rPr>
      </w:pPr>
      <w:r>
        <w:rPr>
          <w:rFonts w:hint="eastAsia" w:ascii="宋体" w:hAnsi="宋体" w:eastAsia="宋体" w:cs="宋体"/>
        </w:rPr>
        <w:br w:type="page"/>
      </w:r>
    </w:p>
    <w:p w14:paraId="1F00BD8F">
      <w:pPr>
        <w:numPr>
          <w:ilvl w:val="0"/>
          <w:numId w:val="2"/>
        </w:numPr>
        <w:spacing w:line="900" w:lineRule="exact"/>
        <w:ind w:left="0" w:leftChars="0" w:firstLine="0" w:firstLineChars="0"/>
        <w:jc w:val="center"/>
        <w:rPr>
          <w:rFonts w:hint="eastAsia" w:ascii="Times New Roman" w:hAnsi="Times New Roman" w:eastAsia="宋体" w:cs="Times New Roman"/>
          <w:b/>
          <w:sz w:val="32"/>
          <w:highlight w:val="none"/>
          <w:lang w:val="en-US" w:eastAsia="zh-CN"/>
        </w:rPr>
      </w:pPr>
      <w:bookmarkStart w:id="66" w:name="_Toc27138"/>
      <w:r>
        <w:rPr>
          <w:rFonts w:hint="eastAsia" w:ascii="Times New Roman" w:hAnsi="Times New Roman" w:eastAsia="宋体" w:cs="Times New Roman"/>
          <w:b/>
          <w:sz w:val="32"/>
          <w:highlight w:val="none"/>
          <w:lang w:val="en-US" w:eastAsia="zh-CN"/>
        </w:rPr>
        <w:t>投标文件格式</w:t>
      </w:r>
      <w:bookmarkEnd w:id="59"/>
      <w:bookmarkEnd w:id="64"/>
      <w:bookmarkEnd w:id="66"/>
      <w:bookmarkStart w:id="67" w:name="_Toc17349"/>
      <w:bookmarkStart w:id="68" w:name="_Toc197934561"/>
      <w:bookmarkStart w:id="69" w:name="_Toc197934563"/>
    </w:p>
    <w:p w14:paraId="44ADEF52">
      <w:pPr>
        <w:numPr>
          <w:ilvl w:val="0"/>
          <w:numId w:val="0"/>
        </w:numPr>
        <w:spacing w:line="900" w:lineRule="exact"/>
        <w:ind w:leftChars="0"/>
        <w:jc w:val="center"/>
        <w:rPr>
          <w:rFonts w:hint="eastAsia"/>
          <w:b/>
          <w:sz w:val="32"/>
          <w:highlight w:val="none"/>
          <w:lang w:val="en-US" w:eastAsia="zh-CN"/>
        </w:rPr>
      </w:pPr>
      <w:r>
        <w:rPr>
          <w:rFonts w:hint="eastAsia"/>
          <w:b/>
          <w:sz w:val="32"/>
          <w:highlight w:val="none"/>
          <w:lang w:val="en-US" w:eastAsia="zh-CN"/>
        </w:rPr>
        <w:t>安徽师范大学附属肥西第二中学食堂委托运营</w:t>
      </w:r>
    </w:p>
    <w:p w14:paraId="690306F3">
      <w:pPr>
        <w:spacing w:line="900" w:lineRule="exact"/>
        <w:jc w:val="center"/>
        <w:rPr>
          <w:rFonts w:hint="eastAsia"/>
          <w:b/>
          <w:sz w:val="32"/>
          <w:highlight w:val="none"/>
          <w:lang w:eastAsia="zh-CN"/>
        </w:rPr>
      </w:pPr>
    </w:p>
    <w:p w14:paraId="60027E10">
      <w:pPr>
        <w:spacing w:line="900" w:lineRule="exact"/>
        <w:jc w:val="center"/>
        <w:outlineLvl w:val="2"/>
        <w:rPr>
          <w:rFonts w:hint="eastAsia"/>
          <w:b/>
          <w:sz w:val="72"/>
          <w:highlight w:val="none"/>
        </w:rPr>
      </w:pPr>
    </w:p>
    <w:p w14:paraId="58480FF5">
      <w:pPr>
        <w:spacing w:line="900" w:lineRule="exact"/>
        <w:jc w:val="center"/>
        <w:outlineLvl w:val="2"/>
        <w:rPr>
          <w:rFonts w:hint="eastAsia" w:eastAsia="宋体"/>
          <w:b/>
          <w:sz w:val="72"/>
          <w:highlight w:val="none"/>
          <w:lang w:eastAsia="zh-CN"/>
        </w:rPr>
      </w:pPr>
      <w:r>
        <w:rPr>
          <w:rFonts w:hint="eastAsia"/>
          <w:b/>
          <w:sz w:val="72"/>
          <w:highlight w:val="none"/>
          <w:lang w:val="en-US" w:eastAsia="zh-CN"/>
        </w:rPr>
        <w:t>投</w:t>
      </w:r>
    </w:p>
    <w:p w14:paraId="5F990D0F">
      <w:pPr>
        <w:spacing w:line="900" w:lineRule="exact"/>
        <w:jc w:val="center"/>
        <w:rPr>
          <w:rFonts w:hint="eastAsia"/>
          <w:b/>
          <w:sz w:val="72"/>
          <w:highlight w:val="none"/>
        </w:rPr>
      </w:pPr>
    </w:p>
    <w:p w14:paraId="0D96D73D">
      <w:pPr>
        <w:spacing w:line="900" w:lineRule="exact"/>
        <w:jc w:val="center"/>
        <w:outlineLvl w:val="2"/>
        <w:rPr>
          <w:rFonts w:hint="eastAsia" w:eastAsia="宋体"/>
          <w:b/>
          <w:sz w:val="72"/>
          <w:highlight w:val="none"/>
          <w:lang w:eastAsia="zh-CN"/>
        </w:rPr>
      </w:pPr>
      <w:r>
        <w:rPr>
          <w:rFonts w:hint="eastAsia"/>
          <w:b/>
          <w:sz w:val="72"/>
          <w:highlight w:val="none"/>
          <w:lang w:val="en-US" w:eastAsia="zh-CN"/>
        </w:rPr>
        <w:t>标</w:t>
      </w:r>
    </w:p>
    <w:p w14:paraId="6ECBEA04">
      <w:pPr>
        <w:spacing w:line="900" w:lineRule="exact"/>
        <w:jc w:val="center"/>
        <w:rPr>
          <w:rFonts w:hint="eastAsia"/>
          <w:b/>
          <w:sz w:val="72"/>
          <w:highlight w:val="none"/>
        </w:rPr>
      </w:pPr>
    </w:p>
    <w:p w14:paraId="1FDD97C3">
      <w:pPr>
        <w:spacing w:line="900" w:lineRule="exact"/>
        <w:jc w:val="center"/>
        <w:outlineLvl w:val="2"/>
        <w:rPr>
          <w:rFonts w:hint="eastAsia"/>
          <w:b/>
          <w:sz w:val="72"/>
          <w:highlight w:val="none"/>
        </w:rPr>
      </w:pPr>
      <w:r>
        <w:rPr>
          <w:rFonts w:hint="eastAsia"/>
          <w:b/>
          <w:sz w:val="72"/>
          <w:highlight w:val="none"/>
        </w:rPr>
        <w:t>文</w:t>
      </w:r>
    </w:p>
    <w:p w14:paraId="1313D482">
      <w:pPr>
        <w:spacing w:line="900" w:lineRule="exact"/>
        <w:jc w:val="center"/>
        <w:rPr>
          <w:rFonts w:hint="eastAsia"/>
          <w:b/>
          <w:sz w:val="72"/>
          <w:highlight w:val="none"/>
        </w:rPr>
      </w:pPr>
    </w:p>
    <w:p w14:paraId="7ACC2955">
      <w:pPr>
        <w:jc w:val="center"/>
        <w:outlineLvl w:val="2"/>
        <w:rPr>
          <w:rFonts w:hint="eastAsia"/>
          <w:b/>
          <w:sz w:val="72"/>
          <w:highlight w:val="none"/>
        </w:rPr>
      </w:pPr>
      <w:r>
        <w:rPr>
          <w:rFonts w:hint="eastAsia"/>
          <w:b/>
          <w:sz w:val="72"/>
          <w:highlight w:val="none"/>
        </w:rPr>
        <w:t>件</w:t>
      </w:r>
    </w:p>
    <w:p w14:paraId="055AA53B">
      <w:pPr>
        <w:spacing w:after="120" w:afterLines="50"/>
        <w:jc w:val="center"/>
        <w:rPr>
          <w:rFonts w:hint="eastAsia"/>
          <w:b/>
          <w:sz w:val="72"/>
          <w:highlight w:val="none"/>
        </w:rPr>
      </w:pPr>
    </w:p>
    <w:p w14:paraId="01818BF3">
      <w:pPr>
        <w:spacing w:after="120" w:afterLines="50" w:line="500" w:lineRule="exact"/>
        <w:jc w:val="center"/>
        <w:rPr>
          <w:rFonts w:hint="eastAsia"/>
          <w:b/>
          <w:sz w:val="28"/>
          <w:szCs w:val="28"/>
          <w:highlight w:val="none"/>
        </w:rPr>
      </w:pPr>
    </w:p>
    <w:p w14:paraId="61E28FA4">
      <w:pPr>
        <w:spacing w:after="120" w:afterLines="50" w:line="500" w:lineRule="exact"/>
        <w:jc w:val="center"/>
        <w:rPr>
          <w:rFonts w:hint="eastAsia"/>
          <w:b/>
          <w:sz w:val="72"/>
          <w:highlight w:val="none"/>
        </w:rPr>
      </w:pPr>
    </w:p>
    <w:p w14:paraId="4BAD606B">
      <w:pPr>
        <w:spacing w:after="120" w:afterLines="50" w:line="500" w:lineRule="exact"/>
        <w:ind w:firstLine="2522" w:firstLineChars="785"/>
        <w:rPr>
          <w:rFonts w:hint="eastAsia"/>
          <w:b/>
          <w:sz w:val="32"/>
          <w:highlight w:val="none"/>
          <w:u w:val="single"/>
        </w:rPr>
      </w:pPr>
      <w:r>
        <w:rPr>
          <w:rFonts w:hint="eastAsia"/>
          <w:b/>
          <w:sz w:val="32"/>
          <w:highlight w:val="none"/>
          <w:lang w:val="en-US" w:eastAsia="zh-CN"/>
        </w:rPr>
        <w:t>投标人</w:t>
      </w:r>
      <w:r>
        <w:rPr>
          <w:rFonts w:hint="eastAsia"/>
          <w:b/>
          <w:sz w:val="32"/>
          <w:highlight w:val="none"/>
        </w:rPr>
        <w:t>：</w:t>
      </w:r>
      <w:r>
        <w:rPr>
          <w:rFonts w:hint="eastAsia"/>
          <w:b/>
          <w:sz w:val="32"/>
          <w:highlight w:val="none"/>
          <w:u w:val="single"/>
        </w:rPr>
        <w:t xml:space="preserve">               </w:t>
      </w:r>
    </w:p>
    <w:p w14:paraId="5558C602">
      <w:pPr>
        <w:spacing w:after="120" w:afterLines="50" w:line="500" w:lineRule="exact"/>
        <w:jc w:val="center"/>
        <w:outlineLvl w:val="1"/>
        <w:rPr>
          <w:rFonts w:hint="eastAsia"/>
          <w:b/>
          <w:sz w:val="32"/>
          <w:highlight w:val="none"/>
        </w:rPr>
      </w:pPr>
      <w:r>
        <w:rPr>
          <w:rFonts w:hint="eastAsia"/>
          <w:b/>
          <w:sz w:val="32"/>
          <w:highlight w:val="none"/>
          <w:u w:val="single"/>
        </w:rPr>
        <w:t xml:space="preserve">    </w:t>
      </w:r>
      <w:bookmarkStart w:id="70" w:name="_Toc328"/>
      <w:bookmarkStart w:id="71" w:name="_Toc12730"/>
      <w:r>
        <w:rPr>
          <w:rFonts w:hint="eastAsia"/>
          <w:b/>
          <w:sz w:val="32"/>
          <w:highlight w:val="none"/>
        </w:rPr>
        <w:t>年</w:t>
      </w:r>
      <w:r>
        <w:rPr>
          <w:rFonts w:hint="eastAsia"/>
          <w:b/>
          <w:sz w:val="32"/>
          <w:highlight w:val="none"/>
          <w:u w:val="single"/>
        </w:rPr>
        <w:t xml:space="preserve">  </w:t>
      </w:r>
      <w:r>
        <w:rPr>
          <w:rFonts w:hint="eastAsia"/>
          <w:b/>
          <w:sz w:val="32"/>
          <w:highlight w:val="none"/>
        </w:rPr>
        <w:t>月</w:t>
      </w:r>
      <w:r>
        <w:rPr>
          <w:rFonts w:hint="eastAsia"/>
          <w:b/>
          <w:sz w:val="32"/>
          <w:highlight w:val="none"/>
          <w:u w:val="single"/>
        </w:rPr>
        <w:t xml:space="preserve">  </w:t>
      </w:r>
      <w:r>
        <w:rPr>
          <w:rFonts w:hint="eastAsia"/>
          <w:b/>
          <w:sz w:val="32"/>
          <w:highlight w:val="none"/>
        </w:rPr>
        <w:t>日</w:t>
      </w:r>
      <w:bookmarkEnd w:id="70"/>
      <w:bookmarkEnd w:id="71"/>
    </w:p>
    <w:p w14:paraId="387C4A5C">
      <w:pPr>
        <w:widowControl/>
        <w:jc w:val="left"/>
        <w:rPr>
          <w:rFonts w:hint="eastAsia" w:ascii="宋体" w:hAnsi="宋体" w:eastAsia="宋体" w:cs="宋体"/>
          <w:b/>
          <w:bCs/>
          <w:color w:val="auto"/>
          <w:sz w:val="28"/>
          <w:szCs w:val="32"/>
          <w:highlight w:val="none"/>
        </w:rPr>
      </w:pPr>
    </w:p>
    <w:p w14:paraId="247E25B7">
      <w:pPr>
        <w:pStyle w:val="3"/>
        <w:spacing w:before="120" w:after="120"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一．开标一览表</w:t>
      </w:r>
      <w:bookmarkEnd w:id="67"/>
      <w:bookmarkEnd w:id="6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2"/>
        <w:gridCol w:w="6826"/>
      </w:tblGrid>
      <w:tr w14:paraId="5903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2" w:type="dxa"/>
            <w:tcBorders>
              <w:top w:val="single" w:color="auto" w:sz="4" w:space="0"/>
              <w:bottom w:val="single" w:color="auto" w:sz="4" w:space="0"/>
              <w:right w:val="single" w:color="auto" w:sz="4" w:space="0"/>
            </w:tcBorders>
            <w:vAlign w:val="center"/>
          </w:tcPr>
          <w:p w14:paraId="241379FD">
            <w:pPr>
              <w:widowControl/>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项</w:t>
            </w:r>
            <w:bookmarkStart w:id="95" w:name="_GoBack"/>
            <w:bookmarkEnd w:id="95"/>
            <w:r>
              <w:rPr>
                <w:rFonts w:hint="eastAsia" w:ascii="宋体" w:hAnsi="宋体" w:eastAsia="宋体" w:cs="宋体"/>
                <w:b/>
                <w:color w:val="auto"/>
                <w:szCs w:val="24"/>
                <w:highlight w:val="none"/>
              </w:rPr>
              <w:t>目名称</w:t>
            </w:r>
          </w:p>
        </w:tc>
        <w:tc>
          <w:tcPr>
            <w:tcW w:w="6826" w:type="dxa"/>
            <w:tcBorders>
              <w:top w:val="single" w:color="auto" w:sz="4" w:space="0"/>
              <w:bottom w:val="single" w:color="auto" w:sz="4" w:space="0"/>
              <w:right w:val="single" w:color="auto" w:sz="4" w:space="0"/>
            </w:tcBorders>
            <w:vAlign w:val="center"/>
          </w:tcPr>
          <w:p w14:paraId="71A44AB4">
            <w:pPr>
              <w:spacing w:line="360" w:lineRule="exact"/>
              <w:jc w:val="both"/>
              <w:rPr>
                <w:rFonts w:hint="eastAsia" w:ascii="宋体" w:hAnsi="宋体" w:eastAsia="宋体" w:cs="宋体"/>
                <w:bCs/>
                <w:color w:val="auto"/>
                <w:szCs w:val="24"/>
                <w:highlight w:val="none"/>
                <w:u w:val="single"/>
                <w:lang w:eastAsia="zh-CN"/>
              </w:rPr>
            </w:pPr>
            <w:r>
              <w:rPr>
                <w:rFonts w:hint="eastAsia" w:ascii="宋体" w:hAnsi="宋体" w:eastAsia="宋体" w:cs="宋体"/>
                <w:b/>
                <w:color w:val="auto"/>
                <w:szCs w:val="24"/>
                <w:highlight w:val="none"/>
                <w:lang w:eastAsia="zh-CN"/>
              </w:rPr>
              <w:t>安徽师范大学附属肥西第二中学食堂委托运营</w:t>
            </w:r>
          </w:p>
        </w:tc>
      </w:tr>
      <w:tr w14:paraId="7A51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2" w:type="dxa"/>
            <w:tcBorders>
              <w:top w:val="nil"/>
            </w:tcBorders>
            <w:vAlign w:val="center"/>
          </w:tcPr>
          <w:p w14:paraId="20C1B26E">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投标人全称</w:t>
            </w:r>
          </w:p>
        </w:tc>
        <w:tc>
          <w:tcPr>
            <w:tcW w:w="6826" w:type="dxa"/>
            <w:tcBorders>
              <w:top w:val="nil"/>
            </w:tcBorders>
            <w:vAlign w:val="center"/>
          </w:tcPr>
          <w:p w14:paraId="15688C50">
            <w:pPr>
              <w:spacing w:line="360" w:lineRule="auto"/>
              <w:rPr>
                <w:rFonts w:hint="eastAsia" w:ascii="宋体" w:hAnsi="宋体" w:eastAsia="宋体" w:cs="宋体"/>
                <w:color w:val="auto"/>
                <w:szCs w:val="24"/>
                <w:highlight w:val="none"/>
              </w:rPr>
            </w:pPr>
          </w:p>
        </w:tc>
      </w:tr>
      <w:tr w14:paraId="5742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2" w:type="dxa"/>
            <w:tcBorders>
              <w:top w:val="nil"/>
            </w:tcBorders>
            <w:vAlign w:val="center"/>
          </w:tcPr>
          <w:p w14:paraId="46ADDC0C">
            <w:pPr>
              <w:spacing w:line="3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投标范围</w:t>
            </w:r>
          </w:p>
        </w:tc>
        <w:tc>
          <w:tcPr>
            <w:tcW w:w="6826" w:type="dxa"/>
            <w:tcBorders>
              <w:top w:val="nil"/>
            </w:tcBorders>
            <w:vAlign w:val="center"/>
          </w:tcPr>
          <w:p w14:paraId="4CFAB848">
            <w:pPr>
              <w:widowControl/>
              <w:spacing w:line="360" w:lineRule="exact"/>
              <w:jc w:val="both"/>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全部</w:t>
            </w:r>
          </w:p>
        </w:tc>
      </w:tr>
      <w:tr w14:paraId="2509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2" w:type="dxa"/>
            <w:tcBorders>
              <w:top w:val="nil"/>
            </w:tcBorders>
            <w:vAlign w:val="center"/>
          </w:tcPr>
          <w:p w14:paraId="1CF3EBBA">
            <w:pPr>
              <w:spacing w:before="100" w:beforeAutospacing="1" w:after="100" w:afterAutospacing="1"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是否响应招标文件要求</w:t>
            </w:r>
          </w:p>
        </w:tc>
        <w:tc>
          <w:tcPr>
            <w:tcW w:w="6826" w:type="dxa"/>
            <w:tcBorders>
              <w:top w:val="nil"/>
            </w:tcBorders>
            <w:vAlign w:val="center"/>
          </w:tcPr>
          <w:p w14:paraId="29291EF0">
            <w:pPr>
              <w:spacing w:before="100" w:beforeAutospacing="1" w:after="100" w:afterAutospacing="1" w:line="360" w:lineRule="auto"/>
              <w:jc w:val="both"/>
              <w:rPr>
                <w:rFonts w:hint="eastAsia" w:ascii="宋体" w:hAnsi="宋体" w:eastAsia="宋体" w:cs="宋体"/>
                <w:b/>
                <w:color w:val="auto"/>
                <w:highlight w:val="none"/>
              </w:rPr>
            </w:pPr>
            <w:r>
              <w:rPr>
                <w:rFonts w:hint="eastAsia" w:ascii="宋体" w:hAnsi="宋体" w:eastAsia="宋体" w:cs="宋体"/>
                <w:color w:val="auto"/>
                <w:highlight w:val="none"/>
              </w:rPr>
              <w:t>响应</w:t>
            </w:r>
          </w:p>
        </w:tc>
      </w:tr>
      <w:tr w14:paraId="2BBD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12" w:type="dxa"/>
            <w:tcBorders>
              <w:top w:val="nil"/>
            </w:tcBorders>
            <w:vAlign w:val="center"/>
          </w:tcPr>
          <w:p w14:paraId="4651DD50">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备注</w:t>
            </w:r>
          </w:p>
        </w:tc>
        <w:tc>
          <w:tcPr>
            <w:tcW w:w="6826" w:type="dxa"/>
            <w:tcBorders>
              <w:top w:val="nil"/>
            </w:tcBorders>
            <w:vAlign w:val="center"/>
          </w:tcPr>
          <w:p w14:paraId="72CE83E4">
            <w:pPr>
              <w:spacing w:line="360" w:lineRule="auto"/>
              <w:jc w:val="left"/>
              <w:rPr>
                <w:rFonts w:hint="eastAsia" w:ascii="宋体" w:hAnsi="宋体" w:eastAsia="宋体" w:cs="宋体"/>
                <w:color w:val="auto"/>
                <w:szCs w:val="24"/>
                <w:highlight w:val="none"/>
                <w:lang w:val="en-US" w:eastAsia="zh-CN"/>
              </w:rPr>
            </w:pPr>
          </w:p>
        </w:tc>
      </w:tr>
    </w:tbl>
    <w:p w14:paraId="4117E042">
      <w:pPr>
        <w:spacing w:line="360" w:lineRule="auto"/>
        <w:ind w:firstLine="4800" w:firstLineChars="2000"/>
        <w:rPr>
          <w:rFonts w:hint="eastAsia" w:ascii="宋体" w:hAnsi="宋体" w:eastAsia="宋体"/>
          <w:sz w:val="24"/>
          <w:highlight w:val="none"/>
        </w:rPr>
      </w:pPr>
    </w:p>
    <w:p w14:paraId="7FFF3414">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19C6B3AB">
      <w:pPr>
        <w:spacing w:line="360" w:lineRule="auto"/>
        <w:ind w:firstLine="4800" w:firstLineChars="2000"/>
        <w:rPr>
          <w:rFonts w:hint="eastAsia" w:ascii="宋体" w:hAnsi="宋体" w:eastAsia="宋体" w:cs="宋体"/>
          <w:b/>
          <w:color w:val="auto"/>
          <w:highlight w:val="non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r>
        <w:rPr>
          <w:rFonts w:hint="eastAsia" w:ascii="宋体" w:hAnsi="宋体" w:eastAsia="宋体" w:cs="宋体"/>
          <w:b/>
          <w:color w:val="auto"/>
          <w:highlight w:val="none"/>
        </w:rPr>
        <w:t xml:space="preserve">                                         </w:t>
      </w:r>
    </w:p>
    <w:p w14:paraId="3C070C40">
      <w:pPr>
        <w:jc w:val="center"/>
        <w:rPr>
          <w:rFonts w:hint="eastAsia" w:ascii="宋体" w:hAnsi="宋体" w:eastAsia="宋体" w:cs="宋体"/>
          <w:color w:val="auto"/>
          <w:szCs w:val="24"/>
          <w:highlight w:val="none"/>
        </w:rPr>
      </w:pPr>
    </w:p>
    <w:p w14:paraId="1A137906">
      <w:pPr>
        <w:jc w:val="center"/>
        <w:rPr>
          <w:rFonts w:hint="eastAsia" w:ascii="宋体" w:hAnsi="宋体" w:eastAsia="宋体" w:cs="宋体"/>
          <w:color w:val="auto"/>
          <w:szCs w:val="24"/>
          <w:highlight w:val="none"/>
        </w:rPr>
      </w:pPr>
    </w:p>
    <w:p w14:paraId="279ABCAE">
      <w:pPr>
        <w:tabs>
          <w:tab w:val="left" w:pos="4620"/>
        </w:tabs>
        <w:spacing w:line="360" w:lineRule="auto"/>
        <w:ind w:firstLine="4961" w:firstLineChars="1772"/>
        <w:rPr>
          <w:rFonts w:hint="eastAsia" w:ascii="宋体" w:hAnsi="宋体" w:eastAsia="宋体" w:cs="宋体"/>
          <w:color w:val="auto"/>
          <w:szCs w:val="24"/>
          <w:highlight w:val="none"/>
        </w:rPr>
      </w:pPr>
      <w:bookmarkStart w:id="72" w:name="_Toc451019075"/>
      <w:bookmarkStart w:id="73" w:name="_Toc463250311"/>
      <w:bookmarkStart w:id="74" w:name="_Toc300210382"/>
      <w:r>
        <w:rPr>
          <w:rFonts w:hint="eastAsia" w:ascii="宋体" w:hAnsi="宋体" w:eastAsia="宋体" w:cs="宋体"/>
          <w:color w:val="auto"/>
          <w:sz w:val="28"/>
          <w:highlight w:val="none"/>
        </w:rPr>
        <w:br w:type="page"/>
      </w:r>
      <w:bookmarkEnd w:id="72"/>
      <w:bookmarkEnd w:id="73"/>
      <w:bookmarkEnd w:id="74"/>
    </w:p>
    <w:p w14:paraId="2E7D5365">
      <w:pPr>
        <w:pStyle w:val="3"/>
        <w:spacing w:before="120" w:after="120" w:line="360" w:lineRule="auto"/>
        <w:rPr>
          <w:rFonts w:hint="eastAsia" w:ascii="宋体" w:hAnsi="宋体" w:eastAsia="宋体" w:cs="宋体"/>
          <w:color w:val="auto"/>
          <w:sz w:val="28"/>
          <w:highlight w:val="none"/>
        </w:rPr>
      </w:pPr>
      <w:bookmarkStart w:id="75" w:name="_Hlt519045798"/>
      <w:bookmarkEnd w:id="75"/>
      <w:bookmarkStart w:id="76" w:name="_Hlt533409360"/>
      <w:bookmarkEnd w:id="76"/>
      <w:bookmarkStart w:id="77" w:name="_Hlt509716873"/>
      <w:bookmarkEnd w:id="77"/>
      <w:bookmarkStart w:id="78" w:name="_Hlt533408916"/>
      <w:bookmarkEnd w:id="78"/>
      <w:bookmarkStart w:id="79" w:name="_Hlt533408409"/>
      <w:bookmarkEnd w:id="79"/>
      <w:bookmarkStart w:id="80" w:name="_Toc516969097"/>
      <w:bookmarkStart w:id="81" w:name="_Toc30570"/>
      <w:r>
        <w:rPr>
          <w:rFonts w:hint="eastAsia" w:ascii="宋体" w:hAnsi="宋体" w:eastAsia="宋体" w:cs="宋体"/>
          <w:color w:val="auto"/>
          <w:sz w:val="28"/>
          <w:highlight w:val="none"/>
        </w:rPr>
        <w:t>二．投标人情况综合简介</w:t>
      </w:r>
      <w:bookmarkEnd w:id="80"/>
      <w:bookmarkEnd w:id="81"/>
    </w:p>
    <w:p w14:paraId="7B81AA16">
      <w:pPr>
        <w:spacing w:line="500" w:lineRule="exact"/>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w:t>
      </w:r>
      <w:r>
        <w:rPr>
          <w:rFonts w:hint="eastAsia" w:ascii="宋体" w:hAnsi="宋体" w:eastAsia="宋体" w:cs="宋体"/>
          <w:bCs/>
          <w:color w:val="auto"/>
          <w:szCs w:val="24"/>
          <w:highlight w:val="none"/>
        </w:rPr>
        <w:t>投标人可自行制作格式</w:t>
      </w:r>
      <w:r>
        <w:rPr>
          <w:rFonts w:hint="eastAsia" w:ascii="宋体" w:hAnsi="宋体" w:eastAsia="宋体" w:cs="宋体"/>
          <w:b/>
          <w:bCs/>
          <w:color w:val="auto"/>
          <w:szCs w:val="24"/>
          <w:highlight w:val="none"/>
        </w:rPr>
        <w:t>）</w:t>
      </w:r>
    </w:p>
    <w:p w14:paraId="2B58829C">
      <w:pPr>
        <w:spacing w:line="500" w:lineRule="exact"/>
        <w:jc w:val="center"/>
        <w:rPr>
          <w:rFonts w:hint="eastAsia" w:ascii="宋体" w:hAnsi="宋体" w:eastAsia="宋体" w:cs="宋体"/>
          <w:color w:val="auto"/>
          <w:szCs w:val="24"/>
          <w:highlight w:val="none"/>
        </w:rPr>
      </w:pPr>
    </w:p>
    <w:p w14:paraId="405B0306">
      <w:pPr>
        <w:spacing w:line="500" w:lineRule="exact"/>
        <w:jc w:val="center"/>
        <w:rPr>
          <w:rFonts w:hint="eastAsia" w:ascii="宋体" w:hAnsi="宋体" w:eastAsia="宋体" w:cs="宋体"/>
          <w:color w:val="auto"/>
          <w:szCs w:val="24"/>
          <w:highlight w:val="none"/>
        </w:rPr>
      </w:pPr>
    </w:p>
    <w:p w14:paraId="1356341D">
      <w:pPr>
        <w:spacing w:line="500" w:lineRule="exact"/>
        <w:jc w:val="center"/>
        <w:rPr>
          <w:rFonts w:hint="eastAsia" w:ascii="宋体" w:hAnsi="宋体" w:eastAsia="宋体" w:cs="宋体"/>
          <w:color w:val="auto"/>
          <w:szCs w:val="24"/>
          <w:highlight w:val="none"/>
        </w:rPr>
      </w:pPr>
    </w:p>
    <w:p w14:paraId="17E096B5">
      <w:pPr>
        <w:spacing w:line="500" w:lineRule="exact"/>
        <w:jc w:val="center"/>
        <w:rPr>
          <w:rFonts w:hint="eastAsia" w:ascii="宋体" w:hAnsi="宋体" w:eastAsia="宋体" w:cs="宋体"/>
          <w:color w:val="auto"/>
          <w:szCs w:val="24"/>
          <w:highlight w:val="none"/>
        </w:rPr>
      </w:pPr>
    </w:p>
    <w:p w14:paraId="518C51F1">
      <w:pPr>
        <w:pStyle w:val="3"/>
        <w:spacing w:before="120" w:after="120" w:line="360" w:lineRule="auto"/>
        <w:outlineLvl w:val="9"/>
        <w:rPr>
          <w:rFonts w:hint="eastAsia" w:ascii="宋体" w:hAnsi="宋体" w:eastAsia="宋体" w:cs="宋体"/>
          <w:color w:val="auto"/>
          <w:sz w:val="28"/>
          <w:highlight w:val="none"/>
        </w:rPr>
        <w:sectPr>
          <w:headerReference r:id="rId9" w:type="default"/>
          <w:footerReference r:id="rId10" w:type="default"/>
          <w:pgSz w:w="11907" w:h="16840"/>
          <w:pgMar w:top="1440" w:right="1247" w:bottom="1440" w:left="1247" w:header="851" w:footer="992" w:gutter="0"/>
          <w:cols w:space="720" w:num="1"/>
          <w:docGrid w:linePitch="303" w:charSpace="0"/>
        </w:sectPr>
      </w:pPr>
      <w:bookmarkStart w:id="82" w:name="_Toc13870"/>
      <w:bookmarkStart w:id="83" w:name="_Toc516969098"/>
    </w:p>
    <w:p w14:paraId="1E60F8D4">
      <w:pPr>
        <w:pStyle w:val="3"/>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highlight w:val="none"/>
        </w:rPr>
        <w:t>三．投标函</w:t>
      </w:r>
      <w:bookmarkEnd w:id="82"/>
      <w:bookmarkEnd w:id="83"/>
    </w:p>
    <w:p w14:paraId="62A634B1">
      <w:pPr>
        <w:pStyle w:val="5"/>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安徽省肥西第二中学</w:t>
      </w:r>
    </w:p>
    <w:p w14:paraId="5D7D6A51">
      <w:pPr>
        <w:pStyle w:val="5"/>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肥西县公共资源交易有限责任公司</w:t>
      </w:r>
    </w:p>
    <w:p w14:paraId="548F8A1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0FB64D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D0D89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5AE18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C7253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451EC8D">
      <w:pPr>
        <w:spacing w:line="360" w:lineRule="auto"/>
        <w:ind w:firstLine="4800" w:firstLineChars="2000"/>
        <w:rPr>
          <w:rFonts w:ascii="宋体" w:hAnsi="宋体" w:eastAsia="宋体"/>
          <w:sz w:val="24"/>
          <w:highlight w:val="none"/>
        </w:rPr>
      </w:pPr>
    </w:p>
    <w:p w14:paraId="5C607F60">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投标人电子签章：</w:t>
      </w:r>
      <w:r>
        <w:rPr>
          <w:rFonts w:hint="eastAsia" w:ascii="宋体" w:hAnsi="宋体" w:eastAsia="宋体"/>
          <w:sz w:val="24"/>
          <w:highlight w:val="none"/>
          <w:u w:val="single"/>
        </w:rPr>
        <w:t xml:space="preserve">             </w:t>
      </w:r>
    </w:p>
    <w:p w14:paraId="36985C04">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349AFD89">
      <w:pPr>
        <w:pageBreakBefore w:val="0"/>
        <w:widowControl w:val="0"/>
        <w:kinsoku/>
        <w:wordWrap/>
        <w:overflowPunct/>
        <w:topLinePunct w:val="0"/>
        <w:autoSpaceDE/>
        <w:autoSpaceDN/>
        <w:bidi w:val="0"/>
        <w:adjustRightInd/>
        <w:snapToGrid/>
        <w:spacing w:line="360" w:lineRule="auto"/>
        <w:ind w:left="0" w:leftChars="0" w:firstLine="630"/>
        <w:textAlignment w:val="auto"/>
        <w:rPr>
          <w:rFonts w:hint="eastAsia" w:ascii="宋体" w:hAnsi="宋体" w:eastAsia="宋体" w:cs="宋体"/>
          <w:color w:val="auto"/>
          <w:szCs w:val="24"/>
          <w:highlight w:val="none"/>
        </w:rPr>
      </w:pPr>
    </w:p>
    <w:p w14:paraId="52759E97">
      <w:pPr>
        <w:rPr>
          <w:rFonts w:hint="eastAsia" w:ascii="宋体" w:hAnsi="宋体" w:eastAsia="宋体" w:cs="宋体"/>
        </w:rPr>
        <w:sectPr>
          <w:footerReference r:id="rId11" w:type="default"/>
          <w:pgSz w:w="11907" w:h="16840"/>
          <w:pgMar w:top="1440" w:right="1247" w:bottom="1440" w:left="1247" w:header="851" w:footer="992" w:gutter="0"/>
          <w:cols w:space="720" w:num="1"/>
          <w:docGrid w:linePitch="303" w:charSpace="0"/>
        </w:sectPr>
      </w:pPr>
    </w:p>
    <w:bookmarkEnd w:id="60"/>
    <w:bookmarkEnd w:id="61"/>
    <w:bookmarkEnd w:id="62"/>
    <w:bookmarkEnd w:id="69"/>
    <w:p w14:paraId="230A4206">
      <w:pPr>
        <w:pStyle w:val="3"/>
        <w:spacing w:before="120" w:after="120" w:line="360" w:lineRule="auto"/>
        <w:rPr>
          <w:rFonts w:hint="eastAsia" w:ascii="宋体" w:hAnsi="宋体" w:eastAsia="宋体" w:cs="宋体"/>
          <w:b w:val="0"/>
          <w:bCs w:val="0"/>
          <w:color w:val="auto"/>
          <w:sz w:val="28"/>
          <w:highlight w:val="none"/>
        </w:rPr>
      </w:pPr>
      <w:bookmarkStart w:id="84" w:name="_Hlt514495724"/>
      <w:bookmarkEnd w:id="84"/>
      <w:bookmarkStart w:id="85" w:name="_Hlt533408944"/>
      <w:bookmarkEnd w:id="85"/>
      <w:bookmarkStart w:id="86" w:name="_Toc20205"/>
      <w:r>
        <w:rPr>
          <w:rFonts w:hint="eastAsia" w:ascii="宋体" w:hAnsi="宋体" w:eastAsia="宋体" w:cs="宋体"/>
          <w:color w:val="auto"/>
          <w:sz w:val="28"/>
          <w:highlight w:val="none"/>
        </w:rPr>
        <w:t>四</w:t>
      </w:r>
      <w:bookmarkStart w:id="87" w:name="_Toc515390494"/>
      <w:bookmarkStart w:id="88" w:name="_Toc496587830"/>
      <w:r>
        <w:rPr>
          <w:rFonts w:hint="eastAsia" w:hAnsi="宋体" w:cs="宋体"/>
          <w:color w:val="auto"/>
          <w:sz w:val="28"/>
          <w:highlight w:val="none"/>
          <w:lang w:val="en-US" w:eastAsia="zh-CN"/>
        </w:rPr>
        <w:t>.</w:t>
      </w:r>
      <w:r>
        <w:rPr>
          <w:rFonts w:hint="eastAsia" w:ascii="宋体" w:hAnsi="宋体" w:eastAsia="宋体" w:cs="宋体"/>
          <w:color w:val="auto"/>
          <w:sz w:val="28"/>
          <w:highlight w:val="none"/>
        </w:rPr>
        <w:t>投标人信用承诺</w:t>
      </w:r>
      <w:bookmarkEnd w:id="86"/>
      <w:bookmarkEnd w:id="87"/>
      <w:bookmarkEnd w:id="88"/>
    </w:p>
    <w:p w14:paraId="79D3FCDD">
      <w:pPr>
        <w:spacing w:line="360" w:lineRule="auto"/>
        <w:ind w:firstLine="630"/>
        <w:rPr>
          <w:rFonts w:hint="eastAsia" w:ascii="宋体" w:hAnsi="宋体" w:eastAsia="宋体" w:cs="宋体"/>
          <w:b/>
          <w:color w:val="auto"/>
          <w:highlight w:val="none"/>
        </w:rPr>
      </w:pPr>
      <w:r>
        <w:rPr>
          <w:rFonts w:hint="eastAsia" w:ascii="宋体" w:hAnsi="宋体" w:eastAsia="宋体" w:cs="宋体"/>
          <w:b/>
          <w:color w:val="auto"/>
          <w:highlight w:val="none"/>
        </w:rPr>
        <w:t>一、我公司申明：</w:t>
      </w:r>
    </w:p>
    <w:p w14:paraId="6E95460D">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1.我公司未被人民法院列入失信被执行人；</w:t>
      </w:r>
    </w:p>
    <w:p w14:paraId="3D15B539">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2.我公司和我公司法定代表人和我公司拟派项目经理（项目负责人）均未被人民检察院列入行贿犯罪档案；</w:t>
      </w:r>
    </w:p>
    <w:p w14:paraId="70A0EB66">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3.我公司未被工商行政管理部门列入企业经营异常名录；</w:t>
      </w:r>
    </w:p>
    <w:p w14:paraId="152DBBBF">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4.我公司未被税务部门列入重大税收违法案件当事人名单。</w:t>
      </w:r>
    </w:p>
    <w:p w14:paraId="2EEAB74F">
      <w:pPr>
        <w:spacing w:line="360" w:lineRule="auto"/>
        <w:ind w:firstLine="630"/>
        <w:rPr>
          <w:rFonts w:hint="eastAsia" w:ascii="宋体" w:hAnsi="宋体" w:eastAsia="宋体" w:cs="宋体"/>
          <w:color w:val="auto"/>
          <w:highlight w:val="none"/>
        </w:rPr>
      </w:pPr>
      <w:r>
        <w:rPr>
          <w:rFonts w:hint="eastAsia" w:ascii="宋体" w:hAnsi="宋体" w:eastAsia="宋体" w:cs="宋体"/>
          <w:b/>
          <w:color w:val="auto"/>
          <w:highlight w:val="none"/>
        </w:rPr>
        <w:t>二、合同签订前</w:t>
      </w:r>
      <w:r>
        <w:rPr>
          <w:rFonts w:hint="eastAsia" w:ascii="宋体" w:hAnsi="宋体" w:eastAsia="宋体" w:cs="宋体"/>
          <w:color w:val="auto"/>
          <w:highlight w:val="none"/>
        </w:rPr>
        <w:t>，若我公司具有本项目招标公告投标人资格中规定的不良信用记录情形，可取消我公司的中标资格或者不授予合同，所有责任由我公司自行承担。同时，我公司愿意无条件接受监管部门的调查处理。</w:t>
      </w:r>
    </w:p>
    <w:p w14:paraId="689FF0B1">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三、所提供的一切材料都是真实、有效、合法的；</w:t>
      </w:r>
    </w:p>
    <w:p w14:paraId="747EC420">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三、不出借、转让资质证书，不让他人挂靠投标，不以他人名义投标或者以其他方式弄虚作假，骗取中标；</w:t>
      </w:r>
    </w:p>
    <w:p w14:paraId="6E0622AC">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四、不与其他投标单位相互串通投标，不排挤其他投标单位的公平竞争、损害</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的合法权益；</w:t>
      </w:r>
    </w:p>
    <w:p w14:paraId="40806FB4">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五、不与</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、招标代理机构或其他投标单位串通投标，损害国家利益、社会公共利益或者他人的合法权益；</w:t>
      </w:r>
    </w:p>
    <w:p w14:paraId="6882956B">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六、严格遵守开标现场纪律，服从监管人员管理；</w:t>
      </w:r>
    </w:p>
    <w:p w14:paraId="7792AC0E">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七、保证企业及所属相关人员在本次投标中无行贿等犯罪行为；</w:t>
      </w:r>
    </w:p>
    <w:p w14:paraId="6F8171A8">
      <w:pPr>
        <w:spacing w:line="360" w:lineRule="auto"/>
        <w:ind w:firstLine="630"/>
        <w:rPr>
          <w:rFonts w:hint="eastAsia" w:ascii="宋体" w:hAnsi="宋体" w:eastAsia="宋体" w:cs="宋体"/>
          <w:color w:val="auto"/>
          <w:highlight w:val="none"/>
        </w:rPr>
      </w:pPr>
      <w:r>
        <w:rPr>
          <w:rFonts w:hint="eastAsia" w:ascii="宋体" w:hAnsi="宋体" w:eastAsia="宋体" w:cs="宋体"/>
          <w:color w:val="auto"/>
          <w:highlight w:val="none"/>
        </w:rPr>
        <w:t>以上内容我已仔细阅读，本公司若有违反承诺内容的行为，自愿依法接受取消投标资格、记入信用档案、取消中标资格、没收投标保证金等有关处理，愿意承担法律责任，给</w:t>
      </w:r>
      <w:r>
        <w:rPr>
          <w:rFonts w:hint="eastAsia" w:ascii="宋体" w:hAnsi="宋体" w:eastAsia="宋体" w:cs="宋体"/>
          <w:color w:val="auto"/>
          <w:highlight w:val="none"/>
          <w:lang w:eastAsia="zh-CN"/>
        </w:rPr>
        <w:t>招标人</w:t>
      </w:r>
      <w:r>
        <w:rPr>
          <w:rFonts w:hint="eastAsia" w:ascii="宋体" w:hAnsi="宋体" w:eastAsia="宋体" w:cs="宋体"/>
          <w:color w:val="auto"/>
          <w:highlight w:val="none"/>
        </w:rPr>
        <w:t>造成损失的，依法承担赔偿责任。</w:t>
      </w:r>
    </w:p>
    <w:p w14:paraId="421CCC90">
      <w:pPr>
        <w:spacing w:line="360" w:lineRule="auto"/>
        <w:ind w:firstLine="482" w:firstLineChars="200"/>
        <w:rPr>
          <w:rFonts w:hint="eastAsia" w:ascii="宋体" w:hAnsi="宋体" w:eastAsia="宋体" w:cs="宋体"/>
          <w:b/>
          <w:color w:val="auto"/>
          <w:highlight w:val="none"/>
        </w:rPr>
      </w:pPr>
    </w:p>
    <w:p w14:paraId="3999020E">
      <w:pP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我公司对以上承诺的真实性承担责任。</w:t>
      </w:r>
    </w:p>
    <w:p w14:paraId="4EFF0EF2">
      <w:pPr>
        <w:spacing w:line="360" w:lineRule="auto"/>
        <w:ind w:firstLine="630"/>
        <w:rPr>
          <w:rFonts w:hint="eastAsia" w:ascii="宋体" w:hAnsi="宋体" w:eastAsia="宋体" w:cs="宋体"/>
          <w:b/>
          <w:color w:val="auto"/>
          <w:highlight w:val="none"/>
        </w:rPr>
      </w:pPr>
    </w:p>
    <w:p w14:paraId="2C2DB3DB">
      <w:pPr>
        <w:spacing w:before="100" w:beforeAutospacing="1" w:after="100" w:afterAutospacing="1" w:line="360" w:lineRule="auto"/>
        <w:ind w:firstLine="723" w:firstLineChars="300"/>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 xml:space="preserve">                          </w:t>
      </w:r>
      <w:r>
        <w:rPr>
          <w:rFonts w:hint="eastAsia" w:ascii="宋体" w:hAnsi="宋体" w:eastAsia="宋体" w:cs="宋体"/>
          <w:b/>
          <w:color w:val="auto"/>
          <w:highlight w:val="none"/>
        </w:rPr>
        <w:t>投标人</w:t>
      </w:r>
      <w:r>
        <w:rPr>
          <w:rFonts w:hint="eastAsia" w:ascii="宋体" w:hAnsi="宋体" w:eastAsia="宋体" w:cs="宋体"/>
          <w:b/>
          <w:color w:val="auto"/>
          <w:highlight w:val="none"/>
          <w:lang w:val="en-US" w:eastAsia="zh-CN"/>
        </w:rPr>
        <w:t>电子签章</w:t>
      </w:r>
      <w:r>
        <w:rPr>
          <w:rFonts w:hint="eastAsia" w:ascii="宋体" w:hAnsi="宋体" w:eastAsia="宋体" w:cs="宋体"/>
          <w:b/>
          <w:color w:val="auto"/>
          <w:highlight w:val="none"/>
        </w:rPr>
        <w:t>：</w:t>
      </w:r>
      <w:r>
        <w:rPr>
          <w:rFonts w:hint="eastAsia" w:ascii="宋体" w:hAnsi="宋体" w:eastAsia="宋体" w:cs="宋体"/>
          <w:b/>
          <w:color w:val="auto"/>
          <w:highlight w:val="none"/>
          <w:u w:val="single"/>
          <w:lang w:val="en-US" w:eastAsia="zh-CN"/>
        </w:rPr>
        <w:t xml:space="preserve">               </w:t>
      </w:r>
      <w:r>
        <w:rPr>
          <w:rFonts w:hint="eastAsia" w:ascii="宋体" w:hAnsi="宋体" w:eastAsia="宋体" w:cs="宋体"/>
          <w:b/>
          <w:color w:val="auto"/>
          <w:highlight w:val="none"/>
        </w:rPr>
        <w:t xml:space="preserve">  </w:t>
      </w:r>
    </w:p>
    <w:p w14:paraId="76EF56FC">
      <w:pPr>
        <w:ind w:firstLine="723" w:firstLineChars="300"/>
        <w:jc w:val="center"/>
        <w:rPr>
          <w:rFonts w:hint="eastAsia" w:ascii="宋体" w:hAnsi="宋体" w:eastAsia="宋体" w:cs="宋体"/>
          <w:color w:val="auto"/>
          <w:kern w:val="0"/>
          <w:szCs w:val="24"/>
          <w:highlight w:val="none"/>
        </w:rPr>
      </w:pPr>
      <w:r>
        <w:rPr>
          <w:rFonts w:hint="eastAsia" w:ascii="宋体" w:hAnsi="宋体" w:eastAsia="宋体" w:cs="宋体"/>
          <w:b/>
          <w:color w:val="auto"/>
          <w:highlight w:val="none"/>
          <w:lang w:val="en-US" w:eastAsia="zh-CN"/>
        </w:rPr>
        <w:t xml:space="preserve">                日期：</w:t>
      </w:r>
      <w:r>
        <w:rPr>
          <w:rFonts w:hint="eastAsia" w:ascii="宋体" w:hAnsi="宋体" w:eastAsia="宋体" w:cs="宋体"/>
          <w:b/>
          <w:color w:val="auto"/>
          <w:highlight w:val="none"/>
          <w:u w:val="single"/>
          <w:lang w:val="en-US" w:eastAsia="zh-CN"/>
        </w:rPr>
        <w:t xml:space="preserve">                          </w:t>
      </w:r>
    </w:p>
    <w:p w14:paraId="48A1105C">
      <w:pPr>
        <w:ind w:firstLine="645"/>
        <w:rPr>
          <w:rFonts w:hint="eastAsia" w:ascii="宋体" w:hAnsi="宋体" w:eastAsia="宋体" w:cs="宋体"/>
          <w:color w:val="auto"/>
          <w:kern w:val="0"/>
          <w:szCs w:val="24"/>
          <w:highlight w:val="none"/>
        </w:rPr>
      </w:pPr>
    </w:p>
    <w:p w14:paraId="461FCD45">
      <w:pPr>
        <w:spacing w:line="360" w:lineRule="auto"/>
        <w:rPr>
          <w:rFonts w:hint="eastAsia" w:ascii="宋体" w:hAnsi="宋体" w:eastAsia="宋体" w:cs="宋体"/>
          <w:b/>
          <w:color w:val="auto"/>
          <w:szCs w:val="24"/>
          <w:highlight w:val="none"/>
        </w:rPr>
      </w:pPr>
    </w:p>
    <w:p w14:paraId="2D33DA7B">
      <w:pPr>
        <w:pStyle w:val="3"/>
        <w:rPr>
          <w:rFonts w:hint="eastAsia" w:ascii="宋体" w:hAnsi="宋体" w:eastAsia="宋体" w:cs="宋体"/>
          <w:color w:val="auto"/>
          <w:sz w:val="28"/>
          <w:highlight w:val="none"/>
        </w:rPr>
      </w:pPr>
      <w:bookmarkStart w:id="89" w:name="_Toc4347"/>
      <w:r>
        <w:rPr>
          <w:rFonts w:hint="eastAsia" w:ascii="宋体" w:hAnsi="宋体" w:eastAsia="宋体" w:cs="宋体"/>
          <w:color w:val="auto"/>
          <w:sz w:val="28"/>
          <w:highlight w:val="none"/>
        </w:rPr>
        <w:t>五.投标业绩</w:t>
      </w:r>
      <w:bookmarkEnd w:id="89"/>
    </w:p>
    <w:p w14:paraId="3D15CC80">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（一）业绩表</w:t>
      </w:r>
    </w:p>
    <w:p w14:paraId="162A21C8">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（格式仅供参考）</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6679"/>
        <w:gridCol w:w="1311"/>
      </w:tblGrid>
      <w:tr w14:paraId="79F6B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522F5068">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业绩序号</w:t>
            </w:r>
          </w:p>
        </w:tc>
        <w:tc>
          <w:tcPr>
            <w:tcW w:w="3468" w:type="pct"/>
            <w:noWrap w:val="0"/>
            <w:vAlign w:val="center"/>
          </w:tcPr>
          <w:p w14:paraId="04075E73">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项目名称（合同名称）</w:t>
            </w:r>
          </w:p>
        </w:tc>
        <w:tc>
          <w:tcPr>
            <w:tcW w:w="681" w:type="pct"/>
            <w:noWrap w:val="0"/>
            <w:vAlign w:val="center"/>
          </w:tcPr>
          <w:p w14:paraId="702F6812">
            <w:pPr>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备注</w:t>
            </w:r>
          </w:p>
        </w:tc>
      </w:tr>
      <w:tr w14:paraId="401B8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3D1DD06F">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468" w:type="pct"/>
            <w:noWrap w:val="0"/>
            <w:vAlign w:val="center"/>
          </w:tcPr>
          <w:p w14:paraId="3197B0E8">
            <w:pPr>
              <w:ind w:firstLine="480"/>
              <w:jc w:val="center"/>
              <w:rPr>
                <w:rFonts w:hint="eastAsia" w:ascii="宋体" w:hAnsi="宋体" w:eastAsia="宋体" w:cs="宋体"/>
                <w:color w:val="auto"/>
                <w:highlight w:val="none"/>
              </w:rPr>
            </w:pPr>
          </w:p>
        </w:tc>
        <w:tc>
          <w:tcPr>
            <w:tcW w:w="681" w:type="pct"/>
            <w:noWrap w:val="0"/>
            <w:vAlign w:val="center"/>
          </w:tcPr>
          <w:p w14:paraId="0ED12F4C">
            <w:pPr>
              <w:ind w:firstLine="480"/>
              <w:jc w:val="center"/>
              <w:rPr>
                <w:rFonts w:hint="eastAsia" w:ascii="宋体" w:hAnsi="宋体" w:eastAsia="宋体" w:cs="宋体"/>
                <w:color w:val="auto"/>
                <w:highlight w:val="none"/>
              </w:rPr>
            </w:pPr>
          </w:p>
        </w:tc>
      </w:tr>
      <w:tr w14:paraId="286BD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4A4442ED">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468" w:type="pct"/>
            <w:noWrap w:val="0"/>
            <w:vAlign w:val="center"/>
          </w:tcPr>
          <w:p w14:paraId="4F2FA02B">
            <w:pPr>
              <w:ind w:firstLine="480"/>
              <w:jc w:val="center"/>
              <w:rPr>
                <w:rFonts w:hint="eastAsia" w:ascii="宋体" w:hAnsi="宋体" w:eastAsia="宋体" w:cs="宋体"/>
                <w:color w:val="auto"/>
                <w:highlight w:val="none"/>
              </w:rPr>
            </w:pPr>
          </w:p>
        </w:tc>
        <w:tc>
          <w:tcPr>
            <w:tcW w:w="681" w:type="pct"/>
            <w:noWrap w:val="0"/>
            <w:vAlign w:val="center"/>
          </w:tcPr>
          <w:p w14:paraId="623D4DB4">
            <w:pPr>
              <w:ind w:firstLine="480"/>
              <w:jc w:val="center"/>
              <w:rPr>
                <w:rFonts w:hint="eastAsia" w:ascii="宋体" w:hAnsi="宋体" w:eastAsia="宋体" w:cs="宋体"/>
                <w:color w:val="auto"/>
                <w:highlight w:val="none"/>
              </w:rPr>
            </w:pPr>
          </w:p>
        </w:tc>
      </w:tr>
      <w:tr w14:paraId="0123A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49" w:type="pct"/>
            <w:noWrap w:val="0"/>
            <w:vAlign w:val="center"/>
          </w:tcPr>
          <w:p w14:paraId="436DD216">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468" w:type="pct"/>
            <w:noWrap w:val="0"/>
            <w:vAlign w:val="center"/>
          </w:tcPr>
          <w:p w14:paraId="2501CECB">
            <w:pPr>
              <w:ind w:firstLine="480"/>
              <w:jc w:val="center"/>
              <w:rPr>
                <w:rFonts w:hint="eastAsia" w:ascii="宋体" w:hAnsi="宋体" w:eastAsia="宋体" w:cs="宋体"/>
                <w:color w:val="auto"/>
                <w:highlight w:val="none"/>
              </w:rPr>
            </w:pPr>
          </w:p>
        </w:tc>
        <w:tc>
          <w:tcPr>
            <w:tcW w:w="681" w:type="pct"/>
            <w:noWrap w:val="0"/>
            <w:vAlign w:val="center"/>
          </w:tcPr>
          <w:p w14:paraId="3D30A53B">
            <w:pPr>
              <w:ind w:firstLine="480"/>
              <w:jc w:val="center"/>
              <w:rPr>
                <w:rFonts w:hint="eastAsia" w:ascii="宋体" w:hAnsi="宋体" w:eastAsia="宋体" w:cs="宋体"/>
                <w:color w:val="auto"/>
                <w:highlight w:val="none"/>
              </w:rPr>
            </w:pPr>
          </w:p>
        </w:tc>
      </w:tr>
    </w:tbl>
    <w:p w14:paraId="1B7B5D5D">
      <w:pPr>
        <w:spacing w:before="48" w:beforeLines="20" w:after="48" w:afterLines="20" w:line="360" w:lineRule="auto"/>
        <w:jc w:val="center"/>
        <w:rPr>
          <w:rFonts w:hint="eastAsia" w:ascii="宋体" w:hAnsi="宋体" w:eastAsia="宋体" w:cs="宋体"/>
          <w:b/>
          <w:color w:val="auto"/>
          <w:sz w:val="28"/>
          <w:highlight w:val="none"/>
        </w:rPr>
      </w:pPr>
    </w:p>
    <w:p w14:paraId="20F21165">
      <w:pPr>
        <w:spacing w:before="48" w:beforeLines="20" w:after="48" w:afterLines="20"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（二）业绩证明材料</w:t>
      </w:r>
    </w:p>
    <w:p w14:paraId="7F130D00">
      <w:pPr>
        <w:spacing w:before="48" w:beforeLines="20" w:after="48" w:afterLines="2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（建议与上述“（一）业绩表”填写的业绩一一对应提供）</w:t>
      </w:r>
    </w:p>
    <w:p w14:paraId="6649F993">
      <w:pPr>
        <w:spacing w:before="48" w:beforeLines="20" w:after="48" w:afterLines="20" w:line="360" w:lineRule="auto"/>
        <w:jc w:val="both"/>
        <w:rPr>
          <w:rFonts w:hint="eastAsia" w:ascii="宋体" w:hAnsi="宋体" w:eastAsia="宋体" w:cs="宋体"/>
          <w:color w:val="auto"/>
          <w:szCs w:val="21"/>
          <w:highlight w:val="none"/>
        </w:rPr>
      </w:pPr>
      <w:bookmarkStart w:id="90" w:name="_Toc10299"/>
    </w:p>
    <w:p w14:paraId="3C8FB32A">
      <w:pPr>
        <w:pStyle w:val="3"/>
        <w:spacing w:before="120" w:after="120" w:line="360" w:lineRule="auto"/>
        <w:rPr>
          <w:rFonts w:hint="eastAsia" w:ascii="宋体" w:hAnsi="宋体" w:eastAsia="宋体" w:cs="宋体"/>
          <w:color w:val="auto"/>
          <w:sz w:val="28"/>
          <w:highlight w:val="none"/>
        </w:rPr>
      </w:pPr>
    </w:p>
    <w:p w14:paraId="494924ED">
      <w:pPr>
        <w:pStyle w:val="3"/>
        <w:spacing w:before="120" w:after="120" w:line="360" w:lineRule="auto"/>
        <w:rPr>
          <w:rFonts w:hint="eastAsia" w:ascii="宋体" w:hAnsi="宋体" w:eastAsia="宋体" w:cs="宋体"/>
          <w:color w:val="auto"/>
          <w:sz w:val="28"/>
          <w:highlight w:val="none"/>
        </w:rPr>
      </w:pPr>
    </w:p>
    <w:p w14:paraId="099F5384">
      <w:pPr>
        <w:pStyle w:val="3"/>
        <w:spacing w:before="120" w:after="120" w:line="360" w:lineRule="auto"/>
        <w:rPr>
          <w:rFonts w:hint="eastAsia" w:ascii="宋体" w:hAnsi="宋体" w:eastAsia="宋体" w:cs="宋体"/>
          <w:color w:val="auto"/>
          <w:sz w:val="28"/>
          <w:highlight w:val="none"/>
        </w:rPr>
      </w:pPr>
    </w:p>
    <w:p w14:paraId="1249E347">
      <w:pPr>
        <w:pStyle w:val="3"/>
        <w:spacing w:before="120" w:after="120" w:line="360" w:lineRule="auto"/>
        <w:rPr>
          <w:rFonts w:hint="eastAsia" w:ascii="宋体" w:hAnsi="宋体" w:eastAsia="宋体" w:cs="宋体"/>
          <w:color w:val="auto"/>
          <w:sz w:val="28"/>
          <w:highlight w:val="none"/>
        </w:rPr>
      </w:pPr>
    </w:p>
    <w:p w14:paraId="21C83591">
      <w:pPr>
        <w:pStyle w:val="3"/>
        <w:spacing w:before="120" w:after="120" w:line="360" w:lineRule="auto"/>
        <w:rPr>
          <w:rFonts w:hint="eastAsia" w:ascii="宋体" w:hAnsi="宋体" w:eastAsia="宋体" w:cs="宋体"/>
          <w:color w:val="auto"/>
          <w:sz w:val="28"/>
          <w:highlight w:val="none"/>
        </w:rPr>
      </w:pPr>
    </w:p>
    <w:p w14:paraId="0AD3AE60">
      <w:pPr>
        <w:pStyle w:val="3"/>
        <w:spacing w:before="120" w:after="120" w:line="360" w:lineRule="auto"/>
        <w:rPr>
          <w:rFonts w:hint="eastAsia" w:ascii="宋体" w:hAnsi="宋体" w:eastAsia="宋体" w:cs="宋体"/>
          <w:color w:val="auto"/>
          <w:sz w:val="28"/>
          <w:highlight w:val="none"/>
        </w:rPr>
      </w:pPr>
    </w:p>
    <w:p w14:paraId="30CE3F8F">
      <w:pPr>
        <w:pStyle w:val="3"/>
        <w:spacing w:before="120" w:after="120" w:line="360" w:lineRule="auto"/>
        <w:rPr>
          <w:rFonts w:hint="eastAsia" w:ascii="宋体" w:hAnsi="宋体" w:eastAsia="宋体" w:cs="宋体"/>
          <w:color w:val="auto"/>
          <w:sz w:val="28"/>
          <w:highlight w:val="none"/>
        </w:rPr>
      </w:pPr>
    </w:p>
    <w:p w14:paraId="02FF45AB">
      <w:pPr>
        <w:pStyle w:val="3"/>
        <w:spacing w:before="120" w:after="120" w:line="360" w:lineRule="auto"/>
        <w:rPr>
          <w:rFonts w:hint="eastAsia" w:ascii="宋体" w:hAnsi="宋体" w:eastAsia="宋体" w:cs="宋体"/>
          <w:color w:val="auto"/>
          <w:sz w:val="28"/>
          <w:highlight w:val="none"/>
        </w:rPr>
      </w:pPr>
    </w:p>
    <w:p w14:paraId="4A5D844C">
      <w:pPr>
        <w:pStyle w:val="3"/>
        <w:spacing w:before="120" w:after="120" w:line="360" w:lineRule="auto"/>
        <w:rPr>
          <w:rFonts w:hint="eastAsia" w:ascii="宋体" w:hAnsi="宋体" w:eastAsia="宋体" w:cs="宋体"/>
          <w:color w:val="auto"/>
          <w:sz w:val="28"/>
          <w:highlight w:val="none"/>
        </w:rPr>
      </w:pPr>
    </w:p>
    <w:p w14:paraId="1FC5F483">
      <w:pPr>
        <w:pStyle w:val="3"/>
        <w:spacing w:before="120" w:after="120" w:line="360" w:lineRule="auto"/>
        <w:rPr>
          <w:rFonts w:hint="eastAsia" w:ascii="宋体" w:hAnsi="宋体" w:eastAsia="宋体" w:cs="宋体"/>
          <w:color w:val="auto"/>
          <w:sz w:val="28"/>
          <w:highlight w:val="none"/>
        </w:rPr>
      </w:pPr>
    </w:p>
    <w:p w14:paraId="6F5FE86C">
      <w:pPr>
        <w:rPr>
          <w:rFonts w:hint="eastAsia"/>
        </w:rPr>
      </w:pPr>
    </w:p>
    <w:p w14:paraId="459C184C">
      <w:pPr>
        <w:pStyle w:val="3"/>
        <w:spacing w:before="120" w:after="12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8"/>
          <w:highlight w:val="none"/>
          <w:lang w:val="en-US" w:eastAsia="zh-CN"/>
        </w:rPr>
        <w:t>六</w:t>
      </w:r>
      <w:r>
        <w:rPr>
          <w:rFonts w:hint="eastAsia" w:ascii="宋体" w:hAnsi="宋体" w:eastAsia="宋体" w:cs="宋体"/>
          <w:color w:val="auto"/>
          <w:sz w:val="28"/>
          <w:highlight w:val="none"/>
        </w:rPr>
        <w:t>．</w:t>
      </w:r>
      <w:r>
        <w:rPr>
          <w:rFonts w:hint="eastAsia" w:ascii="宋体" w:hAnsi="宋体" w:eastAsia="宋体" w:cs="宋体"/>
          <w:color w:val="auto"/>
          <w:sz w:val="28"/>
          <w:highlight w:val="none"/>
          <w:lang w:val="en-US" w:eastAsia="zh-CN"/>
        </w:rPr>
        <w:t>人员配备</w:t>
      </w:r>
    </w:p>
    <w:p w14:paraId="3CB6303A">
      <w:pPr>
        <w:pStyle w:val="3"/>
        <w:spacing w:before="120" w:after="12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（投标人可自行制作格式）</w:t>
      </w:r>
    </w:p>
    <w:p w14:paraId="619B6C77">
      <w:pPr>
        <w:pStyle w:val="3"/>
        <w:spacing w:before="120" w:after="120" w:line="360" w:lineRule="auto"/>
        <w:jc w:val="center"/>
        <w:rPr>
          <w:rFonts w:hint="eastAsia" w:ascii="宋体" w:hAnsi="宋体" w:eastAsia="宋体" w:cs="宋体"/>
          <w:bCs/>
          <w:color w:val="auto"/>
          <w:szCs w:val="24"/>
          <w:highlight w:val="none"/>
        </w:rPr>
      </w:pPr>
    </w:p>
    <w:p w14:paraId="48668687">
      <w:pPr>
        <w:pStyle w:val="3"/>
        <w:spacing w:before="120" w:after="120" w:line="360" w:lineRule="auto"/>
        <w:jc w:val="center"/>
        <w:rPr>
          <w:rFonts w:hint="eastAsia" w:ascii="宋体" w:hAnsi="宋体" w:eastAsia="宋体" w:cs="宋体"/>
          <w:bCs/>
          <w:color w:val="auto"/>
          <w:szCs w:val="24"/>
          <w:highlight w:val="none"/>
        </w:rPr>
      </w:pPr>
    </w:p>
    <w:p w14:paraId="00FDD5B6">
      <w:pPr>
        <w:pStyle w:val="3"/>
        <w:spacing w:before="120" w:after="120" w:line="360" w:lineRule="auto"/>
        <w:jc w:val="center"/>
        <w:rPr>
          <w:rFonts w:hint="eastAsia" w:ascii="宋体" w:hAnsi="宋体" w:eastAsia="宋体" w:cs="宋体"/>
          <w:bCs/>
          <w:color w:val="auto"/>
          <w:szCs w:val="24"/>
          <w:highlight w:val="none"/>
        </w:rPr>
      </w:pPr>
    </w:p>
    <w:p w14:paraId="0D54F38B">
      <w:pPr>
        <w:pStyle w:val="3"/>
        <w:spacing w:before="120" w:after="120" w:line="360" w:lineRule="auto"/>
        <w:jc w:val="center"/>
        <w:rPr>
          <w:rFonts w:hint="eastAsia" w:ascii="宋体" w:hAnsi="宋体" w:eastAsia="宋体" w:cs="宋体"/>
          <w:bCs/>
          <w:color w:val="auto"/>
          <w:szCs w:val="24"/>
          <w:highlight w:val="none"/>
        </w:rPr>
      </w:pPr>
    </w:p>
    <w:p w14:paraId="4E408ADB">
      <w:pPr>
        <w:pStyle w:val="3"/>
        <w:spacing w:before="120" w:after="120" w:line="360" w:lineRule="auto"/>
        <w:jc w:val="center"/>
        <w:rPr>
          <w:rFonts w:hint="eastAsia" w:ascii="宋体" w:hAnsi="宋体" w:eastAsia="宋体" w:cs="宋体"/>
          <w:bCs/>
          <w:color w:val="auto"/>
          <w:szCs w:val="24"/>
          <w:highlight w:val="none"/>
        </w:rPr>
      </w:pPr>
    </w:p>
    <w:p w14:paraId="05126D18">
      <w:pPr>
        <w:pStyle w:val="3"/>
        <w:spacing w:before="120" w:after="120" w:line="360" w:lineRule="auto"/>
        <w:jc w:val="center"/>
        <w:rPr>
          <w:rFonts w:hint="eastAsia" w:ascii="宋体" w:hAnsi="宋体" w:eastAsia="宋体" w:cs="宋体"/>
          <w:bCs/>
          <w:color w:val="auto"/>
          <w:szCs w:val="24"/>
          <w:highlight w:val="none"/>
        </w:rPr>
      </w:pPr>
    </w:p>
    <w:p w14:paraId="33E93C39">
      <w:pPr>
        <w:pStyle w:val="3"/>
        <w:spacing w:before="120" w:after="120" w:line="360" w:lineRule="auto"/>
        <w:jc w:val="center"/>
        <w:rPr>
          <w:rFonts w:hint="eastAsia" w:ascii="宋体" w:hAnsi="宋体" w:eastAsia="宋体" w:cs="宋体"/>
          <w:bCs/>
          <w:color w:val="auto"/>
          <w:szCs w:val="24"/>
          <w:highlight w:val="none"/>
        </w:rPr>
      </w:pPr>
    </w:p>
    <w:p w14:paraId="0EB9E2BE">
      <w:pPr>
        <w:pStyle w:val="3"/>
        <w:spacing w:before="120" w:after="120" w:line="360" w:lineRule="auto"/>
        <w:jc w:val="center"/>
        <w:rPr>
          <w:rFonts w:hint="eastAsia" w:ascii="宋体" w:hAnsi="宋体" w:eastAsia="宋体" w:cs="宋体"/>
          <w:bCs/>
          <w:color w:val="auto"/>
          <w:szCs w:val="24"/>
          <w:highlight w:val="none"/>
        </w:rPr>
      </w:pPr>
    </w:p>
    <w:p w14:paraId="04F209CA">
      <w:pPr>
        <w:pStyle w:val="3"/>
        <w:spacing w:before="120" w:after="120" w:line="360" w:lineRule="auto"/>
        <w:jc w:val="center"/>
        <w:rPr>
          <w:rFonts w:hint="eastAsia" w:ascii="宋体" w:hAnsi="宋体" w:eastAsia="宋体" w:cs="宋体"/>
          <w:bCs/>
          <w:color w:val="auto"/>
          <w:szCs w:val="24"/>
          <w:highlight w:val="none"/>
        </w:rPr>
      </w:pPr>
    </w:p>
    <w:p w14:paraId="5CDD99F5">
      <w:pPr>
        <w:pStyle w:val="3"/>
        <w:spacing w:before="120" w:after="120" w:line="360" w:lineRule="auto"/>
        <w:jc w:val="center"/>
        <w:rPr>
          <w:rFonts w:hint="eastAsia" w:ascii="宋体" w:hAnsi="宋体" w:eastAsia="宋体" w:cs="宋体"/>
          <w:bCs/>
          <w:color w:val="auto"/>
          <w:szCs w:val="24"/>
          <w:highlight w:val="none"/>
        </w:rPr>
      </w:pPr>
    </w:p>
    <w:p w14:paraId="76270709">
      <w:pPr>
        <w:pStyle w:val="3"/>
        <w:spacing w:before="120" w:after="120" w:line="360" w:lineRule="auto"/>
        <w:jc w:val="center"/>
        <w:rPr>
          <w:rFonts w:hint="eastAsia" w:ascii="宋体" w:hAnsi="宋体" w:eastAsia="宋体" w:cs="宋体"/>
          <w:bCs/>
          <w:color w:val="auto"/>
          <w:szCs w:val="24"/>
          <w:highlight w:val="none"/>
        </w:rPr>
      </w:pPr>
    </w:p>
    <w:p w14:paraId="20202A6F">
      <w:pPr>
        <w:pStyle w:val="3"/>
        <w:spacing w:before="120" w:after="120" w:line="360" w:lineRule="auto"/>
        <w:jc w:val="center"/>
        <w:rPr>
          <w:rFonts w:hint="eastAsia" w:ascii="宋体" w:hAnsi="宋体" w:eastAsia="宋体" w:cs="宋体"/>
          <w:bCs/>
          <w:color w:val="auto"/>
          <w:szCs w:val="24"/>
          <w:highlight w:val="none"/>
        </w:rPr>
      </w:pPr>
    </w:p>
    <w:p w14:paraId="0EA82946">
      <w:pPr>
        <w:pStyle w:val="3"/>
        <w:spacing w:before="120" w:after="120" w:line="360" w:lineRule="auto"/>
        <w:jc w:val="center"/>
        <w:rPr>
          <w:rFonts w:hint="eastAsia" w:ascii="宋体" w:hAnsi="宋体" w:eastAsia="宋体" w:cs="宋体"/>
          <w:bCs/>
          <w:color w:val="auto"/>
          <w:szCs w:val="24"/>
          <w:highlight w:val="none"/>
        </w:rPr>
      </w:pPr>
    </w:p>
    <w:p w14:paraId="3EFCC54F">
      <w:pPr>
        <w:pStyle w:val="3"/>
        <w:spacing w:before="120" w:after="120" w:line="360" w:lineRule="auto"/>
        <w:jc w:val="center"/>
        <w:rPr>
          <w:rFonts w:hint="eastAsia" w:ascii="宋体" w:hAnsi="宋体" w:eastAsia="宋体" w:cs="宋体"/>
          <w:bCs/>
          <w:color w:val="auto"/>
          <w:szCs w:val="24"/>
          <w:highlight w:val="none"/>
        </w:rPr>
      </w:pPr>
    </w:p>
    <w:p w14:paraId="254B73BB">
      <w:pPr>
        <w:pStyle w:val="3"/>
        <w:spacing w:before="120" w:after="120" w:line="360" w:lineRule="auto"/>
        <w:jc w:val="center"/>
        <w:rPr>
          <w:rFonts w:hint="eastAsia" w:ascii="宋体" w:hAnsi="宋体" w:eastAsia="宋体" w:cs="宋体"/>
          <w:bCs/>
          <w:color w:val="auto"/>
          <w:szCs w:val="24"/>
          <w:highlight w:val="none"/>
        </w:rPr>
      </w:pPr>
    </w:p>
    <w:p w14:paraId="0D328FF4">
      <w:pPr>
        <w:pStyle w:val="3"/>
        <w:spacing w:before="120" w:after="120" w:line="360" w:lineRule="auto"/>
        <w:jc w:val="center"/>
        <w:rPr>
          <w:rFonts w:hint="eastAsia" w:ascii="宋体" w:hAnsi="宋体" w:eastAsia="宋体" w:cs="宋体"/>
          <w:bCs/>
          <w:color w:val="auto"/>
          <w:szCs w:val="24"/>
          <w:highlight w:val="none"/>
        </w:rPr>
      </w:pPr>
    </w:p>
    <w:p w14:paraId="37859DC6">
      <w:pPr>
        <w:pStyle w:val="3"/>
        <w:spacing w:before="120" w:after="120" w:line="360" w:lineRule="auto"/>
        <w:jc w:val="center"/>
        <w:rPr>
          <w:rFonts w:hint="eastAsia" w:ascii="宋体" w:hAnsi="宋体" w:eastAsia="宋体" w:cs="宋体"/>
          <w:bCs/>
          <w:color w:val="auto"/>
          <w:szCs w:val="24"/>
          <w:highlight w:val="none"/>
        </w:rPr>
      </w:pPr>
    </w:p>
    <w:p w14:paraId="339448AA">
      <w:pPr>
        <w:pStyle w:val="3"/>
        <w:spacing w:before="120" w:after="12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highlight w:val="none"/>
        </w:rPr>
        <w:t>七．服务方案</w:t>
      </w:r>
      <w:bookmarkEnd w:id="90"/>
    </w:p>
    <w:p w14:paraId="5F820A24">
      <w:pPr>
        <w:spacing w:before="48" w:beforeLines="20" w:after="48" w:afterLines="20" w:line="360" w:lineRule="auto"/>
        <w:jc w:val="center"/>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（投标人可自行制作格式）</w:t>
      </w:r>
    </w:p>
    <w:p w14:paraId="18DEF5FB">
      <w:pPr>
        <w:spacing w:before="48" w:beforeLines="20" w:after="48" w:afterLines="20" w:line="360" w:lineRule="auto"/>
        <w:rPr>
          <w:rFonts w:hint="eastAsia" w:ascii="宋体" w:hAnsi="宋体" w:eastAsia="宋体" w:cs="宋体"/>
          <w:color w:val="auto"/>
          <w:szCs w:val="24"/>
          <w:highlight w:val="none"/>
        </w:rPr>
      </w:pPr>
    </w:p>
    <w:p w14:paraId="2AFADA81">
      <w:pPr>
        <w:spacing w:before="48" w:beforeLines="20" w:after="48" w:afterLines="20" w:line="360" w:lineRule="auto"/>
        <w:rPr>
          <w:rFonts w:hint="eastAsia" w:ascii="宋体" w:hAnsi="宋体" w:eastAsia="宋体" w:cs="宋体"/>
          <w:color w:val="auto"/>
          <w:szCs w:val="24"/>
          <w:highlight w:val="none"/>
        </w:rPr>
      </w:pPr>
    </w:p>
    <w:p w14:paraId="20AD8077">
      <w:pPr>
        <w:spacing w:before="48" w:beforeLines="20" w:after="48" w:afterLines="20" w:line="360" w:lineRule="auto"/>
        <w:rPr>
          <w:rFonts w:hint="eastAsia" w:ascii="宋体" w:hAnsi="宋体" w:eastAsia="宋体" w:cs="宋体"/>
          <w:color w:val="auto"/>
          <w:szCs w:val="24"/>
          <w:highlight w:val="none"/>
        </w:rPr>
      </w:pPr>
    </w:p>
    <w:p w14:paraId="14C620E8">
      <w:pPr>
        <w:spacing w:before="48" w:beforeLines="20" w:after="48" w:afterLines="20" w:line="360" w:lineRule="auto"/>
        <w:rPr>
          <w:rFonts w:hint="eastAsia" w:ascii="宋体" w:hAnsi="宋体" w:eastAsia="宋体" w:cs="宋体"/>
          <w:color w:val="auto"/>
          <w:szCs w:val="24"/>
          <w:highlight w:val="none"/>
        </w:rPr>
      </w:pPr>
    </w:p>
    <w:p w14:paraId="1775A936">
      <w:pPr>
        <w:spacing w:before="48" w:beforeLines="20" w:after="48" w:afterLines="20" w:line="360" w:lineRule="auto"/>
        <w:rPr>
          <w:rFonts w:hint="eastAsia" w:ascii="宋体" w:hAnsi="宋体" w:eastAsia="宋体" w:cs="宋体"/>
          <w:color w:val="auto"/>
          <w:szCs w:val="24"/>
          <w:highlight w:val="none"/>
        </w:rPr>
      </w:pPr>
    </w:p>
    <w:p w14:paraId="03C72BED">
      <w:pPr>
        <w:tabs>
          <w:tab w:val="left" w:pos="4620"/>
        </w:tabs>
        <w:spacing w:line="360" w:lineRule="auto"/>
        <w:ind w:firstLine="480" w:firstLineChars="200"/>
        <w:rPr>
          <w:rFonts w:hint="eastAsia" w:ascii="宋体" w:hAnsi="宋体" w:eastAsia="宋体" w:cs="宋体"/>
          <w:color w:val="auto"/>
          <w:szCs w:val="24"/>
          <w:highlight w:val="none"/>
        </w:rPr>
      </w:pPr>
      <w:bookmarkStart w:id="91" w:name="_Toc516969105"/>
      <w:bookmarkStart w:id="92" w:name="_Toc220232402"/>
      <w:r>
        <w:rPr>
          <w:rFonts w:hint="eastAsia" w:ascii="宋体" w:hAnsi="宋体" w:eastAsia="宋体" w:cs="宋体"/>
          <w:color w:val="auto"/>
          <w:sz w:val="24"/>
          <w:szCs w:val="24"/>
          <w:highlight w:val="none"/>
        </w:rPr>
        <w:br w:type="page"/>
      </w:r>
      <w:bookmarkEnd w:id="91"/>
      <w:bookmarkEnd w:id="92"/>
    </w:p>
    <w:p w14:paraId="1806A87A">
      <w:pPr>
        <w:pStyle w:val="3"/>
        <w:spacing w:before="120" w:after="120" w:line="360" w:lineRule="auto"/>
        <w:rPr>
          <w:rFonts w:hint="eastAsia" w:ascii="宋体" w:hAnsi="宋体" w:eastAsia="宋体" w:cs="宋体"/>
          <w:color w:val="auto"/>
          <w:sz w:val="24"/>
          <w:szCs w:val="24"/>
          <w:highlight w:val="none"/>
        </w:rPr>
      </w:pPr>
      <w:bookmarkStart w:id="93" w:name="_Toc13926"/>
      <w:r>
        <w:rPr>
          <w:rFonts w:hint="eastAsia" w:ascii="宋体" w:hAnsi="宋体" w:eastAsia="宋体" w:cs="宋体"/>
          <w:color w:val="auto"/>
          <w:sz w:val="28"/>
          <w:highlight w:val="none"/>
        </w:rPr>
        <mc:AlternateContent>
          <mc:Choice Requires="wpg">
            <w:drawing>
              <wp:anchor distT="0" distB="0" distL="114300" distR="114300" simplePos="0" relativeHeight="251661312" behindDoc="0" locked="0" layoutInCell="1" allowOverlap="1">
                <wp:simplePos x="0" y="0"/>
                <wp:positionH relativeFrom="column">
                  <wp:posOffset>1236980</wp:posOffset>
                </wp:positionH>
                <wp:positionV relativeFrom="paragraph">
                  <wp:posOffset>2533650</wp:posOffset>
                </wp:positionV>
                <wp:extent cx="3860165" cy="727710"/>
                <wp:effectExtent l="4445" t="4445" r="21590" b="10795"/>
                <wp:wrapNone/>
                <wp:docPr id="3" name="组合 12"/>
                <wp:cNvGraphicFramePr/>
                <a:graphic xmlns:a="http://schemas.openxmlformats.org/drawingml/2006/main">
                  <a:graphicData uri="http://schemas.microsoft.com/office/word/2010/wordprocessingGroup">
                    <wpg:wgp>
                      <wpg:cNvGrpSpPr/>
                      <wpg:grpSpPr>
                        <a:xfrm>
                          <a:off x="0" y="0"/>
                          <a:ext cx="3860165" cy="727710"/>
                          <a:chOff x="3270" y="5789"/>
                          <a:chExt cx="6079" cy="1525"/>
                        </a:xfrm>
                      </wpg:grpSpPr>
                      <wps:wsp>
                        <wps:cNvPr id="1" name="自选图形 13"/>
                        <wps:cNvSpPr/>
                        <wps:spPr>
                          <a:xfrm>
                            <a:off x="3270"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7FC6E8B">
                              <w:pPr>
                                <w:rPr>
                                  <w:color w:val="FF0000"/>
                                </w:rPr>
                              </w:pPr>
                            </w:p>
                            <w:p w14:paraId="429C22A5">
                              <w:pPr>
                                <w:jc w:val="center"/>
                                <w:rPr>
                                  <w:rFonts w:hint="default"/>
                                  <w:color w:val="FF0000"/>
                                  <w:szCs w:val="21"/>
                                  <w:lang w:val="en-US"/>
                                </w:rPr>
                              </w:pPr>
                              <w:r>
                                <w:rPr>
                                  <w:rFonts w:hint="eastAsia"/>
                                  <w:color w:val="FF0000"/>
                                </w:rPr>
                                <w:t>授权代表身份</w:t>
                              </w:r>
                              <w:r>
                                <w:rPr>
                                  <w:rFonts w:hint="eastAsia"/>
                                  <w:color w:val="FF0000"/>
                                  <w:lang w:val="en-US" w:eastAsia="zh-CN"/>
                                </w:rPr>
                                <w:t>证明扫描件</w:t>
                              </w:r>
                            </w:p>
                          </w:txbxContent>
                        </wps:txbx>
                        <wps:bodyPr wrap="square" upright="1"/>
                      </wps:wsp>
                      <wps:wsp>
                        <wps:cNvPr id="2" name="自选图形 14"/>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90193D9">
                              <w:pPr>
                                <w:rPr>
                                  <w:color w:val="FF0000"/>
                                </w:rPr>
                              </w:pPr>
                            </w:p>
                            <w:p w14:paraId="6FA9058B">
                              <w:pPr>
                                <w:jc w:val="center"/>
                                <w:rPr>
                                  <w:rFonts w:hint="default"/>
                                  <w:color w:val="FF0000"/>
                                  <w:szCs w:val="21"/>
                                  <w:lang w:val="en-US"/>
                                </w:rPr>
                              </w:pPr>
                              <w:r>
                                <w:rPr>
                                  <w:rFonts w:hint="eastAsia"/>
                                  <w:color w:val="FF0000"/>
                                </w:rPr>
                                <w:t>授权代表身份</w:t>
                              </w:r>
                              <w:r>
                                <w:rPr>
                                  <w:rFonts w:hint="eastAsia"/>
                                  <w:color w:val="FF0000"/>
                                  <w:lang w:val="en-US" w:eastAsia="zh-CN"/>
                                </w:rPr>
                                <w:t>证明扫描件</w:t>
                              </w:r>
                            </w:p>
                            <w:p w14:paraId="7B9D8350">
                              <w:pPr>
                                <w:jc w:val="center"/>
                                <w:rPr>
                                  <w:color w:val="FF0000"/>
                                  <w:szCs w:val="21"/>
                                </w:rPr>
                              </w:pPr>
                            </w:p>
                          </w:txbxContent>
                        </wps:txbx>
                        <wps:bodyPr wrap="square" upright="1"/>
                      </wps:wsp>
                    </wpg:wgp>
                  </a:graphicData>
                </a:graphic>
              </wp:anchor>
            </w:drawing>
          </mc:Choice>
          <mc:Fallback>
            <w:pict>
              <v:group id="组合 12" o:spid="_x0000_s1026" o:spt="203" style="position:absolute;left:0pt;margin-left:97.4pt;margin-top:199.5pt;height:57.3pt;width:303.95pt;z-index:251661312;mso-width-relative:page;mso-height-relative:page;" coordorigin="3270,5789" coordsize="6079,1525" o:gfxdata="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1fzzE9sAAAAL&#10;AQAADwAAAAAAAAABACAAAAAiAAAAZHJzL2Rvd25yZXYueG1sUEsBAhQAFAAAAAgAh07iQBPtgM7E&#10;AgAAHwgAAA4AAAAAAAAAAQAgAAAAKgEAAGRycy9lMm9Eb2MueG1sUEsFBgAAAAAGAAYAWQEAAGAG&#10;AAAAAA==&#10;">
                <o:lock v:ext="edit" aspectratio="f"/>
                <v:roundrect id="自选图形 13" o:spid="_x0000_s1026" o:spt="2" style="position:absolute;left:3270;top:5789;height:1525;width:2794;" fillcolor="#FFFFFF" filled="t" stroked="t" coordsize="21600,21600" arcsize="0.166666666666667" o:gfxdata="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531qa5AAAA2gAA&#10;AA8AAAAAAAAAAQAgAAAAIgAAAGRycy9kb3ducmV2LnhtbFBLAQIUABQAAAAIAIdO4kAzLwWeOwAA&#10;ADkAAAAQAAAAAAAAAAEAIAAAAAgBAABkcnMvc2hhcGV4bWwueG1sUEsFBgAAAAAGAAYAWwEAALID&#10;AAAAAA==&#10;">
                  <v:fill on="t" focussize="0,0"/>
                  <v:stroke color="#000000" joinstyle="round"/>
                  <v:imagedata o:title=""/>
                  <o:lock v:ext="edit" aspectratio="f"/>
                  <v:textbox>
                    <w:txbxContent>
                      <w:p w14:paraId="57FC6E8B">
                        <w:pPr>
                          <w:rPr>
                            <w:color w:val="FF0000"/>
                          </w:rPr>
                        </w:pPr>
                      </w:p>
                      <w:p w14:paraId="429C22A5">
                        <w:pPr>
                          <w:jc w:val="center"/>
                          <w:rPr>
                            <w:rFonts w:hint="default"/>
                            <w:color w:val="FF0000"/>
                            <w:szCs w:val="21"/>
                            <w:lang w:val="en-US"/>
                          </w:rPr>
                        </w:pPr>
                        <w:r>
                          <w:rPr>
                            <w:rFonts w:hint="eastAsia"/>
                            <w:color w:val="FF0000"/>
                          </w:rPr>
                          <w:t>授权代表身份</w:t>
                        </w:r>
                        <w:r>
                          <w:rPr>
                            <w:rFonts w:hint="eastAsia"/>
                            <w:color w:val="FF0000"/>
                            <w:lang w:val="en-US" w:eastAsia="zh-CN"/>
                          </w:rPr>
                          <w:t>证明扫描件</w:t>
                        </w:r>
                      </w:p>
                    </w:txbxContent>
                  </v:textbox>
                </v:roundrect>
                <v:roundrect id="自选图形 14" o:spid="_x0000_s1026" o:spt="2" style="position:absolute;left:6555;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90193D9">
                        <w:pPr>
                          <w:rPr>
                            <w:color w:val="FF0000"/>
                          </w:rPr>
                        </w:pPr>
                      </w:p>
                      <w:p w14:paraId="6FA9058B">
                        <w:pPr>
                          <w:jc w:val="center"/>
                          <w:rPr>
                            <w:rFonts w:hint="default"/>
                            <w:color w:val="FF0000"/>
                            <w:szCs w:val="21"/>
                            <w:lang w:val="en-US"/>
                          </w:rPr>
                        </w:pPr>
                        <w:r>
                          <w:rPr>
                            <w:rFonts w:hint="eastAsia"/>
                            <w:color w:val="FF0000"/>
                          </w:rPr>
                          <w:t>授权代表身份</w:t>
                        </w:r>
                        <w:r>
                          <w:rPr>
                            <w:rFonts w:hint="eastAsia"/>
                            <w:color w:val="FF0000"/>
                            <w:lang w:val="en-US" w:eastAsia="zh-CN"/>
                          </w:rPr>
                          <w:t>证明扫描件</w:t>
                        </w:r>
                      </w:p>
                      <w:p w14:paraId="7B9D8350">
                        <w:pPr>
                          <w:jc w:val="center"/>
                          <w:rPr>
                            <w:color w:val="FF0000"/>
                            <w:szCs w:val="21"/>
                          </w:rPr>
                        </w:pPr>
                      </w:p>
                    </w:txbxContent>
                  </v:textbox>
                </v:roundrect>
              </v:group>
            </w:pict>
          </mc:Fallback>
        </mc:AlternateContent>
      </w:r>
      <w:r>
        <w:rPr>
          <w:rFonts w:hint="eastAsia" w:hAnsi="宋体" w:cs="宋体"/>
          <w:color w:val="auto"/>
          <w:sz w:val="28"/>
          <w:highlight w:val="none"/>
          <w:lang w:val="en-US" w:eastAsia="zh-CN"/>
        </w:rPr>
        <w:t>八</w:t>
      </w:r>
      <w:r>
        <w:rPr>
          <w:rFonts w:hint="eastAsia" w:ascii="宋体" w:hAnsi="宋体" w:eastAsia="宋体" w:cs="宋体"/>
          <w:color w:val="auto"/>
          <w:sz w:val="28"/>
          <w:highlight w:val="none"/>
        </w:rPr>
        <w:t>．投标授权书</w:t>
      </w:r>
      <w:bookmarkEnd w:id="93"/>
    </w:p>
    <w:p w14:paraId="58B4F533">
      <w:pPr>
        <w:pStyle w:val="4"/>
        <w:snapToGrid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本授权书声明：</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公司（工厂）授权</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（投标人授权代表姓名、职务，手机号码）代表本公司（工厂）参加</w:t>
      </w:r>
      <w:r>
        <w:rPr>
          <w:rFonts w:hint="eastAsia" w:ascii="宋体" w:hAnsi="宋体" w:eastAsia="宋体" w:cs="宋体"/>
          <w:color w:val="auto"/>
          <w:szCs w:val="24"/>
          <w:highlight w:val="none"/>
          <w:lang w:eastAsia="zh-CN"/>
        </w:rPr>
        <w:t>肥西县公共资源交易有限责任公司</w:t>
      </w:r>
      <w:r>
        <w:rPr>
          <w:rFonts w:hint="eastAsia" w:ascii="宋体" w:hAnsi="宋体" w:eastAsia="宋体" w:cs="宋体"/>
          <w:b/>
          <w:color w:val="auto"/>
          <w:szCs w:val="24"/>
          <w:highlight w:val="none"/>
          <w:u w:val="single"/>
          <w:lang w:eastAsia="zh-CN"/>
        </w:rPr>
        <w:t>安徽师范大学附属肥西第二中学食堂委托运营</w:t>
      </w:r>
      <w:r>
        <w:rPr>
          <w:rFonts w:hint="eastAsia" w:ascii="宋体" w:hAnsi="宋体" w:eastAsia="宋体" w:cs="宋体"/>
          <w:bCs/>
          <w:color w:val="auto"/>
          <w:szCs w:val="24"/>
          <w:highlight w:val="none"/>
        </w:rPr>
        <w:t xml:space="preserve">招标活动（项目编号： </w:t>
      </w:r>
      <w:r>
        <w:rPr>
          <w:rFonts w:hint="eastAsia" w:hAnsi="宋体" w:cs="宋体"/>
          <w:bCs/>
          <w:color w:val="auto"/>
          <w:szCs w:val="24"/>
          <w:highlight w:val="none"/>
          <w:lang w:eastAsia="zh-CN"/>
        </w:rPr>
        <w:t>2026PHBZ355</w:t>
      </w:r>
      <w:r>
        <w:rPr>
          <w:rFonts w:hint="eastAsia" w:ascii="宋体" w:hAnsi="宋体" w:eastAsia="宋体" w:cs="宋体"/>
          <w:bCs/>
          <w:color w:val="auto"/>
          <w:szCs w:val="24"/>
          <w:highlight w:val="none"/>
        </w:rPr>
        <w:t>）</w:t>
      </w:r>
      <w:r>
        <w:rPr>
          <w:rFonts w:hint="eastAsia" w:ascii="宋体" w:hAnsi="宋体" w:eastAsia="宋体" w:cs="宋体"/>
          <w:color w:val="auto"/>
          <w:szCs w:val="24"/>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14:paraId="07363FC1">
      <w:pPr>
        <w:pStyle w:val="4"/>
        <w:snapToGrid w:val="0"/>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本授权书自出具之日起生效。</w:t>
      </w:r>
    </w:p>
    <w:p w14:paraId="2A606F50">
      <w:pPr>
        <w:spacing w:line="360" w:lineRule="auto"/>
        <w:rPr>
          <w:rFonts w:hint="eastAsia" w:ascii="宋体" w:hAnsi="宋体" w:eastAsia="宋体" w:cs="宋体"/>
          <w:color w:val="auto"/>
          <w:szCs w:val="24"/>
          <w:highlight w:val="none"/>
        </w:rPr>
      </w:pPr>
    </w:p>
    <w:p w14:paraId="355968C3">
      <w:pPr>
        <w:spacing w:line="360" w:lineRule="auto"/>
        <w:ind w:firstLine="645"/>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特此声明。</w:t>
      </w:r>
    </w:p>
    <w:p w14:paraId="67DD39C0">
      <w:pPr>
        <w:spacing w:line="360" w:lineRule="auto"/>
        <w:jc w:val="center"/>
        <w:rPr>
          <w:rFonts w:hint="eastAsia" w:ascii="宋体" w:hAnsi="宋体" w:eastAsia="宋体" w:cs="宋体"/>
          <w:color w:val="auto"/>
          <w:szCs w:val="24"/>
          <w:highlight w:val="none"/>
        </w:rPr>
      </w:pPr>
    </w:p>
    <w:p w14:paraId="35117D36">
      <w:pPr>
        <w:spacing w:line="360" w:lineRule="auto"/>
        <w:rPr>
          <w:rFonts w:hint="eastAsia" w:ascii="宋体" w:hAnsi="宋体" w:eastAsia="宋体" w:cs="宋体"/>
          <w:color w:val="auto"/>
          <w:szCs w:val="24"/>
          <w:highlight w:val="none"/>
        </w:rPr>
      </w:pPr>
    </w:p>
    <w:p w14:paraId="09ABA843">
      <w:pPr>
        <w:spacing w:line="360" w:lineRule="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投标人公章：</w:t>
      </w:r>
      <w:r>
        <w:rPr>
          <w:rFonts w:hint="eastAsia" w:ascii="宋体" w:hAnsi="宋体" w:eastAsia="宋体" w:cs="宋体"/>
          <w:b w:val="0"/>
          <w:bCs w:val="0"/>
          <w:color w:val="auto"/>
          <w:szCs w:val="24"/>
          <w:highlight w:val="none"/>
          <w:u w:val="single"/>
        </w:rPr>
        <w:t xml:space="preserve">                    </w:t>
      </w:r>
    </w:p>
    <w:p w14:paraId="1866B407">
      <w:pPr>
        <w:spacing w:line="360" w:lineRule="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日     期：</w:t>
      </w:r>
      <w:r>
        <w:rPr>
          <w:rFonts w:hint="eastAsia" w:ascii="宋体" w:hAnsi="宋体" w:eastAsia="宋体" w:cs="宋体"/>
          <w:b w:val="0"/>
          <w:bCs w:val="0"/>
          <w:color w:val="auto"/>
          <w:szCs w:val="24"/>
          <w:highlight w:val="none"/>
          <w:u w:val="single"/>
        </w:rPr>
        <w:t xml:space="preserve">                   </w:t>
      </w:r>
      <w:r>
        <w:rPr>
          <w:rFonts w:hint="eastAsia" w:ascii="宋体" w:hAnsi="宋体" w:eastAsia="宋体" w:cs="宋体"/>
          <w:b w:val="0"/>
          <w:bCs w:val="0"/>
          <w:color w:val="auto"/>
          <w:szCs w:val="24"/>
          <w:highlight w:val="none"/>
        </w:rPr>
        <w:t xml:space="preserve">   </w:t>
      </w:r>
    </w:p>
    <w:p w14:paraId="3942F2E9">
      <w:pPr>
        <w:rPr>
          <w:rFonts w:hint="eastAsia" w:ascii="宋体" w:hAnsi="宋体" w:eastAsia="宋体" w:cs="宋体"/>
          <w:color w:val="auto"/>
          <w:szCs w:val="24"/>
          <w:highlight w:val="none"/>
        </w:rPr>
      </w:pPr>
    </w:p>
    <w:p w14:paraId="7C4CA2F8">
      <w:pPr>
        <w:rPr>
          <w:rFonts w:hint="eastAsia" w:ascii="宋体" w:hAnsi="宋体" w:eastAsia="宋体" w:cs="宋体"/>
          <w:color w:val="auto"/>
          <w:szCs w:val="24"/>
          <w:highlight w:val="none"/>
        </w:rPr>
      </w:pPr>
    </w:p>
    <w:p w14:paraId="4FF3210D">
      <w:pPr>
        <w:pStyle w:val="4"/>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w:t>
      </w:r>
    </w:p>
    <w:p w14:paraId="1023C33A">
      <w:pPr>
        <w:pStyle w:val="4"/>
        <w:snapToGrid w:val="0"/>
        <w:spacing w:line="360" w:lineRule="auto"/>
        <w:jc w:val="left"/>
        <w:rPr>
          <w:rFonts w:hint="eastAsia" w:ascii="宋体" w:hAnsi="宋体" w:eastAsia="宋体" w:cs="宋体"/>
          <w:color w:val="auto"/>
          <w:szCs w:val="28"/>
          <w:highlight w:val="none"/>
        </w:rPr>
      </w:pPr>
      <w:r>
        <w:rPr>
          <w:rFonts w:hint="eastAsia" w:ascii="宋体" w:hAnsi="宋体" w:eastAsia="宋体" w:cs="宋体"/>
          <w:color w:val="auto"/>
          <w:szCs w:val="28"/>
          <w:highlight w:val="none"/>
        </w:rPr>
        <w:t>1.本项目只允许有唯一的投标人授权代表，投标文件中提供授权代表身份证</w:t>
      </w:r>
      <w:r>
        <w:rPr>
          <w:rFonts w:hint="eastAsia" w:ascii="宋体" w:hAnsi="宋体" w:eastAsia="宋体" w:cs="宋体"/>
          <w:color w:val="auto"/>
          <w:highlight w:val="none"/>
        </w:rPr>
        <w:t>复印件或影印件</w:t>
      </w:r>
      <w:r>
        <w:rPr>
          <w:rFonts w:hint="eastAsia" w:ascii="宋体" w:hAnsi="宋体" w:eastAsia="宋体" w:cs="宋体"/>
          <w:color w:val="auto"/>
          <w:szCs w:val="28"/>
          <w:highlight w:val="none"/>
        </w:rPr>
        <w:t>。</w:t>
      </w:r>
    </w:p>
    <w:p w14:paraId="27420A46">
      <w:pPr>
        <w:pStyle w:val="4"/>
        <w:snapToGrid w:val="0"/>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8"/>
          <w:highlight w:val="none"/>
        </w:rPr>
        <w:t>2.法定代表人参加投标的无需此件，</w:t>
      </w:r>
      <w:r>
        <w:rPr>
          <w:rFonts w:hint="eastAsia" w:ascii="宋体" w:hAnsi="宋体" w:eastAsia="宋体" w:cs="宋体"/>
          <w:color w:val="auto"/>
          <w:highlight w:val="none"/>
        </w:rPr>
        <w:t>但投标文件中须提供法定代表人身份证复印件或影印件。</w:t>
      </w:r>
    </w:p>
    <w:p w14:paraId="56A32070">
      <w:pPr>
        <w:spacing w:line="500" w:lineRule="exact"/>
        <w:rPr>
          <w:rFonts w:hint="eastAsia" w:ascii="宋体" w:hAnsi="宋体" w:eastAsia="宋体" w:cs="宋体"/>
          <w:b/>
          <w:bCs/>
          <w:color w:val="auto"/>
          <w:szCs w:val="24"/>
          <w:highlight w:val="none"/>
        </w:rPr>
      </w:pPr>
      <w:bookmarkStart w:id="94" w:name="_Toc220232403"/>
      <w:r>
        <w:rPr>
          <w:rFonts w:hint="eastAsia" w:ascii="宋体" w:hAnsi="宋体" w:eastAsia="宋体" w:cs="宋体"/>
          <w:color w:val="auto"/>
          <w:sz w:val="28"/>
          <w:highlight w:val="none"/>
        </w:rPr>
        <w:br w:type="page"/>
      </w:r>
      <w:bookmarkEnd w:id="94"/>
    </w:p>
    <w:p w14:paraId="37904FB1">
      <w:pPr>
        <w:spacing w:line="360" w:lineRule="auto"/>
        <w:jc w:val="center"/>
        <w:outlineLvl w:val="1"/>
        <w:rPr>
          <w:rFonts w:hint="eastAsia" w:ascii="宋体" w:hAnsi="宋体" w:eastAsia="宋体" w:cs="宋体"/>
          <w:b/>
          <w:bCs/>
          <w:color w:val="auto"/>
          <w:kern w:val="2"/>
          <w:sz w:val="28"/>
          <w:szCs w:val="32"/>
          <w:highlight w:val="none"/>
          <w:lang w:val="en-US" w:eastAsia="zh-CN" w:bidi="ar-SA"/>
        </w:rPr>
      </w:pPr>
      <w:r>
        <w:rPr>
          <w:rFonts w:hint="eastAsia" w:ascii="宋体" w:hAnsi="宋体" w:eastAsia="宋体" w:cs="宋体"/>
          <w:b/>
          <w:bCs/>
          <w:color w:val="auto"/>
          <w:kern w:val="2"/>
          <w:sz w:val="28"/>
          <w:szCs w:val="32"/>
          <w:highlight w:val="none"/>
          <w:lang w:val="en-US" w:eastAsia="zh-CN" w:bidi="ar-SA"/>
        </w:rPr>
        <w:t>九、其他相关证明材料</w:t>
      </w:r>
    </w:p>
    <w:p w14:paraId="4928C9E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2D765C2A">
      <w:pPr>
        <w:spacing w:line="360" w:lineRule="auto"/>
        <w:ind w:firstLine="480" w:firstLineChars="200"/>
        <w:rPr>
          <w:rFonts w:asciiTheme="minorEastAsia" w:hAnsiTheme="minorEastAsia" w:eastAsiaTheme="minorEastAsia"/>
          <w:sz w:val="24"/>
          <w:highlight w:val="none"/>
        </w:rPr>
      </w:pPr>
    </w:p>
    <w:p w14:paraId="6D27E944">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2A762D4D">
      <w:pPr>
        <w:spacing w:line="360" w:lineRule="auto"/>
        <w:ind w:firstLine="435"/>
        <w:rPr>
          <w:rFonts w:hint="eastAsia" w:ascii="宋体" w:hAnsi="宋体" w:eastAsia="宋体" w:cs="宋体"/>
          <w:color w:val="auto"/>
          <w:highlight w:val="none"/>
        </w:rPr>
      </w:pPr>
      <w:r>
        <w:rPr>
          <w:rFonts w:hint="eastAsia" w:asciiTheme="minorEastAsia" w:hAnsiTheme="minorEastAsia" w:eastAsiaTheme="minorEastAsia"/>
          <w:sz w:val="24"/>
          <w:highlight w:val="none"/>
        </w:rPr>
        <w:t>投标人在投标文件制作时可在此栏内上传</w:t>
      </w:r>
      <w:r>
        <w:rPr>
          <w:rFonts w:asciiTheme="minorEastAsia" w:hAnsiTheme="minorEastAsia" w:eastAsiaTheme="minorEastAsia"/>
          <w:sz w:val="24"/>
          <w:highlight w:val="none"/>
        </w:rPr>
        <w:t>招标文件要求上传的证明资料</w:t>
      </w:r>
      <w:r>
        <w:rPr>
          <w:rFonts w:hint="eastAsia" w:asciiTheme="minorEastAsia" w:hAnsiTheme="minorEastAsia" w:eastAsiaTheme="minorEastAsia"/>
          <w:sz w:val="24"/>
          <w:highlight w:val="none"/>
        </w:rPr>
        <w:t>，如营业执照、证书</w:t>
      </w:r>
      <w:r>
        <w:rPr>
          <w:rFonts w:asciiTheme="minorEastAsia" w:hAnsiTheme="minorEastAsia" w:eastAsiaTheme="minorEastAsia"/>
          <w:sz w:val="24"/>
          <w:highlight w:val="none"/>
        </w:rPr>
        <w:t>等，应将上述证明材料制作成扫描件上传。</w:t>
      </w:r>
    </w:p>
    <w:p w14:paraId="76B38A31">
      <w:pPr>
        <w:rPr>
          <w:rFonts w:hint="eastAsia" w:ascii="宋体" w:hAnsi="宋体" w:eastAsia="宋体" w:cs="宋体"/>
          <w:color w:val="auto"/>
          <w:highlight w:val="none"/>
        </w:rPr>
      </w:pPr>
    </w:p>
    <w:p w14:paraId="69053C34">
      <w:pPr>
        <w:rPr>
          <w:rFonts w:hint="eastAsia" w:ascii="宋体" w:hAnsi="宋体" w:eastAsia="宋体" w:cs="宋体"/>
          <w:color w:val="auto"/>
          <w:highlight w:val="none"/>
        </w:rPr>
      </w:pPr>
    </w:p>
    <w:p w14:paraId="3292CF01">
      <w:pPr>
        <w:rPr>
          <w:rFonts w:hint="eastAsia" w:ascii="宋体" w:hAnsi="宋体" w:eastAsia="宋体" w:cs="宋体"/>
          <w:color w:val="auto"/>
          <w:highlight w:val="none"/>
        </w:rPr>
      </w:pPr>
    </w:p>
    <w:p w14:paraId="23324C85">
      <w:pPr>
        <w:rPr>
          <w:rFonts w:hint="eastAsia" w:ascii="宋体" w:hAnsi="宋体" w:eastAsia="宋体" w:cs="宋体"/>
        </w:rPr>
      </w:pPr>
    </w:p>
    <w:p w14:paraId="0D05CE48">
      <w:pPr>
        <w:rPr>
          <w:rFonts w:hint="eastAsia" w:ascii="宋体" w:hAnsi="宋体" w:eastAsia="宋体" w:cs="宋体"/>
        </w:rPr>
      </w:pPr>
    </w:p>
    <w:p w14:paraId="4AC37189">
      <w:pPr>
        <w:rPr>
          <w:rFonts w:hint="eastAsia" w:ascii="宋体" w:hAnsi="宋体" w:eastAsia="宋体" w:cs="宋体"/>
        </w:rPr>
      </w:pPr>
    </w:p>
    <w:p w14:paraId="7F627CE7">
      <w:pPr>
        <w:rPr>
          <w:rFonts w:hint="eastAsia" w:ascii="宋体" w:hAnsi="宋体" w:eastAsia="宋体" w:cs="宋体"/>
        </w:rPr>
      </w:pPr>
    </w:p>
    <w:p w14:paraId="19B286FB">
      <w:pPr>
        <w:rPr>
          <w:rFonts w:hint="eastAsia" w:ascii="宋体" w:hAnsi="宋体" w:eastAsia="宋体" w:cs="宋体"/>
        </w:rPr>
      </w:pPr>
    </w:p>
    <w:p w14:paraId="7BEF16E3"/>
    <w:p w14:paraId="5B668DF7"/>
    <w:p w14:paraId="06678332"/>
    <w:p w14:paraId="6FAA8C31"/>
    <w:p w14:paraId="213E1C17"/>
    <w:sectPr>
      <w:footerReference r:id="rId12" w:type="default"/>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689700"/>
      <w:docPartObj>
        <w:docPartGallery w:val="autotext"/>
      </w:docPartObj>
    </w:sdtPr>
    <w:sdtContent>
      <w:p w14:paraId="25D7ECCA">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35A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AE63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BBA1">
    <w:pPr>
      <w:tabs>
        <w:tab w:val="left" w:pos="5241"/>
      </w:tabs>
      <w:spacing w:line="219" w:lineRule="auto"/>
      <w:ind w:firstLine="3724"/>
      <w:rPr>
        <w:rFonts w:hint="eastAsia" w:ascii="宋体" w:hAnsi="宋体" w:cs="宋体"/>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3520D">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FD3520D">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E9DEF">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5289A">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C25289A">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1B39">
    <w:pPr>
      <w:tabs>
        <w:tab w:val="left" w:pos="5441"/>
      </w:tabs>
      <w:spacing w:line="219" w:lineRule="auto"/>
      <w:ind w:firstLine="3724"/>
      <w:rPr>
        <w:rFonts w:hint="eastAsia" w:ascii="宋体" w:hAnsi="宋体" w:cs="宋体"/>
        <w:szCs w:val="24"/>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0EEB1">
                          <w:pPr>
                            <w:pStyle w:val="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300EEB1">
                    <w:pPr>
                      <w:pStyle w:val="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EB34">
    <w:pPr>
      <w:spacing w:line="218" w:lineRule="auto"/>
      <w:ind w:firstLine="36"/>
      <w:rPr>
        <w:rFonts w:hint="eastAsia" w:ascii="宋体" w:hAnsi="宋体" w:cs="宋体"/>
        <w:sz w:val="18"/>
        <w:szCs w:val="18"/>
      </w:rPr>
    </w:pPr>
    <w:r>
      <w:drawing>
        <wp:anchor distT="0" distB="0" distL="0" distR="0" simplePos="0" relativeHeight="251660288"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2120628000" name="IM 4"/>
          <wp:cNvGraphicFramePr/>
          <a:graphic xmlns:a="http://schemas.openxmlformats.org/drawingml/2006/main">
            <a:graphicData uri="http://schemas.openxmlformats.org/drawingml/2006/picture">
              <pic:pic xmlns:pic="http://schemas.openxmlformats.org/drawingml/2006/picture">
                <pic:nvPicPr>
                  <pic:cNvPr id="2120628000" name="IM 4"/>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141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6058">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41CFE">
    <w:pPr>
      <w:spacing w:line="218" w:lineRule="auto"/>
      <w:ind w:firstLine="36"/>
      <w:rPr>
        <w:rFonts w:hint="eastAsia" w:ascii="宋体" w:hAnsi="宋体" w:cs="宋体"/>
        <w:sz w:val="18"/>
        <w:szCs w:val="18"/>
      </w:rPr>
    </w:pPr>
    <w:r>
      <w:drawing>
        <wp:anchor distT="0" distB="0" distL="0" distR="0" simplePos="0" relativeHeight="251659264" behindDoc="0" locked="0" layoutInCell="0" allowOverlap="1">
          <wp:simplePos x="0" y="0"/>
          <wp:positionH relativeFrom="page">
            <wp:posOffset>774065</wp:posOffset>
          </wp:positionH>
          <wp:positionV relativeFrom="page">
            <wp:posOffset>702310</wp:posOffset>
          </wp:positionV>
          <wp:extent cx="6013450" cy="8890"/>
          <wp:effectExtent l="0" t="0" r="0" b="0"/>
          <wp:wrapNone/>
          <wp:docPr id="1295352707" name="IM 23"/>
          <wp:cNvGraphicFramePr/>
          <a:graphic xmlns:a="http://schemas.openxmlformats.org/drawingml/2006/main">
            <a:graphicData uri="http://schemas.openxmlformats.org/drawingml/2006/picture">
              <pic:pic xmlns:pic="http://schemas.openxmlformats.org/drawingml/2006/picture">
                <pic:nvPicPr>
                  <pic:cNvPr id="1295352707" name="IM 23"/>
                  <pic:cNvPicPr/>
                </pic:nvPicPr>
                <pic:blipFill>
                  <a:blip r:embed="rId1"/>
                  <a:stretch>
                    <a:fillRect/>
                  </a:stretch>
                </pic:blipFill>
                <pic:spPr>
                  <a:xfrm>
                    <a:off x="0" y="0"/>
                    <a:ext cx="6013450" cy="8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26BA6"/>
    <w:multiLevelType w:val="singleLevel"/>
    <w:tmpl w:val="AA926BA6"/>
    <w:lvl w:ilvl="0" w:tentative="0">
      <w:start w:val="11"/>
      <w:numFmt w:val="decimal"/>
      <w:lvlText w:val="%1."/>
      <w:lvlJc w:val="left"/>
      <w:pPr>
        <w:tabs>
          <w:tab w:val="left" w:pos="312"/>
        </w:tabs>
      </w:pPr>
    </w:lvl>
  </w:abstractNum>
  <w:abstractNum w:abstractNumId="1">
    <w:nsid w:val="7CC9E90E"/>
    <w:multiLevelType w:val="singleLevel"/>
    <w:tmpl w:val="7CC9E90E"/>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A5B31"/>
    <w:rsid w:val="0D625F36"/>
    <w:rsid w:val="32B06690"/>
    <w:rsid w:val="3B6A5B31"/>
    <w:rsid w:val="4A8237E8"/>
    <w:rsid w:val="512B279D"/>
    <w:rsid w:val="572A6162"/>
    <w:rsid w:val="58CE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jc w:val="center"/>
      <w:outlineLvl w:val="2"/>
    </w:pPr>
    <w:rPr>
      <w:rFonts w:ascii="宋体"/>
      <w:b/>
      <w:bCs/>
      <w:sz w:val="32"/>
      <w:szCs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Date"/>
    <w:basedOn w:val="1"/>
    <w:next w:val="1"/>
    <w:qFormat/>
    <w:uiPriority w:val="0"/>
    <w:rPr>
      <w:b/>
      <w:sz w:val="2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toc 1"/>
    <w:basedOn w:val="1"/>
    <w:next w:val="1"/>
    <w:qFormat/>
    <w:uiPriority w:val="0"/>
  </w:style>
  <w:style w:type="paragraph" w:styleId="9">
    <w:name w:val="toc 2"/>
    <w:basedOn w:val="1"/>
    <w:next w:val="1"/>
    <w:qFormat/>
    <w:uiPriority w:val="39"/>
    <w:pPr>
      <w:ind w:left="210"/>
      <w:jc w:val="left"/>
    </w:pPr>
    <w:rPr>
      <w:smallCaps/>
      <w:sz w:val="28"/>
      <w:szCs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缩进）"/>
    <w:basedOn w:val="1"/>
    <w:autoRedefine/>
    <w:qFormat/>
    <w:uiPriority w:val="0"/>
    <w:pPr>
      <w:widowControl/>
      <w:spacing w:before="156" w:after="156"/>
      <w:ind w:firstLine="480" w:firstLineChars="200"/>
      <w:jc w:val="left"/>
    </w:pPr>
    <w:rPr>
      <w:rFonts w:ascii="仿宋_GB2312" w:eastAsia="仿宋_GB2312"/>
      <w:kern w:val="0"/>
      <w:szCs w:val="24"/>
    </w:rPr>
  </w:style>
  <w:style w:type="paragraph" w:customStyle="1" w:styleId="14">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5">
    <w:name w:val="D&amp;L"/>
    <w:basedOn w:val="7"/>
    <w:autoRedefine/>
    <w:qFormat/>
    <w:uiPriority w:val="99"/>
    <w:pPr>
      <w:pBdr>
        <w:bottom w:val="thinThickSmallGap" w:color="auto" w:sz="18" w:space="1"/>
      </w:pBdr>
      <w:adjustRightInd w:val="0"/>
      <w:snapToGrid/>
      <w:spacing w:line="240" w:lineRule="atLeast"/>
      <w:textAlignment w:val="baseline"/>
    </w:pPr>
    <w:rPr>
      <w:kern w:val="0"/>
      <w:sz w:val="24"/>
    </w:rPr>
  </w:style>
  <w:style w:type="character" w:customStyle="1" w:styleId="16">
    <w:name w:val="fontstyle01"/>
    <w:basedOn w:val="1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24831</Words>
  <Characters>26771</Characters>
  <Lines>0</Lines>
  <Paragraphs>0</Paragraphs>
  <TotalTime>51</TotalTime>
  <ScaleCrop>false</ScaleCrop>
  <LinksUpToDate>false</LinksUpToDate>
  <CharactersWithSpaces>27312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2026-07-06T02:25:00Z</dcterms:created>
  <dc:creator>唐晶晶</dc:creator>
  <cp:lastModifiedBy>唐晶晶</cp:lastModifiedBy>
  <dcterms:modified xsi:type="dcterms:W3CDTF">2026-07-06T07:49:02Z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FBACD4BC18E64177A03FEF192F5865B3_11</vt:lpwstr>
  </property>
  <property fmtid="{D5CDD505-2E9C-101B-9397-08002B2CF9AE}" pid="4" name="KSOTemplateDocerSaveRecord">
    <vt:lpwstr>eyJoZGlkIjoiNGNlMGMwZDBhYWZhOTllNjljOGQ4MzE3OWEwNDRhMWMiLCJ1c2VySWQiOiIxNTY2MDI5NTY5In0=</vt:lpwstr>
  </property>
</Properties>
</file>