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spacing w:line="360" w:lineRule="auto"/>
        <w:jc w:val="center"/>
        <w:rPr>
          <w:sz w:val="40"/>
        </w:rPr>
      </w:pPr>
      <w:r>
        <w:rPr>
          <w:sz w:val="40"/>
        </w:rPr>
        <w:t>肥西县桃花镇公墓监控系统建设方案</w:t>
      </w:r>
    </w:p>
    <w:p>
      <w:pPr>
        <w:pStyle w:val="5"/>
        <w:spacing w:line="360" w:lineRule="auto"/>
        <w:rPr>
          <w:sz w:val="36"/>
        </w:rPr>
      </w:pPr>
      <w:r>
        <w:rPr>
          <w:sz w:val="36"/>
        </w:rPr>
        <w:t>一、项目背景</w:t>
      </w:r>
    </w:p>
    <w:p>
      <w:pPr>
        <w:pStyle w:val="21"/>
        <w:spacing w:line="360" w:lineRule="auto"/>
        <w:rPr>
          <w:sz w:val="24"/>
        </w:rPr>
      </w:pPr>
      <w:r>
        <w:rPr>
          <w:sz w:val="24"/>
        </w:rPr>
        <w:t>随着社会的发展与进步，人们对殡葬服务的重视程度不断提高。陵园作为逝者安息之所，其安全性、管理水平以及为家属提供的服务质量愈发受到关注。为了提升肥西县桃花镇集贤路公墓、长古公墓和翡翠公墓的安全管理水平，有效预防盗窃、破坏等违法行为，同时为祭扫人员提供更加安全、有序的环境，建设一套先进、可靠的监控系统显得尤为必要。通过实时监控，能够及时发现并处理各类异常情况，为陵园管理提供有力的数据支持，进一步提升陵园的整体形象和服务品质。</w:t>
      </w:r>
      <w:r>
        <w:rPr>
          <w:rFonts w:hint="eastAsia"/>
          <w:sz w:val="24"/>
        </w:rPr>
        <w:t>同时，响应国家 “雪亮工程” 的建设要求，将公墓监控系统接入肥西县公安局的平台，有助于构建更加完善的社会安全防控体系。</w:t>
      </w:r>
    </w:p>
    <w:p>
      <w:pPr>
        <w:pStyle w:val="5"/>
        <w:spacing w:line="360" w:lineRule="auto"/>
        <w:rPr>
          <w:sz w:val="36"/>
        </w:rPr>
      </w:pPr>
      <w:r>
        <w:rPr>
          <w:sz w:val="36"/>
        </w:rPr>
        <w:t>二、公墓现状分析</w:t>
      </w:r>
    </w:p>
    <w:p>
      <w:pPr>
        <w:pStyle w:val="6"/>
        <w:spacing w:line="360" w:lineRule="auto"/>
        <w:rPr>
          <w:sz w:val="32"/>
        </w:rPr>
      </w:pPr>
      <w:r>
        <w:rPr>
          <w:sz w:val="32"/>
        </w:rPr>
        <w:t>2.</w:t>
      </w:r>
      <w:r>
        <w:rPr>
          <w:rFonts w:hint="eastAsia"/>
          <w:sz w:val="32"/>
        </w:rPr>
        <w:t>1</w:t>
      </w:r>
      <w:r>
        <w:rPr>
          <w:sz w:val="32"/>
        </w:rPr>
        <w:t xml:space="preserve"> 长古公墓</w:t>
      </w:r>
    </w:p>
    <w:p>
      <w:pPr>
        <w:pStyle w:val="21"/>
        <w:spacing w:line="360" w:lineRule="auto"/>
        <w:rPr>
          <w:sz w:val="24"/>
        </w:rPr>
      </w:pPr>
      <w:r>
        <w:drawing>
          <wp:inline distT="0" distB="0" distL="0" distR="0">
            <wp:extent cx="5731510" cy="2313940"/>
            <wp:effectExtent l="0" t="0" r="8890" b="10160"/>
            <wp:docPr id="2" name="图片 2" descr="C:/Users/EDY/Desktop/微信图片_20250825162239_13_151.jpg微信图片_20250825162239_13_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EDY/Desktop/微信图片_20250825162239_13_151.jpg微信图片_20250825162239_13_151"/>
                    <pic:cNvPicPr>
                      <a:picLocks noChangeAspect="1"/>
                    </pic:cNvPicPr>
                  </pic:nvPicPr>
                  <pic:blipFill>
                    <a:blip r:embed="rId4"/>
                    <a:srcRect t="23045" b="23045"/>
                    <a:stretch>
                      <a:fillRect/>
                    </a:stretch>
                  </pic:blipFill>
                  <pic:spPr>
                    <a:xfrm>
                      <a:off x="0" y="0"/>
                      <a:ext cx="5731510" cy="2313940"/>
                    </a:xfrm>
                    <a:prstGeom prst="rect">
                      <a:avLst/>
                    </a:prstGeom>
                  </pic:spPr>
                </pic:pic>
              </a:graphicData>
            </a:graphic>
          </wp:inline>
        </w:drawing>
      </w:r>
    </w:p>
    <w:p>
      <w:pPr>
        <w:pStyle w:val="21"/>
        <w:spacing w:line="360" w:lineRule="auto"/>
        <w:rPr>
          <w:sz w:val="24"/>
        </w:rPr>
      </w:pPr>
      <w:r>
        <w:rPr>
          <w:sz w:val="24"/>
        </w:rPr>
        <w:t>长古公墓在绿化方面已取得一定成果，绿化面积达 8000 平方米，种植有香樟、雪松、夹竹桃、蜀桧、龙柏、红叶石楠等多种苗木，为祭扫营造了相对良好的环境。但在安全监控设施上较为薄弱，同样以人工巡逻为主，缺乏现代化的监控手段。公墓周边地形较为复杂，人员流动难以有效管控，这给墓地的安全管理带来了较大挑战，亟需建立一套完善的监控系统来加强安全防范。</w:t>
      </w:r>
    </w:p>
    <w:p>
      <w:pPr>
        <w:pStyle w:val="6"/>
        <w:spacing w:line="360" w:lineRule="auto"/>
        <w:rPr>
          <w:sz w:val="32"/>
        </w:rPr>
      </w:pPr>
      <w:r>
        <w:rPr>
          <w:sz w:val="32"/>
        </w:rPr>
        <w:t>2.</w:t>
      </w:r>
      <w:r>
        <w:rPr>
          <w:rFonts w:hint="eastAsia"/>
          <w:sz w:val="32"/>
        </w:rPr>
        <w:t>2</w:t>
      </w:r>
      <w:r>
        <w:rPr>
          <w:sz w:val="32"/>
        </w:rPr>
        <w:t xml:space="preserve"> </w:t>
      </w:r>
      <w:bookmarkStart w:id="0" w:name="OLE_LINK3"/>
      <w:r>
        <w:rPr>
          <w:sz w:val="32"/>
        </w:rPr>
        <w:t>翡翠公墓</w:t>
      </w:r>
      <w:bookmarkEnd w:id="0"/>
    </w:p>
    <w:p>
      <w:pPr>
        <w:pStyle w:val="21"/>
        <w:spacing w:line="360" w:lineRule="auto"/>
        <w:rPr>
          <w:sz w:val="24"/>
        </w:rPr>
      </w:pPr>
      <w:r>
        <w:drawing>
          <wp:inline distT="0" distB="0" distL="0" distR="0">
            <wp:extent cx="5731510" cy="2847340"/>
            <wp:effectExtent l="0" t="0" r="8890" b="10160"/>
            <wp:docPr id="3" name="图片 3" descr="C:/Users/EDY/Desktop/微信图片_20250825162240_15_151.jpg微信图片_20250825162240_15_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EDY/Desktop/微信图片_20250825162240_15_151.jpg微信图片_20250825162240_15_151"/>
                    <pic:cNvPicPr>
                      <a:picLocks noChangeAspect="1"/>
                    </pic:cNvPicPr>
                  </pic:nvPicPr>
                  <pic:blipFill>
                    <a:blip r:embed="rId5"/>
                    <a:srcRect t="16829" b="16829"/>
                    <a:stretch>
                      <a:fillRect/>
                    </a:stretch>
                  </pic:blipFill>
                  <pic:spPr>
                    <a:xfrm>
                      <a:off x="0" y="0"/>
                      <a:ext cx="5731510" cy="2847340"/>
                    </a:xfrm>
                    <a:prstGeom prst="rect">
                      <a:avLst/>
                    </a:prstGeom>
                  </pic:spPr>
                </pic:pic>
              </a:graphicData>
            </a:graphic>
          </wp:inline>
        </w:drawing>
      </w:r>
    </w:p>
    <w:p>
      <w:pPr>
        <w:pStyle w:val="21"/>
        <w:spacing w:line="360" w:lineRule="auto"/>
        <w:rPr>
          <w:sz w:val="24"/>
        </w:rPr>
      </w:pPr>
      <w:r>
        <w:rPr>
          <w:rFonts w:hint="eastAsia"/>
          <w:sz w:val="24"/>
        </w:rPr>
        <w:t>翡翠公墓是肥西桃花镇管理的公益性公墓，于 2005自发形成，占地规划面积约 19 亩。主要为翡翠社区、繁华新园社区提供殡葬服务。由于其位于住宅区附近，且周边方兴大道、翡翠路交叉，人员和车辆流动频繁。现有的安全管理方式难以满足当前的治安需求，为了保障公墓的安全以及周边居民的生活秩序，建设监控系统迫在眉睫</w:t>
      </w:r>
      <w:r>
        <w:rPr>
          <w:sz w:val="24"/>
        </w:rPr>
        <w:t>。</w:t>
      </w:r>
    </w:p>
    <w:p>
      <w:pPr>
        <w:pStyle w:val="5"/>
        <w:spacing w:line="360" w:lineRule="auto"/>
        <w:rPr>
          <w:sz w:val="36"/>
        </w:rPr>
      </w:pPr>
      <w:r>
        <w:rPr>
          <w:sz w:val="36"/>
        </w:rPr>
        <w:t>三、项目目标</w:t>
      </w:r>
    </w:p>
    <w:p>
      <w:pPr>
        <w:pStyle w:val="21"/>
        <w:numPr>
          <w:ilvl w:val="0"/>
          <w:numId w:val="1"/>
        </w:numPr>
        <w:spacing w:line="360" w:lineRule="auto"/>
        <w:rPr>
          <w:sz w:val="24"/>
        </w:rPr>
      </w:pPr>
      <w:r>
        <w:rPr>
          <w:b/>
          <w:bCs/>
          <w:sz w:val="24"/>
        </w:rPr>
        <w:t>全面监控覆盖</w:t>
      </w:r>
      <w:r>
        <w:rPr>
          <w:sz w:val="24"/>
        </w:rPr>
        <w:t>：在长古公墓和翡翠公墓内实现无死角监控，对重点区域如出入口、墓区、祭祀区、办公区等进行 24 小时实时监控，确保及时发现各类安全隐患和异常情况。</w:t>
      </w:r>
    </w:p>
    <w:p>
      <w:pPr>
        <w:pStyle w:val="21"/>
        <w:numPr>
          <w:ilvl w:val="0"/>
          <w:numId w:val="1"/>
        </w:numPr>
        <w:spacing w:line="360" w:lineRule="auto"/>
        <w:rPr>
          <w:sz w:val="24"/>
        </w:rPr>
      </w:pPr>
      <w:r>
        <w:rPr>
          <w:b/>
          <w:bCs/>
          <w:sz w:val="24"/>
        </w:rPr>
        <w:t>提升管理效率</w:t>
      </w:r>
      <w:r>
        <w:rPr>
          <w:sz w:val="24"/>
        </w:rPr>
        <w:t>：通过监控系统提供的实时画面和录像资料，陵园管理人员能够快速了解公墓内的动态，及时做出决策，提高管理效率。同时，监控数据可作为分析依据，用于优化陵园管理策略。</w:t>
      </w:r>
    </w:p>
    <w:p>
      <w:pPr>
        <w:pStyle w:val="21"/>
        <w:numPr>
          <w:ilvl w:val="0"/>
          <w:numId w:val="1"/>
        </w:numPr>
        <w:spacing w:line="360" w:lineRule="auto"/>
        <w:rPr>
          <w:sz w:val="24"/>
        </w:rPr>
      </w:pPr>
      <w:r>
        <w:rPr>
          <w:b/>
          <w:bCs/>
          <w:sz w:val="24"/>
        </w:rPr>
        <w:t>保障人员和财产安全</w:t>
      </w:r>
      <w:r>
        <w:rPr>
          <w:sz w:val="24"/>
        </w:rPr>
        <w:t>：有效预防盗窃、破坏等违法行为，保护公墓内的设施和逝者安息环境，为祭扫人员和工作人员提供安全保障。</w:t>
      </w:r>
    </w:p>
    <w:p>
      <w:pPr>
        <w:pStyle w:val="21"/>
        <w:numPr>
          <w:ilvl w:val="0"/>
          <w:numId w:val="1"/>
        </w:numPr>
        <w:spacing w:line="360" w:lineRule="auto"/>
        <w:rPr>
          <w:sz w:val="24"/>
        </w:rPr>
      </w:pPr>
      <w:r>
        <w:rPr>
          <w:b/>
          <w:bCs/>
          <w:sz w:val="24"/>
        </w:rPr>
        <w:t>建立应急响应机制</w:t>
      </w:r>
      <w:r>
        <w:rPr>
          <w:sz w:val="24"/>
        </w:rPr>
        <w:t>：当监控系统检测到异常情况时，能够及时发出警报，通知相关人员迅速响应，采取有效的应急措施，降低损失和影响。</w:t>
      </w:r>
    </w:p>
    <w:p>
      <w:pPr>
        <w:pStyle w:val="5"/>
        <w:spacing w:line="360" w:lineRule="auto"/>
        <w:rPr>
          <w:sz w:val="36"/>
        </w:rPr>
      </w:pPr>
      <w:r>
        <w:rPr>
          <w:sz w:val="36"/>
        </w:rPr>
        <w:t>四、监控系统总体设计</w:t>
      </w:r>
    </w:p>
    <w:p>
      <w:pPr>
        <w:pStyle w:val="6"/>
        <w:spacing w:line="360" w:lineRule="auto"/>
        <w:rPr>
          <w:sz w:val="32"/>
        </w:rPr>
      </w:pPr>
      <w:r>
        <w:rPr>
          <w:sz w:val="32"/>
        </w:rPr>
        <w:t>4.1 系统架构</w:t>
      </w:r>
    </w:p>
    <w:p>
      <w:pPr>
        <w:pStyle w:val="21"/>
        <w:spacing w:line="360" w:lineRule="auto"/>
        <w:rPr>
          <w:sz w:val="24"/>
        </w:rPr>
      </w:pPr>
      <w:r>
        <w:rPr>
          <w:sz w:val="24"/>
        </w:rPr>
        <w:t>本监控系统采用分层设计，由感知层、传输层、平台层和应用层构成。</w:t>
      </w:r>
    </w:p>
    <w:p>
      <w:pPr>
        <w:pStyle w:val="21"/>
        <w:numPr>
          <w:ilvl w:val="0"/>
          <w:numId w:val="2"/>
        </w:numPr>
        <w:tabs>
          <w:tab w:val="left" w:pos="720"/>
        </w:tabs>
        <w:spacing w:line="360" w:lineRule="auto"/>
        <w:rPr>
          <w:sz w:val="24"/>
        </w:rPr>
      </w:pPr>
      <w:r>
        <w:rPr>
          <w:b/>
          <w:bCs/>
          <w:sz w:val="24"/>
        </w:rPr>
        <w:t>感知层</w:t>
      </w:r>
      <w:r>
        <w:rPr>
          <w:sz w:val="24"/>
        </w:rPr>
        <w:t>：主要由各类高清摄像头组成，根据公墓不同区域的特点和监控需求，选择合适类型的摄像头，如枪式摄像头用于道路、广场等开阔区域的监控，枪式摄像头用于需要灵活变焦、转动监控的区域，如祭祀区等。这些摄像头具备高清成像、夜视、防水防尘、宽动态范围等功能，能够清晰采集公墓内各个区域的实时图像和视频信息。</w:t>
      </w:r>
    </w:p>
    <w:p>
      <w:pPr>
        <w:pStyle w:val="21"/>
        <w:numPr>
          <w:ilvl w:val="0"/>
          <w:numId w:val="2"/>
        </w:numPr>
        <w:tabs>
          <w:tab w:val="left" w:pos="720"/>
        </w:tabs>
        <w:spacing w:line="360" w:lineRule="auto"/>
        <w:rPr>
          <w:sz w:val="24"/>
        </w:rPr>
      </w:pPr>
      <w:r>
        <w:rPr>
          <w:b/>
          <w:bCs/>
          <w:sz w:val="24"/>
        </w:rPr>
        <w:t>传输层</w:t>
      </w:r>
      <w:r>
        <w:rPr>
          <w:sz w:val="24"/>
        </w:rPr>
        <w:t>：采用光纤和有线网络相结合的传输方式。对于距离监控中心较近且布线方便的区域，使用超五类或六类非屏蔽双绞线进行连接；对于距离较远或对传输带宽要求较高的区域，铺设光纤进行高速稳定的数据传输。同时，利用 PoE（以太网供电）技术，通过网线为前端摄像头供电，简化布线过程，降低成本。</w:t>
      </w:r>
    </w:p>
    <w:p>
      <w:pPr>
        <w:pStyle w:val="21"/>
        <w:numPr>
          <w:ilvl w:val="0"/>
          <w:numId w:val="2"/>
        </w:numPr>
        <w:tabs>
          <w:tab w:val="left" w:pos="720"/>
        </w:tabs>
        <w:spacing w:line="360" w:lineRule="auto"/>
        <w:rPr>
          <w:sz w:val="24"/>
        </w:rPr>
      </w:pPr>
      <w:r>
        <w:rPr>
          <w:b/>
          <w:bCs/>
          <w:sz w:val="24"/>
        </w:rPr>
        <w:t>平台层</w:t>
      </w:r>
      <w:r>
        <w:rPr>
          <w:sz w:val="24"/>
        </w:rPr>
        <w:t>：由服务器、存储设备等组成。服务器选用高性能产品，具备强大的数据处理能力，能够稳定运行监控平台软件，对感知层传输过来的视频数据进行集中处理、存储和分析。存储时间按照相关规定设置为不少于 30 天。</w:t>
      </w:r>
    </w:p>
    <w:p>
      <w:pPr>
        <w:pStyle w:val="21"/>
        <w:numPr>
          <w:ilvl w:val="0"/>
          <w:numId w:val="2"/>
        </w:numPr>
        <w:tabs>
          <w:tab w:val="left" w:pos="720"/>
        </w:tabs>
        <w:spacing w:line="360" w:lineRule="auto"/>
        <w:rPr>
          <w:sz w:val="24"/>
        </w:rPr>
      </w:pPr>
      <w:r>
        <w:rPr>
          <w:b/>
          <w:bCs/>
          <w:sz w:val="24"/>
        </w:rPr>
        <w:t>应用层</w:t>
      </w:r>
      <w:r>
        <w:rPr>
          <w:sz w:val="24"/>
        </w:rPr>
        <w:t>：包括监控中心的客户端电脑和移动端应用。监控中心配备专业的监控软件，管理人员可通过客户端电脑实时查看各个摄像头的监控画面，进行录像回放、设备管理、用户权限设置等操作。移动端应用支持管理人员在手机或平板电脑上随时随地查看监控画面，接收报警信息，方便远程管理。</w:t>
      </w:r>
    </w:p>
    <w:p>
      <w:pPr>
        <w:pStyle w:val="6"/>
        <w:spacing w:line="360" w:lineRule="auto"/>
        <w:rPr>
          <w:sz w:val="32"/>
        </w:rPr>
      </w:pPr>
      <w:r>
        <w:rPr>
          <w:sz w:val="32"/>
        </w:rPr>
        <w:t>4.2 系统功能</w:t>
      </w:r>
    </w:p>
    <w:p>
      <w:pPr>
        <w:pStyle w:val="21"/>
        <w:numPr>
          <w:ilvl w:val="0"/>
          <w:numId w:val="3"/>
        </w:numPr>
        <w:spacing w:line="360" w:lineRule="auto"/>
        <w:rPr>
          <w:sz w:val="24"/>
          <w:szCs w:val="24"/>
        </w:rPr>
      </w:pPr>
      <w:r>
        <w:rPr>
          <w:b/>
          <w:bCs/>
          <w:sz w:val="24"/>
          <w:szCs w:val="24"/>
        </w:rPr>
        <w:t>实时监控</w:t>
      </w:r>
      <w:r>
        <w:rPr>
          <w:sz w:val="24"/>
          <w:szCs w:val="24"/>
        </w:rPr>
        <w:t>：支持多路视频实时显示，依托</w:t>
      </w:r>
      <w:r>
        <w:rPr>
          <w:rFonts w:hint="eastAsia"/>
          <w:sz w:val="24"/>
          <w:szCs w:val="24"/>
          <w:lang w:eastAsia="zh-CN"/>
        </w:rPr>
        <w:t>在线云存储平台</w:t>
      </w:r>
      <w:r>
        <w:rPr>
          <w:sz w:val="24"/>
          <w:szCs w:val="24"/>
        </w:rPr>
        <w:t>的高清传输能力，管理人员可清晰查看公墓内人员流动、车辆进出、祭祀活动等情况，及时发现异常。</w:t>
      </w:r>
    </w:p>
    <w:p>
      <w:pPr>
        <w:pStyle w:val="21"/>
        <w:numPr>
          <w:ilvl w:val="0"/>
          <w:numId w:val="3"/>
        </w:numPr>
        <w:spacing w:line="360" w:lineRule="auto"/>
        <w:rPr>
          <w:sz w:val="24"/>
          <w:szCs w:val="24"/>
        </w:rPr>
      </w:pPr>
      <w:r>
        <w:rPr>
          <w:b/>
          <w:bCs/>
          <w:sz w:val="24"/>
          <w:szCs w:val="24"/>
        </w:rPr>
        <w:t>录像回放</w:t>
      </w:r>
      <w:r>
        <w:rPr>
          <w:sz w:val="24"/>
          <w:szCs w:val="24"/>
        </w:rPr>
        <w:t>：</w:t>
      </w:r>
      <w:r>
        <w:rPr>
          <w:rFonts w:hint="eastAsia"/>
          <w:sz w:val="24"/>
          <w:szCs w:val="24"/>
          <w:lang w:eastAsia="zh-CN"/>
        </w:rPr>
        <w:t>在线云存储平台</w:t>
      </w:r>
      <w:r>
        <w:rPr>
          <w:sz w:val="24"/>
          <w:szCs w:val="24"/>
        </w:rPr>
        <w:t>自动存储监控视频，支持按时间、监控点、事件类型等条件快速检索与回放。发生事件后，可通过平台便捷调阅录像，为调查处理提供证据。</w:t>
      </w:r>
    </w:p>
    <w:p>
      <w:pPr>
        <w:pStyle w:val="21"/>
        <w:numPr>
          <w:ilvl w:val="0"/>
          <w:numId w:val="3"/>
        </w:numPr>
        <w:spacing w:line="360" w:lineRule="auto"/>
        <w:rPr>
          <w:sz w:val="24"/>
          <w:szCs w:val="24"/>
        </w:rPr>
      </w:pPr>
      <w:r>
        <w:rPr>
          <w:b/>
          <w:bCs/>
          <w:sz w:val="24"/>
          <w:szCs w:val="24"/>
        </w:rPr>
        <w:t>视频分析</w:t>
      </w:r>
      <w:r>
        <w:rPr>
          <w:sz w:val="24"/>
          <w:szCs w:val="24"/>
        </w:rPr>
        <w:t>：借助</w:t>
      </w:r>
      <w:r>
        <w:rPr>
          <w:rFonts w:hint="eastAsia"/>
          <w:sz w:val="24"/>
          <w:szCs w:val="24"/>
          <w:lang w:eastAsia="zh-CN"/>
        </w:rPr>
        <w:t>在线云存储平台</w:t>
      </w:r>
      <w:r>
        <w:rPr>
          <w:sz w:val="24"/>
          <w:szCs w:val="24"/>
        </w:rPr>
        <w:t>的智能分析功能，对人员密度、异常行为</w:t>
      </w:r>
      <w:bookmarkStart w:id="1" w:name="_GoBack"/>
      <w:bookmarkEnd w:id="1"/>
      <w:r>
        <w:rPr>
          <w:sz w:val="24"/>
          <w:szCs w:val="24"/>
        </w:rPr>
        <w:t>进行分析。祭祀高峰期，通过人员密度分析疏导人流；识别异常行为时，提前预警并处置。</w:t>
      </w:r>
    </w:p>
    <w:p>
      <w:pPr>
        <w:pStyle w:val="21"/>
        <w:numPr>
          <w:ilvl w:val="0"/>
          <w:numId w:val="3"/>
        </w:numPr>
        <w:spacing w:line="360" w:lineRule="auto"/>
        <w:rPr>
          <w:sz w:val="24"/>
          <w:szCs w:val="24"/>
        </w:rPr>
      </w:pPr>
      <w:r>
        <w:rPr>
          <w:b/>
          <w:bCs/>
          <w:sz w:val="24"/>
          <w:szCs w:val="24"/>
        </w:rPr>
        <w:t>权限管理</w:t>
      </w:r>
      <w:r>
        <w:rPr>
          <w:sz w:val="24"/>
          <w:szCs w:val="24"/>
        </w:rPr>
        <w:t>：基于</w:t>
      </w:r>
      <w:r>
        <w:rPr>
          <w:rFonts w:hint="eastAsia"/>
          <w:sz w:val="24"/>
          <w:szCs w:val="24"/>
          <w:lang w:eastAsia="zh-CN"/>
        </w:rPr>
        <w:t>在线云存储平台</w:t>
      </w:r>
      <w:r>
        <w:rPr>
          <w:sz w:val="24"/>
          <w:szCs w:val="24"/>
        </w:rPr>
        <w:t>的分级权限管理功能，按岗位与职责设置操作权限。陵园管理人员拥有设备管理、权限分配等权限；普通安保人员仅可查看实时画面与报警信息；公安部门通过 “雪亮工程” 平台获得授权调阅权限，保障系统安全。</w:t>
      </w:r>
    </w:p>
    <w:p>
      <w:pPr>
        <w:pStyle w:val="21"/>
        <w:numPr>
          <w:ilvl w:val="0"/>
          <w:numId w:val="3"/>
        </w:numPr>
        <w:spacing w:line="360" w:lineRule="auto"/>
        <w:rPr>
          <w:sz w:val="24"/>
          <w:szCs w:val="24"/>
        </w:rPr>
      </w:pPr>
      <w:r>
        <w:rPr>
          <w:b/>
          <w:bCs/>
          <w:sz w:val="24"/>
          <w:szCs w:val="24"/>
        </w:rPr>
        <w:t>雪亮平台对接</w:t>
      </w:r>
      <w:r>
        <w:rPr>
          <w:sz w:val="24"/>
          <w:szCs w:val="24"/>
        </w:rPr>
        <w:t>：按照肥西县公安局 “雪亮工程” 平台的数据格式与传输协议要求，完成与</w:t>
      </w:r>
      <w:r>
        <w:rPr>
          <w:rFonts w:hint="eastAsia"/>
          <w:sz w:val="24"/>
          <w:szCs w:val="24"/>
          <w:lang w:eastAsia="zh-CN"/>
        </w:rPr>
        <w:t>在线云存储平台</w:t>
      </w:r>
      <w:r>
        <w:rPr>
          <w:sz w:val="24"/>
          <w:szCs w:val="24"/>
        </w:rPr>
        <w:t>的对接配置，实现监控视频、报警信息、设备状态等数据的实时同步，满足社会治安防控需求。</w:t>
      </w:r>
    </w:p>
    <w:p>
      <w:pPr>
        <w:pStyle w:val="5"/>
        <w:pageBreakBefore/>
        <w:spacing w:line="360" w:lineRule="auto"/>
        <w:rPr>
          <w:sz w:val="36"/>
        </w:rPr>
      </w:pPr>
      <w:r>
        <w:rPr>
          <w:sz w:val="36"/>
        </w:rPr>
        <w:t>五、硬件设备选型</w:t>
      </w:r>
    </w:p>
    <w:p>
      <w:pPr>
        <w:pStyle w:val="6"/>
        <w:spacing w:line="360" w:lineRule="auto"/>
        <w:rPr>
          <w:sz w:val="32"/>
        </w:rPr>
      </w:pPr>
      <w:r>
        <w:rPr>
          <w:sz w:val="32"/>
        </w:rPr>
        <w:t>5.1 摄像头</w:t>
      </w:r>
    </w:p>
    <w:p>
      <w:pPr>
        <w:pStyle w:val="21"/>
        <w:numPr>
          <w:ilvl w:val="0"/>
          <w:numId w:val="4"/>
        </w:numPr>
        <w:tabs>
          <w:tab w:val="left" w:pos="720"/>
        </w:tabs>
        <w:spacing w:line="360" w:lineRule="auto"/>
        <w:rPr>
          <w:sz w:val="24"/>
        </w:rPr>
      </w:pPr>
      <w:r>
        <w:rPr>
          <w:b/>
          <w:bCs/>
          <w:sz w:val="24"/>
        </w:rPr>
        <w:t>长古公墓</w:t>
      </w:r>
      <w:r>
        <w:rPr>
          <w:sz w:val="24"/>
        </w:rPr>
        <w:t xml:space="preserve">：配置 </w:t>
      </w:r>
      <w:r>
        <w:rPr>
          <w:rFonts w:hint="eastAsia"/>
          <w:sz w:val="24"/>
        </w:rPr>
        <w:t>24</w:t>
      </w:r>
      <w:r>
        <w:rPr>
          <w:sz w:val="24"/>
        </w:rPr>
        <w:t>路高清网络摄像头，用于监控道路、广场等开阔区域。同样具备 1080P 分辨率、红外夜视、宽动态范围和高防护等级等特性，满足长古公墓的监控需求。</w:t>
      </w:r>
    </w:p>
    <w:p>
      <w:pPr>
        <w:pStyle w:val="21"/>
        <w:spacing w:line="360" w:lineRule="auto"/>
        <w:rPr>
          <w:sz w:val="24"/>
        </w:rPr>
      </w:pPr>
      <w:r>
        <w:drawing>
          <wp:inline distT="0" distB="0" distL="0" distR="0">
            <wp:extent cx="5731510" cy="4292600"/>
            <wp:effectExtent l="0" t="0" r="2540" b="0"/>
            <wp:docPr id="141869085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690850" name="图片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731510" cy="4292600"/>
                    </a:xfrm>
                    <a:prstGeom prst="rect">
                      <a:avLst/>
                    </a:prstGeom>
                    <a:noFill/>
                    <a:ln>
                      <a:noFill/>
                    </a:ln>
                  </pic:spPr>
                </pic:pic>
              </a:graphicData>
            </a:graphic>
          </wp:inline>
        </w:drawing>
      </w:r>
    </w:p>
    <w:p>
      <w:pPr>
        <w:pStyle w:val="21"/>
        <w:numPr>
          <w:ilvl w:val="0"/>
          <w:numId w:val="4"/>
        </w:numPr>
        <w:tabs>
          <w:tab w:val="left" w:pos="720"/>
        </w:tabs>
        <w:spacing w:line="360" w:lineRule="auto"/>
        <w:rPr>
          <w:sz w:val="24"/>
        </w:rPr>
      </w:pPr>
      <w:r>
        <w:rPr>
          <w:b/>
          <w:bCs/>
          <w:sz w:val="24"/>
        </w:rPr>
        <w:t>翡翠公墓</w:t>
      </w:r>
      <w:r>
        <w:rPr>
          <w:sz w:val="24"/>
        </w:rPr>
        <w:t>：安装 1</w:t>
      </w:r>
      <w:r>
        <w:rPr>
          <w:rFonts w:hint="eastAsia"/>
          <w:sz w:val="24"/>
        </w:rPr>
        <w:t>6</w:t>
      </w:r>
      <w:r>
        <w:rPr>
          <w:sz w:val="24"/>
        </w:rPr>
        <w:t xml:space="preserve"> 路高清网络摄像头，用于监控道路、广场等开阔区域。摄像头参数与上述公墓一致，能够在不同环境下稳定工作，提供清晰可靠的监控画面。</w:t>
      </w:r>
    </w:p>
    <w:p>
      <w:pPr>
        <w:pStyle w:val="21"/>
        <w:spacing w:line="360" w:lineRule="auto"/>
        <w:rPr>
          <w:sz w:val="24"/>
        </w:rPr>
      </w:pPr>
      <w:r>
        <w:rPr>
          <w:sz w:val="24"/>
        </w:rPr>
        <w:drawing>
          <wp:inline distT="0" distB="0" distL="0" distR="0">
            <wp:extent cx="5731510" cy="4190365"/>
            <wp:effectExtent l="0" t="0" r="2540" b="635"/>
            <wp:docPr id="19691624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162411" name="图片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731510" cy="4190365"/>
                    </a:xfrm>
                    <a:prstGeom prst="rect">
                      <a:avLst/>
                    </a:prstGeom>
                    <a:noFill/>
                    <a:ln>
                      <a:noFill/>
                    </a:ln>
                  </pic:spPr>
                </pic:pic>
              </a:graphicData>
            </a:graphic>
          </wp:inline>
        </w:drawing>
      </w:r>
    </w:p>
    <w:p>
      <w:pPr>
        <w:pStyle w:val="6"/>
        <w:spacing w:line="360" w:lineRule="auto"/>
        <w:rPr>
          <w:sz w:val="32"/>
        </w:rPr>
      </w:pPr>
      <w:r>
        <w:rPr>
          <w:sz w:val="32"/>
        </w:rPr>
        <w:t>5.2 传输设备</w:t>
      </w:r>
    </w:p>
    <w:p>
      <w:pPr>
        <w:pStyle w:val="21"/>
        <w:numPr>
          <w:ilvl w:val="0"/>
          <w:numId w:val="5"/>
        </w:numPr>
        <w:tabs>
          <w:tab w:val="left" w:pos="720"/>
        </w:tabs>
        <w:spacing w:line="360" w:lineRule="auto"/>
        <w:rPr>
          <w:sz w:val="24"/>
        </w:rPr>
      </w:pPr>
      <w:r>
        <w:rPr>
          <w:b/>
          <w:bCs/>
          <w:sz w:val="24"/>
        </w:rPr>
        <w:t>交换机</w:t>
      </w:r>
      <w:r>
        <w:rPr>
          <w:sz w:val="24"/>
        </w:rPr>
        <w:t>：在各个公墓内，根据监控点的分布情况，部署二层以太网交换机。选用 8 口和 16 口的</w:t>
      </w:r>
      <w:r>
        <w:rPr>
          <w:rFonts w:hint="eastAsia"/>
          <w:sz w:val="24"/>
        </w:rPr>
        <w:t>千</w:t>
      </w:r>
      <w:r>
        <w:rPr>
          <w:sz w:val="24"/>
        </w:rPr>
        <w:t>兆交换机即可满足数据传输需求；确保网络传输的稳定性和高效性。交换机具备 PoE 供电功能，方便为前端摄像头供电。</w:t>
      </w:r>
    </w:p>
    <w:p>
      <w:pPr>
        <w:pStyle w:val="21"/>
        <w:numPr>
          <w:ilvl w:val="0"/>
          <w:numId w:val="5"/>
        </w:numPr>
        <w:tabs>
          <w:tab w:val="left" w:pos="720"/>
        </w:tabs>
        <w:spacing w:line="360" w:lineRule="auto"/>
        <w:rPr>
          <w:sz w:val="24"/>
        </w:rPr>
      </w:pPr>
      <w:r>
        <w:rPr>
          <w:b/>
          <w:bCs/>
          <w:sz w:val="24"/>
        </w:rPr>
        <w:t>光纤及配件</w:t>
      </w:r>
      <w:r>
        <w:rPr>
          <w:sz w:val="24"/>
        </w:rPr>
        <w:t>：对于需要光纤传输的区域，采用单模光纤进行铺设。光纤具有传输距离远、带宽高、抗干扰能力强的特点，能够保证视频数据的高质量传输。同时，配备相应的光纤收发器、光纤跳线、光纤终端盒等配件，确保光纤连接的可靠性。</w:t>
      </w:r>
    </w:p>
    <w:p>
      <w:pPr>
        <w:pStyle w:val="6"/>
        <w:rPr>
          <w:sz w:val="32"/>
          <w:szCs w:val="32"/>
        </w:rPr>
      </w:pPr>
      <w:r>
        <w:rPr>
          <w:sz w:val="32"/>
          <w:szCs w:val="32"/>
        </w:rPr>
        <w:t>5.3 其他辅助设备</w:t>
      </w:r>
    </w:p>
    <w:p>
      <w:pPr>
        <w:pStyle w:val="21"/>
        <w:tabs>
          <w:tab w:val="left" w:pos="720"/>
        </w:tabs>
        <w:spacing w:line="360" w:lineRule="auto"/>
        <w:ind w:left="720"/>
        <w:rPr>
          <w:sz w:val="24"/>
          <w:szCs w:val="24"/>
        </w:rPr>
      </w:pPr>
      <w:r>
        <w:rPr>
          <w:b/>
          <w:bCs/>
          <w:sz w:val="24"/>
          <w:szCs w:val="24"/>
        </w:rPr>
        <w:t>立杆与支架</w:t>
      </w:r>
      <w:r>
        <w:rPr>
          <w:sz w:val="24"/>
          <w:szCs w:val="24"/>
        </w:rPr>
        <w:t>：选用防腐防锈的金属立杆（高度 3-5 米）与摄像头支架，确保摄像头安装牢固，视角覆盖合理。</w:t>
      </w:r>
    </w:p>
    <w:p>
      <w:pPr>
        <w:pStyle w:val="21"/>
        <w:tabs>
          <w:tab w:val="left" w:pos="720"/>
        </w:tabs>
        <w:spacing w:line="360" w:lineRule="auto"/>
        <w:ind w:left="720"/>
        <w:rPr>
          <w:sz w:val="24"/>
          <w:szCs w:val="24"/>
        </w:rPr>
      </w:pPr>
      <w:r>
        <w:rPr>
          <w:b/>
          <w:bCs/>
          <w:sz w:val="24"/>
          <w:szCs w:val="24"/>
        </w:rPr>
        <w:t>防水箱</w:t>
      </w:r>
      <w:r>
        <w:rPr>
          <w:sz w:val="24"/>
          <w:szCs w:val="24"/>
        </w:rPr>
        <w:t>：用于放置交换机、光纤收发器等设备，具备防水、防尘、散热功能，保护设备稳定运行。</w:t>
      </w:r>
    </w:p>
    <w:p>
      <w:pPr>
        <w:pStyle w:val="21"/>
        <w:tabs>
          <w:tab w:val="left" w:pos="720"/>
        </w:tabs>
        <w:spacing w:line="360" w:lineRule="auto"/>
        <w:ind w:left="720"/>
        <w:rPr>
          <w:sz w:val="24"/>
          <w:szCs w:val="24"/>
        </w:rPr>
      </w:pPr>
      <w:r>
        <w:rPr>
          <w:b/>
          <w:bCs/>
          <w:sz w:val="24"/>
          <w:szCs w:val="24"/>
        </w:rPr>
        <w:t>PoE 供电器</w:t>
      </w:r>
      <w:r>
        <w:rPr>
          <w:sz w:val="24"/>
          <w:szCs w:val="24"/>
        </w:rPr>
        <w:t>：部分不支持 PoE 的辅助设备，搭配适配的 PoE 供电器，保障设备供电稳定。</w:t>
      </w:r>
    </w:p>
    <w:p>
      <w:pPr>
        <w:pStyle w:val="5"/>
        <w:spacing w:line="360" w:lineRule="auto"/>
        <w:rPr>
          <w:sz w:val="36"/>
        </w:rPr>
      </w:pPr>
      <w:r>
        <w:rPr>
          <w:rFonts w:hint="eastAsia"/>
          <w:sz w:val="36"/>
        </w:rPr>
        <w:t>六</w:t>
      </w:r>
      <w:r>
        <w:rPr>
          <w:sz w:val="36"/>
        </w:rPr>
        <w:t>、系统安装与调试</w:t>
      </w:r>
    </w:p>
    <w:p>
      <w:pPr>
        <w:pStyle w:val="6"/>
        <w:spacing w:line="360" w:lineRule="auto"/>
        <w:rPr>
          <w:sz w:val="32"/>
        </w:rPr>
      </w:pPr>
      <w:r>
        <w:rPr>
          <w:rFonts w:hint="eastAsia"/>
          <w:sz w:val="32"/>
        </w:rPr>
        <w:t>6</w:t>
      </w:r>
      <w:r>
        <w:rPr>
          <w:sz w:val="32"/>
        </w:rPr>
        <w:t>.1 硬件设备安装</w:t>
      </w:r>
    </w:p>
    <w:p>
      <w:pPr>
        <w:pStyle w:val="21"/>
        <w:numPr>
          <w:ilvl w:val="0"/>
          <w:numId w:val="6"/>
        </w:numPr>
        <w:tabs>
          <w:tab w:val="left" w:pos="720"/>
        </w:tabs>
        <w:spacing w:line="360" w:lineRule="auto"/>
        <w:rPr>
          <w:sz w:val="24"/>
        </w:rPr>
      </w:pPr>
      <w:r>
        <w:rPr>
          <w:b/>
          <w:bCs/>
          <w:sz w:val="24"/>
        </w:rPr>
        <w:t>摄像头安装</w:t>
      </w:r>
      <w:r>
        <w:rPr>
          <w:sz w:val="24"/>
        </w:rPr>
        <w:t>：根据监控点位规划，在公墓内的各个重点区域安装摄像头。枪式摄像头安装在立杆或墙壁上，确保安装牢固，镜头方向能够覆盖目标监控区域；枪式摄像头安装在天花板或特制的安装支架上，保证其能够灵活转动，实现全方位监控。安装过程中，注意做好防水、防尘处理，确保摄像头的防护性能。</w:t>
      </w:r>
    </w:p>
    <w:p>
      <w:pPr>
        <w:pStyle w:val="21"/>
        <w:numPr>
          <w:ilvl w:val="0"/>
          <w:numId w:val="6"/>
        </w:numPr>
        <w:tabs>
          <w:tab w:val="left" w:pos="720"/>
        </w:tabs>
        <w:spacing w:line="360" w:lineRule="auto"/>
        <w:rPr>
          <w:sz w:val="24"/>
        </w:rPr>
      </w:pPr>
      <w:r>
        <w:rPr>
          <w:b/>
          <w:bCs/>
          <w:sz w:val="24"/>
        </w:rPr>
        <w:t>传输设备安装</w:t>
      </w:r>
      <w:r>
        <w:rPr>
          <w:sz w:val="24"/>
        </w:rPr>
        <w:t>：按照网络布线方案，铺设网线和光纤。网线采用线槽或线管进行保护，确保布线整齐美观，避免网线受到外力损坏。光纤铺设时，注意避免过度弯曲，确保光纤的传输性能。安装交换机时，将其固定在合适的位置，如弱电箱或机柜内，连接好电源线和网线。光纤收发器等设备也按照相应的安装规范进行安装和连接。</w:t>
      </w:r>
    </w:p>
    <w:p>
      <w:pPr>
        <w:pStyle w:val="6"/>
        <w:spacing w:line="360" w:lineRule="auto"/>
        <w:rPr>
          <w:sz w:val="32"/>
          <w:szCs w:val="32"/>
        </w:rPr>
      </w:pPr>
      <w:r>
        <w:rPr>
          <w:sz w:val="32"/>
          <w:szCs w:val="32"/>
        </w:rPr>
        <w:t>6.2 平台对接与软件配置</w:t>
      </w:r>
    </w:p>
    <w:p>
      <w:pPr>
        <w:pStyle w:val="21"/>
        <w:numPr>
          <w:ilvl w:val="0"/>
          <w:numId w:val="3"/>
        </w:numPr>
        <w:spacing w:line="360" w:lineRule="auto"/>
        <w:rPr>
          <w:sz w:val="24"/>
          <w:szCs w:val="24"/>
        </w:rPr>
      </w:pPr>
      <w:r>
        <w:rPr>
          <w:rFonts w:hint="eastAsia"/>
          <w:b/>
          <w:bCs/>
          <w:sz w:val="24"/>
          <w:szCs w:val="24"/>
          <w:lang w:eastAsia="zh-CN"/>
        </w:rPr>
        <w:t>在线云存储平台</w:t>
      </w:r>
      <w:r>
        <w:rPr>
          <w:b/>
          <w:bCs/>
          <w:sz w:val="24"/>
          <w:szCs w:val="24"/>
        </w:rPr>
        <w:t>接入</w:t>
      </w:r>
      <w:r>
        <w:rPr>
          <w:sz w:val="24"/>
          <w:szCs w:val="24"/>
        </w:rPr>
        <w:t>：在技术人员协助下，完成摄像头、交换机等设备在</w:t>
      </w:r>
      <w:r>
        <w:rPr>
          <w:rFonts w:hint="eastAsia"/>
          <w:sz w:val="24"/>
          <w:szCs w:val="24"/>
          <w:lang w:eastAsia="zh-CN"/>
        </w:rPr>
        <w:t>在线云存储平台</w:t>
      </w:r>
      <w:r>
        <w:rPr>
          <w:sz w:val="24"/>
          <w:szCs w:val="24"/>
        </w:rPr>
        <w:t>的添加与注册，配置设备 IP 地址、编码参数、存储策略，确保设备正常上线，视频数据稳定上传至云端。</w:t>
      </w:r>
    </w:p>
    <w:p>
      <w:pPr>
        <w:pStyle w:val="21"/>
        <w:numPr>
          <w:ilvl w:val="0"/>
          <w:numId w:val="3"/>
        </w:numPr>
        <w:spacing w:line="360" w:lineRule="auto"/>
        <w:rPr>
          <w:sz w:val="24"/>
          <w:szCs w:val="24"/>
        </w:rPr>
      </w:pPr>
      <w:r>
        <w:rPr>
          <w:b/>
          <w:bCs/>
          <w:sz w:val="24"/>
          <w:szCs w:val="24"/>
        </w:rPr>
        <w:t>雪亮平台对接</w:t>
      </w:r>
      <w:r>
        <w:rPr>
          <w:sz w:val="24"/>
          <w:szCs w:val="24"/>
        </w:rPr>
        <w:t>：按肥西县公安局提供的对接方案，在</w:t>
      </w:r>
      <w:r>
        <w:rPr>
          <w:rFonts w:hint="eastAsia"/>
          <w:sz w:val="24"/>
          <w:szCs w:val="24"/>
          <w:lang w:eastAsia="zh-CN"/>
        </w:rPr>
        <w:t>在线云存储平台</w:t>
      </w:r>
      <w:r>
        <w:rPr>
          <w:sz w:val="24"/>
          <w:szCs w:val="24"/>
        </w:rPr>
        <w:t>配置 “雪亮工程” 平台的对接参数（如 IP 地址、端口号、加密协议），完成数据传输测试，确保监控视频信息可实时推送至 “雪亮工程” 平台。</w:t>
      </w:r>
    </w:p>
    <w:p>
      <w:pPr>
        <w:pStyle w:val="21"/>
        <w:numPr>
          <w:ilvl w:val="0"/>
          <w:numId w:val="3"/>
        </w:numPr>
        <w:spacing w:line="360" w:lineRule="auto"/>
        <w:rPr>
          <w:sz w:val="24"/>
          <w:szCs w:val="24"/>
        </w:rPr>
      </w:pPr>
      <w:r>
        <w:rPr>
          <w:b/>
          <w:bCs/>
          <w:sz w:val="24"/>
          <w:szCs w:val="24"/>
        </w:rPr>
        <w:t>用户权限配置</w:t>
      </w:r>
      <w:r>
        <w:rPr>
          <w:sz w:val="24"/>
          <w:szCs w:val="24"/>
        </w:rPr>
        <w:t>：在</w:t>
      </w:r>
      <w:r>
        <w:rPr>
          <w:rFonts w:hint="eastAsia"/>
          <w:sz w:val="24"/>
          <w:szCs w:val="24"/>
          <w:lang w:eastAsia="zh-CN"/>
        </w:rPr>
        <w:t>在线云存储平台</w:t>
      </w:r>
      <w:r>
        <w:rPr>
          <w:sz w:val="24"/>
          <w:szCs w:val="24"/>
        </w:rPr>
        <w:t>创建陵园管理、安保、公安等不同类型用户账号，分配对应的操作权限，设置数据访问范围，保障平台使用安全。</w:t>
      </w:r>
    </w:p>
    <w:p>
      <w:pPr>
        <w:pStyle w:val="6"/>
        <w:spacing w:line="360" w:lineRule="auto"/>
        <w:rPr>
          <w:sz w:val="32"/>
          <w:szCs w:val="32"/>
        </w:rPr>
      </w:pPr>
      <w:r>
        <w:rPr>
          <w:sz w:val="32"/>
          <w:szCs w:val="32"/>
        </w:rPr>
        <w:t>6.3 系统调试</w:t>
      </w:r>
    </w:p>
    <w:p>
      <w:pPr>
        <w:pStyle w:val="21"/>
        <w:numPr>
          <w:ilvl w:val="0"/>
          <w:numId w:val="7"/>
        </w:numPr>
        <w:tabs>
          <w:tab w:val="left" w:pos="720"/>
        </w:tabs>
        <w:spacing w:line="360" w:lineRule="auto"/>
        <w:rPr>
          <w:sz w:val="24"/>
          <w:szCs w:val="24"/>
        </w:rPr>
      </w:pPr>
      <w:r>
        <w:rPr>
          <w:b/>
          <w:bCs/>
          <w:sz w:val="24"/>
          <w:szCs w:val="24"/>
        </w:rPr>
        <w:t>功能测试</w:t>
      </w:r>
      <w:r>
        <w:rPr>
          <w:sz w:val="24"/>
          <w:szCs w:val="24"/>
        </w:rPr>
        <w:t>：测试实时监控画面清晰度与流畅度，验证录像回放的完整性与检索速度；模拟移动侦测、遮挡报警等场景，检查报警触发的及时性与通知方式的有效性；测试</w:t>
      </w:r>
      <w:r>
        <w:rPr>
          <w:rFonts w:hint="eastAsia"/>
          <w:sz w:val="24"/>
          <w:szCs w:val="24"/>
          <w:lang w:val="en-US" w:eastAsia="zh-CN"/>
        </w:rPr>
        <w:t>在线平台</w:t>
      </w:r>
      <w:r>
        <w:rPr>
          <w:sz w:val="24"/>
          <w:szCs w:val="24"/>
        </w:rPr>
        <w:t>移动端 APP 的远程查看与控制功能，确保与电脑端功能一致。</w:t>
      </w:r>
    </w:p>
    <w:p>
      <w:pPr>
        <w:pStyle w:val="21"/>
        <w:numPr>
          <w:ilvl w:val="0"/>
          <w:numId w:val="7"/>
        </w:numPr>
        <w:tabs>
          <w:tab w:val="left" w:pos="720"/>
        </w:tabs>
        <w:spacing w:line="360" w:lineRule="auto"/>
        <w:rPr>
          <w:sz w:val="24"/>
          <w:szCs w:val="24"/>
        </w:rPr>
      </w:pPr>
      <w:r>
        <w:rPr>
          <w:b/>
          <w:bCs/>
          <w:sz w:val="24"/>
          <w:szCs w:val="24"/>
        </w:rPr>
        <w:t>平台对接测试</w:t>
      </w:r>
      <w:r>
        <w:rPr>
          <w:sz w:val="24"/>
          <w:szCs w:val="24"/>
        </w:rPr>
        <w:t>：在公安部门配合下，测试 “雪亮工程” 平台对</w:t>
      </w:r>
      <w:r>
        <w:rPr>
          <w:rFonts w:hint="eastAsia"/>
          <w:sz w:val="24"/>
          <w:szCs w:val="24"/>
          <w:lang w:eastAsia="zh-CN"/>
        </w:rPr>
        <w:t>在线云存储平台</w:t>
      </w:r>
      <w:r>
        <w:rPr>
          <w:sz w:val="24"/>
          <w:szCs w:val="24"/>
        </w:rPr>
        <w:t>监控数据的调阅、回放功能，检查数据传输的稳定性与准确性，确保符合 “雪亮工程” 建设要求。</w:t>
      </w:r>
    </w:p>
    <w:p>
      <w:pPr>
        <w:pStyle w:val="21"/>
        <w:numPr>
          <w:ilvl w:val="0"/>
          <w:numId w:val="7"/>
        </w:numPr>
        <w:tabs>
          <w:tab w:val="left" w:pos="720"/>
        </w:tabs>
        <w:spacing w:line="360" w:lineRule="auto"/>
        <w:rPr>
          <w:sz w:val="24"/>
          <w:szCs w:val="24"/>
        </w:rPr>
      </w:pPr>
      <w:r>
        <w:rPr>
          <w:b/>
          <w:bCs/>
          <w:sz w:val="24"/>
          <w:szCs w:val="24"/>
        </w:rPr>
        <w:t>网络测试</w:t>
      </w:r>
      <w:r>
        <w:rPr>
          <w:sz w:val="24"/>
          <w:szCs w:val="24"/>
        </w:rPr>
        <w:t>：使用网络测试工具检测传输链路的带宽、丢包率、延迟等指标，确保满足</w:t>
      </w:r>
      <w:r>
        <w:rPr>
          <w:rFonts w:hint="eastAsia"/>
          <w:sz w:val="24"/>
          <w:szCs w:val="24"/>
          <w:lang w:eastAsia="zh-CN"/>
        </w:rPr>
        <w:t>在线云存储平台</w:t>
      </w:r>
      <w:r>
        <w:rPr>
          <w:sz w:val="24"/>
          <w:szCs w:val="24"/>
        </w:rPr>
        <w:t>视频传输需求，若存在网络瓶颈，及时优化布线或升级设备。</w:t>
      </w:r>
    </w:p>
    <w:p>
      <w:pPr>
        <w:pStyle w:val="5"/>
        <w:spacing w:line="360" w:lineRule="auto"/>
        <w:rPr>
          <w:sz w:val="36"/>
        </w:rPr>
      </w:pPr>
      <w:r>
        <w:rPr>
          <w:rFonts w:hint="eastAsia"/>
          <w:sz w:val="36"/>
        </w:rPr>
        <w:t>七</w:t>
      </w:r>
      <w:r>
        <w:rPr>
          <w:sz w:val="36"/>
        </w:rPr>
        <w:t>、系统维护与升级</w:t>
      </w:r>
    </w:p>
    <w:p>
      <w:pPr>
        <w:pStyle w:val="6"/>
        <w:spacing w:line="360" w:lineRule="auto"/>
        <w:rPr>
          <w:sz w:val="32"/>
          <w:szCs w:val="32"/>
        </w:rPr>
      </w:pPr>
      <w:r>
        <w:rPr>
          <w:sz w:val="32"/>
          <w:szCs w:val="32"/>
        </w:rPr>
        <w:t>7.1 设备定期巡检</w:t>
      </w:r>
    </w:p>
    <w:p>
      <w:pPr>
        <w:pStyle w:val="21"/>
        <w:spacing w:line="360" w:lineRule="auto"/>
        <w:rPr>
          <w:sz w:val="24"/>
          <w:szCs w:val="24"/>
        </w:rPr>
      </w:pPr>
      <w:r>
        <w:rPr>
          <w:sz w:val="24"/>
          <w:szCs w:val="24"/>
        </w:rPr>
        <w:t>建立月度设备巡检制度，检查摄像头图像质量、镜头清洁度、立杆与支架稳定性；检查交换机、光纤收发器等传输设备的运行状态，查看指示灯是否正常，有无过热、异响等情况；检查防水箱密封性能，避免设备受潮损坏。</w:t>
      </w:r>
    </w:p>
    <w:p>
      <w:pPr>
        <w:pStyle w:val="6"/>
        <w:spacing w:line="360" w:lineRule="auto"/>
        <w:rPr>
          <w:sz w:val="32"/>
          <w:szCs w:val="32"/>
        </w:rPr>
      </w:pPr>
      <w:r>
        <w:rPr>
          <w:sz w:val="32"/>
          <w:szCs w:val="32"/>
        </w:rPr>
        <w:t>7.2 平台运维</w:t>
      </w:r>
    </w:p>
    <w:p>
      <w:pPr>
        <w:pStyle w:val="21"/>
        <w:spacing w:line="360" w:lineRule="auto"/>
        <w:rPr>
          <w:sz w:val="24"/>
          <w:szCs w:val="24"/>
        </w:rPr>
      </w:pPr>
      <w:r>
        <w:rPr>
          <w:sz w:val="24"/>
          <w:szCs w:val="24"/>
        </w:rPr>
        <w:t>安排专人负责</w:t>
      </w:r>
      <w:r>
        <w:rPr>
          <w:rFonts w:hint="eastAsia"/>
          <w:sz w:val="24"/>
          <w:szCs w:val="24"/>
          <w:lang w:eastAsia="zh-CN"/>
        </w:rPr>
        <w:t>在线云存储平台</w:t>
      </w:r>
      <w:r>
        <w:rPr>
          <w:sz w:val="24"/>
          <w:szCs w:val="24"/>
        </w:rPr>
        <w:t>的日常运维，关注平台运行状态，及时处理设备离线、视频卡顿等故障。</w:t>
      </w:r>
    </w:p>
    <w:p>
      <w:pPr>
        <w:pStyle w:val="6"/>
        <w:spacing w:line="360" w:lineRule="auto"/>
        <w:rPr>
          <w:sz w:val="32"/>
          <w:szCs w:val="32"/>
        </w:rPr>
      </w:pPr>
      <w:r>
        <w:rPr>
          <w:sz w:val="32"/>
          <w:szCs w:val="32"/>
        </w:rPr>
        <w:t>7.3 数据安全管理</w:t>
      </w:r>
    </w:p>
    <w:p>
      <w:pPr>
        <w:pStyle w:val="21"/>
        <w:spacing w:line="360" w:lineRule="auto"/>
        <w:rPr>
          <w:sz w:val="24"/>
          <w:szCs w:val="24"/>
        </w:rPr>
      </w:pPr>
      <w:r>
        <w:rPr>
          <w:sz w:val="24"/>
          <w:szCs w:val="24"/>
        </w:rPr>
        <w:t>定期检查</w:t>
      </w:r>
      <w:r>
        <w:rPr>
          <w:rFonts w:hint="eastAsia"/>
          <w:sz w:val="24"/>
          <w:szCs w:val="24"/>
          <w:lang w:eastAsia="zh-CN"/>
        </w:rPr>
        <w:t>在线云存储平台</w:t>
      </w:r>
      <w:r>
        <w:rPr>
          <w:sz w:val="24"/>
          <w:szCs w:val="24"/>
        </w:rPr>
        <w:t>数据加密与备份情况，确保监控数据不被泄露与丢失；严格管理用户账号与密码，定期更换密码，禁止账号共用；配合公安部门做好 “雪亮工程” 平台数据传输的安全防护，防止数据在传输过程中被篡改。</w:t>
      </w:r>
    </w:p>
    <w:p>
      <w:pPr>
        <w:pStyle w:val="6"/>
        <w:spacing w:line="360" w:lineRule="auto"/>
        <w:rPr>
          <w:sz w:val="32"/>
          <w:szCs w:val="32"/>
        </w:rPr>
      </w:pPr>
      <w:r>
        <w:rPr>
          <w:sz w:val="32"/>
          <w:szCs w:val="32"/>
        </w:rPr>
        <w:t>7.4 系统升级与扩展</w:t>
      </w:r>
    </w:p>
    <w:p>
      <w:pPr>
        <w:pStyle w:val="21"/>
        <w:spacing w:line="360" w:lineRule="auto"/>
        <w:rPr>
          <w:sz w:val="24"/>
          <w:szCs w:val="24"/>
        </w:rPr>
      </w:pPr>
      <w:r>
        <w:rPr>
          <w:sz w:val="24"/>
          <w:szCs w:val="24"/>
        </w:rPr>
        <w:t>根据陵园管理需求与 “雪亮工程” 建设升级要求，可在</w:t>
      </w:r>
      <w:r>
        <w:rPr>
          <w:rFonts w:hint="eastAsia"/>
          <w:sz w:val="24"/>
          <w:szCs w:val="24"/>
          <w:lang w:eastAsia="zh-CN"/>
        </w:rPr>
        <w:t>在线云存储平台</w:t>
      </w:r>
      <w:r>
        <w:rPr>
          <w:sz w:val="24"/>
          <w:szCs w:val="24"/>
        </w:rPr>
        <w:t>新增人脸识别、车牌识别等智能分析功能；若后续新增公墓监控需求，可直接在</w:t>
      </w:r>
      <w:r>
        <w:rPr>
          <w:rFonts w:hint="eastAsia"/>
          <w:sz w:val="24"/>
          <w:szCs w:val="24"/>
          <w:lang w:eastAsia="zh-CN"/>
        </w:rPr>
        <w:t>在线云存储平台</w:t>
      </w:r>
      <w:r>
        <w:rPr>
          <w:sz w:val="24"/>
          <w:szCs w:val="24"/>
        </w:rPr>
        <w:t>添加设备，扩展监控范围，无需大规模改造现有系统。</w:t>
      </w:r>
    </w:p>
    <w:p>
      <w:pPr>
        <w:pStyle w:val="6"/>
        <w:spacing w:line="360" w:lineRule="auto"/>
        <w:rPr>
          <w:sz w:val="32"/>
          <w:szCs w:val="32"/>
        </w:rPr>
      </w:pPr>
      <w:r>
        <w:rPr>
          <w:sz w:val="32"/>
          <w:szCs w:val="32"/>
        </w:rPr>
        <w:t>7.5 应急保障</w:t>
      </w:r>
    </w:p>
    <w:p>
      <w:pPr>
        <w:pStyle w:val="21"/>
        <w:spacing w:line="360" w:lineRule="auto"/>
        <w:rPr>
          <w:sz w:val="24"/>
          <w:szCs w:val="24"/>
        </w:rPr>
      </w:pPr>
      <w:r>
        <w:rPr>
          <w:sz w:val="24"/>
          <w:szCs w:val="24"/>
        </w:rPr>
        <w:t>制定系统故障应急预案，当</w:t>
      </w:r>
      <w:r>
        <w:rPr>
          <w:rFonts w:hint="eastAsia"/>
          <w:sz w:val="24"/>
          <w:szCs w:val="24"/>
          <w:lang w:eastAsia="zh-CN"/>
        </w:rPr>
        <w:t>在线云存储平台</w:t>
      </w:r>
      <w:r>
        <w:rPr>
          <w:sz w:val="24"/>
          <w:szCs w:val="24"/>
        </w:rPr>
        <w:t>或传输设备出现故障时，立即启动人工巡逻机制，同时联系技术人员，及时排查故障，恢复系统运行，减少故障对公墓安全管理的影响。</w:t>
      </w:r>
    </w:p>
    <w:p>
      <w:pPr>
        <w:widowControl/>
        <w:jc w:val="left"/>
        <w:rPr>
          <w:rFonts w:ascii="Arial" w:hAnsi="Arial" w:eastAsia="等线" w:cs="Arial"/>
          <w:sz w:val="24"/>
          <w:szCs w:val="24"/>
        </w:rPr>
      </w:pPr>
      <w:r>
        <w:rPr>
          <w:sz w:val="24"/>
          <w:szCs w:val="24"/>
        </w:rPr>
        <w:br w:type="page"/>
      </w:r>
    </w:p>
    <w:p>
      <w:pPr>
        <w:pStyle w:val="5"/>
        <w:spacing w:line="360" w:lineRule="auto"/>
        <w:rPr>
          <w:sz w:val="36"/>
        </w:rPr>
      </w:pPr>
      <w:r>
        <w:rPr>
          <w:rFonts w:hint="eastAsia"/>
          <w:sz w:val="36"/>
        </w:rPr>
        <w:t>八、建设清单</w:t>
      </w:r>
    </w:p>
    <w:tbl>
      <w:tblPr>
        <w:tblStyle w:val="14"/>
        <w:tblW w:w="6159" w:type="dxa"/>
        <w:jc w:val="center"/>
        <w:tblLayout w:type="autofit"/>
        <w:tblCellMar>
          <w:top w:w="0" w:type="dxa"/>
          <w:left w:w="108" w:type="dxa"/>
          <w:bottom w:w="0" w:type="dxa"/>
          <w:right w:w="108" w:type="dxa"/>
        </w:tblCellMar>
      </w:tblPr>
      <w:tblGrid>
        <w:gridCol w:w="989"/>
        <w:gridCol w:w="2504"/>
        <w:gridCol w:w="1232"/>
        <w:gridCol w:w="1434"/>
      </w:tblGrid>
      <w:tr>
        <w:tblPrEx>
          <w:tblCellMar>
            <w:top w:w="0" w:type="dxa"/>
            <w:left w:w="108" w:type="dxa"/>
            <w:bottom w:w="0" w:type="dxa"/>
            <w:right w:w="108" w:type="dxa"/>
          </w:tblCellMar>
        </w:tblPrEx>
        <w:trPr>
          <w:trHeight w:val="390" w:hRule="atLeast"/>
          <w:jc w:val="center"/>
        </w:trPr>
        <w:tc>
          <w:tcPr>
            <w:tcW w:w="6159" w:type="dxa"/>
            <w:gridSpan w:val="4"/>
            <w:tcBorders>
              <w:top w:val="single" w:color="auto" w:sz="4" w:space="0"/>
              <w:left w:val="single" w:color="auto" w:sz="4" w:space="0"/>
              <w:bottom w:val="single" w:color="auto" w:sz="4" w:space="0"/>
              <w:right w:val="single" w:color="auto" w:sz="4" w:space="0"/>
            </w:tcBorders>
            <w:noWrap/>
            <w:vAlign w:val="center"/>
          </w:tcPr>
          <w:p>
            <w:pPr>
              <w:widowControl/>
              <w:jc w:val="center"/>
              <w:rPr>
                <w:rFonts w:hint="default" w:ascii="宋体" w:hAnsi="宋体" w:eastAsia="宋体" w:cs="宋体"/>
                <w:b/>
                <w:bCs/>
                <w:color w:val="000000"/>
                <w:sz w:val="24"/>
                <w:szCs w:val="24"/>
                <w:lang w:val="en-US" w:eastAsia="zh-CN"/>
              </w:rPr>
            </w:pPr>
            <w:r>
              <w:rPr>
                <w:rFonts w:hint="eastAsia" w:ascii="宋体" w:hAnsi="宋体" w:eastAsia="宋体" w:cs="宋体"/>
                <w:b/>
                <w:bCs/>
                <w:color w:val="000000"/>
                <w:sz w:val="24"/>
                <w:szCs w:val="24"/>
                <w:lang w:val="en-US" w:eastAsia="zh-CN"/>
              </w:rPr>
              <w:t>长古公墓</w:t>
            </w:r>
          </w:p>
        </w:tc>
      </w:tr>
      <w:tr>
        <w:tblPrEx>
          <w:tblCellMar>
            <w:top w:w="0" w:type="dxa"/>
            <w:left w:w="108" w:type="dxa"/>
            <w:bottom w:w="0" w:type="dxa"/>
            <w:right w:w="108" w:type="dxa"/>
          </w:tblCellMar>
        </w:tblPrEx>
        <w:trPr>
          <w:trHeight w:val="390" w:hRule="atLeast"/>
          <w:jc w:val="center"/>
        </w:trPr>
        <w:tc>
          <w:tcPr>
            <w:tcW w:w="989" w:type="dxa"/>
            <w:tcBorders>
              <w:top w:val="single" w:color="auto" w:sz="4" w:space="0"/>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b/>
                <w:bCs/>
                <w:color w:val="000000"/>
                <w:sz w:val="24"/>
                <w:szCs w:val="24"/>
                <w:lang w:val="en-US" w:eastAsia="zh-CN" w:bidi="ar-SA"/>
              </w:rPr>
            </w:pPr>
            <w:r>
              <w:rPr>
                <w:rFonts w:hint="eastAsia" w:ascii="宋体" w:hAnsi="宋体" w:eastAsia="宋体" w:cs="宋体"/>
                <w:b/>
                <w:bCs/>
                <w:color w:val="000000"/>
                <w:sz w:val="24"/>
                <w:szCs w:val="24"/>
              </w:rPr>
              <w:t>序号</w:t>
            </w:r>
          </w:p>
        </w:tc>
        <w:tc>
          <w:tcPr>
            <w:tcW w:w="2504" w:type="dxa"/>
            <w:tcBorders>
              <w:top w:val="single" w:color="auto" w:sz="4" w:space="0"/>
              <w:left w:val="nil"/>
              <w:bottom w:val="single" w:color="auto" w:sz="4" w:space="0"/>
              <w:right w:val="single" w:color="auto" w:sz="4" w:space="0"/>
            </w:tcBorders>
            <w:noWrap/>
            <w:vAlign w:val="center"/>
          </w:tcPr>
          <w:p>
            <w:pPr>
              <w:widowControl/>
              <w:jc w:val="center"/>
              <w:rPr>
                <w:rFonts w:hint="default" w:ascii="宋体" w:hAnsi="宋体" w:eastAsia="宋体" w:cs="宋体"/>
                <w:b/>
                <w:bCs/>
                <w:color w:val="000000"/>
                <w:sz w:val="24"/>
                <w:szCs w:val="24"/>
                <w:lang w:val="en-US" w:eastAsia="zh-CN" w:bidi="ar-SA"/>
              </w:rPr>
            </w:pPr>
            <w:r>
              <w:rPr>
                <w:rFonts w:hint="eastAsia" w:ascii="宋体" w:hAnsi="宋体" w:eastAsia="宋体" w:cs="宋体"/>
                <w:b/>
                <w:bCs/>
                <w:color w:val="000000"/>
                <w:sz w:val="24"/>
                <w:szCs w:val="24"/>
              </w:rPr>
              <w:t>名称</w:t>
            </w:r>
          </w:p>
        </w:tc>
        <w:tc>
          <w:tcPr>
            <w:tcW w:w="1232" w:type="dxa"/>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eastAsia="宋体" w:cs="宋体"/>
                <w:b/>
                <w:bCs/>
                <w:color w:val="000000"/>
                <w:sz w:val="24"/>
                <w:szCs w:val="24"/>
                <w:lang w:val="en-US" w:eastAsia="zh-CN" w:bidi="ar-SA"/>
              </w:rPr>
            </w:pPr>
            <w:r>
              <w:rPr>
                <w:rFonts w:hint="eastAsia" w:ascii="宋体" w:hAnsi="宋体" w:eastAsia="宋体" w:cs="宋体"/>
                <w:b/>
                <w:bCs/>
                <w:color w:val="000000"/>
                <w:sz w:val="24"/>
                <w:szCs w:val="24"/>
              </w:rPr>
              <w:t>数量</w:t>
            </w:r>
          </w:p>
        </w:tc>
        <w:tc>
          <w:tcPr>
            <w:tcW w:w="1434" w:type="dxa"/>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eastAsia="宋体" w:cs="宋体"/>
                <w:b/>
                <w:bCs/>
                <w:color w:val="000000"/>
                <w:sz w:val="24"/>
                <w:szCs w:val="24"/>
                <w:lang w:val="en-US" w:eastAsia="zh-CN" w:bidi="ar-SA"/>
              </w:rPr>
            </w:pPr>
            <w:r>
              <w:rPr>
                <w:rFonts w:hint="eastAsia" w:ascii="宋体" w:hAnsi="宋体" w:eastAsia="宋体" w:cs="宋体"/>
                <w:b/>
                <w:bCs/>
                <w:color w:val="000000"/>
                <w:sz w:val="24"/>
                <w:szCs w:val="24"/>
              </w:rPr>
              <w:t>单位</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lang w:val="en-US" w:eastAsia="zh-CN"/>
              </w:rPr>
              <w:t>监控服务</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24</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台/3年</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2</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16口POE交换机</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2</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台</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3</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8口POE交换机</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10</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台</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4</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光纤收发器</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10</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对</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5</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弱电箱</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10</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个</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6</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室外网线</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6</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箱</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7</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光缆</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1100</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米</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8</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电源线</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1100</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米</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9</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PE管</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1100</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米</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10</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监控立杆3.5</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13</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根</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11</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道路开挖和恢复</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1100</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米</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12</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互联网专线</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条</w:t>
            </w:r>
          </w:p>
        </w:tc>
      </w:tr>
      <w:tr>
        <w:tblPrEx>
          <w:tblCellMar>
            <w:top w:w="0" w:type="dxa"/>
            <w:left w:w="108" w:type="dxa"/>
            <w:bottom w:w="0" w:type="dxa"/>
            <w:right w:w="108" w:type="dxa"/>
          </w:tblCellMar>
        </w:tblPrEx>
        <w:trPr>
          <w:trHeight w:val="390" w:hRule="atLeast"/>
          <w:jc w:val="center"/>
        </w:trPr>
        <w:tc>
          <w:tcPr>
            <w:tcW w:w="6159" w:type="dxa"/>
            <w:gridSpan w:val="4"/>
            <w:tcBorders>
              <w:top w:val="nil"/>
              <w:left w:val="single" w:color="auto" w:sz="4" w:space="0"/>
              <w:bottom w:val="single" w:color="auto" w:sz="4" w:space="0"/>
              <w:right w:val="single" w:color="auto" w:sz="4" w:space="0"/>
            </w:tcBorders>
            <w:noWrap/>
            <w:vAlign w:val="center"/>
          </w:tcPr>
          <w:p>
            <w:pPr>
              <w:widowControl/>
              <w:jc w:val="center"/>
              <w:rPr>
                <w:rFonts w:hint="default" w:ascii="宋体" w:hAnsi="宋体" w:eastAsia="宋体" w:cs="宋体"/>
                <w:color w:val="000000"/>
                <w:sz w:val="22"/>
                <w:szCs w:val="22"/>
                <w:lang w:val="en-US" w:eastAsia="zh-CN"/>
              </w:rPr>
            </w:pPr>
            <w:r>
              <w:rPr>
                <w:rFonts w:hint="eastAsia" w:ascii="宋体" w:hAnsi="宋体" w:eastAsia="宋体" w:cs="宋体"/>
                <w:color w:val="000000"/>
                <w:sz w:val="22"/>
                <w:szCs w:val="22"/>
                <w:lang w:val="en-US" w:eastAsia="zh-CN"/>
              </w:rPr>
              <w:t>翡翠公墓</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lang w:val="en-US" w:eastAsia="zh-CN"/>
              </w:rPr>
              <w:t>监控服务</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16</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台/3年</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2</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16口P0E交换机</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台</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3</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8口POE交换机</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8</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台</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4</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光纤收发器</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8</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对</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5</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弱电箱</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8</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个</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6</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室外网线</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3</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箱</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7</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光缆</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1000</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米</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8</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电源线</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1000</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米</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9</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PE管</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1000</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米</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10</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监控立杆3.5</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8</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根</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11</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道路开挖和恢复</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1000</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米</w:t>
            </w:r>
          </w:p>
        </w:tc>
      </w:tr>
      <w:tr>
        <w:tblPrEx>
          <w:tblCellMar>
            <w:top w:w="0" w:type="dxa"/>
            <w:left w:w="108" w:type="dxa"/>
            <w:bottom w:w="0" w:type="dxa"/>
            <w:right w:w="108" w:type="dxa"/>
          </w:tblCellMar>
        </w:tblPrEx>
        <w:trPr>
          <w:trHeight w:val="390" w:hRule="atLeast"/>
          <w:jc w:val="center"/>
        </w:trPr>
        <w:tc>
          <w:tcPr>
            <w:tcW w:w="989" w:type="dxa"/>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12</w:t>
            </w:r>
          </w:p>
        </w:tc>
        <w:tc>
          <w:tcPr>
            <w:tcW w:w="250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互联网专线</w:t>
            </w:r>
          </w:p>
        </w:tc>
        <w:tc>
          <w:tcPr>
            <w:tcW w:w="1232"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1</w:t>
            </w:r>
          </w:p>
        </w:tc>
        <w:tc>
          <w:tcPr>
            <w:tcW w:w="1434" w:type="dxa"/>
            <w:tcBorders>
              <w:top w:val="nil"/>
              <w:left w:val="nil"/>
              <w:bottom w:val="single" w:color="auto" w:sz="4" w:space="0"/>
              <w:right w:val="single" w:color="auto" w:sz="4" w:space="0"/>
            </w:tcBorders>
            <w:noWrap/>
            <w:vAlign w:val="center"/>
          </w:tcPr>
          <w:p>
            <w:pPr>
              <w:widowControl/>
              <w:jc w:val="center"/>
              <w:rPr>
                <w:rFonts w:hint="eastAsia" w:ascii="宋体" w:hAnsi="宋体" w:eastAsia="宋体" w:cs="宋体"/>
                <w:color w:val="000000"/>
                <w:sz w:val="22"/>
                <w:szCs w:val="22"/>
                <w:lang w:val="en-US" w:eastAsia="zh-CN" w:bidi="ar-SA"/>
              </w:rPr>
            </w:pPr>
            <w:r>
              <w:rPr>
                <w:rFonts w:hint="eastAsia" w:ascii="宋体" w:hAnsi="宋体" w:eastAsia="宋体" w:cs="宋体"/>
                <w:color w:val="000000"/>
                <w:sz w:val="22"/>
                <w:szCs w:val="22"/>
              </w:rPr>
              <w:t>条/3年</w:t>
            </w:r>
          </w:p>
        </w:tc>
      </w:tr>
    </w:tbl>
    <w:p>
      <w:pPr>
        <w:pStyle w:val="21"/>
        <w:spacing w:line="360" w:lineRule="auto"/>
        <w:rPr>
          <w:rFonts w:hint="eastAsia"/>
          <w:sz w:val="24"/>
          <w:szCs w:val="24"/>
        </w:rPr>
      </w:pPr>
    </w:p>
    <w:sectPr>
      <w:pgSz w:w="11906" w:h="16838"/>
      <w:pgMar w:top="1440" w:right="1440" w:bottom="1440" w:left="1440" w:header="708" w:footer="708"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64E37E6"/>
    <w:multiLevelType w:val="multilevel"/>
    <w:tmpl w:val="264E37E6"/>
    <w:lvl w:ilvl="0" w:tentative="0">
      <w:start w:val="1"/>
      <w:numFmt w:val="decimal"/>
      <w:lvlText w:val="%1."/>
      <w:lvlJc w:val="left"/>
      <w:pPr>
        <w:tabs>
          <w:tab w:val="left" w:pos="720"/>
        </w:tabs>
        <w:ind w:left="720" w:hanging="720"/>
      </w:pPr>
    </w:lvl>
    <w:lvl w:ilvl="1" w:tentative="0">
      <w:start w:val="1"/>
      <w:numFmt w:val="decimal"/>
      <w:lvlText w:val="%2."/>
      <w:lvlJc w:val="left"/>
      <w:pPr>
        <w:tabs>
          <w:tab w:val="left" w:pos="1440"/>
        </w:tabs>
        <w:ind w:left="1440" w:hanging="720"/>
      </w:pPr>
    </w:lvl>
    <w:lvl w:ilvl="2" w:tentative="0">
      <w:start w:val="1"/>
      <w:numFmt w:val="decimal"/>
      <w:lvlText w:val="%3."/>
      <w:lvlJc w:val="left"/>
      <w:pPr>
        <w:tabs>
          <w:tab w:val="left" w:pos="2160"/>
        </w:tabs>
        <w:ind w:left="2160" w:hanging="720"/>
      </w:pPr>
    </w:lvl>
    <w:lvl w:ilvl="3" w:tentative="0">
      <w:start w:val="1"/>
      <w:numFmt w:val="decimal"/>
      <w:lvlText w:val="%4."/>
      <w:lvlJc w:val="left"/>
      <w:pPr>
        <w:tabs>
          <w:tab w:val="left" w:pos="2880"/>
        </w:tabs>
        <w:ind w:left="2880" w:hanging="720"/>
      </w:pPr>
    </w:lvl>
    <w:lvl w:ilvl="4" w:tentative="0">
      <w:start w:val="1"/>
      <w:numFmt w:val="decimal"/>
      <w:lvlText w:val="%5."/>
      <w:lvlJc w:val="left"/>
      <w:pPr>
        <w:tabs>
          <w:tab w:val="left" w:pos="3600"/>
        </w:tabs>
        <w:ind w:left="3600" w:hanging="720"/>
      </w:pPr>
    </w:lvl>
    <w:lvl w:ilvl="5" w:tentative="0">
      <w:start w:val="1"/>
      <w:numFmt w:val="decimal"/>
      <w:lvlText w:val="%6."/>
      <w:lvlJc w:val="left"/>
      <w:pPr>
        <w:tabs>
          <w:tab w:val="left" w:pos="4320"/>
        </w:tabs>
        <w:ind w:left="4320" w:hanging="720"/>
      </w:pPr>
    </w:lvl>
    <w:lvl w:ilvl="6" w:tentative="0">
      <w:start w:val="1"/>
      <w:numFmt w:val="decimal"/>
      <w:lvlText w:val="%7."/>
      <w:lvlJc w:val="left"/>
      <w:pPr>
        <w:tabs>
          <w:tab w:val="left" w:pos="5040"/>
        </w:tabs>
        <w:ind w:left="5040" w:hanging="720"/>
      </w:pPr>
    </w:lvl>
    <w:lvl w:ilvl="7" w:tentative="0">
      <w:start w:val="1"/>
      <w:numFmt w:val="decimal"/>
      <w:lvlText w:val="%8."/>
      <w:lvlJc w:val="left"/>
      <w:pPr>
        <w:tabs>
          <w:tab w:val="left" w:pos="5760"/>
        </w:tabs>
        <w:ind w:left="5760" w:hanging="720"/>
      </w:pPr>
    </w:lvl>
    <w:lvl w:ilvl="8" w:tentative="0">
      <w:start w:val="1"/>
      <w:numFmt w:val="decimal"/>
      <w:lvlText w:val="%9."/>
      <w:lvlJc w:val="left"/>
      <w:pPr>
        <w:tabs>
          <w:tab w:val="left" w:pos="6480"/>
        </w:tabs>
        <w:ind w:left="6480" w:hanging="720"/>
      </w:pPr>
    </w:lvl>
  </w:abstractNum>
  <w:abstractNum w:abstractNumId="1">
    <w:nsid w:val="6DBD339C"/>
    <w:multiLevelType w:val="multilevel"/>
    <w:tmpl w:val="6DBD339C"/>
    <w:lvl w:ilvl="0" w:tentative="0">
      <w:start w:val="1"/>
      <w:numFmt w:val="decimal"/>
      <w:lvlText w:val="%1."/>
      <w:lvlJc w:val="left"/>
      <w:pPr>
        <w:tabs>
          <w:tab w:val="left" w:pos="720"/>
        </w:tabs>
        <w:ind w:left="720" w:hanging="720"/>
      </w:pPr>
    </w:lvl>
    <w:lvl w:ilvl="1" w:tentative="0">
      <w:start w:val="1"/>
      <w:numFmt w:val="decimal"/>
      <w:lvlText w:val="%2."/>
      <w:lvlJc w:val="left"/>
      <w:pPr>
        <w:tabs>
          <w:tab w:val="left" w:pos="1440"/>
        </w:tabs>
        <w:ind w:left="1440" w:hanging="720"/>
      </w:pPr>
    </w:lvl>
    <w:lvl w:ilvl="2" w:tentative="0">
      <w:start w:val="1"/>
      <w:numFmt w:val="decimal"/>
      <w:lvlText w:val="%3."/>
      <w:lvlJc w:val="left"/>
      <w:pPr>
        <w:tabs>
          <w:tab w:val="left" w:pos="2160"/>
        </w:tabs>
        <w:ind w:left="2160" w:hanging="720"/>
      </w:pPr>
    </w:lvl>
    <w:lvl w:ilvl="3" w:tentative="0">
      <w:start w:val="1"/>
      <w:numFmt w:val="decimal"/>
      <w:lvlText w:val="%4."/>
      <w:lvlJc w:val="left"/>
      <w:pPr>
        <w:tabs>
          <w:tab w:val="left" w:pos="2880"/>
        </w:tabs>
        <w:ind w:left="2880" w:hanging="720"/>
      </w:pPr>
    </w:lvl>
    <w:lvl w:ilvl="4" w:tentative="0">
      <w:start w:val="1"/>
      <w:numFmt w:val="decimal"/>
      <w:lvlText w:val="%5."/>
      <w:lvlJc w:val="left"/>
      <w:pPr>
        <w:tabs>
          <w:tab w:val="left" w:pos="3600"/>
        </w:tabs>
        <w:ind w:left="3600" w:hanging="720"/>
      </w:pPr>
    </w:lvl>
    <w:lvl w:ilvl="5" w:tentative="0">
      <w:start w:val="1"/>
      <w:numFmt w:val="decimal"/>
      <w:lvlText w:val="%6."/>
      <w:lvlJc w:val="left"/>
      <w:pPr>
        <w:tabs>
          <w:tab w:val="left" w:pos="4320"/>
        </w:tabs>
        <w:ind w:left="4320" w:hanging="720"/>
      </w:pPr>
    </w:lvl>
    <w:lvl w:ilvl="6" w:tentative="0">
      <w:start w:val="1"/>
      <w:numFmt w:val="decimal"/>
      <w:lvlText w:val="%7."/>
      <w:lvlJc w:val="left"/>
      <w:pPr>
        <w:tabs>
          <w:tab w:val="left" w:pos="5040"/>
        </w:tabs>
        <w:ind w:left="5040" w:hanging="720"/>
      </w:pPr>
    </w:lvl>
    <w:lvl w:ilvl="7" w:tentative="0">
      <w:start w:val="1"/>
      <w:numFmt w:val="decimal"/>
      <w:lvlText w:val="%8."/>
      <w:lvlJc w:val="left"/>
      <w:pPr>
        <w:tabs>
          <w:tab w:val="left" w:pos="5760"/>
        </w:tabs>
        <w:ind w:left="5760" w:hanging="720"/>
      </w:pPr>
    </w:lvl>
    <w:lvl w:ilvl="8" w:tentative="0">
      <w:start w:val="1"/>
      <w:numFmt w:val="decimal"/>
      <w:lvlText w:val="%9."/>
      <w:lvlJc w:val="left"/>
      <w:pPr>
        <w:tabs>
          <w:tab w:val="left"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doNotDisplayPageBoundaries w:val="1"/>
  <w:displayBackgroundShape w:val="1"/>
  <w:bordersDoNotSurroundHeader w:val="1"/>
  <w:bordersDoNotSurroundFooter w:val="1"/>
  <w:documentProtection w:enforcement="0"/>
  <w:defaultTabStop w:val="420"/>
  <w:noPunctuationKerning w:val="1"/>
  <w:characterSpacingControl w:val="doNotCompress"/>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87B12"/>
    <w:rsid w:val="000F6B2E"/>
    <w:rsid w:val="00114B62"/>
    <w:rsid w:val="001C5AB5"/>
    <w:rsid w:val="00203C6C"/>
    <w:rsid w:val="00205ADF"/>
    <w:rsid w:val="00423EC7"/>
    <w:rsid w:val="00454CA9"/>
    <w:rsid w:val="00510E16"/>
    <w:rsid w:val="00587B12"/>
    <w:rsid w:val="006172A0"/>
    <w:rsid w:val="00635781"/>
    <w:rsid w:val="006C6C86"/>
    <w:rsid w:val="00716F58"/>
    <w:rsid w:val="00784509"/>
    <w:rsid w:val="00883FCC"/>
    <w:rsid w:val="00982176"/>
    <w:rsid w:val="009D0498"/>
    <w:rsid w:val="009F7C56"/>
    <w:rsid w:val="00B32491"/>
    <w:rsid w:val="00C94ED2"/>
    <w:rsid w:val="00CE72DF"/>
    <w:rsid w:val="00D441DA"/>
    <w:rsid w:val="00E44133"/>
    <w:rsid w:val="00F91B7C"/>
    <w:rsid w:val="0F9E17AE"/>
    <w:rsid w:val="502D4E93"/>
    <w:rsid w:val="73DE2DBE"/>
    <w:rsid w:val="74DE171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uiPriority="99" w:name="Body Text"/>
    <w:lsdException w:qFormat="1"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cs="Times New Roman" w:eastAsiaTheme="minorEastAsia"/>
      <w:lang w:val="en-US" w:eastAsia="zh-CN" w:bidi="ar-SA"/>
    </w:rPr>
  </w:style>
  <w:style w:type="paragraph" w:styleId="4">
    <w:name w:val="heading 1"/>
    <w:next w:val="1"/>
    <w:qFormat/>
    <w:uiPriority w:val="0"/>
    <w:pPr>
      <w:spacing w:before="380" w:after="140" w:line="288" w:lineRule="auto"/>
      <w:outlineLvl w:val="0"/>
    </w:pPr>
    <w:rPr>
      <w:rFonts w:ascii="Arial" w:hAnsi="Arial" w:eastAsia="等线" w:cs="Arial"/>
      <w:b/>
      <w:bCs/>
      <w:sz w:val="36"/>
      <w:szCs w:val="36"/>
      <w:lang w:val="en-US" w:eastAsia="zh-CN" w:bidi="ar-SA"/>
    </w:rPr>
  </w:style>
  <w:style w:type="paragraph" w:styleId="5">
    <w:name w:val="heading 2"/>
    <w:next w:val="1"/>
    <w:qFormat/>
    <w:uiPriority w:val="0"/>
    <w:pPr>
      <w:spacing w:before="320" w:after="120" w:line="288" w:lineRule="auto"/>
      <w:outlineLvl w:val="1"/>
    </w:pPr>
    <w:rPr>
      <w:rFonts w:ascii="Arial" w:hAnsi="Arial" w:eastAsia="等线" w:cs="Arial"/>
      <w:b/>
      <w:bCs/>
      <w:sz w:val="32"/>
      <w:szCs w:val="32"/>
      <w:lang w:val="en-US" w:eastAsia="zh-CN" w:bidi="ar-SA"/>
    </w:rPr>
  </w:style>
  <w:style w:type="paragraph" w:styleId="6">
    <w:name w:val="heading 3"/>
    <w:next w:val="1"/>
    <w:qFormat/>
    <w:uiPriority w:val="9"/>
    <w:pPr>
      <w:spacing w:before="300" w:after="120" w:line="288" w:lineRule="auto"/>
      <w:outlineLvl w:val="2"/>
    </w:pPr>
    <w:rPr>
      <w:rFonts w:ascii="Arial" w:hAnsi="Arial" w:eastAsia="等线" w:cs="Arial"/>
      <w:b/>
      <w:bCs/>
      <w:sz w:val="30"/>
      <w:szCs w:val="30"/>
      <w:lang w:val="en-US" w:eastAsia="zh-CN" w:bidi="ar-SA"/>
    </w:rPr>
  </w:style>
  <w:style w:type="paragraph" w:styleId="7">
    <w:name w:val="heading 4"/>
    <w:next w:val="1"/>
    <w:qFormat/>
    <w:uiPriority w:val="0"/>
    <w:pPr>
      <w:spacing w:before="260" w:after="120" w:line="288" w:lineRule="auto"/>
      <w:outlineLvl w:val="3"/>
    </w:pPr>
    <w:rPr>
      <w:rFonts w:ascii="Arial" w:hAnsi="Arial" w:eastAsia="等线" w:cs="Arial"/>
      <w:b/>
      <w:bCs/>
      <w:sz w:val="28"/>
      <w:szCs w:val="28"/>
      <w:lang w:val="en-US" w:eastAsia="zh-CN" w:bidi="ar-SA"/>
    </w:rPr>
  </w:style>
  <w:style w:type="paragraph" w:styleId="8">
    <w:name w:val="heading 5"/>
    <w:next w:val="1"/>
    <w:qFormat/>
    <w:uiPriority w:val="0"/>
    <w:pPr>
      <w:spacing w:before="240" w:after="120" w:line="288" w:lineRule="auto"/>
      <w:outlineLvl w:val="4"/>
    </w:pPr>
    <w:rPr>
      <w:rFonts w:ascii="Arial" w:hAnsi="Arial" w:eastAsia="等线" w:cs="Arial"/>
      <w:b/>
      <w:bCs/>
      <w:sz w:val="24"/>
      <w:szCs w:val="24"/>
      <w:lang w:val="en-US" w:eastAsia="zh-CN" w:bidi="ar-SA"/>
    </w:rPr>
  </w:style>
  <w:style w:type="paragraph" w:styleId="9">
    <w:name w:val="heading 6"/>
    <w:next w:val="1"/>
    <w:qFormat/>
    <w:uiPriority w:val="0"/>
    <w:pPr>
      <w:spacing w:before="240" w:after="120" w:line="288" w:lineRule="auto"/>
      <w:outlineLvl w:val="5"/>
    </w:pPr>
    <w:rPr>
      <w:rFonts w:ascii="Arial" w:hAnsi="Arial" w:eastAsia="等线" w:cs="Arial"/>
      <w:b/>
      <w:bCs/>
      <w:sz w:val="24"/>
      <w:szCs w:val="24"/>
      <w:lang w:val="en-US" w:eastAsia="zh-CN" w:bidi="ar-SA"/>
    </w:rPr>
  </w:style>
  <w:style w:type="character" w:default="1" w:styleId="15">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semiHidden/>
    <w:unhideWhenUsed/>
    <w:qFormat/>
    <w:uiPriority w:val="99"/>
    <w:pPr>
      <w:ind w:firstLine="420" w:firstLineChars="200"/>
    </w:pPr>
  </w:style>
  <w:style w:type="paragraph" w:styleId="3">
    <w:name w:val="Body Text Indent"/>
    <w:basedOn w:val="1"/>
    <w:semiHidden/>
    <w:unhideWhenUsed/>
    <w:qFormat/>
    <w:uiPriority w:val="99"/>
    <w:pPr>
      <w:spacing w:after="120" w:afterLines="0" w:afterAutospacing="0"/>
      <w:ind w:left="420" w:leftChars="200"/>
    </w:pPr>
  </w:style>
  <w:style w:type="paragraph" w:styleId="10">
    <w:name w:val="footer"/>
    <w:basedOn w:val="1"/>
    <w:link w:val="24"/>
    <w:unhideWhenUsed/>
    <w:qFormat/>
    <w:uiPriority w:val="99"/>
    <w:pPr>
      <w:tabs>
        <w:tab w:val="center" w:pos="4153"/>
        <w:tab w:val="right" w:pos="8306"/>
      </w:tabs>
      <w:snapToGrid w:val="0"/>
      <w:jc w:val="left"/>
    </w:pPr>
    <w:rPr>
      <w:sz w:val="18"/>
      <w:szCs w:val="18"/>
    </w:rPr>
  </w:style>
  <w:style w:type="paragraph" w:styleId="11">
    <w:name w:val="header"/>
    <w:basedOn w:val="1"/>
    <w:link w:val="23"/>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footnote text"/>
    <w:link w:val="20"/>
    <w:semiHidden/>
    <w:unhideWhenUsed/>
    <w:qFormat/>
    <w:uiPriority w:val="99"/>
    <w:rPr>
      <w:rFonts w:ascii="Times New Roman" w:hAnsi="Times New Roman" w:cs="Times New Roman" w:eastAsiaTheme="minorEastAsia"/>
      <w:lang w:val="en-US" w:eastAsia="zh-CN" w:bidi="ar-SA"/>
    </w:rPr>
  </w:style>
  <w:style w:type="paragraph" w:styleId="13">
    <w:name w:val="Title"/>
    <w:qFormat/>
    <w:uiPriority w:val="0"/>
    <w:pPr>
      <w:spacing w:before="480" w:after="480" w:line="288" w:lineRule="auto"/>
    </w:pPr>
    <w:rPr>
      <w:rFonts w:ascii="Arial" w:hAnsi="Arial" w:eastAsia="等线" w:cs="Arial"/>
      <w:b/>
      <w:bCs/>
      <w:sz w:val="52"/>
      <w:szCs w:val="52"/>
      <w:lang w:val="en-US" w:eastAsia="zh-CN" w:bidi="ar-SA"/>
    </w:rPr>
  </w:style>
  <w:style w:type="character" w:styleId="16">
    <w:name w:val="Hyperlink"/>
    <w:unhideWhenUsed/>
    <w:qFormat/>
    <w:uiPriority w:val="99"/>
    <w:rPr>
      <w:color w:val="0563C1"/>
      <w:u w:val="single"/>
    </w:rPr>
  </w:style>
  <w:style w:type="character" w:styleId="17">
    <w:name w:val="footnote reference"/>
    <w:semiHidden/>
    <w:unhideWhenUsed/>
    <w:qFormat/>
    <w:uiPriority w:val="99"/>
    <w:rPr>
      <w:vertAlign w:val="superscript"/>
    </w:rPr>
  </w:style>
  <w:style w:type="paragraph" w:customStyle="1" w:styleId="18">
    <w:name w:val="要点1"/>
    <w:qFormat/>
    <w:uiPriority w:val="0"/>
    <w:rPr>
      <w:rFonts w:ascii="Times New Roman" w:hAnsi="Times New Roman" w:cs="Times New Roman" w:eastAsiaTheme="minorEastAsia"/>
      <w:b/>
      <w:bCs/>
      <w:lang w:val="en-US" w:eastAsia="zh-CN" w:bidi="ar-SA"/>
    </w:rPr>
  </w:style>
  <w:style w:type="paragraph" w:styleId="19">
    <w:name w:val="List Paragraph"/>
    <w:qFormat/>
    <w:uiPriority w:val="0"/>
    <w:rPr>
      <w:rFonts w:ascii="Times New Roman" w:hAnsi="Times New Roman" w:cs="Times New Roman" w:eastAsiaTheme="minorEastAsia"/>
      <w:lang w:val="en-US" w:eastAsia="zh-CN" w:bidi="ar-SA"/>
    </w:rPr>
  </w:style>
  <w:style w:type="character" w:customStyle="1" w:styleId="20">
    <w:name w:val="脚注文本 字符"/>
    <w:link w:val="12"/>
    <w:semiHidden/>
    <w:unhideWhenUsed/>
    <w:uiPriority w:val="99"/>
    <w:rPr>
      <w:sz w:val="20"/>
      <w:szCs w:val="20"/>
    </w:rPr>
  </w:style>
  <w:style w:type="paragraph" w:customStyle="1" w:styleId="21">
    <w:name w:val="2"/>
    <w:qFormat/>
    <w:uiPriority w:val="0"/>
    <w:pPr>
      <w:spacing w:before="120" w:after="120" w:line="288" w:lineRule="auto"/>
    </w:pPr>
    <w:rPr>
      <w:rFonts w:ascii="Arial" w:hAnsi="Arial" w:eastAsia="等线" w:cs="Arial"/>
      <w:sz w:val="22"/>
      <w:szCs w:val="22"/>
      <w:lang w:val="en-US" w:eastAsia="zh-CN" w:bidi="ar-SA"/>
    </w:rPr>
  </w:style>
  <w:style w:type="paragraph" w:customStyle="1" w:styleId="22">
    <w:name w:val="1"/>
    <w:qFormat/>
    <w:uiPriority w:val="0"/>
    <w:pPr>
      <w:spacing w:before="120" w:after="120" w:line="288" w:lineRule="auto"/>
    </w:pPr>
    <w:rPr>
      <w:rFonts w:ascii="Arial" w:hAnsi="Arial" w:eastAsia="等线" w:cs="Arial"/>
      <w:color w:val="8F959E"/>
      <w:sz w:val="22"/>
      <w:szCs w:val="22"/>
      <w:lang w:val="en-US" w:eastAsia="zh-CN" w:bidi="ar-SA"/>
    </w:rPr>
  </w:style>
  <w:style w:type="character" w:customStyle="1" w:styleId="23">
    <w:name w:val="页眉 字符"/>
    <w:basedOn w:val="15"/>
    <w:link w:val="11"/>
    <w:qFormat/>
    <w:uiPriority w:val="99"/>
    <w:rPr>
      <w:sz w:val="18"/>
      <w:szCs w:val="18"/>
    </w:rPr>
  </w:style>
  <w:style w:type="character" w:customStyle="1" w:styleId="24">
    <w:name w:val="页脚 字符"/>
    <w:basedOn w:val="15"/>
    <w:link w:val="10"/>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numbering" Target="numbering.xml"/><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4E2460-438C-4056-A574-5D204477B968}">
  <ds:schemaRefs/>
</ds:datastoreItem>
</file>

<file path=docProps/app.xml><?xml version="1.0" encoding="utf-8"?>
<Properties xmlns="http://schemas.openxmlformats.org/officeDocument/2006/extended-properties" xmlns:vt="http://schemas.openxmlformats.org/officeDocument/2006/docPropsVTypes">
  <Template>Normal.dotm</Template>
  <Pages>10</Pages>
  <Words>4033</Words>
  <Characters>4165</Characters>
  <Lines>165</Lines>
  <Paragraphs>165</Paragraphs>
  <TotalTime>5</TotalTime>
  <ScaleCrop>false</ScaleCrop>
  <LinksUpToDate>false</LinksUpToDate>
  <CharactersWithSpaces>4248</CharactersWithSpaces>
  <Application>WPS Office_11.8.2.12309_F1E327BC-269C-435d-A152-05C5408002CA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2025-09-23T02:08:00Z</dcterms:created>
  <dc:creator>Un-named</dc:creator>
  <cp:lastModifiedBy>张苗苗</cp:lastModifiedBy>
  <cp:lastPrinted>2025-09-23T02:23:00Z</cp:lastPrinted>
  <dcterms:modified xsi:type="dcterms:W3CDTF">2025-10-03T14:55:17Z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eyJoZGlkIjoiOTIxNWI5NTgzNGEzYWFhNWVkNDIxMTA0NWFlOWVhYzkiLCJ1c2VySWQiOiI3NjQyODE1NjcifQ==</vt:lpwstr>
  </property>
  <property fmtid="{D5CDD505-2E9C-101B-9397-08002B2CF9AE}" pid="3" name="KSOProductBuildVer">
    <vt:lpwstr>2052-11.8.2.12309</vt:lpwstr>
  </property>
  <property fmtid="{D5CDD505-2E9C-101B-9397-08002B2CF9AE}" pid="4" name="ICV">
    <vt:lpwstr>8C9271275B6D47B281492E5CD8B617AE_13</vt:lpwstr>
  </property>
</Properties>
</file>