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安徽翀鼎货物运输有限公司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谈判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符合谈判文件要求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未要求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tbl>
      <w:tblPr>
        <w:tblW w:w="10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1815"/>
        <w:gridCol w:w="1395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项目名称：粮食物流运输服务采购项目二次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项目编号：2026PHBJ474-1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投标报价（费率%）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 安徽翀鼎货物运输有限公司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94.80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安徽鑫驰运输有限公司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96.98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舒城县新盛物流有限公司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96.50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3C7FAE"/>
    <w:rsid w:val="26E81946"/>
    <w:rsid w:val="27BA5D13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0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2026-10-10T03:22:33Z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