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68018">
      <w:pPr>
        <w:tabs>
          <w:tab w:val="left" w:pos="420"/>
        </w:tabs>
        <w:spacing w:line="1700" w:lineRule="exact"/>
        <w:jc w:val="center"/>
        <w:rPr>
          <w:rFonts w:hint="eastAsia" w:ascii="宋体" w:hAnsi="宋体" w:eastAsia="宋体"/>
          <w:b/>
          <w:bCs/>
          <w:color w:val="000000" w:themeColor="text1"/>
          <w:sz w:val="52"/>
          <w:szCs w:val="52"/>
          <w:highlight w:val="none"/>
          <w:lang w:eastAsia="zh-CN"/>
          <w14:textFill>
            <w14:solidFill>
              <w14:schemeClr w14:val="tx1"/>
            </w14:solidFill>
          </w14:textFill>
        </w:rPr>
      </w:pPr>
      <w:r>
        <w:rPr>
          <w:rFonts w:hint="eastAsia" w:ascii="宋体" w:hAnsi="宋体"/>
          <w:b/>
          <w:bCs/>
          <w:color w:val="000000" w:themeColor="text1"/>
          <w:sz w:val="52"/>
          <w:szCs w:val="52"/>
          <w:highlight w:val="none"/>
          <w:lang w:eastAsia="zh-CN"/>
          <w14:textFill>
            <w14:solidFill>
              <w14:schemeClr w14:val="tx1"/>
            </w14:solidFill>
          </w14:textFill>
        </w:rPr>
        <w:t>肥西县公共资源交易有限责任公司</w:t>
      </w:r>
    </w:p>
    <w:p w14:paraId="429CE2F9">
      <w:pPr>
        <w:tabs>
          <w:tab w:val="left" w:pos="420"/>
        </w:tabs>
        <w:spacing w:line="1700" w:lineRule="exact"/>
        <w:jc w:val="center"/>
        <w:rPr>
          <w:rFonts w:hint="eastAsia" w:ascii="宋体" w:hAnsi="宋体"/>
          <w:b/>
          <w:bCs/>
          <w:color w:val="000000" w:themeColor="text1"/>
          <w:sz w:val="52"/>
          <w:szCs w:val="52"/>
          <w:highlight w:val="none"/>
          <w14:textFill>
            <w14:solidFill>
              <w14:schemeClr w14:val="tx1"/>
            </w14:solidFill>
          </w14:textFill>
        </w:rPr>
      </w:pPr>
      <w:r>
        <w:rPr>
          <w:rFonts w:hint="eastAsia" w:ascii="宋体" w:hAnsi="宋体"/>
          <w:b/>
          <w:bCs/>
          <w:color w:val="000000" w:themeColor="text1"/>
          <w:sz w:val="52"/>
          <w:szCs w:val="52"/>
          <w:highlight w:val="none"/>
          <w14:textFill>
            <w14:solidFill>
              <w14:schemeClr w14:val="tx1"/>
            </w14:solidFill>
          </w14:textFill>
        </w:rPr>
        <w:t>招标文件</w:t>
      </w:r>
    </w:p>
    <w:p w14:paraId="17BC4486">
      <w:pPr>
        <w:tabs>
          <w:tab w:val="left" w:pos="315"/>
          <w:tab w:val="left" w:pos="8820"/>
        </w:tabs>
        <w:spacing w:line="500" w:lineRule="exact"/>
        <w:rPr>
          <w:rFonts w:hint="eastAsia" w:ascii="宋体" w:hAnsi="宋体"/>
          <w:bCs/>
          <w:color w:val="000000" w:themeColor="text1"/>
          <w:szCs w:val="24"/>
          <w:highlight w:val="none"/>
          <w14:textFill>
            <w14:solidFill>
              <w14:schemeClr w14:val="tx1"/>
            </w14:solidFill>
          </w14:textFill>
        </w:rPr>
      </w:pPr>
    </w:p>
    <w:p w14:paraId="2C9D88E5">
      <w:pPr>
        <w:tabs>
          <w:tab w:val="left" w:pos="315"/>
          <w:tab w:val="left" w:pos="8820"/>
        </w:tabs>
        <w:spacing w:line="500" w:lineRule="exact"/>
        <w:jc w:val="right"/>
        <w:rPr>
          <w:rFonts w:hint="eastAsia" w:ascii="宋体" w:hAnsi="宋体"/>
          <w:bCs/>
          <w:color w:val="000000" w:themeColor="text1"/>
          <w:szCs w:val="24"/>
          <w:highlight w:val="none"/>
          <w14:textFill>
            <w14:solidFill>
              <w14:schemeClr w14:val="tx1"/>
            </w14:solidFill>
          </w14:textFill>
        </w:rPr>
      </w:pPr>
    </w:p>
    <w:p w14:paraId="32998638">
      <w:pPr>
        <w:spacing w:line="360" w:lineRule="auto"/>
        <w:jc w:val="left"/>
        <w:rPr>
          <w:rFonts w:hint="eastAsia" w:ascii="宋体" w:hAnsi="宋体"/>
          <w:color w:val="000000" w:themeColor="text1"/>
          <w:szCs w:val="24"/>
          <w:highlight w:val="none"/>
          <w14:textFill>
            <w14:solidFill>
              <w14:schemeClr w14:val="tx1"/>
            </w14:solidFill>
          </w14:textFill>
        </w:rPr>
      </w:pPr>
    </w:p>
    <w:p w14:paraId="46BEE1B1">
      <w:pPr>
        <w:tabs>
          <w:tab w:val="left" w:pos="2410"/>
        </w:tabs>
        <w:autoSpaceDE w:val="0"/>
        <w:autoSpaceDN w:val="0"/>
        <w:adjustRightInd w:val="0"/>
        <w:snapToGrid w:val="0"/>
        <w:spacing w:line="360" w:lineRule="auto"/>
        <w:jc w:val="center"/>
        <w:rPr>
          <w:rFonts w:hint="eastAsia" w:ascii="宋体" w:hAnsi="宋体" w:cs="宋体"/>
          <w:b/>
          <w:color w:val="000000" w:themeColor="text1"/>
          <w:spacing w:val="20"/>
          <w:kern w:val="0"/>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drawing>
          <wp:inline distT="0" distB="0" distL="114300" distR="114300">
            <wp:extent cx="2508250" cy="2519680"/>
            <wp:effectExtent l="0" t="0" r="6350" b="13970"/>
            <wp:docPr id="4" name="图片 2"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公司LOGO"/>
                    <pic:cNvPicPr>
                      <a:picLocks noChangeAspect="1"/>
                    </pic:cNvPicPr>
                  </pic:nvPicPr>
                  <pic:blipFill>
                    <a:blip r:embed="rId14"/>
                    <a:stretch>
                      <a:fillRect/>
                    </a:stretch>
                  </pic:blipFill>
                  <pic:spPr>
                    <a:xfrm>
                      <a:off x="0" y="0"/>
                      <a:ext cx="2508250" cy="2519680"/>
                    </a:xfrm>
                    <a:prstGeom prst="rect">
                      <a:avLst/>
                    </a:prstGeom>
                    <a:noFill/>
                    <a:ln>
                      <a:noFill/>
                    </a:ln>
                  </pic:spPr>
                </pic:pic>
              </a:graphicData>
            </a:graphic>
          </wp:inline>
        </w:drawing>
      </w:r>
    </w:p>
    <w:p w14:paraId="23E52ADB">
      <w:pPr>
        <w:tabs>
          <w:tab w:val="left" w:pos="2410"/>
        </w:tabs>
        <w:autoSpaceDE w:val="0"/>
        <w:autoSpaceDN w:val="0"/>
        <w:adjustRightInd w:val="0"/>
        <w:snapToGrid w:val="0"/>
        <w:spacing w:line="360" w:lineRule="auto"/>
        <w:rPr>
          <w:rFonts w:hint="eastAsia" w:ascii="宋体" w:hAnsi="宋体" w:cs="宋体"/>
          <w:b/>
          <w:color w:val="000000" w:themeColor="text1"/>
          <w:spacing w:val="20"/>
          <w:kern w:val="0"/>
          <w:szCs w:val="24"/>
          <w:highlight w:val="none"/>
          <w14:textFill>
            <w14:solidFill>
              <w14:schemeClr w14:val="tx1"/>
            </w14:solidFill>
          </w14:textFill>
        </w:rPr>
      </w:pPr>
    </w:p>
    <w:p w14:paraId="4D5A4EDC">
      <w:pPr>
        <w:tabs>
          <w:tab w:val="left" w:pos="2410"/>
        </w:tabs>
        <w:autoSpaceDE w:val="0"/>
        <w:autoSpaceDN w:val="0"/>
        <w:adjustRightInd w:val="0"/>
        <w:snapToGrid w:val="0"/>
        <w:spacing w:line="360" w:lineRule="auto"/>
        <w:rPr>
          <w:rFonts w:hint="eastAsia" w:ascii="宋体" w:hAnsi="DotumChe" w:eastAsia="宋体" w:cs="宋体"/>
          <w:b/>
          <w:color w:val="000000" w:themeColor="text1"/>
          <w:spacing w:val="20"/>
          <w:kern w:val="0"/>
          <w:sz w:val="32"/>
          <w:szCs w:val="32"/>
          <w:highlight w:val="none"/>
          <w:lang w:eastAsia="zh-CN"/>
          <w14:textFill>
            <w14:solidFill>
              <w14:schemeClr w14:val="tx1"/>
            </w14:solidFill>
          </w14:textFill>
        </w:rPr>
      </w:pPr>
      <w:r>
        <w:rPr>
          <w:rFonts w:hint="eastAsia" w:ascii="宋体" w:hAnsi="DotumChe" w:cs="宋体"/>
          <w:b/>
          <w:color w:val="000000" w:themeColor="text1"/>
          <w:spacing w:val="20"/>
          <w:kern w:val="0"/>
          <w:sz w:val="32"/>
          <w:szCs w:val="32"/>
          <w:highlight w:val="none"/>
          <w14:textFill>
            <w14:solidFill>
              <w14:schemeClr w14:val="tx1"/>
            </w14:solidFill>
          </w14:textFill>
        </w:rPr>
        <w:t>项目名称：</w:t>
      </w:r>
      <w:r>
        <w:rPr>
          <w:rFonts w:hint="eastAsia" w:ascii="宋体" w:hAnsi="DotumChe" w:eastAsia="宋体" w:cs="宋体"/>
          <w:b/>
          <w:color w:val="000000" w:themeColor="text1"/>
          <w:spacing w:val="20"/>
          <w:kern w:val="0"/>
          <w:sz w:val="32"/>
          <w:szCs w:val="32"/>
          <w:highlight w:val="none"/>
          <w:lang w:val="en-US" w:eastAsia="zh-CN"/>
          <w14:textFill>
            <w14:solidFill>
              <w14:schemeClr w14:val="tx1"/>
            </w14:solidFill>
          </w14:textFill>
        </w:rPr>
        <w:t>肥西县直属机关幼儿园（含分园）食堂大宗食材采购配送</w:t>
      </w:r>
    </w:p>
    <w:p w14:paraId="056C234F">
      <w:pPr>
        <w:tabs>
          <w:tab w:val="left" w:pos="2410"/>
        </w:tabs>
        <w:autoSpaceDE w:val="0"/>
        <w:autoSpaceDN w:val="0"/>
        <w:adjustRightInd w:val="0"/>
        <w:snapToGrid w:val="0"/>
        <w:spacing w:line="360" w:lineRule="auto"/>
        <w:rPr>
          <w:rFonts w:hint="eastAsia" w:ascii="宋体" w:hAnsi="DotumChe" w:eastAsia="宋体" w:cs="宋体"/>
          <w:b/>
          <w:color w:val="000000" w:themeColor="text1"/>
          <w:spacing w:val="20"/>
          <w:kern w:val="0"/>
          <w:sz w:val="32"/>
          <w:szCs w:val="32"/>
          <w:highlight w:val="yellow"/>
          <w:lang w:eastAsia="zh-CN"/>
          <w14:textFill>
            <w14:solidFill>
              <w14:schemeClr w14:val="tx1"/>
            </w14:solidFill>
          </w14:textFill>
        </w:rPr>
      </w:pPr>
      <w:r>
        <w:rPr>
          <w:rFonts w:hint="eastAsia" w:ascii="宋体" w:hAnsi="DotumChe" w:cs="宋体"/>
          <w:b/>
          <w:color w:val="000000" w:themeColor="text1"/>
          <w:spacing w:val="20"/>
          <w:kern w:val="0"/>
          <w:sz w:val="32"/>
          <w:szCs w:val="32"/>
          <w:highlight w:val="none"/>
          <w14:textFill>
            <w14:solidFill>
              <w14:schemeClr w14:val="tx1"/>
            </w14:solidFill>
          </w14:textFill>
        </w:rPr>
        <w:t>项目编号:</w:t>
      </w:r>
      <w:r>
        <w:rPr>
          <w:rFonts w:hint="eastAsia" w:ascii="宋体" w:hAnsi="DotumChe" w:eastAsia="宋体" w:cs="宋体"/>
          <w:b/>
          <w:color w:val="000000" w:themeColor="text1"/>
          <w:spacing w:val="20"/>
          <w:kern w:val="0"/>
          <w:sz w:val="32"/>
          <w:szCs w:val="32"/>
          <w:highlight w:val="none"/>
          <w:lang w:val="en-US" w:eastAsia="zh-CN"/>
          <w14:textFill>
            <w14:solidFill>
              <w14:schemeClr w14:val="tx1"/>
            </w14:solidFill>
          </w14:textFill>
        </w:rPr>
        <w:t>2026GSFZ000</w:t>
      </w:r>
      <w:r>
        <w:rPr>
          <w:rFonts w:hint="eastAsia" w:ascii="宋体" w:hAnsi="DotumChe" w:cs="宋体"/>
          <w:b/>
          <w:color w:val="000000" w:themeColor="text1"/>
          <w:spacing w:val="20"/>
          <w:kern w:val="0"/>
          <w:sz w:val="32"/>
          <w:szCs w:val="32"/>
          <w:highlight w:val="none"/>
          <w:lang w:val="en-US" w:eastAsia="zh-CN"/>
          <w14:textFill>
            <w14:solidFill>
              <w14:schemeClr w14:val="tx1"/>
            </w14:solidFill>
          </w14:textFill>
        </w:rPr>
        <w:t>2</w:t>
      </w:r>
    </w:p>
    <w:p w14:paraId="45654CD8">
      <w:pPr>
        <w:tabs>
          <w:tab w:val="left" w:pos="2410"/>
        </w:tabs>
        <w:autoSpaceDE w:val="0"/>
        <w:autoSpaceDN w:val="0"/>
        <w:adjustRightInd w:val="0"/>
        <w:snapToGrid w:val="0"/>
        <w:spacing w:line="360" w:lineRule="auto"/>
        <w:rPr>
          <w:rFonts w:hint="eastAsia" w:ascii="宋体" w:hAnsi="DotumChe" w:eastAsia="宋体" w:cs="宋体"/>
          <w:b/>
          <w:color w:val="000000" w:themeColor="text1"/>
          <w:spacing w:val="20"/>
          <w:kern w:val="0"/>
          <w:sz w:val="32"/>
          <w:szCs w:val="32"/>
          <w:highlight w:val="none"/>
          <w:lang w:eastAsia="zh-CN"/>
          <w14:textFill>
            <w14:solidFill>
              <w14:schemeClr w14:val="tx1"/>
            </w14:solidFill>
          </w14:textFill>
        </w:rPr>
      </w:pPr>
      <w:r>
        <w:rPr>
          <w:rFonts w:hint="eastAsia" w:ascii="宋体" w:hAnsi="DotumChe" w:cs="宋体"/>
          <w:b/>
          <w:color w:val="000000" w:themeColor="text1"/>
          <w:spacing w:val="20"/>
          <w:kern w:val="0"/>
          <w:sz w:val="32"/>
          <w:szCs w:val="32"/>
          <w:highlight w:val="none"/>
          <w14:textFill>
            <w14:solidFill>
              <w14:schemeClr w14:val="tx1"/>
            </w14:solidFill>
          </w14:textFill>
        </w:rPr>
        <w:t>招标人：</w:t>
      </w:r>
      <w:r>
        <w:rPr>
          <w:rFonts w:hint="eastAsia" w:ascii="宋体" w:hAnsi="DotumChe" w:eastAsia="宋体" w:cs="宋体"/>
          <w:b/>
          <w:color w:val="000000" w:themeColor="text1"/>
          <w:spacing w:val="20"/>
          <w:kern w:val="0"/>
          <w:sz w:val="32"/>
          <w:szCs w:val="32"/>
          <w:highlight w:val="none"/>
          <w:lang w:val="en-US" w:eastAsia="zh-CN"/>
          <w14:textFill>
            <w14:solidFill>
              <w14:schemeClr w14:val="tx1"/>
            </w14:solidFill>
          </w14:textFill>
        </w:rPr>
        <w:t>肥西县直属机关幼儿园</w:t>
      </w:r>
    </w:p>
    <w:p w14:paraId="2ECE0BA0">
      <w:pPr>
        <w:tabs>
          <w:tab w:val="left" w:pos="2410"/>
        </w:tabs>
        <w:autoSpaceDE w:val="0"/>
        <w:autoSpaceDN w:val="0"/>
        <w:adjustRightInd w:val="0"/>
        <w:snapToGrid w:val="0"/>
        <w:spacing w:line="360" w:lineRule="auto"/>
        <w:rPr>
          <w:rFonts w:hint="eastAsia" w:ascii="宋体" w:hAnsi="DotumChe" w:eastAsia="宋体" w:cs="宋体"/>
          <w:b/>
          <w:color w:val="000000" w:themeColor="text1"/>
          <w:spacing w:val="20"/>
          <w:kern w:val="0"/>
          <w:sz w:val="32"/>
          <w:szCs w:val="32"/>
          <w:highlight w:val="none"/>
          <w:lang w:eastAsia="zh-CN"/>
          <w14:textFill>
            <w14:solidFill>
              <w14:schemeClr w14:val="tx1"/>
            </w14:solidFill>
          </w14:textFill>
        </w:rPr>
      </w:pPr>
      <w:r>
        <w:rPr>
          <w:rFonts w:hint="eastAsia" w:ascii="宋体" w:hAnsi="DotumChe" w:cs="宋体"/>
          <w:b/>
          <w:color w:val="000000" w:themeColor="text1"/>
          <w:spacing w:val="20"/>
          <w:kern w:val="0"/>
          <w:sz w:val="32"/>
          <w:szCs w:val="32"/>
          <w:highlight w:val="none"/>
          <w14:textFill>
            <w14:solidFill>
              <w14:schemeClr w14:val="tx1"/>
            </w14:solidFill>
          </w14:textFill>
        </w:rPr>
        <w:t>招标代理机构：</w:t>
      </w:r>
      <w:r>
        <w:rPr>
          <w:rFonts w:hint="eastAsia" w:ascii="宋体" w:hAnsi="DotumChe" w:cs="宋体"/>
          <w:b/>
          <w:color w:val="000000" w:themeColor="text1"/>
          <w:spacing w:val="20"/>
          <w:kern w:val="0"/>
          <w:sz w:val="32"/>
          <w:szCs w:val="32"/>
          <w:highlight w:val="none"/>
          <w:lang w:eastAsia="zh-CN"/>
          <w14:textFill>
            <w14:solidFill>
              <w14:schemeClr w14:val="tx1"/>
            </w14:solidFill>
          </w14:textFill>
        </w:rPr>
        <w:t>肥西县公共资源交易有限责任公司</w:t>
      </w:r>
    </w:p>
    <w:p w14:paraId="608966AA">
      <w:pPr>
        <w:tabs>
          <w:tab w:val="left" w:pos="2410"/>
        </w:tabs>
        <w:autoSpaceDE w:val="0"/>
        <w:autoSpaceDN w:val="0"/>
        <w:adjustRightInd w:val="0"/>
        <w:snapToGrid w:val="0"/>
        <w:spacing w:line="360" w:lineRule="auto"/>
        <w:rPr>
          <w:rFonts w:hint="eastAsia" w:ascii="宋体" w:hAnsi="DotumChe" w:cs="宋体"/>
          <w:b/>
          <w:color w:val="000000" w:themeColor="text1"/>
          <w:spacing w:val="20"/>
          <w:kern w:val="0"/>
          <w:sz w:val="32"/>
          <w:szCs w:val="32"/>
          <w:highlight w:val="none"/>
          <w14:textFill>
            <w14:solidFill>
              <w14:schemeClr w14:val="tx1"/>
            </w14:solidFill>
          </w14:textFill>
        </w:rPr>
      </w:pPr>
      <w:r>
        <w:rPr>
          <w:rFonts w:hint="eastAsia" w:ascii="宋体" w:hAnsi="DotumChe" w:cs="宋体"/>
          <w:b/>
          <w:color w:val="000000" w:themeColor="text1"/>
          <w:spacing w:val="20"/>
          <w:kern w:val="0"/>
          <w:sz w:val="32"/>
          <w:szCs w:val="32"/>
          <w:highlight w:val="none"/>
          <w14:textFill>
            <w14:solidFill>
              <w14:schemeClr w14:val="tx1"/>
            </w14:solidFill>
          </w14:textFill>
        </w:rPr>
        <w:t>招标时间：</w:t>
      </w:r>
      <w:r>
        <w:rPr>
          <w:rFonts w:hint="eastAsia" w:ascii="宋体" w:hAnsi="DotumChe" w:cs="宋体"/>
          <w:b/>
          <w:color w:val="000000" w:themeColor="text1"/>
          <w:spacing w:val="20"/>
          <w:kern w:val="0"/>
          <w:sz w:val="32"/>
          <w:szCs w:val="32"/>
          <w:highlight w:val="none"/>
          <w:lang w:val="en-US" w:eastAsia="zh-CN"/>
          <w14:textFill>
            <w14:solidFill>
              <w14:schemeClr w14:val="tx1"/>
            </w14:solidFill>
          </w14:textFill>
        </w:rPr>
        <w:t>2026</w:t>
      </w:r>
      <w:r>
        <w:rPr>
          <w:rFonts w:hint="eastAsia" w:ascii="宋体" w:hAnsi="DotumChe" w:cs="宋体"/>
          <w:b/>
          <w:color w:val="000000" w:themeColor="text1"/>
          <w:spacing w:val="20"/>
          <w:kern w:val="0"/>
          <w:sz w:val="32"/>
          <w:szCs w:val="32"/>
          <w:highlight w:val="none"/>
          <w14:textFill>
            <w14:solidFill>
              <w14:schemeClr w14:val="tx1"/>
            </w14:solidFill>
          </w14:textFill>
        </w:rPr>
        <w:t>年</w:t>
      </w:r>
      <w:r>
        <w:rPr>
          <w:rFonts w:hint="eastAsia" w:ascii="宋体" w:hAnsi="DotumChe" w:cs="宋体"/>
          <w:b/>
          <w:color w:val="000000" w:themeColor="text1"/>
          <w:spacing w:val="20"/>
          <w:kern w:val="0"/>
          <w:sz w:val="32"/>
          <w:szCs w:val="32"/>
          <w:highlight w:val="none"/>
          <w:lang w:val="en-US" w:eastAsia="zh-CN"/>
          <w14:textFill>
            <w14:solidFill>
              <w14:schemeClr w14:val="tx1"/>
            </w14:solidFill>
          </w14:textFill>
        </w:rPr>
        <w:t>8</w:t>
      </w:r>
      <w:r>
        <w:rPr>
          <w:rFonts w:hint="eastAsia" w:ascii="宋体" w:hAnsi="DotumChe" w:cs="宋体"/>
          <w:b/>
          <w:color w:val="000000" w:themeColor="text1"/>
          <w:spacing w:val="20"/>
          <w:kern w:val="0"/>
          <w:sz w:val="32"/>
          <w:szCs w:val="32"/>
          <w:highlight w:val="none"/>
          <w14:textFill>
            <w14:solidFill>
              <w14:schemeClr w14:val="tx1"/>
            </w14:solidFill>
          </w14:textFill>
        </w:rPr>
        <w:t>月</w:t>
      </w:r>
    </w:p>
    <w:p w14:paraId="5A13AA04">
      <w:pPr>
        <w:spacing w:line="500" w:lineRule="exact"/>
        <w:rPr>
          <w:rFonts w:hint="eastAsia" w:ascii="宋体" w:hAnsi="宋体"/>
          <w:b/>
          <w:color w:val="000000" w:themeColor="text1"/>
          <w:sz w:val="28"/>
          <w:szCs w:val="28"/>
          <w:highlight w:val="none"/>
          <w14:textFill>
            <w14:solidFill>
              <w14:schemeClr w14:val="tx1"/>
            </w14:solidFill>
          </w14:textFill>
        </w:rPr>
      </w:pPr>
    </w:p>
    <w:p w14:paraId="01405A3C">
      <w:pPr>
        <w:tabs>
          <w:tab w:val="left" w:pos="2410"/>
        </w:tabs>
        <w:autoSpaceDE w:val="0"/>
        <w:autoSpaceDN w:val="0"/>
        <w:adjustRightInd w:val="0"/>
        <w:snapToGrid w:val="0"/>
        <w:spacing w:line="360" w:lineRule="auto"/>
        <w:rPr>
          <w:rFonts w:hint="eastAsia" w:ascii="宋体" w:hAnsi="DotumChe" w:cs="宋体"/>
          <w:b/>
          <w:color w:val="000000" w:themeColor="text1"/>
          <w:spacing w:val="20"/>
          <w:kern w:val="0"/>
          <w:sz w:val="32"/>
          <w:szCs w:val="32"/>
          <w:highlight w:val="none"/>
          <w14:textFill>
            <w14:solidFill>
              <w14:schemeClr w14:val="tx1"/>
            </w14:solidFill>
          </w14:textFill>
        </w:rPr>
      </w:pPr>
    </w:p>
    <w:p w14:paraId="1CD26838">
      <w:pPr>
        <w:spacing w:line="500" w:lineRule="exact"/>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目录</w:t>
      </w:r>
    </w:p>
    <w:p w14:paraId="6ED3D5EB">
      <w:pPr>
        <w:pStyle w:val="14"/>
        <w:keepNext w:val="0"/>
        <w:keepLines w:val="0"/>
        <w:pageBreakBefore w:val="0"/>
        <w:widowControl w:val="0"/>
        <w:tabs>
          <w:tab w:val="right" w:leader="dot" w:pos="9412"/>
        </w:tabs>
        <w:kinsoku/>
        <w:wordWrap w:val="0"/>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color w:val="000000" w:themeColor="text1"/>
          <w:szCs w:val="28"/>
          <w:highlight w:val="none"/>
          <w14:textFill>
            <w14:solidFill>
              <w14:schemeClr w14:val="tx1"/>
            </w14:solidFill>
          </w14:textFill>
        </w:rPr>
      </w:pPr>
      <w:bookmarkStart w:id="0" w:name="_Hlt526418134"/>
      <w:bookmarkEnd w:id="0"/>
      <w:bookmarkStart w:id="1" w:name="_Hlt533241375"/>
      <w:bookmarkEnd w:id="1"/>
      <w:bookmarkStart w:id="2" w:name="_Hlt519045295"/>
      <w:bookmarkEnd w:id="2"/>
    </w:p>
    <w:p w14:paraId="05A43F14">
      <w:pPr>
        <w:pStyle w:val="14"/>
        <w:keepNext w:val="0"/>
        <w:keepLines w:val="0"/>
        <w:pageBreakBefore w:val="0"/>
        <w:widowControl w:val="0"/>
        <w:tabs>
          <w:tab w:val="right" w:leader="dot" w:pos="9412"/>
        </w:tabs>
        <w:kinsoku/>
        <w:wordWrap w:val="0"/>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instrText xml:space="preserve">TOC \o "1-2" \h \u </w:instrText>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begin"/>
      </w:r>
      <w:r>
        <w:rPr>
          <w:rFonts w:hint="eastAsia" w:asciiTheme="minorEastAsia" w:hAnsiTheme="minorEastAsia" w:eastAsiaTheme="minorEastAsia" w:cstheme="minorEastAsia"/>
          <w:szCs w:val="28"/>
          <w:highlight w:val="none"/>
        </w:rPr>
        <w:instrText xml:space="preserve"> HYPERLINK \l _Toc25244 </w:instrText>
      </w:r>
      <w:r>
        <w:rPr>
          <w:rFonts w:hint="eastAsia" w:asciiTheme="minorEastAsia" w:hAnsiTheme="minorEastAsia" w:eastAsiaTheme="minorEastAsia" w:cstheme="minorEastAsia"/>
          <w:szCs w:val="28"/>
          <w:highlight w:val="none"/>
        </w:rPr>
        <w:fldChar w:fldCharType="separate"/>
      </w:r>
      <w:r>
        <w:rPr>
          <w:rFonts w:hint="eastAsia" w:asciiTheme="minorEastAsia" w:hAnsiTheme="minorEastAsia" w:eastAsiaTheme="minorEastAsia" w:cstheme="minorEastAsia"/>
          <w:szCs w:val="28"/>
          <w:highlight w:val="none"/>
        </w:rPr>
        <w:t>第一章招标公告</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_Toc25244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end"/>
      </w:r>
    </w:p>
    <w:p w14:paraId="08AFD59A">
      <w:pPr>
        <w:pStyle w:val="14"/>
        <w:keepNext w:val="0"/>
        <w:keepLines w:val="0"/>
        <w:pageBreakBefore w:val="0"/>
        <w:widowControl w:val="0"/>
        <w:tabs>
          <w:tab w:val="right" w:leader="dot" w:pos="9412"/>
        </w:tabs>
        <w:kinsoku/>
        <w:wordWrap w:val="0"/>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begin"/>
      </w:r>
      <w:r>
        <w:rPr>
          <w:rFonts w:hint="eastAsia" w:asciiTheme="minorEastAsia" w:hAnsiTheme="minorEastAsia" w:eastAsiaTheme="minorEastAsia" w:cstheme="minorEastAsia"/>
          <w:szCs w:val="28"/>
          <w:highlight w:val="none"/>
        </w:rPr>
        <w:instrText xml:space="preserve"> HYPERLINK \l _Toc28233 </w:instrText>
      </w:r>
      <w:r>
        <w:rPr>
          <w:rFonts w:hint="eastAsia" w:asciiTheme="minorEastAsia" w:hAnsiTheme="minorEastAsia" w:eastAsiaTheme="minorEastAsia" w:cstheme="minorEastAsia"/>
          <w:szCs w:val="28"/>
          <w:highlight w:val="none"/>
        </w:rPr>
        <w:fldChar w:fldCharType="separate"/>
      </w:r>
      <w:r>
        <w:rPr>
          <w:rFonts w:hint="eastAsia" w:asciiTheme="minorEastAsia" w:hAnsiTheme="minorEastAsia" w:eastAsiaTheme="minorEastAsia" w:cstheme="minorEastAsia"/>
          <w:highlight w:val="none"/>
        </w:rPr>
        <w:t>第二章投标人须知前附表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_Toc28233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end"/>
      </w:r>
    </w:p>
    <w:p w14:paraId="61B9DFC3">
      <w:pPr>
        <w:pStyle w:val="14"/>
        <w:keepNext w:val="0"/>
        <w:keepLines w:val="0"/>
        <w:pageBreakBefore w:val="0"/>
        <w:widowControl w:val="0"/>
        <w:tabs>
          <w:tab w:val="right" w:leader="dot" w:pos="9412"/>
        </w:tabs>
        <w:kinsoku/>
        <w:wordWrap w:val="0"/>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begin"/>
      </w:r>
      <w:r>
        <w:rPr>
          <w:rFonts w:hint="eastAsia" w:asciiTheme="minorEastAsia" w:hAnsiTheme="minorEastAsia" w:eastAsiaTheme="minorEastAsia" w:cstheme="minorEastAsia"/>
          <w:szCs w:val="28"/>
          <w:highlight w:val="none"/>
        </w:rPr>
        <w:instrText xml:space="preserve"> HYPERLINK \l _Toc1060 </w:instrText>
      </w:r>
      <w:r>
        <w:rPr>
          <w:rFonts w:hint="eastAsia" w:asciiTheme="minorEastAsia" w:hAnsiTheme="minorEastAsia" w:eastAsiaTheme="minorEastAsia" w:cstheme="minorEastAsia"/>
          <w:szCs w:val="28"/>
          <w:highlight w:val="none"/>
        </w:rPr>
        <w:fldChar w:fldCharType="separate"/>
      </w:r>
      <w:r>
        <w:rPr>
          <w:rFonts w:hint="eastAsia" w:asciiTheme="minorEastAsia" w:hAnsiTheme="minorEastAsia" w:eastAsiaTheme="minorEastAsia" w:cstheme="minorEastAsia"/>
          <w:highlight w:val="none"/>
        </w:rPr>
        <w:t>第三章投标人须知</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_Toc1060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end"/>
      </w:r>
    </w:p>
    <w:p w14:paraId="74010472">
      <w:pPr>
        <w:pStyle w:val="14"/>
        <w:keepNext w:val="0"/>
        <w:keepLines w:val="0"/>
        <w:pageBreakBefore w:val="0"/>
        <w:widowControl w:val="0"/>
        <w:tabs>
          <w:tab w:val="right" w:leader="dot" w:pos="9412"/>
        </w:tabs>
        <w:kinsoku/>
        <w:wordWrap w:val="0"/>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begin"/>
      </w:r>
      <w:r>
        <w:rPr>
          <w:rFonts w:hint="eastAsia" w:asciiTheme="minorEastAsia" w:hAnsiTheme="minorEastAsia" w:eastAsiaTheme="minorEastAsia" w:cstheme="minorEastAsia"/>
          <w:szCs w:val="28"/>
          <w:highlight w:val="none"/>
        </w:rPr>
        <w:instrText xml:space="preserve"> HYPERLINK \l _Toc30937 </w:instrText>
      </w:r>
      <w:r>
        <w:rPr>
          <w:rFonts w:hint="eastAsia" w:asciiTheme="minorEastAsia" w:hAnsiTheme="minorEastAsia" w:eastAsiaTheme="minorEastAsia" w:cstheme="minorEastAsia"/>
          <w:szCs w:val="28"/>
          <w:highlight w:val="none"/>
        </w:rPr>
        <w:fldChar w:fldCharType="separate"/>
      </w:r>
      <w:r>
        <w:rPr>
          <w:rFonts w:hint="eastAsia" w:asciiTheme="minorEastAsia" w:hAnsiTheme="minorEastAsia" w:eastAsiaTheme="minorEastAsia" w:cstheme="minorEastAsia"/>
          <w:highlight w:val="none"/>
        </w:rPr>
        <w:t>第四章招标需求</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_Toc30937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end"/>
      </w:r>
    </w:p>
    <w:p w14:paraId="3DB12451">
      <w:pPr>
        <w:pStyle w:val="14"/>
        <w:keepNext w:val="0"/>
        <w:keepLines w:val="0"/>
        <w:pageBreakBefore w:val="0"/>
        <w:widowControl w:val="0"/>
        <w:tabs>
          <w:tab w:val="right" w:leader="dot" w:pos="9412"/>
        </w:tabs>
        <w:kinsoku/>
        <w:wordWrap w:val="0"/>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begin"/>
      </w:r>
      <w:r>
        <w:rPr>
          <w:rFonts w:hint="eastAsia" w:asciiTheme="minorEastAsia" w:hAnsiTheme="minorEastAsia" w:eastAsiaTheme="minorEastAsia" w:cstheme="minorEastAsia"/>
          <w:szCs w:val="28"/>
          <w:highlight w:val="none"/>
        </w:rPr>
        <w:instrText xml:space="preserve"> HYPERLINK \l _Toc5402 </w:instrText>
      </w:r>
      <w:r>
        <w:rPr>
          <w:rFonts w:hint="eastAsia" w:asciiTheme="minorEastAsia" w:hAnsiTheme="minorEastAsia" w:eastAsiaTheme="minorEastAsia" w:cstheme="minorEastAsia"/>
          <w:szCs w:val="28"/>
          <w:highlight w:val="none"/>
        </w:rPr>
        <w:fldChar w:fldCharType="separate"/>
      </w:r>
      <w:r>
        <w:rPr>
          <w:rFonts w:hint="eastAsia" w:asciiTheme="minorEastAsia" w:hAnsiTheme="minorEastAsia" w:eastAsiaTheme="minorEastAsia" w:cstheme="minorEastAsia"/>
          <w:highlight w:val="none"/>
        </w:rPr>
        <w:t>第五章评标办法</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_Toc5402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end"/>
      </w:r>
    </w:p>
    <w:p w14:paraId="08BEDD1B">
      <w:pPr>
        <w:pStyle w:val="14"/>
        <w:keepNext w:val="0"/>
        <w:keepLines w:val="0"/>
        <w:pageBreakBefore w:val="0"/>
        <w:widowControl w:val="0"/>
        <w:tabs>
          <w:tab w:val="right" w:leader="dot" w:pos="9412"/>
        </w:tabs>
        <w:kinsoku/>
        <w:wordWrap w:val="0"/>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begin"/>
      </w:r>
      <w:r>
        <w:rPr>
          <w:rFonts w:hint="eastAsia" w:asciiTheme="minorEastAsia" w:hAnsiTheme="minorEastAsia" w:eastAsiaTheme="minorEastAsia" w:cstheme="minorEastAsia"/>
          <w:szCs w:val="28"/>
          <w:highlight w:val="none"/>
        </w:rPr>
        <w:instrText xml:space="preserve"> HYPERLINK \l _Toc14762 </w:instrText>
      </w:r>
      <w:r>
        <w:rPr>
          <w:rFonts w:hint="eastAsia" w:asciiTheme="minorEastAsia" w:hAnsiTheme="minorEastAsia" w:eastAsiaTheme="minorEastAsia" w:cstheme="minorEastAsia"/>
          <w:szCs w:val="28"/>
          <w:highlight w:val="none"/>
        </w:rPr>
        <w:fldChar w:fldCharType="separate"/>
      </w:r>
      <w:r>
        <w:rPr>
          <w:rFonts w:hint="eastAsia" w:asciiTheme="minorEastAsia" w:hAnsiTheme="minorEastAsia" w:eastAsiaTheme="minorEastAsia" w:cstheme="minorEastAsia"/>
          <w:highlight w:val="none"/>
        </w:rPr>
        <w:t>第六章合同</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_Toc14762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end"/>
      </w:r>
    </w:p>
    <w:p w14:paraId="197C1318">
      <w:pPr>
        <w:pStyle w:val="14"/>
        <w:keepNext w:val="0"/>
        <w:keepLines w:val="0"/>
        <w:pageBreakBefore w:val="0"/>
        <w:widowControl w:val="0"/>
        <w:tabs>
          <w:tab w:val="right" w:leader="dot" w:pos="9412"/>
        </w:tabs>
        <w:kinsoku/>
        <w:wordWrap w:val="0"/>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begin"/>
      </w:r>
      <w:r>
        <w:rPr>
          <w:rFonts w:hint="eastAsia" w:asciiTheme="minorEastAsia" w:hAnsiTheme="minorEastAsia" w:eastAsiaTheme="minorEastAsia" w:cstheme="minorEastAsia"/>
          <w:szCs w:val="28"/>
          <w:highlight w:val="none"/>
        </w:rPr>
        <w:instrText xml:space="preserve"> HYPERLINK \l _Toc26291 </w:instrText>
      </w:r>
      <w:r>
        <w:rPr>
          <w:rFonts w:hint="eastAsia" w:asciiTheme="minorEastAsia" w:hAnsiTheme="minorEastAsia" w:eastAsiaTheme="minorEastAsia" w:cstheme="minorEastAsia"/>
          <w:szCs w:val="28"/>
          <w:highlight w:val="none"/>
        </w:rPr>
        <w:fldChar w:fldCharType="separate"/>
      </w:r>
      <w:r>
        <w:rPr>
          <w:rFonts w:hint="eastAsia" w:asciiTheme="minorEastAsia" w:hAnsiTheme="minorEastAsia" w:eastAsiaTheme="minorEastAsia" w:cstheme="minorEastAsia"/>
          <w:highlight w:val="none"/>
        </w:rPr>
        <w:t>第七章投标文件格式</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_Toc26291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end"/>
      </w:r>
    </w:p>
    <w:p w14:paraId="732BFF27">
      <w:pPr>
        <w:pStyle w:val="14"/>
        <w:keepNext w:val="0"/>
        <w:keepLines w:val="0"/>
        <w:pageBreakBefore w:val="0"/>
        <w:widowControl w:val="0"/>
        <w:tabs>
          <w:tab w:val="right" w:leader="dot" w:pos="9403"/>
        </w:tabs>
        <w:kinsoku/>
        <w:wordWrap w:val="0"/>
        <w:overflowPunct/>
        <w:topLinePunct w:val="0"/>
        <w:autoSpaceDE/>
        <w:autoSpaceDN/>
        <w:bidi w:val="0"/>
        <w:adjustRightInd/>
        <w:snapToGrid/>
        <w:spacing w:line="360" w:lineRule="auto"/>
        <w:ind w:left="0"/>
        <w:textAlignment w:val="auto"/>
        <w:rPr>
          <w:rFonts w:hint="eastAsia" w:ascii="宋体" w:hAnsi="宋体"/>
          <w:color w:val="000000" w:themeColor="text1"/>
          <w:szCs w:val="28"/>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8"/>
          <w:highlight w:val="none"/>
          <w14:textFill>
            <w14:solidFill>
              <w14:schemeClr w14:val="tx1"/>
            </w14:solidFill>
          </w14:textFill>
        </w:rPr>
        <w:fldChar w:fldCharType="end"/>
      </w:r>
    </w:p>
    <w:p w14:paraId="79E86EDB">
      <w:pPr>
        <w:widowControl/>
        <w:jc w:val="left"/>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br w:type="page"/>
      </w:r>
    </w:p>
    <w:p w14:paraId="64F1B2C7">
      <w:pPr>
        <w:pStyle w:val="2"/>
        <w:spacing w:before="120" w:line="500" w:lineRule="exact"/>
        <w:ind w:firstLine="0"/>
        <w:rPr>
          <w:rFonts w:hint="eastAsia" w:ascii="宋体" w:hAnsi="宋体" w:eastAsia="宋体"/>
          <w:color w:val="000000" w:themeColor="text1"/>
          <w:sz w:val="28"/>
          <w:szCs w:val="28"/>
          <w:highlight w:val="none"/>
          <w14:textFill>
            <w14:solidFill>
              <w14:schemeClr w14:val="tx1"/>
            </w14:solidFill>
          </w14:textFill>
        </w:rPr>
      </w:pPr>
      <w:bookmarkStart w:id="3" w:name="_Toc25244"/>
      <w:bookmarkStart w:id="4" w:name="_Toc28992"/>
      <w:r>
        <w:rPr>
          <w:rFonts w:hint="eastAsia" w:ascii="宋体" w:hAnsi="宋体" w:eastAsia="宋体"/>
          <w:color w:val="000000" w:themeColor="text1"/>
          <w:sz w:val="28"/>
          <w:szCs w:val="28"/>
          <w:highlight w:val="none"/>
          <w14:textFill>
            <w14:solidFill>
              <w14:schemeClr w14:val="tx1"/>
            </w14:solidFill>
          </w14:textFill>
        </w:rPr>
        <w:t>第一章</w:t>
      </w:r>
      <w:bookmarkStart w:id="5" w:name="_Toc462215727"/>
      <w:r>
        <w:rPr>
          <w:rFonts w:hint="eastAsia" w:ascii="宋体" w:hAnsi="宋体" w:eastAsia="宋体"/>
          <w:color w:val="000000" w:themeColor="text1"/>
          <w:sz w:val="28"/>
          <w:szCs w:val="28"/>
          <w:highlight w:val="none"/>
          <w14:textFill>
            <w14:solidFill>
              <w14:schemeClr w14:val="tx1"/>
            </w14:solidFill>
          </w14:textFill>
        </w:rPr>
        <w:t>招标公告</w:t>
      </w:r>
      <w:bookmarkEnd w:id="3"/>
      <w:bookmarkEnd w:id="4"/>
      <w:bookmarkEnd w:id="5"/>
    </w:p>
    <w:p w14:paraId="276479CD">
      <w:pPr>
        <w:autoSpaceDE w:val="0"/>
        <w:autoSpaceDN w:val="0"/>
        <w:adjustRightInd w:val="0"/>
        <w:spacing w:line="360" w:lineRule="auto"/>
        <w:ind w:firstLine="480" w:firstLineChars="200"/>
        <w:jc w:val="left"/>
        <w:rPr>
          <w:rFonts w:hint="eastAsia" w:ascii="宋体" w:hAnsi="宋体" w:eastAsia="宋体"/>
          <w:color w:val="000000" w:themeColor="text1"/>
          <w:kern w:val="2"/>
          <w:highlight w:val="none"/>
          <w14:textFill>
            <w14:solidFill>
              <w14:schemeClr w14:val="tx1"/>
            </w14:solidFill>
          </w14:textFill>
        </w:rPr>
      </w:pPr>
      <w:r>
        <w:rPr>
          <w:rFonts w:hint="eastAsia" w:ascii="宋体" w:hAnsi="宋体" w:eastAsia="宋体"/>
          <w:color w:val="000000" w:themeColor="text1"/>
          <w:kern w:val="2"/>
          <w:highlight w:val="none"/>
          <w:lang w:eastAsia="zh-CN"/>
          <w14:textFill>
            <w14:solidFill>
              <w14:schemeClr w14:val="tx1"/>
            </w14:solidFill>
          </w14:textFill>
        </w:rPr>
        <w:t>肥西县公共资源交易有限责任公司</w:t>
      </w:r>
      <w:r>
        <w:rPr>
          <w:rFonts w:hint="eastAsia" w:ascii="宋体" w:hAnsi="宋体" w:eastAsia="宋体"/>
          <w:color w:val="000000" w:themeColor="text1"/>
          <w:kern w:val="2"/>
          <w:highlight w:val="none"/>
          <w14:textFill>
            <w14:solidFill>
              <w14:schemeClr w14:val="tx1"/>
            </w14:solidFill>
          </w14:textFill>
        </w:rPr>
        <w:t>受</w:t>
      </w:r>
      <w:r>
        <w:rPr>
          <w:rFonts w:hint="eastAsia" w:ascii="宋体" w:hAnsi="宋体" w:eastAsia="宋体" w:cs="宋体"/>
          <w:sz w:val="24"/>
          <w:szCs w:val="24"/>
          <w:lang w:val="en-US" w:eastAsia="zh-CN"/>
        </w:rPr>
        <w:t>肥西县直属机关幼儿园</w:t>
      </w:r>
      <w:r>
        <w:rPr>
          <w:rFonts w:hint="eastAsia" w:ascii="宋体" w:hAnsi="宋体" w:eastAsia="宋体"/>
          <w:color w:val="000000" w:themeColor="text1"/>
          <w:kern w:val="2"/>
          <w:highlight w:val="none"/>
          <w14:textFill>
            <w14:solidFill>
              <w14:schemeClr w14:val="tx1"/>
            </w14:solidFill>
          </w14:textFill>
        </w:rPr>
        <w:t>委托，现对“</w:t>
      </w:r>
      <w:r>
        <w:rPr>
          <w:rFonts w:hint="eastAsia" w:ascii="宋体" w:hAnsi="宋体" w:eastAsia="宋体" w:cs="宋体"/>
          <w:sz w:val="24"/>
          <w:szCs w:val="24"/>
          <w:lang w:val="en-US" w:eastAsia="zh-CN"/>
        </w:rPr>
        <w:t>肥西县直属机关幼儿园（含分园）食堂大宗食材采购配送</w:t>
      </w:r>
      <w:r>
        <w:rPr>
          <w:rFonts w:hint="eastAsia" w:ascii="宋体" w:hAnsi="宋体" w:eastAsia="宋体"/>
          <w:color w:val="000000" w:themeColor="text1"/>
          <w:kern w:val="2"/>
          <w:highlight w:val="none"/>
          <w14:textFill>
            <w14:solidFill>
              <w14:schemeClr w14:val="tx1"/>
            </w14:solidFill>
          </w14:textFill>
        </w:rPr>
        <w:t>”进行公开招标，欢迎具备条件的投标人参加投标。</w:t>
      </w:r>
    </w:p>
    <w:p w14:paraId="54A16A77">
      <w:pPr>
        <w:autoSpaceDE w:val="0"/>
        <w:autoSpaceDN w:val="0"/>
        <w:adjustRightInd w:val="0"/>
        <w:spacing w:line="360" w:lineRule="auto"/>
        <w:ind w:firstLine="200"/>
        <w:jc w:val="left"/>
        <w:rPr>
          <w:rFonts w:hint="eastAsia" w:ascii="宋体" w:hAnsi="宋体"/>
          <w:b/>
          <w:bCs/>
          <w:color w:val="000000" w:themeColor="text1"/>
          <w:szCs w:val="24"/>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一、项目名称及内容</w:t>
      </w:r>
    </w:p>
    <w:p w14:paraId="4F7E2B86">
      <w:pPr>
        <w:autoSpaceDE w:val="0"/>
        <w:autoSpaceDN w:val="0"/>
        <w:adjustRightInd w:val="0"/>
        <w:spacing w:line="360" w:lineRule="auto"/>
        <w:ind w:firstLine="480" w:firstLineChars="200"/>
        <w:jc w:val="left"/>
        <w:rPr>
          <w:rFonts w:hint="eastAsia" w:ascii="宋体" w:hAnsi="宋体" w:eastAsia="宋体"/>
          <w:color w:val="000000" w:themeColor="text1"/>
          <w:szCs w:val="24"/>
          <w:highlight w:val="none"/>
          <w:lang w:eastAsia="zh-CN"/>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1.项目编号：</w:t>
      </w:r>
      <w:r>
        <w:rPr>
          <w:rFonts w:hint="eastAsia" w:ascii="宋体" w:hAnsi="宋体" w:eastAsia="宋体" w:cs="宋体"/>
          <w:sz w:val="24"/>
          <w:szCs w:val="24"/>
          <w:lang w:val="en-US" w:eastAsia="zh-CN"/>
        </w:rPr>
        <w:t>2026GSFZ0002</w:t>
      </w:r>
    </w:p>
    <w:p w14:paraId="7408AD0A">
      <w:pPr>
        <w:autoSpaceDE w:val="0"/>
        <w:autoSpaceDN w:val="0"/>
        <w:adjustRightInd w:val="0"/>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color w:val="000000" w:themeColor="text1"/>
          <w:szCs w:val="24"/>
          <w:highlight w:val="none"/>
          <w14:textFill>
            <w14:solidFill>
              <w14:schemeClr w14:val="tx1"/>
            </w14:solidFill>
          </w14:textFill>
        </w:rPr>
        <w:t>2.项目名称：</w:t>
      </w:r>
      <w:r>
        <w:rPr>
          <w:rFonts w:hint="eastAsia" w:ascii="宋体" w:hAnsi="宋体" w:eastAsia="宋体" w:cs="宋体"/>
          <w:sz w:val="24"/>
          <w:szCs w:val="24"/>
          <w:lang w:val="en-US" w:eastAsia="zh-CN"/>
        </w:rPr>
        <w:t>肥西县直属机关幼儿园（含分园）食堂大宗食材采购配送</w:t>
      </w:r>
    </w:p>
    <w:p w14:paraId="0036C21A">
      <w:pPr>
        <w:autoSpaceDE w:val="0"/>
        <w:autoSpaceDN w:val="0"/>
        <w:adjustRightInd w:val="0"/>
        <w:spacing w:line="360" w:lineRule="auto"/>
        <w:ind w:firstLine="480" w:firstLineChars="200"/>
        <w:jc w:val="left"/>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3.项目地点：肥西县</w:t>
      </w:r>
    </w:p>
    <w:p w14:paraId="4FC111F2">
      <w:pPr>
        <w:autoSpaceDE w:val="0"/>
        <w:autoSpaceDN w:val="0"/>
        <w:adjustRightInd w:val="0"/>
        <w:spacing w:line="360" w:lineRule="auto"/>
        <w:ind w:firstLine="480" w:firstLineChars="200"/>
        <w:jc w:val="left"/>
        <w:rPr>
          <w:rFonts w:hint="eastAsia" w:ascii="宋体" w:hAnsi="宋体" w:eastAsia="宋体"/>
          <w:color w:val="000000" w:themeColor="text1"/>
          <w:szCs w:val="24"/>
          <w:highlight w:val="none"/>
          <w:lang w:eastAsia="zh-CN"/>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4.项目单位：</w:t>
      </w:r>
      <w:r>
        <w:rPr>
          <w:rFonts w:hint="eastAsia" w:ascii="宋体" w:hAnsi="宋体" w:eastAsia="宋体" w:cs="宋体"/>
          <w:sz w:val="24"/>
          <w:szCs w:val="24"/>
          <w:lang w:val="en-US" w:eastAsia="zh-CN"/>
        </w:rPr>
        <w:t>肥西县直属机关幼儿园（含分园）</w:t>
      </w:r>
    </w:p>
    <w:p w14:paraId="7FDCE0BF">
      <w:pPr>
        <w:autoSpaceDE w:val="0"/>
        <w:autoSpaceDN w:val="0"/>
        <w:adjustRightInd w:val="0"/>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color w:val="000000" w:themeColor="text1"/>
          <w:szCs w:val="24"/>
          <w:highlight w:val="none"/>
          <w14:textFill>
            <w14:solidFill>
              <w14:schemeClr w14:val="tx1"/>
            </w14:solidFill>
          </w14:textFill>
        </w:rPr>
        <w:t>5.项目概况：</w:t>
      </w:r>
      <w:r>
        <w:rPr>
          <w:rFonts w:hint="eastAsia" w:ascii="宋体" w:hAnsi="宋体" w:eastAsia="宋体" w:cs="宋体"/>
          <w:sz w:val="24"/>
          <w:szCs w:val="24"/>
          <w:lang w:val="en-US" w:eastAsia="zh-CN"/>
        </w:rPr>
        <w:t xml:space="preserve"> 肥西县直属机关幼儿园（含分园）开设食堂的9所园共有在园就餐幼儿约2400人，在园就餐教职工约300人。所需粮、油、肉类、蔬菜、家禽、鸡蛋、调味品、牛奶等食材供应。集团所辖分园提供中餐、下午点。中餐：提供主食、两菜（一荤一素）、一汤。下午点：提供制作汤羹类的</w:t>
      </w:r>
      <w:r>
        <w:rPr>
          <w:rFonts w:hint="eastAsia" w:ascii="宋体" w:hAnsi="宋体" w:eastAsia="宋体" w:cs="宋体"/>
          <w:color w:val="auto"/>
          <w:sz w:val="24"/>
          <w:szCs w:val="24"/>
          <w:lang w:val="en-US" w:eastAsia="zh-CN"/>
        </w:rPr>
        <w:t>食材、</w:t>
      </w:r>
      <w:r>
        <w:rPr>
          <w:rFonts w:hint="eastAsia" w:ascii="宋体" w:hAnsi="宋体" w:cs="宋体"/>
          <w:color w:val="auto"/>
          <w:sz w:val="24"/>
          <w:szCs w:val="24"/>
          <w:lang w:val="en-US" w:eastAsia="zh-CN"/>
        </w:rPr>
        <w:t>面食类食材</w:t>
      </w:r>
      <w:r>
        <w:rPr>
          <w:rFonts w:hint="eastAsia" w:ascii="宋体" w:hAnsi="宋体" w:cs="宋体"/>
          <w:color w:val="FF0000"/>
          <w:sz w:val="24"/>
          <w:szCs w:val="24"/>
          <w:lang w:val="en-US" w:eastAsia="zh-CN"/>
        </w:rPr>
        <w:t>、</w:t>
      </w:r>
      <w:r>
        <w:rPr>
          <w:rFonts w:hint="eastAsia" w:ascii="宋体" w:hAnsi="宋体" w:eastAsia="宋体" w:cs="宋体"/>
          <w:sz w:val="24"/>
          <w:szCs w:val="24"/>
          <w:lang w:val="en-US" w:eastAsia="zh-CN"/>
        </w:rPr>
        <w:t>半成品面点、牛奶等。配送食材的时间根据园所需要时间而定，一般约为7:30前。本项目拟招两家单位配送，排名第一、第二的为成交候选人，排名第一的具有优先选择区域的权利。合同成交，供应商进场时间以业主单位实际通知时间为准，详见招标文件。</w:t>
      </w:r>
    </w:p>
    <w:p w14:paraId="1FE551FB">
      <w:pPr>
        <w:autoSpaceDE w:val="0"/>
        <w:autoSpaceDN w:val="0"/>
        <w:adjustRightInd w:val="0"/>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6.资金来源：自筹</w:t>
      </w:r>
    </w:p>
    <w:p w14:paraId="3B86CEBE">
      <w:pPr>
        <w:autoSpaceDE w:val="0"/>
        <w:autoSpaceDN w:val="0"/>
        <w:adjustRightInd w:val="0"/>
        <w:spacing w:line="360" w:lineRule="auto"/>
        <w:ind w:firstLine="480" w:firstLineChars="200"/>
        <w:jc w:val="left"/>
        <w:rPr>
          <w:rFonts w:hint="eastAsia" w:ascii="宋体" w:hAnsi="宋体" w:eastAsia="宋体"/>
          <w:color w:val="000000" w:themeColor="text1"/>
          <w:szCs w:val="24"/>
          <w:highlight w:val="none"/>
          <w:lang w:val="en-US" w:eastAsia="zh-CN"/>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7.项目概算：</w:t>
      </w:r>
      <w:r>
        <w:rPr>
          <w:rFonts w:hint="eastAsia" w:ascii="宋体" w:hAnsi="宋体" w:cs="宋体"/>
          <w:color w:val="auto"/>
          <w:kern w:val="2"/>
          <w:highlight w:val="none"/>
          <w:lang w:val="en-US" w:eastAsia="zh-CN"/>
        </w:rPr>
        <w:t>380</w:t>
      </w:r>
      <w:r>
        <w:rPr>
          <w:rFonts w:hint="eastAsia" w:ascii="宋体" w:hAnsi="宋体" w:eastAsia="宋体" w:cs="宋体"/>
          <w:color w:val="auto"/>
          <w:kern w:val="2"/>
          <w:highlight w:val="none"/>
          <w:lang w:val="en-US" w:eastAsia="zh-CN"/>
        </w:rPr>
        <w:t>万元</w:t>
      </w:r>
    </w:p>
    <w:p w14:paraId="3DB63095">
      <w:pPr>
        <w:autoSpaceDE w:val="0"/>
        <w:autoSpaceDN w:val="0"/>
        <w:adjustRightInd w:val="0"/>
        <w:spacing w:line="360" w:lineRule="auto"/>
        <w:ind w:firstLine="480" w:firstLineChars="200"/>
        <w:jc w:val="left"/>
        <w:rPr>
          <w:rFonts w:hint="eastAsia" w:ascii="宋体" w:hAnsi="宋体" w:eastAsia="宋体"/>
          <w:color w:val="000000" w:themeColor="text1"/>
          <w:szCs w:val="24"/>
          <w:highlight w:val="none"/>
          <w:lang w:eastAsia="zh-CN"/>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8.项目类别：</w:t>
      </w:r>
      <w:r>
        <w:rPr>
          <w:rFonts w:hint="eastAsia" w:ascii="宋体" w:hAnsi="宋体"/>
          <w:color w:val="000000" w:themeColor="text1"/>
          <w:szCs w:val="24"/>
          <w:highlight w:val="none"/>
          <w:lang w:val="en-US" w:eastAsia="zh-CN"/>
          <w14:textFill>
            <w14:solidFill>
              <w14:schemeClr w14:val="tx1"/>
            </w14:solidFill>
          </w14:textFill>
        </w:rPr>
        <w:t>服务类</w:t>
      </w:r>
    </w:p>
    <w:p w14:paraId="11728AA4">
      <w:pPr>
        <w:autoSpaceDE w:val="0"/>
        <w:autoSpaceDN w:val="0"/>
        <w:adjustRightInd w:val="0"/>
        <w:spacing w:line="360" w:lineRule="auto"/>
        <w:ind w:firstLine="480" w:firstLineChars="200"/>
        <w:jc w:val="left"/>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9.标的（包别）划分：本项目共一个标段</w:t>
      </w:r>
    </w:p>
    <w:p w14:paraId="723D6621">
      <w:pPr>
        <w:autoSpaceDE w:val="0"/>
        <w:autoSpaceDN w:val="0"/>
        <w:adjustRightInd w:val="0"/>
        <w:spacing w:line="360" w:lineRule="auto"/>
        <w:ind w:firstLine="200"/>
        <w:jc w:val="left"/>
        <w:rPr>
          <w:rFonts w:hint="eastAsia" w:ascii="宋体" w:hAnsi="宋体"/>
          <w:b/>
          <w:bCs/>
          <w:color w:val="000000" w:themeColor="text1"/>
          <w:szCs w:val="24"/>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二、投标人资格</w:t>
      </w:r>
    </w:p>
    <w:p w14:paraId="462C3DF0">
      <w:pPr>
        <w:autoSpaceDE w:val="0"/>
        <w:autoSpaceDN w:val="0"/>
        <w:adjustRightInd w:val="0"/>
        <w:spacing w:line="360" w:lineRule="auto"/>
        <w:ind w:firstLine="480" w:firstLineChars="200"/>
        <w:jc w:val="left"/>
        <w:rPr>
          <w:rFonts w:hint="eastAsia" w:ascii="宋体" w:hAnsi="宋体" w:cs="Times New Roman"/>
          <w:color w:val="000000" w:themeColor="text1"/>
          <w:szCs w:val="24"/>
          <w:highlight w:val="none"/>
          <w14:textFill>
            <w14:solidFill>
              <w14:schemeClr w14:val="tx1"/>
            </w14:solidFill>
          </w14:textFill>
        </w:rPr>
      </w:pPr>
      <w:bookmarkStart w:id="6" w:name="_Hlt510343011"/>
      <w:bookmarkStart w:id="7" w:name="_Hlt510342998"/>
      <w:r>
        <w:rPr>
          <w:rFonts w:hint="eastAsia" w:ascii="宋体" w:hAnsi="宋体" w:cs="Times New Roman"/>
          <w:color w:val="000000" w:themeColor="text1"/>
          <w:szCs w:val="24"/>
          <w:highlight w:val="none"/>
          <w14:textFill>
            <w14:solidFill>
              <w14:schemeClr w14:val="tx1"/>
            </w14:solidFill>
          </w14:textFill>
        </w:rPr>
        <w:t>1.具有独立承担民事责任的能力；</w:t>
      </w:r>
    </w:p>
    <w:p w14:paraId="1DE58B2C">
      <w:pPr>
        <w:autoSpaceDE w:val="0"/>
        <w:autoSpaceDN w:val="0"/>
        <w:adjustRightInd w:val="0"/>
        <w:spacing w:line="360" w:lineRule="auto"/>
        <w:ind w:firstLine="480" w:firstLineChars="200"/>
        <w:jc w:val="left"/>
        <w:rPr>
          <w:rFonts w:hint="eastAsia" w:ascii="宋体" w:hAnsi="宋体" w:cs="Times New Roman"/>
          <w:color w:val="000000" w:themeColor="text1"/>
          <w:szCs w:val="24"/>
          <w:highlight w:val="none"/>
          <w:lang w:eastAsia="zh-CN"/>
          <w14:textFill>
            <w14:solidFill>
              <w14:schemeClr w14:val="tx1"/>
            </w14:solidFill>
          </w14:textFill>
        </w:rPr>
      </w:pPr>
      <w:r>
        <w:rPr>
          <w:rFonts w:hint="eastAsia" w:ascii="宋体" w:hAnsi="宋体" w:cs="Times New Roman"/>
          <w:color w:val="000000" w:themeColor="text1"/>
          <w:szCs w:val="24"/>
          <w:highlight w:val="none"/>
          <w14:textFill>
            <w14:solidFill>
              <w14:schemeClr w14:val="tx1"/>
            </w14:solidFill>
          </w14:textFill>
        </w:rPr>
        <w:t>2.</w:t>
      </w:r>
      <w:r>
        <w:rPr>
          <w:rFonts w:hint="eastAsia" w:ascii="宋体" w:hAnsi="宋体" w:cs="Times New Roman"/>
          <w:color w:val="000000" w:themeColor="text1"/>
          <w:szCs w:val="24"/>
          <w:highlight w:val="none"/>
          <w:lang w:val="en-US" w:eastAsia="zh-CN"/>
          <w14:textFill>
            <w14:solidFill>
              <w14:schemeClr w14:val="tx1"/>
            </w14:solidFill>
          </w14:textFill>
        </w:rPr>
        <w:t>投标人须具备有效的《食品经营许可证》或《食品生产许可证》；</w:t>
      </w:r>
    </w:p>
    <w:p w14:paraId="3F98CEFD">
      <w:pPr>
        <w:autoSpaceDE w:val="0"/>
        <w:autoSpaceDN w:val="0"/>
        <w:adjustRightInd w:val="0"/>
        <w:spacing w:line="360" w:lineRule="auto"/>
        <w:ind w:firstLine="480" w:firstLineChars="200"/>
        <w:jc w:val="left"/>
        <w:rPr>
          <w:rFonts w:hint="eastAsia" w:ascii="宋体" w:hAnsi="宋体" w:cs="Times New Roman"/>
          <w:color w:val="000000" w:themeColor="text1"/>
          <w:szCs w:val="24"/>
          <w:highlight w:val="none"/>
          <w14:textFill>
            <w14:solidFill>
              <w14:schemeClr w14:val="tx1"/>
            </w14:solidFill>
          </w14:textFill>
        </w:rPr>
      </w:pPr>
      <w:r>
        <w:rPr>
          <w:rFonts w:hint="eastAsia" w:ascii="宋体" w:hAnsi="宋体" w:cs="Times New Roman"/>
          <w:color w:val="000000" w:themeColor="text1"/>
          <w:szCs w:val="24"/>
          <w:highlight w:val="none"/>
          <w:lang w:val="en-US" w:eastAsia="zh-CN"/>
          <w14:textFill>
            <w14:solidFill>
              <w14:schemeClr w14:val="tx1"/>
            </w14:solidFill>
          </w14:textFill>
        </w:rPr>
        <w:t>3</w:t>
      </w:r>
      <w:r>
        <w:rPr>
          <w:rFonts w:hint="eastAsia" w:ascii="宋体" w:hAnsi="宋体" w:cs="Times New Roman"/>
          <w:color w:val="000000" w:themeColor="text1"/>
          <w:szCs w:val="24"/>
          <w:highlight w:val="none"/>
          <w14:textFill>
            <w14:solidFill>
              <w14:schemeClr w14:val="tx1"/>
            </w14:solidFill>
          </w14:textFill>
        </w:rPr>
        <w:t>.本项目不接受联合体投标；</w:t>
      </w:r>
    </w:p>
    <w:p w14:paraId="7E414FA0">
      <w:pPr>
        <w:autoSpaceDE w:val="0"/>
        <w:autoSpaceDN w:val="0"/>
        <w:adjustRightInd w:val="0"/>
        <w:spacing w:line="360" w:lineRule="auto"/>
        <w:ind w:firstLine="482"/>
        <w:jc w:val="left"/>
        <w:rPr>
          <w:rFonts w:hint="eastAsia" w:ascii="宋体" w:hAnsi="宋体" w:cs="宋体"/>
          <w:b/>
          <w:bCs/>
          <w:color w:val="000000" w:themeColor="text1"/>
          <w:szCs w:val="24"/>
          <w:highlight w:val="none"/>
          <w14:textFill>
            <w14:solidFill>
              <w14:schemeClr w14:val="tx1"/>
            </w14:solidFill>
          </w14:textFill>
        </w:rPr>
      </w:pPr>
      <w:r>
        <w:rPr>
          <w:rFonts w:hint="eastAsia" w:ascii="宋体" w:hAnsi="宋体" w:cs="宋体"/>
          <w:b/>
          <w:bCs/>
          <w:color w:val="000000" w:themeColor="text1"/>
          <w:szCs w:val="24"/>
          <w:highlight w:val="none"/>
          <w14:textFill>
            <w14:solidFill>
              <w14:schemeClr w14:val="tx1"/>
            </w14:solidFill>
          </w14:textFill>
        </w:rPr>
        <w:t>三、招标文件的获取</w:t>
      </w:r>
    </w:p>
    <w:p w14:paraId="2A989DD2">
      <w:pPr>
        <w:autoSpaceDE w:val="0"/>
        <w:autoSpaceDN w:val="0"/>
        <w:adjustRightInd w:val="0"/>
        <w:spacing w:line="360" w:lineRule="auto"/>
        <w:ind w:firstLine="436" w:firstLineChars="182"/>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时间：</w:t>
      </w:r>
      <w:r>
        <w:rPr>
          <w:rFonts w:hint="eastAsia" w:ascii="宋体" w:hAnsi="宋体" w:cs="宋体"/>
          <w:sz w:val="24"/>
          <w:szCs w:val="18"/>
          <w:highlight w:val="none"/>
        </w:rPr>
        <w:t>202</w:t>
      </w:r>
      <w:r>
        <w:rPr>
          <w:rFonts w:hint="eastAsia" w:ascii="宋体" w:hAnsi="宋体" w:cs="宋体"/>
          <w:sz w:val="24"/>
          <w:szCs w:val="18"/>
          <w:highlight w:val="none"/>
          <w:lang w:val="en-US" w:eastAsia="zh-CN"/>
        </w:rPr>
        <w:t>6</w:t>
      </w:r>
      <w:r>
        <w:rPr>
          <w:rFonts w:hint="eastAsia" w:ascii="宋体" w:hAnsi="宋体" w:cs="宋体"/>
          <w:sz w:val="24"/>
          <w:szCs w:val="18"/>
          <w:highlight w:val="none"/>
        </w:rPr>
        <w:t>年</w:t>
      </w:r>
      <w:r>
        <w:rPr>
          <w:rFonts w:hint="eastAsia" w:ascii="宋体" w:hAnsi="宋体" w:cs="宋体"/>
          <w:sz w:val="24"/>
          <w:szCs w:val="18"/>
          <w:highlight w:val="none"/>
          <w:lang w:val="en-US" w:eastAsia="zh-CN"/>
        </w:rPr>
        <w:t>8</w:t>
      </w:r>
      <w:r>
        <w:rPr>
          <w:rFonts w:hint="eastAsia" w:ascii="宋体" w:hAnsi="宋体" w:cs="宋体"/>
          <w:sz w:val="24"/>
          <w:szCs w:val="18"/>
          <w:highlight w:val="none"/>
        </w:rPr>
        <w:t>月</w:t>
      </w:r>
      <w:r>
        <w:rPr>
          <w:rFonts w:hint="eastAsia" w:ascii="宋体" w:hAnsi="宋体" w:cs="宋体"/>
          <w:sz w:val="24"/>
          <w:szCs w:val="18"/>
          <w:highlight w:val="none"/>
          <w:lang w:val="en-US" w:eastAsia="zh-CN"/>
        </w:rPr>
        <w:t>28</w:t>
      </w:r>
      <w:r>
        <w:rPr>
          <w:rFonts w:hint="eastAsia" w:ascii="宋体" w:hAnsi="宋体" w:cs="宋体"/>
          <w:sz w:val="24"/>
          <w:szCs w:val="18"/>
          <w:highlight w:val="none"/>
        </w:rPr>
        <w:t>日至</w:t>
      </w:r>
      <w:r>
        <w:rPr>
          <w:rFonts w:hint="eastAsia" w:ascii="宋体" w:hAnsi="宋体" w:cs="宋体"/>
          <w:sz w:val="24"/>
          <w:szCs w:val="18"/>
          <w:highlight w:val="none"/>
          <w:lang w:eastAsia="zh-CN"/>
        </w:rPr>
        <w:t>招标</w:t>
      </w:r>
      <w:r>
        <w:rPr>
          <w:rFonts w:hint="eastAsia" w:ascii="宋体" w:hAnsi="宋体" w:cs="宋体"/>
          <w:sz w:val="24"/>
          <w:szCs w:val="18"/>
          <w:highlight w:val="none"/>
        </w:rPr>
        <w:t>时间。</w:t>
      </w:r>
    </w:p>
    <w:p w14:paraId="3BEB3BF5">
      <w:pPr>
        <w:autoSpaceDE w:val="0"/>
        <w:autoSpaceDN w:val="0"/>
        <w:adjustRightInd w:val="0"/>
        <w:spacing w:line="360" w:lineRule="auto"/>
        <w:ind w:firstLine="436" w:firstLineChars="182"/>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地点：“优质采云采购平台”（http://www.youzhicai.com/）</w:t>
      </w:r>
    </w:p>
    <w:p w14:paraId="4A680876">
      <w:pPr>
        <w:autoSpaceDE w:val="0"/>
        <w:autoSpaceDN w:val="0"/>
        <w:adjustRightInd w:val="0"/>
        <w:spacing w:line="360" w:lineRule="auto"/>
        <w:ind w:firstLine="436" w:firstLineChars="182"/>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方式：在线下载</w:t>
      </w:r>
    </w:p>
    <w:p w14:paraId="14196445">
      <w:pPr>
        <w:tabs>
          <w:tab w:val="left" w:pos="5960"/>
        </w:tabs>
        <w:autoSpaceDE w:val="0"/>
        <w:autoSpaceDN w:val="0"/>
        <w:adjustRightInd w:val="0"/>
        <w:spacing w:line="360" w:lineRule="auto"/>
        <w:ind w:firstLine="482" w:firstLineChars="200"/>
        <w:jc w:val="left"/>
        <w:rPr>
          <w:rFonts w:hint="eastAsia" w:ascii="宋体" w:hAnsi="宋体" w:cs="宋体"/>
          <w:b/>
          <w:bCs/>
          <w:color w:val="000000" w:themeColor="text1"/>
          <w:szCs w:val="18"/>
          <w:highlight w:val="none"/>
          <w14:textFill>
            <w14:solidFill>
              <w14:schemeClr w14:val="tx1"/>
            </w14:solidFill>
          </w14:textFill>
        </w:rPr>
      </w:pPr>
      <w:r>
        <w:rPr>
          <w:rFonts w:hint="eastAsia" w:ascii="宋体" w:hAnsi="宋体" w:cs="宋体"/>
          <w:b/>
          <w:bCs/>
          <w:color w:val="000000" w:themeColor="text1"/>
          <w:szCs w:val="18"/>
          <w:highlight w:val="none"/>
          <w14:textFill>
            <w14:solidFill>
              <w14:schemeClr w14:val="tx1"/>
            </w14:solidFill>
          </w14:textFill>
        </w:rPr>
        <w:t>四、</w:t>
      </w:r>
      <w:r>
        <w:rPr>
          <w:rFonts w:hint="eastAsia" w:ascii="宋体" w:hAnsi="宋体" w:cs="宋体"/>
          <w:b/>
          <w:bCs/>
          <w:color w:val="000000" w:themeColor="text1"/>
          <w:szCs w:val="18"/>
          <w:highlight w:val="none"/>
          <w:lang w:val="en-US" w:eastAsia="zh-CN"/>
          <w14:textFill>
            <w14:solidFill>
              <w14:schemeClr w14:val="tx1"/>
            </w14:solidFill>
          </w14:textFill>
        </w:rPr>
        <w:t>开标</w:t>
      </w:r>
      <w:r>
        <w:rPr>
          <w:rFonts w:hint="eastAsia" w:ascii="宋体" w:hAnsi="宋体" w:cs="宋体"/>
          <w:b/>
          <w:bCs/>
          <w:color w:val="000000" w:themeColor="text1"/>
          <w:szCs w:val="18"/>
          <w:highlight w:val="none"/>
          <w14:textFill>
            <w14:solidFill>
              <w14:schemeClr w14:val="tx1"/>
            </w14:solidFill>
          </w14:textFill>
        </w:rPr>
        <w:t>时间及地点</w:t>
      </w:r>
      <w:r>
        <w:rPr>
          <w:rFonts w:hint="eastAsia" w:ascii="宋体" w:hAnsi="宋体" w:cs="宋体"/>
          <w:b/>
          <w:bCs/>
          <w:color w:val="000000" w:themeColor="text1"/>
          <w:szCs w:val="18"/>
          <w:highlight w:val="none"/>
          <w14:textFill>
            <w14:solidFill>
              <w14:schemeClr w14:val="tx1"/>
            </w14:solidFill>
          </w14:textFill>
        </w:rPr>
        <w:tab/>
      </w:r>
    </w:p>
    <w:p w14:paraId="2D2876E5">
      <w:pPr>
        <w:autoSpaceDE w:val="0"/>
        <w:autoSpaceDN w:val="0"/>
        <w:adjustRightInd w:val="0"/>
        <w:spacing w:line="360" w:lineRule="auto"/>
        <w:ind w:firstLine="480" w:firstLineChars="20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1.</w:t>
      </w:r>
      <w:r>
        <w:rPr>
          <w:rFonts w:hint="eastAsia" w:ascii="宋体" w:hAnsi="宋体" w:cs="宋体"/>
          <w:color w:val="000000" w:themeColor="text1"/>
          <w:szCs w:val="18"/>
          <w:highlight w:val="none"/>
          <w:lang w:val="en-US" w:eastAsia="zh-CN"/>
          <w14:textFill>
            <w14:solidFill>
              <w14:schemeClr w14:val="tx1"/>
            </w14:solidFill>
          </w14:textFill>
        </w:rPr>
        <w:t>开标</w:t>
      </w:r>
      <w:r>
        <w:rPr>
          <w:rFonts w:hint="eastAsia" w:ascii="宋体" w:hAnsi="宋体" w:cs="宋体"/>
          <w:color w:val="000000" w:themeColor="text1"/>
          <w:szCs w:val="18"/>
          <w:highlight w:val="none"/>
          <w14:textFill>
            <w14:solidFill>
              <w14:schemeClr w14:val="tx1"/>
            </w14:solidFill>
          </w14:textFill>
        </w:rPr>
        <w:t>时间：</w:t>
      </w:r>
      <w:r>
        <w:rPr>
          <w:rFonts w:hint="eastAsia" w:ascii="宋体" w:hAnsi="宋体" w:cs="宋体"/>
          <w:sz w:val="24"/>
          <w:szCs w:val="18"/>
          <w:highlight w:val="none"/>
        </w:rPr>
        <w:t>202</w:t>
      </w:r>
      <w:r>
        <w:rPr>
          <w:rFonts w:hint="eastAsia" w:ascii="宋体" w:hAnsi="宋体" w:cs="宋体"/>
          <w:sz w:val="24"/>
          <w:szCs w:val="18"/>
          <w:highlight w:val="none"/>
          <w:lang w:val="en-US" w:eastAsia="zh-CN"/>
        </w:rPr>
        <w:t>6</w:t>
      </w:r>
      <w:r>
        <w:rPr>
          <w:rFonts w:hint="eastAsia" w:ascii="宋体" w:hAnsi="宋体" w:cs="宋体"/>
          <w:sz w:val="24"/>
          <w:szCs w:val="18"/>
          <w:highlight w:val="none"/>
        </w:rPr>
        <w:t>年</w:t>
      </w:r>
      <w:r>
        <w:rPr>
          <w:rFonts w:hint="eastAsia" w:ascii="宋体" w:hAnsi="宋体" w:cs="宋体"/>
          <w:sz w:val="24"/>
          <w:szCs w:val="18"/>
          <w:highlight w:val="none"/>
          <w:lang w:val="en-US" w:eastAsia="zh-CN"/>
        </w:rPr>
        <w:t>9</w:t>
      </w:r>
      <w:r>
        <w:rPr>
          <w:rFonts w:hint="eastAsia" w:ascii="宋体" w:hAnsi="宋体" w:cs="宋体"/>
          <w:sz w:val="24"/>
          <w:szCs w:val="18"/>
          <w:highlight w:val="none"/>
        </w:rPr>
        <w:t>月</w:t>
      </w:r>
      <w:r>
        <w:rPr>
          <w:rFonts w:hint="eastAsia" w:ascii="宋体" w:hAnsi="宋体" w:cs="宋体"/>
          <w:sz w:val="24"/>
          <w:szCs w:val="18"/>
          <w:highlight w:val="none"/>
          <w:lang w:val="en-US" w:eastAsia="zh-CN"/>
        </w:rPr>
        <w:t>18</w:t>
      </w:r>
      <w:r>
        <w:rPr>
          <w:rFonts w:hint="eastAsia" w:ascii="宋体" w:hAnsi="宋体" w:cs="宋体"/>
          <w:sz w:val="24"/>
          <w:szCs w:val="18"/>
          <w:highlight w:val="none"/>
        </w:rPr>
        <w:t>日</w:t>
      </w:r>
      <w:r>
        <w:rPr>
          <w:rFonts w:hint="eastAsia" w:ascii="宋体" w:hAnsi="宋体" w:cs="宋体"/>
          <w:sz w:val="24"/>
          <w:szCs w:val="18"/>
          <w:highlight w:val="none"/>
          <w:lang w:val="en-US" w:eastAsia="zh-CN"/>
        </w:rPr>
        <w:t>9</w:t>
      </w:r>
      <w:r>
        <w:rPr>
          <w:rFonts w:hint="eastAsia" w:ascii="宋体" w:hAnsi="宋体" w:cs="宋体"/>
          <w:sz w:val="24"/>
          <w:szCs w:val="18"/>
          <w:highlight w:val="none"/>
        </w:rPr>
        <w:t>时</w:t>
      </w:r>
      <w:r>
        <w:rPr>
          <w:rFonts w:hint="eastAsia" w:ascii="宋体" w:hAnsi="宋体" w:cs="宋体"/>
          <w:sz w:val="24"/>
          <w:szCs w:val="18"/>
          <w:highlight w:val="none"/>
          <w:lang w:val="en-US" w:eastAsia="zh-CN"/>
        </w:rPr>
        <w:t>00</w:t>
      </w:r>
      <w:r>
        <w:rPr>
          <w:rFonts w:hint="eastAsia" w:ascii="宋体" w:hAnsi="宋体" w:cs="宋体"/>
          <w:sz w:val="24"/>
          <w:szCs w:val="18"/>
          <w:highlight w:val="none"/>
        </w:rPr>
        <w:t>分</w:t>
      </w:r>
    </w:p>
    <w:p w14:paraId="04660224">
      <w:pPr>
        <w:autoSpaceDE w:val="0"/>
        <w:autoSpaceDN w:val="0"/>
        <w:adjustRightInd w:val="0"/>
        <w:spacing w:line="360" w:lineRule="auto"/>
        <w:ind w:firstLine="480" w:firstLineChars="200"/>
        <w:jc w:val="left"/>
        <w:rPr>
          <w:rFonts w:hint="eastAsia" w:ascii="宋体" w:hAnsi="宋体" w:cs="宋体"/>
          <w:bCs/>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2.</w:t>
      </w:r>
      <w:r>
        <w:rPr>
          <w:rFonts w:hint="eastAsia" w:ascii="宋体" w:hAnsi="宋体" w:cs="宋体"/>
          <w:color w:val="000000" w:themeColor="text1"/>
          <w:szCs w:val="18"/>
          <w:highlight w:val="none"/>
          <w:lang w:val="en-US" w:eastAsia="zh-CN"/>
          <w14:textFill>
            <w14:solidFill>
              <w14:schemeClr w14:val="tx1"/>
            </w14:solidFill>
          </w14:textFill>
        </w:rPr>
        <w:t>开标</w:t>
      </w:r>
      <w:r>
        <w:rPr>
          <w:rFonts w:hint="eastAsia" w:ascii="宋体" w:hAnsi="宋体" w:cs="宋体"/>
          <w:color w:val="000000" w:themeColor="text1"/>
          <w:szCs w:val="18"/>
          <w:highlight w:val="none"/>
          <w14:textFill>
            <w14:solidFill>
              <w14:schemeClr w14:val="tx1"/>
            </w14:solidFill>
          </w14:textFill>
        </w:rPr>
        <w:t>地点：优质采云采购平台（http://www.youzhicai.com/）；</w:t>
      </w:r>
    </w:p>
    <w:p w14:paraId="586CD57A">
      <w:pPr>
        <w:autoSpaceDE w:val="0"/>
        <w:autoSpaceDN w:val="0"/>
        <w:adjustRightInd w:val="0"/>
        <w:spacing w:line="360" w:lineRule="auto"/>
        <w:ind w:firstLine="482"/>
        <w:jc w:val="left"/>
        <w:rPr>
          <w:rFonts w:hint="eastAsia" w:ascii="宋体" w:hAnsi="宋体" w:cs="宋体"/>
          <w:b/>
          <w:bCs/>
          <w:color w:val="000000" w:themeColor="text1"/>
          <w:szCs w:val="18"/>
          <w:highlight w:val="none"/>
          <w14:textFill>
            <w14:solidFill>
              <w14:schemeClr w14:val="tx1"/>
            </w14:solidFill>
          </w14:textFill>
        </w:rPr>
      </w:pPr>
      <w:r>
        <w:rPr>
          <w:rFonts w:hint="eastAsia" w:ascii="宋体" w:hAnsi="宋体" w:cs="宋体"/>
          <w:b/>
          <w:bCs/>
          <w:color w:val="000000" w:themeColor="text1"/>
          <w:szCs w:val="18"/>
          <w:highlight w:val="none"/>
          <w14:textFill>
            <w14:solidFill>
              <w14:schemeClr w14:val="tx1"/>
            </w14:solidFill>
          </w14:textFill>
        </w:rPr>
        <w:t>五、投标文件提交截止时间</w:t>
      </w:r>
    </w:p>
    <w:p w14:paraId="62467E36">
      <w:pPr>
        <w:autoSpaceDE w:val="0"/>
        <w:autoSpaceDN w:val="0"/>
        <w:adjustRightInd w:val="0"/>
        <w:spacing w:line="360" w:lineRule="auto"/>
        <w:ind w:firstLine="48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同</w:t>
      </w:r>
      <w:r>
        <w:rPr>
          <w:rFonts w:hint="eastAsia" w:ascii="宋体" w:hAnsi="宋体" w:cs="宋体"/>
          <w:color w:val="000000" w:themeColor="text1"/>
          <w:szCs w:val="18"/>
          <w:highlight w:val="none"/>
          <w:lang w:val="en-US" w:eastAsia="zh-CN"/>
          <w14:textFill>
            <w14:solidFill>
              <w14:schemeClr w14:val="tx1"/>
            </w14:solidFill>
          </w14:textFill>
        </w:rPr>
        <w:t>开标</w:t>
      </w:r>
      <w:r>
        <w:rPr>
          <w:rFonts w:hint="eastAsia" w:ascii="宋体" w:hAnsi="宋体" w:cs="宋体"/>
          <w:color w:val="000000" w:themeColor="text1"/>
          <w:szCs w:val="18"/>
          <w:highlight w:val="none"/>
          <w14:textFill>
            <w14:solidFill>
              <w14:schemeClr w14:val="tx1"/>
            </w14:solidFill>
          </w14:textFill>
        </w:rPr>
        <w:t>时间</w:t>
      </w:r>
    </w:p>
    <w:p w14:paraId="4564D61A">
      <w:pPr>
        <w:autoSpaceDE w:val="0"/>
        <w:autoSpaceDN w:val="0"/>
        <w:adjustRightInd w:val="0"/>
        <w:spacing w:line="360" w:lineRule="auto"/>
        <w:ind w:firstLine="482"/>
        <w:jc w:val="left"/>
        <w:rPr>
          <w:rFonts w:hint="eastAsia" w:ascii="宋体" w:hAnsi="宋体" w:cs="宋体"/>
          <w:b/>
          <w:bCs/>
          <w:color w:val="000000" w:themeColor="text1"/>
          <w:szCs w:val="18"/>
          <w:highlight w:val="none"/>
          <w14:textFill>
            <w14:solidFill>
              <w14:schemeClr w14:val="tx1"/>
            </w14:solidFill>
          </w14:textFill>
        </w:rPr>
      </w:pPr>
      <w:r>
        <w:rPr>
          <w:rFonts w:hint="eastAsia" w:ascii="宋体" w:hAnsi="宋体" w:cs="宋体"/>
          <w:b/>
          <w:bCs/>
          <w:color w:val="000000" w:themeColor="text1"/>
          <w:szCs w:val="18"/>
          <w:highlight w:val="none"/>
          <w14:textFill>
            <w14:solidFill>
              <w14:schemeClr w14:val="tx1"/>
            </w14:solidFill>
          </w14:textFill>
        </w:rPr>
        <w:t>六、联系方法</w:t>
      </w:r>
    </w:p>
    <w:p w14:paraId="72367078">
      <w:pPr>
        <w:autoSpaceDE w:val="0"/>
        <w:autoSpaceDN w:val="0"/>
        <w:adjustRightInd w:val="0"/>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cs="Times New Roman"/>
          <w:color w:val="000000" w:themeColor="text1"/>
          <w:szCs w:val="24"/>
          <w:highlight w:val="none"/>
          <w:lang w:eastAsia="zh-CN"/>
          <w14:textFill>
            <w14:solidFill>
              <w14:schemeClr w14:val="tx1"/>
            </w14:solidFill>
          </w14:textFill>
        </w:rPr>
        <w:t>（</w:t>
      </w:r>
      <w:r>
        <w:rPr>
          <w:rFonts w:hint="eastAsia" w:ascii="宋体" w:hAnsi="宋体" w:eastAsia="宋体" w:cs="宋体"/>
          <w:sz w:val="24"/>
          <w:szCs w:val="24"/>
          <w:lang w:val="en-US" w:eastAsia="zh-CN"/>
        </w:rPr>
        <w:t>一）业主单位：肥西县直属机关幼儿园</w:t>
      </w:r>
    </w:p>
    <w:p w14:paraId="654FBF9F">
      <w:pPr>
        <w:autoSpaceDE w:val="0"/>
        <w:autoSpaceDN w:val="0"/>
        <w:adjustRightInd w:val="0"/>
        <w:spacing w:line="360" w:lineRule="auto"/>
        <w:ind w:firstLine="480" w:firstLineChars="200"/>
        <w:jc w:val="left"/>
        <w:rPr>
          <w:rFonts w:hint="default" w:ascii="宋体" w:hAnsi="宋体" w:eastAsia="宋体" w:cs="宋体"/>
          <w:color w:val="auto"/>
          <w:sz w:val="24"/>
          <w:szCs w:val="24"/>
          <w:lang w:val="en-US" w:eastAsia="zh-CN"/>
        </w:rPr>
      </w:pPr>
      <w:r>
        <w:rPr>
          <w:rFonts w:hint="eastAsia" w:ascii="宋体" w:hAnsi="宋体" w:eastAsia="宋体" w:cs="宋体"/>
          <w:sz w:val="24"/>
          <w:szCs w:val="24"/>
          <w:lang w:val="en-US" w:eastAsia="zh-CN"/>
        </w:rPr>
        <w:t>地址：安徽省合肥市肥西</w:t>
      </w:r>
      <w:r>
        <w:rPr>
          <w:rFonts w:hint="eastAsia" w:ascii="宋体" w:hAnsi="宋体" w:eastAsia="宋体" w:cs="宋体"/>
          <w:color w:val="auto"/>
          <w:sz w:val="24"/>
          <w:szCs w:val="24"/>
          <w:lang w:val="en-US" w:eastAsia="zh-CN"/>
        </w:rPr>
        <w:t>县</w:t>
      </w:r>
      <w:r>
        <w:rPr>
          <w:rFonts w:hint="eastAsia" w:ascii="宋体" w:hAnsi="宋体" w:cs="宋体"/>
          <w:color w:val="auto"/>
          <w:sz w:val="24"/>
          <w:szCs w:val="24"/>
          <w:lang w:val="en-US" w:eastAsia="zh-CN"/>
        </w:rPr>
        <w:t>上派镇江淮大道旺郢小区内旺郢幼儿园</w:t>
      </w:r>
    </w:p>
    <w:p w14:paraId="540BF0E2">
      <w:pPr>
        <w:autoSpaceDE w:val="0"/>
        <w:autoSpaceDN w:val="0"/>
        <w:adjustRightInd w:val="0"/>
        <w:spacing w:line="360" w:lineRule="auto"/>
        <w:ind w:firstLine="480" w:firstLineChars="200"/>
        <w:jc w:val="left"/>
        <w:rPr>
          <w:rFonts w:hint="default" w:ascii="宋体" w:hAnsi="宋体" w:cs="Times New Roman"/>
          <w:color w:val="auto"/>
          <w:szCs w:val="24"/>
          <w:highlight w:val="none"/>
          <w:lang w:val="en-US" w:eastAsia="zh-CN"/>
        </w:rPr>
      </w:pPr>
      <w:r>
        <w:rPr>
          <w:rFonts w:hint="eastAsia" w:ascii="宋体" w:hAnsi="宋体" w:cs="Times New Roman"/>
          <w:color w:val="auto"/>
          <w:szCs w:val="24"/>
          <w:highlight w:val="none"/>
          <w:lang w:eastAsia="zh-CN"/>
        </w:rPr>
        <w:t>联系人：</w:t>
      </w:r>
      <w:r>
        <w:rPr>
          <w:rFonts w:hint="eastAsia" w:ascii="宋体" w:hAnsi="宋体" w:cs="Times New Roman"/>
          <w:color w:val="auto"/>
          <w:szCs w:val="24"/>
          <w:highlight w:val="none"/>
          <w:lang w:val="en-US" w:eastAsia="zh-CN"/>
        </w:rPr>
        <w:t>周老师</w:t>
      </w:r>
    </w:p>
    <w:p w14:paraId="5E476334">
      <w:pPr>
        <w:autoSpaceDE w:val="0"/>
        <w:autoSpaceDN w:val="0"/>
        <w:adjustRightInd w:val="0"/>
        <w:spacing w:line="360" w:lineRule="auto"/>
        <w:ind w:firstLine="480" w:firstLineChars="200"/>
        <w:jc w:val="left"/>
        <w:rPr>
          <w:rFonts w:hint="eastAsia" w:ascii="宋体" w:hAnsi="宋体" w:cs="Times New Roman"/>
          <w:color w:val="auto"/>
          <w:szCs w:val="24"/>
          <w:highlight w:val="none"/>
          <w:lang w:val="en-US" w:eastAsia="zh-CN"/>
        </w:rPr>
      </w:pPr>
      <w:r>
        <w:rPr>
          <w:rFonts w:hint="eastAsia" w:ascii="宋体" w:hAnsi="宋体" w:cs="Times New Roman"/>
          <w:color w:val="auto"/>
          <w:szCs w:val="24"/>
          <w:highlight w:val="none"/>
          <w:lang w:eastAsia="zh-CN"/>
        </w:rPr>
        <w:t>电话：</w:t>
      </w:r>
      <w:r>
        <w:rPr>
          <w:rFonts w:hint="eastAsia" w:ascii="宋体" w:hAnsi="宋体" w:cs="Times New Roman"/>
          <w:color w:val="auto"/>
          <w:szCs w:val="24"/>
          <w:highlight w:val="none"/>
          <w:lang w:val="en-US" w:eastAsia="zh-CN"/>
        </w:rPr>
        <w:t>18956006789</w:t>
      </w:r>
    </w:p>
    <w:p w14:paraId="4381A1BE">
      <w:pPr>
        <w:autoSpaceDE w:val="0"/>
        <w:autoSpaceDN w:val="0"/>
        <w:adjustRightInd w:val="0"/>
        <w:spacing w:line="360" w:lineRule="auto"/>
        <w:ind w:firstLine="480" w:firstLineChars="200"/>
        <w:jc w:val="left"/>
        <w:rPr>
          <w:rFonts w:hint="eastAsia" w:ascii="宋体" w:hAnsi="宋体" w:cs="Times New Roman"/>
          <w:color w:val="000000" w:themeColor="text1"/>
          <w:szCs w:val="24"/>
          <w:highlight w:val="none"/>
          <w:lang w:eastAsia="zh-CN"/>
          <w14:textFill>
            <w14:solidFill>
              <w14:schemeClr w14:val="tx1"/>
            </w14:solidFill>
          </w14:textFill>
        </w:rPr>
      </w:pPr>
      <w:r>
        <w:rPr>
          <w:rFonts w:hint="eastAsia" w:ascii="宋体" w:hAnsi="宋体" w:cs="Times New Roman"/>
          <w:color w:val="000000" w:themeColor="text1"/>
          <w:szCs w:val="24"/>
          <w:highlight w:val="none"/>
          <w:lang w:eastAsia="zh-CN"/>
          <w14:textFill>
            <w14:solidFill>
              <w14:schemeClr w14:val="tx1"/>
            </w14:solidFill>
          </w14:textFill>
        </w:rPr>
        <w:t>（二）代理机构：肥西县公共资源交易有限责任公司</w:t>
      </w:r>
    </w:p>
    <w:p w14:paraId="5F26BBC8">
      <w:pPr>
        <w:autoSpaceDE w:val="0"/>
        <w:autoSpaceDN w:val="0"/>
        <w:adjustRightInd w:val="0"/>
        <w:spacing w:line="360" w:lineRule="auto"/>
        <w:ind w:firstLine="480" w:firstLineChars="200"/>
        <w:jc w:val="left"/>
        <w:rPr>
          <w:rFonts w:hint="eastAsia" w:ascii="宋体" w:hAnsi="宋体" w:cs="Times New Roman"/>
          <w:color w:val="000000" w:themeColor="text1"/>
          <w:szCs w:val="24"/>
          <w:highlight w:val="none"/>
          <w:lang w:eastAsia="zh-CN"/>
          <w14:textFill>
            <w14:solidFill>
              <w14:schemeClr w14:val="tx1"/>
            </w14:solidFill>
          </w14:textFill>
        </w:rPr>
      </w:pPr>
      <w:r>
        <w:rPr>
          <w:rFonts w:hint="eastAsia" w:ascii="宋体" w:hAnsi="宋体" w:cs="Times New Roman"/>
          <w:color w:val="000000" w:themeColor="text1"/>
          <w:szCs w:val="24"/>
          <w:highlight w:val="none"/>
          <w:lang w:eastAsia="zh-CN"/>
          <w14:textFill>
            <w14:solidFill>
              <w14:schemeClr w14:val="tx1"/>
            </w14:solidFill>
          </w14:textFill>
        </w:rPr>
        <w:t>地址：肥西县上派镇紫石路与佛光路交叉口肥光办公区3号楼2楼321</w:t>
      </w:r>
      <w:r>
        <w:rPr>
          <w:rFonts w:hint="eastAsia" w:ascii="宋体" w:hAnsi="宋体" w:cs="Times New Roman"/>
          <w:color w:val="000000" w:themeColor="text1"/>
          <w:szCs w:val="24"/>
          <w:highlight w:val="none"/>
          <w:lang w:val="en-US" w:eastAsia="zh-CN"/>
          <w14:textFill>
            <w14:solidFill>
              <w14:schemeClr w14:val="tx1"/>
            </w14:solidFill>
          </w14:textFill>
        </w:rPr>
        <w:t>1</w:t>
      </w:r>
      <w:r>
        <w:rPr>
          <w:rFonts w:hint="eastAsia" w:ascii="宋体" w:hAnsi="宋体" w:cs="Times New Roman"/>
          <w:color w:val="000000" w:themeColor="text1"/>
          <w:szCs w:val="24"/>
          <w:highlight w:val="none"/>
          <w:lang w:eastAsia="zh-CN"/>
          <w14:textFill>
            <w14:solidFill>
              <w14:schemeClr w14:val="tx1"/>
            </w14:solidFill>
          </w14:textFill>
        </w:rPr>
        <w:t>室</w:t>
      </w:r>
    </w:p>
    <w:p w14:paraId="6BFEC59D">
      <w:pPr>
        <w:autoSpaceDE w:val="0"/>
        <w:autoSpaceDN w:val="0"/>
        <w:adjustRightInd w:val="0"/>
        <w:spacing w:line="360" w:lineRule="auto"/>
        <w:ind w:firstLine="480" w:firstLineChars="200"/>
        <w:jc w:val="left"/>
        <w:rPr>
          <w:rFonts w:hint="default" w:ascii="宋体" w:hAnsi="宋体" w:cs="Times New Roman"/>
          <w:color w:val="000000" w:themeColor="text1"/>
          <w:szCs w:val="24"/>
          <w:highlight w:val="none"/>
          <w:lang w:val="en-US" w:eastAsia="zh-CN"/>
          <w14:textFill>
            <w14:solidFill>
              <w14:schemeClr w14:val="tx1"/>
            </w14:solidFill>
          </w14:textFill>
        </w:rPr>
      </w:pPr>
      <w:r>
        <w:rPr>
          <w:rFonts w:hint="eastAsia" w:ascii="宋体" w:hAnsi="宋体" w:cs="Times New Roman"/>
          <w:color w:val="000000" w:themeColor="text1"/>
          <w:szCs w:val="24"/>
          <w:highlight w:val="none"/>
          <w:lang w:eastAsia="zh-CN"/>
          <w14:textFill>
            <w14:solidFill>
              <w14:schemeClr w14:val="tx1"/>
            </w14:solidFill>
          </w14:textFill>
        </w:rPr>
        <w:t>联系人：</w:t>
      </w:r>
      <w:r>
        <w:rPr>
          <w:rFonts w:hint="eastAsia" w:ascii="宋体" w:hAnsi="宋体" w:cs="Times New Roman"/>
          <w:color w:val="000000" w:themeColor="text1"/>
          <w:szCs w:val="24"/>
          <w:highlight w:val="none"/>
          <w:lang w:val="en-US" w:eastAsia="zh-CN"/>
          <w14:textFill>
            <w14:solidFill>
              <w14:schemeClr w14:val="tx1"/>
            </w14:solidFill>
          </w14:textFill>
        </w:rPr>
        <w:t>陆工</w:t>
      </w:r>
    </w:p>
    <w:p w14:paraId="27F00FB3">
      <w:pPr>
        <w:autoSpaceDE w:val="0"/>
        <w:autoSpaceDN w:val="0"/>
        <w:adjustRightInd w:val="0"/>
        <w:spacing w:line="360" w:lineRule="auto"/>
        <w:ind w:firstLine="480" w:firstLineChars="200"/>
        <w:jc w:val="left"/>
        <w:rPr>
          <w:rFonts w:hint="eastAsia" w:ascii="宋体" w:hAnsi="宋体" w:cs="Times New Roman"/>
          <w:color w:val="000000" w:themeColor="text1"/>
          <w:szCs w:val="24"/>
          <w:highlight w:val="none"/>
          <w:lang w:eastAsia="zh-CN"/>
          <w14:textFill>
            <w14:solidFill>
              <w14:schemeClr w14:val="tx1"/>
            </w14:solidFill>
          </w14:textFill>
        </w:rPr>
      </w:pPr>
      <w:r>
        <w:rPr>
          <w:rFonts w:hint="eastAsia" w:ascii="宋体" w:hAnsi="宋体" w:cs="Times New Roman"/>
          <w:color w:val="000000" w:themeColor="text1"/>
          <w:szCs w:val="24"/>
          <w:highlight w:val="none"/>
          <w:lang w:eastAsia="zh-CN"/>
          <w14:textFill>
            <w14:solidFill>
              <w14:schemeClr w14:val="tx1"/>
            </w14:solidFill>
          </w14:textFill>
        </w:rPr>
        <w:t>电话：0551-688</w:t>
      </w:r>
      <w:r>
        <w:rPr>
          <w:rFonts w:hint="eastAsia" w:ascii="宋体" w:hAnsi="宋体" w:cs="Times New Roman"/>
          <w:color w:val="000000" w:themeColor="text1"/>
          <w:szCs w:val="24"/>
          <w:highlight w:val="none"/>
          <w:lang w:val="en-US" w:eastAsia="zh-CN"/>
          <w14:textFill>
            <w14:solidFill>
              <w14:schemeClr w14:val="tx1"/>
            </w14:solidFill>
          </w14:textFill>
        </w:rPr>
        <w:t>25072</w:t>
      </w:r>
    </w:p>
    <w:p w14:paraId="56AB8709">
      <w:pPr>
        <w:autoSpaceDE w:val="0"/>
        <w:autoSpaceDN w:val="0"/>
        <w:adjustRightInd w:val="0"/>
        <w:spacing w:line="360" w:lineRule="auto"/>
        <w:ind w:firstLine="480"/>
        <w:jc w:val="left"/>
        <w:rPr>
          <w:rFonts w:hint="default" w:ascii="宋体" w:hAnsi="宋体" w:eastAsia="宋体" w:cs="宋体"/>
          <w:bCs/>
          <w:sz w:val="24"/>
          <w:szCs w:val="18"/>
          <w:highlight w:val="none"/>
          <w:lang w:val="en-US" w:eastAsia="zh-CN"/>
        </w:rPr>
      </w:pPr>
      <w:r>
        <w:rPr>
          <w:rFonts w:hint="eastAsia" w:ascii="宋体" w:hAnsi="宋体" w:cs="宋体"/>
          <w:bCs/>
          <w:sz w:val="24"/>
          <w:szCs w:val="18"/>
          <w:highlight w:val="none"/>
        </w:rPr>
        <w:t>（三）监督管理部门:</w:t>
      </w:r>
      <w:r>
        <w:rPr>
          <w:rFonts w:hint="eastAsia" w:ascii="宋体" w:hAnsi="宋体" w:cs="宋体"/>
          <w:bCs/>
          <w:sz w:val="24"/>
          <w:szCs w:val="18"/>
          <w:highlight w:val="none"/>
          <w:lang w:val="en-US" w:eastAsia="zh-CN"/>
        </w:rPr>
        <w:t>肥西县教育体育局</w:t>
      </w:r>
    </w:p>
    <w:p w14:paraId="49A3FADB">
      <w:pPr>
        <w:autoSpaceDE w:val="0"/>
        <w:autoSpaceDN w:val="0"/>
        <w:adjustRightInd w:val="0"/>
        <w:spacing w:line="360" w:lineRule="auto"/>
        <w:ind w:firstLine="480"/>
        <w:jc w:val="left"/>
        <w:rPr>
          <w:rFonts w:hint="default" w:ascii="宋体" w:hAnsi="宋体" w:eastAsia="宋体" w:cs="宋体"/>
          <w:bCs/>
          <w:sz w:val="24"/>
          <w:szCs w:val="18"/>
          <w:highlight w:val="none"/>
          <w:lang w:val="en-US" w:eastAsia="zh-CN"/>
        </w:rPr>
      </w:pPr>
      <w:r>
        <w:rPr>
          <w:rFonts w:hint="eastAsia" w:ascii="宋体" w:hAnsi="宋体" w:cs="宋体"/>
          <w:bCs/>
          <w:sz w:val="24"/>
          <w:szCs w:val="18"/>
          <w:highlight w:val="none"/>
        </w:rPr>
        <w:t>地址：合肥市肥西县上派镇佛光路肥光办公区</w:t>
      </w:r>
      <w:r>
        <w:rPr>
          <w:rFonts w:hint="eastAsia" w:ascii="宋体" w:hAnsi="宋体" w:cs="宋体"/>
          <w:bCs/>
          <w:sz w:val="24"/>
          <w:szCs w:val="18"/>
          <w:highlight w:val="none"/>
          <w:lang w:val="en-US" w:eastAsia="zh-CN"/>
        </w:rPr>
        <w:t>4号楼</w:t>
      </w:r>
    </w:p>
    <w:p w14:paraId="7A0D1DE6">
      <w:pPr>
        <w:autoSpaceDE w:val="0"/>
        <w:autoSpaceDN w:val="0"/>
        <w:adjustRightInd w:val="0"/>
        <w:spacing w:line="360" w:lineRule="auto"/>
        <w:ind w:firstLine="480"/>
        <w:jc w:val="left"/>
        <w:rPr>
          <w:rFonts w:hint="default" w:ascii="宋体" w:hAnsi="宋体" w:eastAsia="宋体" w:cs="宋体"/>
          <w:bCs/>
          <w:sz w:val="24"/>
          <w:szCs w:val="18"/>
          <w:highlight w:val="none"/>
          <w:lang w:val="en-US" w:eastAsia="zh-CN"/>
        </w:rPr>
      </w:pPr>
      <w:r>
        <w:rPr>
          <w:rFonts w:hint="eastAsia" w:ascii="宋体" w:hAnsi="宋体" w:cs="宋体"/>
          <w:bCs/>
          <w:sz w:val="24"/>
          <w:szCs w:val="18"/>
          <w:highlight w:val="none"/>
        </w:rPr>
        <w:t>电话：</w:t>
      </w:r>
      <w:r>
        <w:rPr>
          <w:rFonts w:hint="eastAsia" w:ascii="宋体" w:hAnsi="宋体" w:cs="宋体"/>
          <w:bCs/>
          <w:sz w:val="24"/>
          <w:szCs w:val="18"/>
          <w:highlight w:val="none"/>
          <w:lang w:val="en-US" w:eastAsia="zh-CN"/>
        </w:rPr>
        <w:t>18019916668</w:t>
      </w:r>
    </w:p>
    <w:p w14:paraId="181455F7">
      <w:pPr>
        <w:autoSpaceDE w:val="0"/>
        <w:autoSpaceDN w:val="0"/>
        <w:adjustRightInd w:val="0"/>
        <w:spacing w:line="360" w:lineRule="auto"/>
        <w:ind w:firstLine="482"/>
        <w:jc w:val="left"/>
        <w:rPr>
          <w:rFonts w:hint="eastAsia" w:ascii="宋体" w:hAnsi="宋体" w:cs="宋体"/>
          <w:b/>
          <w:bCs/>
          <w:color w:val="000000" w:themeColor="text1"/>
          <w:szCs w:val="18"/>
          <w:highlight w:val="none"/>
          <w14:textFill>
            <w14:solidFill>
              <w14:schemeClr w14:val="tx1"/>
            </w14:solidFill>
          </w14:textFill>
        </w:rPr>
      </w:pPr>
      <w:r>
        <w:rPr>
          <w:rFonts w:hint="eastAsia" w:ascii="宋体" w:hAnsi="宋体" w:cs="宋体"/>
          <w:b/>
          <w:bCs/>
          <w:color w:val="000000" w:themeColor="text1"/>
          <w:szCs w:val="18"/>
          <w:highlight w:val="none"/>
          <w14:textFill>
            <w14:solidFill>
              <w14:schemeClr w14:val="tx1"/>
            </w14:solidFill>
          </w14:textFill>
        </w:rPr>
        <w:t>七、其他事项说明</w:t>
      </w:r>
    </w:p>
    <w:p w14:paraId="5F329AAD">
      <w:pPr>
        <w:spacing w:line="360" w:lineRule="auto"/>
        <w:ind w:firstLine="48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1.本项目相关信息同时在肥西县公共资源交易有限责任公司、优质采云采购平台、安徽省招标投标信息网、中国采购与招标网上发布；</w:t>
      </w:r>
    </w:p>
    <w:p w14:paraId="3364D6A9">
      <w:pPr>
        <w:spacing w:line="360" w:lineRule="auto"/>
        <w:ind w:firstLine="48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2.政府采购电子化交易要求：</w:t>
      </w:r>
    </w:p>
    <w:p w14:paraId="3E8BD5E1">
      <w:pPr>
        <w:spacing w:line="360" w:lineRule="auto"/>
        <w:ind w:firstLine="48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1）潜在投标人须登录“优质采云采购平台”（网址：www.youzhicai.com，以下称“优质采平台”）参与本项目采购活动。首次登录须办理注册手续，请务必选择注册为“投标人角色”类型。注册流程见优质采平台“用户注册”栏目，咨询电话：400-0099-555。因未及时办理注册手续影响参加采购活动的，责任自负。</w:t>
      </w:r>
    </w:p>
    <w:p w14:paraId="1598F354">
      <w:pPr>
        <w:spacing w:line="360" w:lineRule="auto"/>
        <w:ind w:firstLine="48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2）已注册的潜在投标人可登录优质采平台获取采购文件，本项目的采购文件及其他资料（含澄清、答疑及相关补充文件）通过优质采平台发布，业主单位/代理机构不再另行书面通知，潜在投标人应及时关注、查阅优质采平台。因未及时查看导致不利后果的，责任自负。</w:t>
      </w:r>
    </w:p>
    <w:p w14:paraId="27BBA825">
      <w:pPr>
        <w:spacing w:line="360" w:lineRule="auto"/>
        <w:ind w:firstLine="48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（3）已注册的潜在投标人若注册信息发生变更（如：与初始注册信息不一致），应及时网上提交变更申请。因未及时变更导致不利后果的，责任自负。</w:t>
      </w:r>
    </w:p>
    <w:p w14:paraId="652E69FB">
      <w:pPr>
        <w:spacing w:line="360" w:lineRule="auto"/>
        <w:ind w:firstLine="48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（4）本项目采用全流程电子化采购方式，潜在投标人须办理CA数字证书（以下简称CA），CA用于电子投标/</w:t>
      </w:r>
      <w:r>
        <w:rPr>
          <w:rFonts w:hint="eastAsia" w:ascii="宋体" w:hAnsi="宋体" w:cs="宋体"/>
          <w:color w:val="000000" w:themeColor="text1"/>
          <w:szCs w:val="18"/>
          <w:highlight w:val="none"/>
          <w:lang w:eastAsia="zh-CN"/>
          <w14:textFill>
            <w14:solidFill>
              <w14:schemeClr w14:val="tx1"/>
            </w14:solidFill>
          </w14:textFill>
        </w:rPr>
        <w:t>投标文件</w:t>
      </w:r>
      <w:r>
        <w:rPr>
          <w:rFonts w:hint="eastAsia" w:ascii="宋体" w:hAnsi="宋体" w:cs="宋体"/>
          <w:color w:val="000000" w:themeColor="text1"/>
          <w:szCs w:val="18"/>
          <w:highlight w:val="none"/>
          <w14:textFill>
            <w14:solidFill>
              <w14:schemeClr w14:val="tx1"/>
            </w14:solidFill>
          </w14:textFill>
        </w:rPr>
        <w:t>的签章及上传（上传</w:t>
      </w:r>
      <w:r>
        <w:rPr>
          <w:rFonts w:hint="eastAsia" w:ascii="宋体" w:hAnsi="宋体" w:cs="宋体"/>
          <w:color w:val="000000" w:themeColor="text1"/>
          <w:szCs w:val="18"/>
          <w:highlight w:val="none"/>
          <w:lang w:eastAsia="zh-CN"/>
          <w14:textFill>
            <w14:solidFill>
              <w14:schemeClr w14:val="tx1"/>
            </w14:solidFill>
          </w14:textFill>
        </w:rPr>
        <w:t>投标文件</w:t>
      </w:r>
      <w:r>
        <w:rPr>
          <w:rFonts w:hint="eastAsia" w:ascii="宋体" w:hAnsi="宋体" w:cs="宋体"/>
          <w:color w:val="000000" w:themeColor="text1"/>
          <w:szCs w:val="18"/>
          <w:highlight w:val="none"/>
          <w14:textFill>
            <w14:solidFill>
              <w14:schemeClr w14:val="tx1"/>
            </w14:solidFill>
          </w14:textFill>
        </w:rPr>
        <w:t>需使用CA进行加密）；CA办理详见《关于优质采平台数字证书办理的须知》（http://www.youzhicai.com/nd/a_8f80a7ec-911f-4c4d-a123-f8849880f045.html）；咨询热线：400-0099-555。CA锁线上办理地址：https://portal.youzhicai.com/ui/portal-sup/#/signature/list</w:t>
      </w:r>
    </w:p>
    <w:p w14:paraId="40A4BA85">
      <w:pPr>
        <w:autoSpaceDE w:val="0"/>
        <w:autoSpaceDN w:val="0"/>
        <w:adjustRightInd w:val="0"/>
        <w:spacing w:line="360" w:lineRule="auto"/>
        <w:ind w:firstLine="480" w:firstLineChars="20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（5）电子投标/</w:t>
      </w:r>
      <w:r>
        <w:rPr>
          <w:rFonts w:hint="eastAsia" w:ascii="宋体" w:hAnsi="宋体" w:cs="宋体"/>
          <w:color w:val="000000" w:themeColor="text1"/>
          <w:szCs w:val="18"/>
          <w:highlight w:val="none"/>
          <w:lang w:eastAsia="zh-CN"/>
          <w14:textFill>
            <w14:solidFill>
              <w14:schemeClr w14:val="tx1"/>
            </w14:solidFill>
          </w14:textFill>
        </w:rPr>
        <w:t>投标文件</w:t>
      </w:r>
      <w:r>
        <w:rPr>
          <w:rFonts w:hint="eastAsia" w:ascii="宋体" w:hAnsi="宋体" w:cs="宋体"/>
          <w:color w:val="000000" w:themeColor="text1"/>
          <w:szCs w:val="18"/>
          <w:highlight w:val="none"/>
          <w14:textFill>
            <w14:solidFill>
              <w14:schemeClr w14:val="tx1"/>
            </w14:solidFill>
          </w14:textFill>
        </w:rPr>
        <w:t>必须使用“优质采</w:t>
      </w:r>
      <w:r>
        <w:rPr>
          <w:rFonts w:hint="eastAsia" w:ascii="宋体" w:hAnsi="宋体" w:cs="宋体"/>
          <w:color w:val="000000" w:themeColor="text1"/>
          <w:szCs w:val="18"/>
          <w:highlight w:val="none"/>
          <w:lang w:eastAsia="zh-CN"/>
          <w14:textFill>
            <w14:solidFill>
              <w14:schemeClr w14:val="tx1"/>
            </w14:solidFill>
          </w14:textFill>
        </w:rPr>
        <w:t>投标文件</w:t>
      </w:r>
      <w:r>
        <w:rPr>
          <w:rFonts w:hint="eastAsia" w:ascii="宋体" w:hAnsi="宋体" w:cs="宋体"/>
          <w:color w:val="000000" w:themeColor="text1"/>
          <w:szCs w:val="18"/>
          <w:highlight w:val="none"/>
          <w14:textFill>
            <w14:solidFill>
              <w14:schemeClr w14:val="tx1"/>
            </w14:solidFill>
          </w14:textFill>
        </w:rPr>
        <w:t>制作工具”制作生成并上传。下载地址：http://toolcdn.youzhicai.com/tools/BidderTools.zip，使用说明书及视频教程下载地址:http://file.youzhicai.com/files/BidderHelp.rar。</w:t>
      </w:r>
    </w:p>
    <w:p w14:paraId="0A944F38">
      <w:pPr>
        <w:autoSpaceDE w:val="0"/>
        <w:autoSpaceDN w:val="0"/>
        <w:adjustRightInd w:val="0"/>
        <w:spacing w:line="360" w:lineRule="auto"/>
        <w:ind w:firstLine="480" w:firstLineChars="20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3.投标人应合理安排招标文件获取时间，特别是网络速度慢的地区防止在系统关闭前网络拥堵无法操作。如果因计算机及网络故障造成无法完成招标文件获取，责任自负。</w:t>
      </w:r>
    </w:p>
    <w:p w14:paraId="76AFD515">
      <w:pPr>
        <w:autoSpaceDE w:val="0"/>
        <w:autoSpaceDN w:val="0"/>
        <w:adjustRightInd w:val="0"/>
        <w:spacing w:line="360" w:lineRule="auto"/>
        <w:ind w:firstLine="480" w:firstLineChars="200"/>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t>4.本项目实施全流程电子化交易，</w:t>
      </w:r>
      <w:r>
        <w:rPr>
          <w:rFonts w:hint="eastAsia" w:ascii="宋体" w:hAnsi="宋体" w:cs="宋体"/>
          <w:color w:val="000000" w:themeColor="text1"/>
          <w:szCs w:val="18"/>
          <w:highlight w:val="none"/>
          <w:lang w:eastAsia="zh-CN"/>
          <w14:textFill>
            <w14:solidFill>
              <w14:schemeClr w14:val="tx1"/>
            </w14:solidFill>
          </w14:textFill>
        </w:rPr>
        <w:t>投标文件</w:t>
      </w:r>
      <w:r>
        <w:rPr>
          <w:rFonts w:hint="eastAsia" w:ascii="宋体" w:hAnsi="宋体" w:cs="宋体"/>
          <w:color w:val="000000" w:themeColor="text1"/>
          <w:szCs w:val="18"/>
          <w:highlight w:val="none"/>
          <w14:textFill>
            <w14:solidFill>
              <w14:schemeClr w14:val="tx1"/>
            </w14:solidFill>
          </w14:textFill>
        </w:rPr>
        <w:t>实施网上解密，投标人无需前往招标现场。</w:t>
      </w:r>
    </w:p>
    <w:p w14:paraId="528E7A3E">
      <w:pPr>
        <w:widowControl/>
        <w:jc w:val="left"/>
        <w:rPr>
          <w:rFonts w:hint="eastAsia" w:ascii="宋体" w:hAnsi="宋体" w:cs="宋体"/>
          <w:color w:val="000000" w:themeColor="text1"/>
          <w:szCs w:val="18"/>
          <w:highlight w:val="none"/>
          <w14:textFill>
            <w14:solidFill>
              <w14:schemeClr w14:val="tx1"/>
            </w14:solidFill>
          </w14:textFill>
        </w:rPr>
      </w:pPr>
      <w:r>
        <w:rPr>
          <w:rFonts w:hint="eastAsia" w:ascii="宋体" w:hAnsi="宋体" w:cs="宋体"/>
          <w:color w:val="000000" w:themeColor="text1"/>
          <w:szCs w:val="18"/>
          <w:highlight w:val="none"/>
          <w14:textFill>
            <w14:solidFill>
              <w14:schemeClr w14:val="tx1"/>
            </w14:solidFill>
          </w14:textFill>
        </w:rPr>
        <w:br w:type="page"/>
      </w:r>
    </w:p>
    <w:p w14:paraId="3EF480DA">
      <w:pPr>
        <w:pStyle w:val="2"/>
        <w:rPr>
          <w:rFonts w:hint="eastAsia" w:ascii="宋体" w:hAnsi="宋体" w:eastAsia="宋体"/>
          <w:color w:val="000000" w:themeColor="text1"/>
          <w:highlight w:val="none"/>
          <w14:textFill>
            <w14:solidFill>
              <w14:schemeClr w14:val="tx1"/>
            </w14:solidFill>
          </w14:textFill>
        </w:rPr>
      </w:pPr>
      <w:bookmarkStart w:id="8" w:name="_Toc21334"/>
      <w:bookmarkStart w:id="9" w:name="_Toc28233"/>
      <w:r>
        <w:rPr>
          <w:rFonts w:hint="eastAsia" w:ascii="宋体" w:hAnsi="宋体" w:eastAsia="宋体"/>
          <w:color w:val="000000" w:themeColor="text1"/>
          <w:highlight w:val="none"/>
          <w14:textFill>
            <w14:solidFill>
              <w14:schemeClr w14:val="tx1"/>
            </w14:solidFill>
          </w14:textFill>
        </w:rPr>
        <w:t>第二章投标人须</w:t>
      </w:r>
      <w:bookmarkEnd w:id="6"/>
      <w:r>
        <w:rPr>
          <w:rFonts w:hint="eastAsia" w:ascii="宋体" w:hAnsi="宋体" w:eastAsia="宋体"/>
          <w:color w:val="000000" w:themeColor="text1"/>
          <w:highlight w:val="none"/>
          <w14:textFill>
            <w14:solidFill>
              <w14:schemeClr w14:val="tx1"/>
            </w14:solidFill>
          </w14:textFill>
        </w:rPr>
        <w:t>知前</w:t>
      </w:r>
      <w:bookmarkEnd w:id="7"/>
      <w:r>
        <w:rPr>
          <w:rFonts w:hint="eastAsia" w:ascii="宋体" w:hAnsi="宋体" w:eastAsia="宋体"/>
          <w:color w:val="000000" w:themeColor="text1"/>
          <w:highlight w:val="none"/>
          <w14:textFill>
            <w14:solidFill>
              <w14:schemeClr w14:val="tx1"/>
            </w14:solidFill>
          </w14:textFill>
        </w:rPr>
        <w:t>附表</w:t>
      </w:r>
      <w:bookmarkEnd w:id="8"/>
      <w:bookmarkEnd w:id="9"/>
    </w:p>
    <w:tbl>
      <w:tblPr>
        <w:tblStyle w:val="18"/>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15"/>
        <w:gridCol w:w="7753"/>
      </w:tblGrid>
      <w:tr w14:paraId="339E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45000D5A">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
                <w:color w:val="000000" w:themeColor="text1"/>
                <w:kern w:val="21"/>
                <w:szCs w:val="24"/>
                <w:highlight w:val="none"/>
                <w14:textFill>
                  <w14:solidFill>
                    <w14:schemeClr w14:val="tx1"/>
                  </w14:solidFill>
                </w14:textFill>
              </w:rPr>
            </w:pPr>
            <w:bookmarkStart w:id="10" w:name="_Hlt509650027"/>
            <w:bookmarkEnd w:id="10"/>
            <w:bookmarkStart w:id="11" w:name="_Hlt516969057"/>
            <w:bookmarkEnd w:id="11"/>
            <w:bookmarkStart w:id="12" w:name="_Hlt204508754"/>
            <w:bookmarkEnd w:id="12"/>
            <w:bookmarkStart w:id="13" w:name="_Hlt519045778"/>
            <w:bookmarkEnd w:id="13"/>
            <w:bookmarkStart w:id="14" w:name="_Hlt509650351"/>
            <w:bookmarkEnd w:id="14"/>
            <w:r>
              <w:rPr>
                <w:rFonts w:hint="eastAsia" w:ascii="宋体" w:hAnsi="宋体" w:cs="宋体"/>
                <w:b/>
                <w:color w:val="000000" w:themeColor="text1"/>
                <w:kern w:val="21"/>
                <w:szCs w:val="24"/>
                <w:highlight w:val="none"/>
                <w14:textFill>
                  <w14:solidFill>
                    <w14:schemeClr w14:val="tx1"/>
                  </w14:solidFill>
                </w14:textFill>
              </w:rPr>
              <w:t>序号</w:t>
            </w:r>
          </w:p>
        </w:tc>
        <w:tc>
          <w:tcPr>
            <w:tcW w:w="1515" w:type="dxa"/>
            <w:vAlign w:val="center"/>
          </w:tcPr>
          <w:p w14:paraId="2E0D0D96">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
                <w:color w:val="000000" w:themeColor="text1"/>
                <w:kern w:val="21"/>
                <w:szCs w:val="24"/>
                <w:highlight w:val="none"/>
                <w14:textFill>
                  <w14:solidFill>
                    <w14:schemeClr w14:val="tx1"/>
                  </w14:solidFill>
                </w14:textFill>
              </w:rPr>
            </w:pPr>
            <w:r>
              <w:rPr>
                <w:rFonts w:hint="eastAsia" w:ascii="宋体" w:hAnsi="宋体" w:cs="宋体"/>
                <w:b/>
                <w:color w:val="000000" w:themeColor="text1"/>
                <w:kern w:val="21"/>
                <w:szCs w:val="24"/>
                <w:highlight w:val="none"/>
                <w14:textFill>
                  <w14:solidFill>
                    <w14:schemeClr w14:val="tx1"/>
                  </w14:solidFill>
                </w14:textFill>
              </w:rPr>
              <w:t>内容</w:t>
            </w:r>
          </w:p>
        </w:tc>
        <w:tc>
          <w:tcPr>
            <w:tcW w:w="7753" w:type="dxa"/>
            <w:vAlign w:val="center"/>
          </w:tcPr>
          <w:p w14:paraId="45CF0FCE">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center"/>
              <w:textAlignment w:val="auto"/>
              <w:rPr>
                <w:rFonts w:hint="eastAsia" w:cs="宋体"/>
                <w:bCs w:val="0"/>
                <w:color w:val="000000" w:themeColor="text1"/>
                <w:kern w:val="21"/>
                <w:sz w:val="24"/>
                <w:szCs w:val="24"/>
                <w:highlight w:val="none"/>
                <w14:textFill>
                  <w14:solidFill>
                    <w14:schemeClr w14:val="tx1"/>
                  </w14:solidFill>
                </w14:textFill>
              </w:rPr>
            </w:pPr>
            <w:r>
              <w:rPr>
                <w:rFonts w:hint="eastAsia" w:cs="宋体"/>
                <w:bCs w:val="0"/>
                <w:color w:val="000000" w:themeColor="text1"/>
                <w:kern w:val="21"/>
                <w:sz w:val="24"/>
                <w:szCs w:val="24"/>
                <w:highlight w:val="none"/>
                <w14:textFill>
                  <w14:solidFill>
                    <w14:schemeClr w14:val="tx1"/>
                  </w14:solidFill>
                </w14:textFill>
              </w:rPr>
              <w:t>说明与要求</w:t>
            </w:r>
          </w:p>
        </w:tc>
      </w:tr>
      <w:tr w14:paraId="05CA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54BC6C0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color w:val="000000" w:themeColor="text1"/>
                <w:kern w:val="21"/>
                <w:highlight w:val="none"/>
                <w14:textFill>
                  <w14:solidFill>
                    <w14:schemeClr w14:val="tx1"/>
                  </w14:solidFill>
                </w14:textFill>
              </w:rPr>
            </w:pPr>
            <w:r>
              <w:rPr>
                <w:rFonts w:hint="eastAsia"/>
                <w:color w:val="000000" w:themeColor="text1"/>
                <w:kern w:val="21"/>
                <w:highlight w:val="none"/>
                <w14:textFill>
                  <w14:solidFill>
                    <w14:schemeClr w14:val="tx1"/>
                  </w14:solidFill>
                </w14:textFill>
              </w:rPr>
              <w:t>1</w:t>
            </w:r>
          </w:p>
        </w:tc>
        <w:tc>
          <w:tcPr>
            <w:tcW w:w="1515" w:type="dxa"/>
            <w:vAlign w:val="center"/>
          </w:tcPr>
          <w:p w14:paraId="5B883CF3">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业主单位</w:t>
            </w:r>
          </w:p>
        </w:tc>
        <w:tc>
          <w:tcPr>
            <w:tcW w:w="7753" w:type="dxa"/>
            <w:vAlign w:val="center"/>
          </w:tcPr>
          <w:p w14:paraId="14972746">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eastAsia="宋体" w:cs="宋体"/>
                <w:b w:val="0"/>
                <w:color w:val="000000" w:themeColor="text1"/>
                <w:kern w:val="21"/>
                <w:sz w:val="24"/>
                <w:szCs w:val="24"/>
                <w:highlight w:val="none"/>
                <w:lang w:eastAsia="zh-CN"/>
                <w14:textFill>
                  <w14:solidFill>
                    <w14:schemeClr w14:val="tx1"/>
                  </w14:solidFill>
                </w14:textFill>
              </w:rPr>
            </w:pPr>
            <w:r>
              <w:rPr>
                <w:rFonts w:hint="eastAsia" w:ascii="宋体" w:hAnsi="宋体" w:eastAsia="宋体" w:cs="宋体"/>
                <w:b w:val="0"/>
                <w:color w:val="000000" w:themeColor="text1"/>
                <w:kern w:val="21"/>
                <w:sz w:val="24"/>
                <w:szCs w:val="24"/>
                <w:highlight w:val="none"/>
                <w:lang w:val="en-US" w:eastAsia="zh-CN"/>
                <w14:textFill>
                  <w14:solidFill>
                    <w14:schemeClr w14:val="tx1"/>
                  </w14:solidFill>
                </w14:textFill>
              </w:rPr>
              <w:t>肥西县直属机关幼儿园</w:t>
            </w:r>
          </w:p>
        </w:tc>
      </w:tr>
      <w:tr w14:paraId="52DE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3EB62AA5">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bCs/>
                <w:color w:val="000000" w:themeColor="text1"/>
                <w:kern w:val="21"/>
                <w:szCs w:val="24"/>
                <w:highlight w:val="none"/>
                <w14:textFill>
                  <w14:solidFill>
                    <w14:schemeClr w14:val="tx1"/>
                  </w14:solidFill>
                </w14:textFill>
              </w:rPr>
              <w:t>2</w:t>
            </w:r>
          </w:p>
        </w:tc>
        <w:tc>
          <w:tcPr>
            <w:tcW w:w="1515" w:type="dxa"/>
            <w:vAlign w:val="center"/>
          </w:tcPr>
          <w:p w14:paraId="6D8ECAD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bCs/>
                <w:color w:val="000000" w:themeColor="text1"/>
                <w:kern w:val="21"/>
                <w:szCs w:val="24"/>
                <w:highlight w:val="none"/>
                <w14:textFill>
                  <w14:solidFill>
                    <w14:schemeClr w14:val="tx1"/>
                  </w14:solidFill>
                </w14:textFill>
              </w:rPr>
              <w:t>委托人</w:t>
            </w:r>
          </w:p>
        </w:tc>
        <w:tc>
          <w:tcPr>
            <w:tcW w:w="7753" w:type="dxa"/>
            <w:vAlign w:val="center"/>
          </w:tcPr>
          <w:p w14:paraId="1A087E36">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eastAsia="宋体" w:cs="宋体"/>
                <w:b w:val="0"/>
                <w:bCs w:val="0"/>
                <w:color w:val="000000" w:themeColor="text1"/>
                <w:kern w:val="21"/>
                <w:sz w:val="24"/>
                <w:szCs w:val="24"/>
                <w:highlight w:val="none"/>
                <w:lang w:eastAsia="zh-CN"/>
                <w14:textFill>
                  <w14:solidFill>
                    <w14:schemeClr w14:val="tx1"/>
                  </w14:solidFill>
                </w14:textFill>
              </w:rPr>
            </w:pPr>
            <w:r>
              <w:rPr>
                <w:rFonts w:hint="eastAsia" w:ascii="宋体" w:hAnsi="宋体" w:eastAsia="宋体" w:cs="宋体"/>
                <w:b w:val="0"/>
                <w:color w:val="000000" w:themeColor="text1"/>
                <w:kern w:val="21"/>
                <w:sz w:val="24"/>
                <w:szCs w:val="24"/>
                <w:highlight w:val="none"/>
                <w:lang w:val="en-US" w:eastAsia="zh-CN"/>
                <w14:textFill>
                  <w14:solidFill>
                    <w14:schemeClr w14:val="tx1"/>
                  </w14:solidFill>
                </w14:textFill>
              </w:rPr>
              <w:t>肥西县直属机关幼儿园</w:t>
            </w:r>
          </w:p>
        </w:tc>
      </w:tr>
      <w:tr w14:paraId="07AF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434DEAE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bCs/>
                <w:color w:val="000000" w:themeColor="text1"/>
                <w:kern w:val="21"/>
                <w:szCs w:val="24"/>
                <w:highlight w:val="none"/>
                <w14:textFill>
                  <w14:solidFill>
                    <w14:schemeClr w14:val="tx1"/>
                  </w14:solidFill>
                </w14:textFill>
              </w:rPr>
              <w:t>3</w:t>
            </w:r>
          </w:p>
        </w:tc>
        <w:tc>
          <w:tcPr>
            <w:tcW w:w="1515" w:type="dxa"/>
            <w:vAlign w:val="center"/>
          </w:tcPr>
          <w:p w14:paraId="1F397B1C">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代理机构</w:t>
            </w:r>
          </w:p>
        </w:tc>
        <w:tc>
          <w:tcPr>
            <w:tcW w:w="7753" w:type="dxa"/>
            <w:vAlign w:val="center"/>
          </w:tcPr>
          <w:p w14:paraId="7B3496D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lang w:val="zh-CN"/>
                <w14:textFill>
                  <w14:solidFill>
                    <w14:schemeClr w14:val="tx1"/>
                  </w14:solidFill>
                </w14:textFill>
              </w:rPr>
            </w:pPr>
            <w:r>
              <w:rPr>
                <w:rFonts w:hint="eastAsia" w:ascii="宋体" w:hAnsi="宋体" w:cs="宋体"/>
                <w:color w:val="000000" w:themeColor="text1"/>
                <w:kern w:val="21"/>
                <w:szCs w:val="24"/>
                <w:highlight w:val="none"/>
                <w:lang w:val="zh-CN"/>
                <w14:textFill>
                  <w14:solidFill>
                    <w14:schemeClr w14:val="tx1"/>
                  </w14:solidFill>
                </w14:textFill>
              </w:rPr>
              <w:t>名称：肥西县公共资源交易有限责任公司</w:t>
            </w:r>
          </w:p>
          <w:p w14:paraId="2B8AD23A">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b/>
                <w:bCs/>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lang w:val="zh-CN"/>
                <w14:textFill>
                  <w14:solidFill>
                    <w14:schemeClr w14:val="tx1"/>
                  </w14:solidFill>
                </w14:textFill>
              </w:rPr>
              <w:t>地址：</w:t>
            </w:r>
            <w:r>
              <w:rPr>
                <w:rFonts w:hint="eastAsia" w:ascii="宋体" w:hAnsi="宋体" w:cs="宋体"/>
                <w:color w:val="000000" w:themeColor="text1"/>
                <w:kern w:val="21"/>
                <w:szCs w:val="18"/>
                <w:highlight w:val="none"/>
                <w14:textFill>
                  <w14:solidFill>
                    <w14:schemeClr w14:val="tx1"/>
                  </w14:solidFill>
                </w14:textFill>
              </w:rPr>
              <w:t>肥西县上派镇紫石路与佛光路交叉口肥光办公区3号楼2楼</w:t>
            </w:r>
          </w:p>
        </w:tc>
      </w:tr>
      <w:tr w14:paraId="66F7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7ECFC89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bCs/>
                <w:color w:val="000000" w:themeColor="text1"/>
                <w:kern w:val="21"/>
                <w:szCs w:val="24"/>
                <w:highlight w:val="none"/>
                <w14:textFill>
                  <w14:solidFill>
                    <w14:schemeClr w14:val="tx1"/>
                  </w14:solidFill>
                </w14:textFill>
              </w:rPr>
              <w:t>4</w:t>
            </w:r>
          </w:p>
        </w:tc>
        <w:tc>
          <w:tcPr>
            <w:tcW w:w="1515" w:type="dxa"/>
            <w:vAlign w:val="center"/>
          </w:tcPr>
          <w:p w14:paraId="044F43D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项目名称</w:t>
            </w:r>
          </w:p>
        </w:tc>
        <w:tc>
          <w:tcPr>
            <w:tcW w:w="7753" w:type="dxa"/>
            <w:vAlign w:val="center"/>
          </w:tcPr>
          <w:p w14:paraId="3C0844C2">
            <w:pPr>
              <w:autoSpaceDE w:val="0"/>
              <w:autoSpaceDN w:val="0"/>
              <w:adjustRightInd w:val="0"/>
              <w:spacing w:line="360" w:lineRule="auto"/>
              <w:jc w:val="left"/>
              <w:rPr>
                <w:rFonts w:hint="eastAsia" w:eastAsia="宋体" w:cs="宋体"/>
                <w:b w:val="0"/>
                <w:bCs w:val="0"/>
                <w:color w:val="000000" w:themeColor="text1"/>
                <w:kern w:val="21"/>
                <w:sz w:val="24"/>
                <w:szCs w:val="24"/>
                <w:highlight w:val="none"/>
                <w:lang w:eastAsia="zh-CN"/>
                <w14:textFill>
                  <w14:solidFill>
                    <w14:schemeClr w14:val="tx1"/>
                  </w14:solidFill>
                </w14:textFill>
              </w:rPr>
            </w:pPr>
            <w:r>
              <w:rPr>
                <w:rFonts w:hint="eastAsia" w:ascii="宋体" w:hAnsi="宋体" w:eastAsia="宋体" w:cs="宋体"/>
                <w:sz w:val="24"/>
                <w:szCs w:val="24"/>
                <w:lang w:val="en-US" w:eastAsia="zh-CN"/>
              </w:rPr>
              <w:t>肥西县直属机关幼儿园（含分园）食堂大宗食材采购配送</w:t>
            </w:r>
          </w:p>
        </w:tc>
      </w:tr>
      <w:tr w14:paraId="0C72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4F92DC9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bCs/>
                <w:color w:val="000000" w:themeColor="text1"/>
                <w:kern w:val="21"/>
                <w:szCs w:val="24"/>
                <w:highlight w:val="none"/>
                <w14:textFill>
                  <w14:solidFill>
                    <w14:schemeClr w14:val="tx1"/>
                  </w14:solidFill>
                </w14:textFill>
              </w:rPr>
              <w:t>5</w:t>
            </w:r>
          </w:p>
        </w:tc>
        <w:tc>
          <w:tcPr>
            <w:tcW w:w="1515" w:type="dxa"/>
            <w:vAlign w:val="center"/>
          </w:tcPr>
          <w:p w14:paraId="5025695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项目编号</w:t>
            </w:r>
          </w:p>
        </w:tc>
        <w:tc>
          <w:tcPr>
            <w:tcW w:w="7753" w:type="dxa"/>
            <w:vAlign w:val="center"/>
          </w:tcPr>
          <w:p w14:paraId="464627CF">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eastAsia="宋体" w:cs="宋体"/>
                <w:b w:val="0"/>
                <w:bCs w:val="0"/>
                <w:color w:val="000000" w:themeColor="text1"/>
                <w:kern w:val="21"/>
                <w:sz w:val="24"/>
                <w:szCs w:val="24"/>
                <w:highlight w:val="none"/>
                <w:lang w:eastAsia="zh-CN"/>
                <w14:textFill>
                  <w14:solidFill>
                    <w14:schemeClr w14:val="tx1"/>
                  </w14:solidFill>
                </w14:textFill>
              </w:rPr>
            </w:pPr>
            <w:r>
              <w:rPr>
                <w:rFonts w:hint="eastAsia" w:ascii="宋体" w:hAnsi="宋体" w:eastAsia="宋体" w:cs="宋体"/>
                <w:b w:val="0"/>
                <w:bCs w:val="0"/>
                <w:kern w:val="2"/>
                <w:sz w:val="24"/>
                <w:szCs w:val="24"/>
                <w:lang w:val="en-US" w:eastAsia="zh-CN" w:bidi="ar-SA"/>
              </w:rPr>
              <w:t>2026GSFZ0002</w:t>
            </w:r>
          </w:p>
        </w:tc>
      </w:tr>
      <w:tr w14:paraId="693A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0F48442D">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bCs/>
                <w:color w:val="000000" w:themeColor="text1"/>
                <w:kern w:val="21"/>
                <w:szCs w:val="24"/>
                <w:highlight w:val="none"/>
                <w14:textFill>
                  <w14:solidFill>
                    <w14:schemeClr w14:val="tx1"/>
                  </w14:solidFill>
                </w14:textFill>
              </w:rPr>
              <w:t>6</w:t>
            </w:r>
          </w:p>
        </w:tc>
        <w:tc>
          <w:tcPr>
            <w:tcW w:w="1515" w:type="dxa"/>
            <w:vAlign w:val="center"/>
          </w:tcPr>
          <w:p w14:paraId="626C35EE">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项目性质</w:t>
            </w:r>
          </w:p>
        </w:tc>
        <w:tc>
          <w:tcPr>
            <w:tcW w:w="7753" w:type="dxa"/>
            <w:vAlign w:val="center"/>
          </w:tcPr>
          <w:p w14:paraId="6C5DE584">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b w:val="0"/>
                <w:bCs w:val="0"/>
                <w:color w:val="000000" w:themeColor="text1"/>
                <w:kern w:val="21"/>
                <w:sz w:val="24"/>
                <w:szCs w:val="24"/>
                <w:highlight w:val="none"/>
                <w14:textFill>
                  <w14:solidFill>
                    <w14:schemeClr w14:val="tx1"/>
                  </w14:solidFill>
                </w14:textFill>
              </w:rPr>
            </w:pPr>
            <w:r>
              <w:rPr>
                <w:rFonts w:hint="eastAsia" w:cs="宋体"/>
                <w:b w:val="0"/>
                <w:bCs w:val="0"/>
                <w:color w:val="000000" w:themeColor="text1"/>
                <w:kern w:val="21"/>
                <w:sz w:val="24"/>
                <w:szCs w:val="24"/>
                <w:highlight w:val="none"/>
                <w14:textFill>
                  <w14:solidFill>
                    <w14:schemeClr w14:val="tx1"/>
                  </w14:solidFill>
                </w14:textFill>
              </w:rPr>
              <w:t>服务类</w:t>
            </w:r>
          </w:p>
        </w:tc>
      </w:tr>
      <w:tr w14:paraId="502A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15D72C52">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bCs/>
                <w:color w:val="000000" w:themeColor="text1"/>
                <w:kern w:val="21"/>
                <w:szCs w:val="24"/>
                <w:highlight w:val="none"/>
                <w14:textFill>
                  <w14:solidFill>
                    <w14:schemeClr w14:val="tx1"/>
                  </w14:solidFill>
                </w14:textFill>
              </w:rPr>
              <w:t>7</w:t>
            </w:r>
          </w:p>
        </w:tc>
        <w:tc>
          <w:tcPr>
            <w:tcW w:w="1515" w:type="dxa"/>
            <w:vAlign w:val="center"/>
          </w:tcPr>
          <w:p w14:paraId="7ACBF54A">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center"/>
              <w:textAlignment w:val="auto"/>
              <w:rPr>
                <w:rFonts w:hint="eastAsia" w:cs="宋体"/>
                <w:b w:val="0"/>
                <w:bCs w:val="0"/>
                <w:color w:val="000000" w:themeColor="text1"/>
                <w:kern w:val="21"/>
                <w:sz w:val="24"/>
                <w:szCs w:val="24"/>
                <w:highlight w:val="none"/>
                <w14:textFill>
                  <w14:solidFill>
                    <w14:schemeClr w14:val="tx1"/>
                  </w14:solidFill>
                </w14:textFill>
              </w:rPr>
            </w:pPr>
            <w:r>
              <w:rPr>
                <w:rFonts w:hint="eastAsia" w:cs="宋体"/>
                <w:b w:val="0"/>
                <w:bCs w:val="0"/>
                <w:color w:val="000000" w:themeColor="text1"/>
                <w:kern w:val="21"/>
                <w:sz w:val="24"/>
                <w:szCs w:val="24"/>
                <w:highlight w:val="none"/>
                <w14:textFill>
                  <w14:solidFill>
                    <w14:schemeClr w14:val="tx1"/>
                  </w14:solidFill>
                </w14:textFill>
              </w:rPr>
              <w:t>资金来源</w:t>
            </w:r>
          </w:p>
        </w:tc>
        <w:tc>
          <w:tcPr>
            <w:tcW w:w="7753" w:type="dxa"/>
            <w:vAlign w:val="center"/>
          </w:tcPr>
          <w:p w14:paraId="7D8E1E3A">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b w:val="0"/>
                <w:bCs w:val="0"/>
                <w:color w:val="000000" w:themeColor="text1"/>
                <w:kern w:val="21"/>
                <w:sz w:val="24"/>
                <w:szCs w:val="24"/>
                <w:highlight w:val="none"/>
                <w14:textFill>
                  <w14:solidFill>
                    <w14:schemeClr w14:val="tx1"/>
                  </w14:solidFill>
                </w14:textFill>
              </w:rPr>
            </w:pPr>
            <w:r>
              <w:rPr>
                <w:rFonts w:hint="eastAsia" w:cs="宋体"/>
                <w:b w:val="0"/>
                <w:bCs w:val="0"/>
                <w:color w:val="000000" w:themeColor="text1"/>
                <w:kern w:val="21"/>
                <w:sz w:val="24"/>
                <w:szCs w:val="24"/>
                <w:highlight w:val="none"/>
                <w14:textFill>
                  <w14:solidFill>
                    <w14:schemeClr w14:val="tx1"/>
                  </w14:solidFill>
                </w14:textFill>
              </w:rPr>
              <w:t>□财政投资</w:t>
            </w:r>
            <w:r>
              <w:rPr>
                <w:rFonts w:hint="eastAsia" w:cs="宋体"/>
                <w:b w:val="0"/>
                <w:bCs w:val="0"/>
                <w:color w:val="000000" w:themeColor="text1"/>
                <w:kern w:val="21"/>
                <w:sz w:val="24"/>
                <w:szCs w:val="24"/>
                <w:highlight w:val="none"/>
                <w14:textFill>
                  <w14:solidFill>
                    <w14:schemeClr w14:val="tx1"/>
                  </w14:solidFill>
                </w14:textFill>
              </w:rPr>
              <w:sym w:font="Wingdings" w:char="00FE"/>
            </w:r>
            <w:r>
              <w:rPr>
                <w:rFonts w:hint="eastAsia" w:cs="宋体"/>
                <w:b w:val="0"/>
                <w:bCs w:val="0"/>
                <w:color w:val="000000" w:themeColor="text1"/>
                <w:kern w:val="21"/>
                <w:sz w:val="24"/>
                <w:szCs w:val="24"/>
                <w:highlight w:val="none"/>
                <w14:textFill>
                  <w14:solidFill>
                    <w14:schemeClr w14:val="tx1"/>
                  </w14:solidFill>
                </w14:textFill>
              </w:rPr>
              <w:t>业主单位自筹</w:t>
            </w:r>
            <w:r>
              <w:rPr>
                <w:rFonts w:hint="eastAsia" w:ascii="Segoe UI Symbol" w:hAnsi="Segoe UI Symbol" w:cs="Segoe UI Symbol"/>
                <w:b w:val="0"/>
                <w:bCs w:val="0"/>
                <w:color w:val="000000" w:themeColor="text1"/>
                <w:kern w:val="21"/>
                <w:sz w:val="24"/>
                <w:szCs w:val="24"/>
                <w:highlight w:val="none"/>
                <w:lang w:eastAsia="zh-CN"/>
                <w14:textFill>
                  <w14:solidFill>
                    <w14:schemeClr w14:val="tx1"/>
                  </w14:solidFill>
                </w14:textFill>
              </w:rPr>
              <w:t>□</w:t>
            </w:r>
            <w:r>
              <w:rPr>
                <w:rFonts w:hint="eastAsia" w:cs="宋体"/>
                <w:b w:val="0"/>
                <w:bCs w:val="0"/>
                <w:color w:val="000000" w:themeColor="text1"/>
                <w:kern w:val="21"/>
                <w:sz w:val="24"/>
                <w:szCs w:val="24"/>
                <w:highlight w:val="none"/>
                <w14:textFill>
                  <w14:solidFill>
                    <w14:schemeClr w14:val="tx1"/>
                  </w14:solidFill>
                </w14:textFill>
              </w:rPr>
              <w:t>其他</w:t>
            </w:r>
          </w:p>
        </w:tc>
      </w:tr>
      <w:tr w14:paraId="233A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0B287F2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8</w:t>
            </w:r>
          </w:p>
        </w:tc>
        <w:tc>
          <w:tcPr>
            <w:tcW w:w="1515" w:type="dxa"/>
            <w:vAlign w:val="center"/>
          </w:tcPr>
          <w:p w14:paraId="2BA1DE6B">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lang w:val="zh-CN"/>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包别划分</w:t>
            </w:r>
          </w:p>
        </w:tc>
        <w:tc>
          <w:tcPr>
            <w:tcW w:w="7753" w:type="dxa"/>
            <w:vAlign w:val="center"/>
          </w:tcPr>
          <w:p w14:paraId="7BDE8902">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b/>
                <w:bCs/>
                <w:color w:val="000000" w:themeColor="text1"/>
                <w:kern w:val="21"/>
                <w:szCs w:val="24"/>
                <w:highlight w:val="none"/>
                <w14:textFill>
                  <w14:solidFill>
                    <w14:schemeClr w14:val="tx1"/>
                  </w14:solidFill>
                </w14:textFill>
              </w:rPr>
              <w:sym w:font="Wingdings" w:char="F0FE"/>
            </w:r>
            <w:r>
              <w:rPr>
                <w:rFonts w:hint="eastAsia" w:ascii="宋体" w:hAnsi="宋体" w:cs="宋体"/>
                <w:color w:val="000000" w:themeColor="text1"/>
                <w:kern w:val="21"/>
                <w:szCs w:val="24"/>
                <w:highlight w:val="none"/>
                <w14:textFill>
                  <w14:solidFill>
                    <w14:schemeClr w14:val="tx1"/>
                  </w14:solidFill>
                </w14:textFill>
              </w:rPr>
              <w:t>不分包别□分为个包别</w:t>
            </w:r>
          </w:p>
        </w:tc>
      </w:tr>
      <w:tr w14:paraId="40AB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295FE97D">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lang w:val="zh-CN"/>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9</w:t>
            </w:r>
          </w:p>
        </w:tc>
        <w:tc>
          <w:tcPr>
            <w:tcW w:w="1515" w:type="dxa"/>
            <w:vAlign w:val="center"/>
          </w:tcPr>
          <w:p w14:paraId="5F8D17B5">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联合体招标</w:t>
            </w:r>
          </w:p>
        </w:tc>
        <w:tc>
          <w:tcPr>
            <w:tcW w:w="7753" w:type="dxa"/>
            <w:vAlign w:val="center"/>
          </w:tcPr>
          <w:p w14:paraId="42D3568B">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lang w:val="zh-CN"/>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w:t>
            </w:r>
            <w:r>
              <w:rPr>
                <w:rFonts w:hint="eastAsia" w:ascii="宋体" w:hAnsi="宋体" w:cs="宋体"/>
                <w:color w:val="000000" w:themeColor="text1"/>
                <w:kern w:val="21"/>
                <w:szCs w:val="24"/>
                <w:highlight w:val="none"/>
                <w:lang w:val="zh-CN"/>
                <w14:textFill>
                  <w14:solidFill>
                    <w14:schemeClr w14:val="tx1"/>
                  </w14:solidFill>
                </w14:textFill>
              </w:rPr>
              <w:t>接受</w:t>
            </w:r>
            <w:r>
              <w:rPr>
                <w:rFonts w:hint="eastAsia" w:ascii="宋体" w:hAnsi="宋体" w:cs="宋体"/>
                <w:b/>
                <w:bCs/>
                <w:color w:val="000000" w:themeColor="text1"/>
                <w:kern w:val="21"/>
                <w:szCs w:val="24"/>
                <w:highlight w:val="none"/>
                <w14:textFill>
                  <w14:solidFill>
                    <w14:schemeClr w14:val="tx1"/>
                  </w14:solidFill>
                </w14:textFill>
              </w:rPr>
              <w:sym w:font="Wingdings" w:char="00FE"/>
            </w:r>
            <w:r>
              <w:rPr>
                <w:rFonts w:hint="eastAsia" w:ascii="宋体" w:hAnsi="宋体" w:cs="宋体"/>
                <w:color w:val="000000" w:themeColor="text1"/>
                <w:kern w:val="21"/>
                <w:szCs w:val="24"/>
                <w:highlight w:val="none"/>
                <w14:textFill>
                  <w14:solidFill>
                    <w14:schemeClr w14:val="tx1"/>
                  </w14:solidFill>
                </w14:textFill>
              </w:rPr>
              <w:t>不</w:t>
            </w:r>
            <w:r>
              <w:rPr>
                <w:rFonts w:hint="eastAsia" w:ascii="宋体" w:hAnsi="宋体" w:cs="宋体"/>
                <w:color w:val="000000" w:themeColor="text1"/>
                <w:kern w:val="21"/>
                <w:szCs w:val="24"/>
                <w:highlight w:val="none"/>
                <w:lang w:val="zh-CN"/>
                <w14:textFill>
                  <w14:solidFill>
                    <w14:schemeClr w14:val="tx1"/>
                  </w14:solidFill>
                </w14:textFill>
              </w:rPr>
              <w:t>接受</w:t>
            </w:r>
          </w:p>
        </w:tc>
      </w:tr>
      <w:tr w14:paraId="5ED3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1BC4F16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10</w:t>
            </w:r>
          </w:p>
        </w:tc>
        <w:tc>
          <w:tcPr>
            <w:tcW w:w="1515" w:type="dxa"/>
            <w:vAlign w:val="center"/>
          </w:tcPr>
          <w:p w14:paraId="6D6CC7D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招标有效期</w:t>
            </w:r>
          </w:p>
        </w:tc>
        <w:tc>
          <w:tcPr>
            <w:tcW w:w="7753" w:type="dxa"/>
            <w:vAlign w:val="center"/>
          </w:tcPr>
          <w:p w14:paraId="013B6664">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120天</w:t>
            </w:r>
          </w:p>
        </w:tc>
      </w:tr>
      <w:tr w14:paraId="7E1ED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7A482EF9">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11</w:t>
            </w:r>
          </w:p>
        </w:tc>
        <w:tc>
          <w:tcPr>
            <w:tcW w:w="1515" w:type="dxa"/>
            <w:vAlign w:val="center"/>
          </w:tcPr>
          <w:p w14:paraId="3E3F0B3B">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投标保证金及电子交易服务费</w:t>
            </w:r>
          </w:p>
        </w:tc>
        <w:tc>
          <w:tcPr>
            <w:tcW w:w="7753" w:type="dxa"/>
            <w:vAlign w:val="center"/>
          </w:tcPr>
          <w:p w14:paraId="139EAB2E">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是否要求投标人递交投标保证金：</w:t>
            </w:r>
          </w:p>
          <w:p w14:paraId="4919C7E5">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b/>
                <w:bCs/>
                <w:color w:val="000000" w:themeColor="text1"/>
                <w:kern w:val="21"/>
                <w:szCs w:val="24"/>
                <w:highlight w:val="none"/>
                <w14:textFill>
                  <w14:solidFill>
                    <w14:schemeClr w14:val="tx1"/>
                  </w14:solidFill>
                </w14:textFill>
              </w:rPr>
            </w:pPr>
            <w:r>
              <w:rPr>
                <w:rFonts w:ascii="Segoe UI Symbol" w:hAnsi="Segoe UI Symbol" w:cs="Segoe UI Symbol"/>
                <w:color w:val="000000" w:themeColor="text1"/>
                <w:kern w:val="21"/>
                <w:szCs w:val="24"/>
                <w:highlight w:val="none"/>
                <w14:textFill>
                  <w14:solidFill>
                    <w14:schemeClr w14:val="tx1"/>
                  </w14:solidFill>
                </w14:textFill>
              </w:rPr>
              <w:t>☑</w:t>
            </w:r>
            <w:r>
              <w:rPr>
                <w:rFonts w:hint="eastAsia" w:ascii="宋体" w:hAnsi="宋体" w:cs="宋体"/>
                <w:color w:val="000000" w:themeColor="text1"/>
                <w:kern w:val="21"/>
                <w:szCs w:val="24"/>
                <w:highlight w:val="none"/>
                <w14:textFill>
                  <w14:solidFill>
                    <w14:schemeClr w14:val="tx1"/>
                  </w14:solidFill>
                </w14:textFill>
              </w:rPr>
              <w:t>不要求</w:t>
            </w:r>
          </w:p>
          <w:p w14:paraId="7D168144">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Segoe UI Symbol" w:hAnsi="Segoe UI Symbol" w:cs="Segoe UI Symbol"/>
                <w:color w:val="000000" w:themeColor="text1"/>
                <w:kern w:val="21"/>
                <w:szCs w:val="24"/>
                <w:highlight w:val="none"/>
                <w14:textFill>
                  <w14:solidFill>
                    <w14:schemeClr w14:val="tx1"/>
                  </w14:solidFill>
                </w14:textFill>
              </w:rPr>
              <w:t>□</w:t>
            </w:r>
            <w:r>
              <w:rPr>
                <w:rFonts w:hint="eastAsia" w:ascii="宋体" w:hAnsi="宋体" w:cs="宋体"/>
                <w:color w:val="000000" w:themeColor="text1"/>
                <w:kern w:val="21"/>
                <w:szCs w:val="24"/>
                <w:highlight w:val="none"/>
                <w14:textFill>
                  <w14:solidFill>
                    <w14:schemeClr w14:val="tx1"/>
                  </w14:solidFill>
                </w14:textFill>
              </w:rPr>
              <w:t>要求</w:t>
            </w:r>
          </w:p>
          <w:p w14:paraId="636A0F2D">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是否要求投标人递交电子交易服务费：</w:t>
            </w:r>
          </w:p>
          <w:p w14:paraId="76D52CC0">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b/>
                <w:bCs/>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□不要求</w:t>
            </w:r>
          </w:p>
          <w:p w14:paraId="6B22C82B">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b/>
                <w:bCs/>
                <w:color w:val="000000" w:themeColor="text1"/>
                <w:kern w:val="21"/>
                <w:szCs w:val="24"/>
                <w:highlight w:val="none"/>
                <w14:textFill>
                  <w14:solidFill>
                    <w14:schemeClr w14:val="tx1"/>
                  </w14:solidFill>
                </w14:textFill>
              </w:rPr>
            </w:pPr>
            <w:r>
              <w:rPr>
                <w:rFonts w:ascii="Segoe UI Symbol" w:hAnsi="Segoe UI Symbol" w:cs="Segoe UI Symbol"/>
                <w:b/>
                <w:bCs/>
                <w:color w:val="000000" w:themeColor="text1"/>
                <w:kern w:val="21"/>
                <w:szCs w:val="24"/>
                <w:highlight w:val="none"/>
                <w14:textFill>
                  <w14:solidFill>
                    <w14:schemeClr w14:val="tx1"/>
                  </w14:solidFill>
                </w14:textFill>
              </w:rPr>
              <w:t>☑</w:t>
            </w:r>
            <w:r>
              <w:rPr>
                <w:rFonts w:hint="eastAsia" w:ascii="宋体" w:hAnsi="宋体" w:cs="宋体"/>
                <w:b/>
                <w:bCs/>
                <w:color w:val="000000" w:themeColor="text1"/>
                <w:kern w:val="21"/>
                <w:szCs w:val="24"/>
                <w:highlight w:val="none"/>
                <w14:textFill>
                  <w14:solidFill>
                    <w14:schemeClr w14:val="tx1"/>
                  </w14:solidFill>
                </w14:textFill>
              </w:rPr>
              <w:t>要求</w:t>
            </w:r>
          </w:p>
          <w:p w14:paraId="306614BB">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000000" w:themeColor="text1"/>
                <w:kern w:val="21"/>
                <w:szCs w:val="24"/>
                <w:highlight w:val="none"/>
                <w:lang w:eastAsia="zh-CN"/>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电子交易服务费的形式：</w:t>
            </w:r>
            <w:r>
              <w:rPr>
                <w:rFonts w:hint="eastAsia" w:ascii="宋体" w:hAnsi="宋体" w:cs="宋体"/>
                <w:b/>
                <w:bCs/>
                <w:color w:val="000000" w:themeColor="text1"/>
                <w:kern w:val="21"/>
                <w:szCs w:val="24"/>
                <w:highlight w:val="none"/>
                <w14:textFill>
                  <w14:solidFill>
                    <w14:schemeClr w14:val="tx1"/>
                  </w14:solidFill>
                </w14:textFill>
              </w:rPr>
              <w:sym w:font="Wingdings" w:char="00FE"/>
            </w:r>
            <w:r>
              <w:rPr>
                <w:rFonts w:hint="eastAsia" w:ascii="宋体" w:hAnsi="宋体" w:cs="宋体"/>
                <w:color w:val="000000" w:themeColor="text1"/>
                <w:kern w:val="21"/>
                <w:szCs w:val="24"/>
                <w:highlight w:val="none"/>
                <w14:textFill>
                  <w14:solidFill>
                    <w14:schemeClr w14:val="tx1"/>
                  </w14:solidFill>
                </w14:textFill>
              </w:rPr>
              <w:t>银行转账</w:t>
            </w:r>
            <w:r>
              <w:rPr>
                <w:rFonts w:hint="eastAsia" w:ascii="宋体" w:hAnsi="宋体" w:cs="宋体"/>
                <w:b/>
                <w:bCs/>
                <w:color w:val="000000" w:themeColor="text1"/>
                <w:kern w:val="21"/>
                <w:szCs w:val="24"/>
                <w:highlight w:val="none"/>
                <w14:textFill>
                  <w14:solidFill>
                    <w14:schemeClr w14:val="tx1"/>
                  </w14:solidFill>
                </w14:textFill>
              </w:rPr>
              <w:sym w:font="Wingdings" w:char="00FE"/>
            </w:r>
            <w:r>
              <w:rPr>
                <w:rFonts w:hint="eastAsia" w:ascii="宋体" w:hAnsi="宋体" w:cs="宋体"/>
                <w:color w:val="000000" w:themeColor="text1"/>
                <w:kern w:val="21"/>
                <w:szCs w:val="24"/>
                <w:highlight w:val="none"/>
                <w14:textFill>
                  <w14:solidFill>
                    <w14:schemeClr w14:val="tx1"/>
                  </w14:solidFill>
                </w14:textFill>
              </w:rPr>
              <w:t>银行电汇</w:t>
            </w:r>
          </w:p>
          <w:p w14:paraId="57360E3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b/>
                <w:bCs/>
                <w:color w:val="000000" w:themeColor="text1"/>
                <w:kern w:val="21"/>
                <w:szCs w:val="24"/>
                <w:highlight w:val="none"/>
                <w14:textFill>
                  <w14:solidFill>
                    <w14:schemeClr w14:val="tx1"/>
                  </w14:solidFill>
                </w14:textFill>
              </w:rPr>
            </w:pPr>
            <w:r>
              <w:rPr>
                <w:rFonts w:hint="eastAsia" w:ascii="宋体" w:hAnsi="宋体" w:cs="宋体"/>
                <w:b/>
                <w:bCs/>
                <w:color w:val="000000" w:themeColor="text1"/>
                <w:kern w:val="21"/>
                <w:szCs w:val="24"/>
                <w:highlight w:val="none"/>
                <w14:textFill>
                  <w14:solidFill>
                    <w14:schemeClr w14:val="tx1"/>
                  </w14:solidFill>
                </w14:textFill>
              </w:rPr>
              <w:t>电子交易服务费的金额：人民币200元，售后不退。</w:t>
            </w:r>
          </w:p>
          <w:p w14:paraId="4FCB59D9">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000000" w:themeColor="text1"/>
                <w:kern w:val="21"/>
                <w:szCs w:val="24"/>
                <w:highlight w:val="none"/>
                <w:lang w:eastAsia="zh-CN"/>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递交要求：</w:t>
            </w:r>
          </w:p>
          <w:p w14:paraId="4742B0D3">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①电子交易服务费的到账截止时间：同</w:t>
            </w:r>
            <w:r>
              <w:rPr>
                <w:rFonts w:hint="eastAsia" w:ascii="宋体" w:hAnsi="宋体" w:cs="宋体"/>
                <w:color w:val="000000" w:themeColor="text1"/>
                <w:kern w:val="21"/>
                <w:szCs w:val="24"/>
                <w:highlight w:val="none"/>
                <w:lang w:val="en-US" w:eastAsia="zh-CN"/>
                <w14:textFill>
                  <w14:solidFill>
                    <w14:schemeClr w14:val="tx1"/>
                  </w14:solidFill>
                </w14:textFill>
              </w:rPr>
              <w:t>开标</w:t>
            </w:r>
            <w:r>
              <w:rPr>
                <w:rFonts w:hint="eastAsia" w:ascii="宋体" w:hAnsi="宋体" w:cs="宋体"/>
                <w:color w:val="000000" w:themeColor="text1"/>
                <w:kern w:val="21"/>
                <w:szCs w:val="24"/>
                <w:highlight w:val="none"/>
                <w14:textFill>
                  <w14:solidFill>
                    <w14:schemeClr w14:val="tx1"/>
                  </w14:solidFill>
                </w14:textFill>
              </w:rPr>
              <w:t>时间。</w:t>
            </w:r>
          </w:p>
          <w:p w14:paraId="64866412">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②电子交易服务费应当从投标人账户转出。</w:t>
            </w:r>
          </w:p>
          <w:p w14:paraId="12B9E314">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bookmarkStart w:id="15" w:name="OLE_LINK1"/>
            <w:r>
              <w:rPr>
                <w:rFonts w:hint="eastAsia" w:ascii="宋体" w:hAnsi="宋体" w:cs="宋体"/>
                <w:color w:val="000000" w:themeColor="text1"/>
                <w:kern w:val="21"/>
                <w:szCs w:val="24"/>
                <w:highlight w:val="none"/>
                <w14:textFill>
                  <w14:solidFill>
                    <w14:schemeClr w14:val="tx1"/>
                  </w14:solidFill>
                </w14:textFill>
              </w:rPr>
              <w:t>③转入的开户银行及账号：</w:t>
            </w:r>
          </w:p>
          <w:bookmarkEnd w:id="15"/>
          <w:p w14:paraId="6198E6AF">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开户银行：广发银行股份有限公司合肥肥西支行</w:t>
            </w:r>
          </w:p>
          <w:p w14:paraId="1EBA7A8D">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000000" w:themeColor="text1"/>
                <w:kern w:val="21"/>
                <w:szCs w:val="24"/>
                <w:highlight w:val="none"/>
                <w:lang w:eastAsia="zh-CN"/>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开户名：</w:t>
            </w:r>
            <w:r>
              <w:rPr>
                <w:rFonts w:hint="eastAsia" w:ascii="宋体" w:hAnsi="宋体" w:cs="宋体"/>
                <w:color w:val="000000" w:themeColor="text1"/>
                <w:kern w:val="21"/>
                <w:szCs w:val="24"/>
                <w:highlight w:val="none"/>
                <w:lang w:eastAsia="zh-CN"/>
                <w14:textFill>
                  <w14:solidFill>
                    <w14:schemeClr w14:val="tx1"/>
                  </w14:solidFill>
                </w14:textFill>
              </w:rPr>
              <w:t>肥西县公共资源交易有限责任公司</w:t>
            </w:r>
          </w:p>
          <w:p w14:paraId="6A7AAB85">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账号：</w:t>
            </w:r>
            <w:r>
              <w:rPr>
                <w:rFonts w:hint="eastAsia" w:ascii="宋体" w:hAnsi="宋体" w:cs="宋体"/>
                <w:color w:val="000000" w:themeColor="text1"/>
                <w:szCs w:val="24"/>
                <w:highlight w:val="none"/>
                <w14:textFill>
                  <w14:solidFill>
                    <w14:schemeClr w14:val="tx1"/>
                  </w14:solidFill>
                </w14:textFill>
              </w:rPr>
              <w:t>6232594999000550135</w:t>
            </w:r>
          </w:p>
          <w:p w14:paraId="7699DC8A">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注意事项：</w:t>
            </w:r>
          </w:p>
          <w:p w14:paraId="07AE82A9">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（1）电子交易服务费采用虚拟账号，项目招标失败后，电子交易服务费交纳账号将会发生变化，请投标人参与后续招标时，注意勿将电子交易服务费错交至其他项目账号或前次公告账号。</w:t>
            </w:r>
          </w:p>
          <w:p w14:paraId="4CD74FDB">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w:t>
            </w:r>
            <w:r>
              <w:rPr>
                <w:rFonts w:hint="eastAsia" w:ascii="宋体" w:hAnsi="宋体" w:cs="宋体"/>
                <w:color w:val="000000" w:themeColor="text1"/>
                <w:kern w:val="21"/>
                <w:szCs w:val="24"/>
                <w:highlight w:val="none"/>
                <w:lang w:val="en-US" w:eastAsia="zh-CN"/>
                <w14:textFill>
                  <w14:solidFill>
                    <w14:schemeClr w14:val="tx1"/>
                  </w14:solidFill>
                </w14:textFill>
              </w:rPr>
              <w:t>2</w:t>
            </w:r>
            <w:r>
              <w:rPr>
                <w:rFonts w:hint="eastAsia" w:ascii="宋体" w:hAnsi="宋体" w:cs="宋体"/>
                <w:color w:val="000000" w:themeColor="text1"/>
                <w:kern w:val="21"/>
                <w:szCs w:val="24"/>
                <w:highlight w:val="none"/>
                <w14:textFill>
                  <w14:solidFill>
                    <w14:schemeClr w14:val="tx1"/>
                  </w14:solidFill>
                </w14:textFill>
              </w:rPr>
              <w:t>）凡转账到其他项目账户或本项目前次公告账户的，电子交易服务费无效。</w:t>
            </w:r>
          </w:p>
          <w:p w14:paraId="7B1F62D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w:t>
            </w:r>
            <w:r>
              <w:rPr>
                <w:rFonts w:hint="eastAsia" w:ascii="宋体" w:hAnsi="宋体" w:cs="宋体"/>
                <w:color w:val="000000" w:themeColor="text1"/>
                <w:kern w:val="21"/>
                <w:szCs w:val="24"/>
                <w:highlight w:val="none"/>
                <w:lang w:val="en-US" w:eastAsia="zh-CN"/>
                <w14:textFill>
                  <w14:solidFill>
                    <w14:schemeClr w14:val="tx1"/>
                  </w14:solidFill>
                </w14:textFill>
              </w:rPr>
              <w:t>3</w:t>
            </w:r>
            <w:r>
              <w:rPr>
                <w:rFonts w:hint="eastAsia" w:ascii="宋体" w:hAnsi="宋体" w:cs="宋体"/>
                <w:color w:val="000000" w:themeColor="text1"/>
                <w:kern w:val="21"/>
                <w:szCs w:val="24"/>
                <w:highlight w:val="none"/>
                <w14:textFill>
                  <w14:solidFill>
                    <w14:schemeClr w14:val="tx1"/>
                  </w14:solidFill>
                </w14:textFill>
              </w:rPr>
              <w:t>）投标人参与本项目多个包别招标的（如分多包别的），应该按包别分别递交电子交易服务费。未递交电子交易服务费的包别，其</w:t>
            </w:r>
            <w:r>
              <w:rPr>
                <w:rFonts w:hint="eastAsia" w:ascii="宋体" w:hAnsi="宋体" w:cs="宋体"/>
                <w:color w:val="000000" w:themeColor="text1"/>
                <w:kern w:val="21"/>
                <w:szCs w:val="24"/>
                <w:highlight w:val="none"/>
                <w:lang w:eastAsia="zh-CN"/>
                <w14:textFill>
                  <w14:solidFill>
                    <w14:schemeClr w14:val="tx1"/>
                  </w14:solidFill>
                </w14:textFill>
              </w:rPr>
              <w:t>投标</w:t>
            </w:r>
            <w:r>
              <w:rPr>
                <w:rFonts w:hint="eastAsia" w:ascii="宋体" w:hAnsi="宋体" w:cs="宋体"/>
                <w:color w:val="000000" w:themeColor="text1"/>
                <w:kern w:val="21"/>
                <w:szCs w:val="24"/>
                <w:highlight w:val="none"/>
                <w14:textFill>
                  <w14:solidFill>
                    <w14:schemeClr w14:val="tx1"/>
                  </w14:solidFill>
                </w14:textFill>
              </w:rPr>
              <w:t>无效。</w:t>
            </w:r>
          </w:p>
          <w:p w14:paraId="7C27ADD9">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（4）由于优质采云采购平台端口限制，</w:t>
            </w:r>
            <w:r>
              <w:rPr>
                <w:rFonts w:hint="eastAsia" w:ascii="宋体" w:hAnsi="宋体" w:cs="宋体"/>
                <w:color w:val="000000" w:themeColor="text1"/>
                <w:kern w:val="21"/>
                <w:szCs w:val="24"/>
                <w:highlight w:val="none"/>
                <w:lang w:val="en-US" w:eastAsia="zh-CN"/>
                <w14:textFill>
                  <w14:solidFill>
                    <w14:schemeClr w14:val="tx1"/>
                  </w14:solidFill>
                </w14:textFill>
              </w:rPr>
              <w:t>投标人</w:t>
            </w:r>
            <w:r>
              <w:rPr>
                <w:rFonts w:hint="eastAsia" w:ascii="宋体" w:hAnsi="宋体" w:cs="宋体"/>
                <w:color w:val="000000" w:themeColor="text1"/>
                <w:kern w:val="21"/>
                <w:szCs w:val="24"/>
                <w:highlight w:val="none"/>
                <w14:textFill>
                  <w14:solidFill>
                    <w14:schemeClr w14:val="tx1"/>
                  </w14:solidFill>
                </w14:textFill>
              </w:rPr>
              <w:t>在优质采云采购平台看到的保证金（200元），其费用及效力等同于</w:t>
            </w:r>
            <w:r>
              <w:rPr>
                <w:rFonts w:hint="eastAsia" w:ascii="宋体" w:hAnsi="宋体" w:cs="宋体"/>
                <w:color w:val="000000" w:themeColor="text1"/>
                <w:kern w:val="21"/>
                <w:szCs w:val="24"/>
                <w:highlight w:val="none"/>
                <w:lang w:val="en-US" w:eastAsia="zh-CN"/>
                <w14:textFill>
                  <w14:solidFill>
                    <w14:schemeClr w14:val="tx1"/>
                  </w14:solidFill>
                </w14:textFill>
              </w:rPr>
              <w:t>招标</w:t>
            </w:r>
            <w:r>
              <w:rPr>
                <w:rFonts w:hint="eastAsia" w:ascii="宋体" w:hAnsi="宋体" w:cs="宋体"/>
                <w:color w:val="000000" w:themeColor="text1"/>
                <w:kern w:val="21"/>
                <w:szCs w:val="24"/>
                <w:highlight w:val="none"/>
                <w14:textFill>
                  <w14:solidFill>
                    <w14:schemeClr w14:val="tx1"/>
                  </w14:solidFill>
                </w14:textFill>
              </w:rPr>
              <w:t>文件的电子交易服务费。</w:t>
            </w:r>
          </w:p>
          <w:p w14:paraId="3A0B21DF">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eastAsia="宋体" w:cs="@仿宋_GB2312"/>
                <w:b/>
                <w:bCs/>
                <w:color w:val="000000" w:themeColor="text1"/>
                <w:kern w:val="21"/>
                <w:sz w:val="24"/>
                <w:szCs w:val="18"/>
                <w:highlight w:val="none"/>
                <w:lang w:val="en-US" w:eastAsia="zh-CN" w:bidi="ar-SA"/>
                <w14:textFill>
                  <w14:solidFill>
                    <w14:schemeClr w14:val="tx1"/>
                  </w14:solidFill>
                </w14:textFill>
              </w:rPr>
              <w:t>（5）</w:t>
            </w:r>
            <w:r>
              <w:rPr>
                <w:rFonts w:hint="eastAsia" w:cs="@仿宋_GB2312"/>
                <w:b/>
                <w:bCs/>
                <w:color w:val="000000" w:themeColor="text1"/>
                <w:kern w:val="21"/>
                <w:sz w:val="24"/>
                <w:szCs w:val="18"/>
                <w:highlight w:val="none"/>
                <w:lang w:val="en-US" w:eastAsia="zh-CN" w:bidi="ar-SA"/>
                <w14:textFill>
                  <w14:solidFill>
                    <w14:schemeClr w14:val="tx1"/>
                  </w14:solidFill>
                </w14:textFill>
              </w:rPr>
              <w:t>项目</w:t>
            </w:r>
            <w:r>
              <w:rPr>
                <w:rFonts w:hint="eastAsia" w:ascii="宋体" w:hAnsi="宋体" w:eastAsia="宋体" w:cs="@仿宋_GB2312"/>
                <w:b/>
                <w:bCs/>
                <w:color w:val="000000" w:themeColor="text1"/>
                <w:kern w:val="21"/>
                <w:sz w:val="24"/>
                <w:szCs w:val="18"/>
                <w:highlight w:val="none"/>
                <w:lang w:val="en-US" w:eastAsia="zh-CN" w:bidi="ar-SA"/>
                <w14:textFill>
                  <w14:solidFill>
                    <w14:schemeClr w14:val="tx1"/>
                  </w14:solidFill>
                </w14:textFill>
              </w:rPr>
              <w:t>开标结束后，</w:t>
            </w:r>
            <w:r>
              <w:rPr>
                <w:rFonts w:hint="eastAsia" w:cs="@仿宋_GB2312"/>
                <w:b/>
                <w:bCs/>
                <w:color w:val="000000" w:themeColor="text1"/>
                <w:kern w:val="21"/>
                <w:sz w:val="24"/>
                <w:szCs w:val="18"/>
                <w:highlight w:val="none"/>
                <w:lang w:val="en-US" w:eastAsia="zh-CN" w:bidi="ar-SA"/>
                <w14:textFill>
                  <w14:solidFill>
                    <w14:schemeClr w14:val="tx1"/>
                  </w14:solidFill>
                </w14:textFill>
              </w:rPr>
              <w:t>如需</w:t>
            </w:r>
            <w:r>
              <w:rPr>
                <w:rFonts w:hint="eastAsia" w:ascii="宋体" w:hAnsi="宋体" w:eastAsia="宋体" w:cs="@仿宋_GB2312"/>
                <w:b/>
                <w:bCs/>
                <w:color w:val="000000" w:themeColor="text1"/>
                <w:kern w:val="21"/>
                <w:sz w:val="24"/>
                <w:szCs w:val="18"/>
                <w:highlight w:val="none"/>
                <w:lang w:val="en-US" w:eastAsia="zh-CN" w:bidi="ar-SA"/>
                <w14:textFill>
                  <w14:solidFill>
                    <w14:schemeClr w14:val="tx1"/>
                  </w14:solidFill>
                </w14:textFill>
              </w:rPr>
              <w:t>开具电子交易服务费发票，请致电咨询：王工，联系电话：0551-6</w:t>
            </w:r>
            <w:r>
              <w:rPr>
                <w:rFonts w:hint="eastAsia" w:cs="@仿宋_GB2312"/>
                <w:b/>
                <w:bCs/>
                <w:color w:val="000000" w:themeColor="text1"/>
                <w:kern w:val="21"/>
                <w:sz w:val="24"/>
                <w:szCs w:val="18"/>
                <w:highlight w:val="none"/>
                <w:lang w:val="en-US" w:eastAsia="zh-CN" w:bidi="ar-SA"/>
                <w14:textFill>
                  <w14:solidFill>
                    <w14:schemeClr w14:val="tx1"/>
                  </w14:solidFill>
                </w14:textFill>
              </w:rPr>
              <w:t>8821291</w:t>
            </w:r>
            <w:r>
              <w:rPr>
                <w:rFonts w:hint="eastAsia" w:ascii="宋体" w:hAnsi="宋体" w:eastAsia="宋体" w:cs="@仿宋_GB2312"/>
                <w:b/>
                <w:bCs/>
                <w:color w:val="000000" w:themeColor="text1"/>
                <w:kern w:val="21"/>
                <w:sz w:val="24"/>
                <w:szCs w:val="18"/>
                <w:highlight w:val="none"/>
                <w:lang w:val="en-US" w:eastAsia="zh-CN" w:bidi="ar-SA"/>
                <w14:textFill>
                  <w14:solidFill>
                    <w14:schemeClr w14:val="tx1"/>
                  </w14:solidFill>
                </w14:textFill>
              </w:rPr>
              <w:t>。</w:t>
            </w:r>
          </w:p>
        </w:tc>
      </w:tr>
      <w:tr w14:paraId="1331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007B609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12</w:t>
            </w:r>
          </w:p>
        </w:tc>
        <w:tc>
          <w:tcPr>
            <w:tcW w:w="1515" w:type="dxa"/>
            <w:vAlign w:val="center"/>
          </w:tcPr>
          <w:p w14:paraId="18351F81">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center"/>
              <w:textAlignment w:val="auto"/>
              <w:rPr>
                <w:rFonts w:hint="eastAsia" w:cs="宋体"/>
                <w:color w:val="000000" w:themeColor="text1"/>
                <w:kern w:val="21"/>
                <w:sz w:val="24"/>
                <w:szCs w:val="24"/>
                <w:highlight w:val="none"/>
                <w14:textFill>
                  <w14:solidFill>
                    <w14:schemeClr w14:val="tx1"/>
                  </w14:solidFill>
                </w14:textFill>
              </w:rPr>
            </w:pPr>
            <w:r>
              <w:rPr>
                <w:rFonts w:hint="eastAsia" w:cs="宋体"/>
                <w:b w:val="0"/>
                <w:color w:val="000000" w:themeColor="text1"/>
                <w:kern w:val="21"/>
                <w:sz w:val="24"/>
                <w:highlight w:val="none"/>
                <w14:textFill>
                  <w14:solidFill>
                    <w14:schemeClr w14:val="tx1"/>
                  </w14:solidFill>
                </w14:textFill>
              </w:rPr>
              <w:t>网上询问截止时间</w:t>
            </w:r>
          </w:p>
        </w:tc>
        <w:tc>
          <w:tcPr>
            <w:tcW w:w="7753" w:type="dxa"/>
            <w:vAlign w:val="center"/>
          </w:tcPr>
          <w:p w14:paraId="49065681">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color w:val="000000" w:themeColor="text1"/>
                <w:kern w:val="21"/>
                <w:sz w:val="24"/>
                <w:szCs w:val="24"/>
                <w:highlight w:val="none"/>
                <w14:textFill>
                  <w14:solidFill>
                    <w14:schemeClr w14:val="tx1"/>
                  </w14:solidFill>
                </w14:textFill>
              </w:rPr>
            </w:pPr>
            <w:r>
              <w:rPr>
                <w:rFonts w:hint="eastAsia" w:cs="宋体"/>
                <w:b w:val="0"/>
                <w:kern w:val="21"/>
                <w:sz w:val="24"/>
                <w:highlight w:val="none"/>
                <w:u w:val="single"/>
              </w:rPr>
              <w:t>202</w:t>
            </w:r>
            <w:r>
              <w:rPr>
                <w:rFonts w:hint="eastAsia" w:cs="宋体"/>
                <w:b w:val="0"/>
                <w:kern w:val="21"/>
                <w:sz w:val="24"/>
                <w:highlight w:val="none"/>
                <w:u w:val="single"/>
                <w:lang w:val="en-US" w:eastAsia="zh-CN"/>
              </w:rPr>
              <w:t>6</w:t>
            </w:r>
            <w:r>
              <w:rPr>
                <w:rFonts w:hint="eastAsia" w:cs="宋体"/>
                <w:b w:val="0"/>
                <w:kern w:val="21"/>
                <w:sz w:val="24"/>
                <w:highlight w:val="none"/>
              </w:rPr>
              <w:t>年</w:t>
            </w:r>
            <w:r>
              <w:rPr>
                <w:rFonts w:hint="eastAsia" w:cs="宋体"/>
                <w:b w:val="0"/>
                <w:kern w:val="21"/>
                <w:sz w:val="24"/>
                <w:highlight w:val="none"/>
                <w:u w:val="single"/>
                <w:lang w:val="en-US" w:eastAsia="zh-CN"/>
              </w:rPr>
              <w:t xml:space="preserve"> 9  </w:t>
            </w:r>
            <w:r>
              <w:rPr>
                <w:rFonts w:hint="eastAsia" w:cs="宋体"/>
                <w:b w:val="0"/>
                <w:kern w:val="21"/>
                <w:sz w:val="24"/>
                <w:highlight w:val="none"/>
              </w:rPr>
              <w:t>月</w:t>
            </w:r>
            <w:r>
              <w:rPr>
                <w:rFonts w:hint="eastAsia" w:cs="宋体"/>
                <w:b w:val="0"/>
                <w:kern w:val="21"/>
                <w:sz w:val="24"/>
                <w:highlight w:val="none"/>
                <w:u w:val="single"/>
                <w:lang w:val="en-US" w:eastAsia="zh-CN"/>
              </w:rPr>
              <w:t xml:space="preserve"> 7 </w:t>
            </w:r>
            <w:r>
              <w:rPr>
                <w:rFonts w:hint="eastAsia" w:cs="宋体"/>
                <w:b w:val="0"/>
                <w:kern w:val="21"/>
                <w:sz w:val="24"/>
                <w:highlight w:val="none"/>
              </w:rPr>
              <w:t>日</w:t>
            </w:r>
            <w:r>
              <w:rPr>
                <w:rFonts w:hint="eastAsia" w:cs="宋体"/>
                <w:b w:val="0"/>
                <w:kern w:val="21"/>
                <w:sz w:val="24"/>
                <w:highlight w:val="none"/>
                <w:u w:val="single"/>
              </w:rPr>
              <w:t>17</w:t>
            </w:r>
            <w:r>
              <w:rPr>
                <w:rFonts w:hint="eastAsia" w:cs="宋体"/>
                <w:b w:val="0"/>
                <w:kern w:val="21"/>
                <w:sz w:val="24"/>
                <w:highlight w:val="none"/>
              </w:rPr>
              <w:t>时</w:t>
            </w:r>
            <w:r>
              <w:rPr>
                <w:rFonts w:hint="eastAsia" w:cs="宋体"/>
                <w:b w:val="0"/>
                <w:kern w:val="21"/>
                <w:sz w:val="24"/>
                <w:highlight w:val="none"/>
                <w:u w:val="single"/>
              </w:rPr>
              <w:t>30</w:t>
            </w:r>
            <w:r>
              <w:rPr>
                <w:rFonts w:hint="eastAsia" w:cs="宋体"/>
                <w:b w:val="0"/>
                <w:kern w:val="21"/>
                <w:sz w:val="24"/>
                <w:highlight w:val="none"/>
              </w:rPr>
              <w:t>分</w:t>
            </w:r>
          </w:p>
        </w:tc>
      </w:tr>
      <w:tr w14:paraId="4244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6B02CD13">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13</w:t>
            </w:r>
          </w:p>
        </w:tc>
        <w:tc>
          <w:tcPr>
            <w:tcW w:w="1515" w:type="dxa"/>
            <w:vAlign w:val="center"/>
          </w:tcPr>
          <w:p w14:paraId="658248A9">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bCs/>
                <w:color w:val="000000" w:themeColor="text1"/>
                <w:kern w:val="21"/>
                <w:szCs w:val="24"/>
                <w:highlight w:val="none"/>
                <w14:textFill>
                  <w14:solidFill>
                    <w14:schemeClr w14:val="tx1"/>
                  </w14:solidFill>
                </w14:textFill>
              </w:rPr>
              <w:t>踏勘现场</w:t>
            </w:r>
          </w:p>
        </w:tc>
        <w:tc>
          <w:tcPr>
            <w:tcW w:w="7753" w:type="dxa"/>
            <w:vAlign w:val="center"/>
          </w:tcPr>
          <w:p w14:paraId="522A77DA">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lang w:val="zh-CN"/>
                <w14:textFill>
                  <w14:solidFill>
                    <w14:schemeClr w14:val="tx1"/>
                  </w14:solidFill>
                </w14:textFill>
              </w:rPr>
            </w:pPr>
            <w:r>
              <w:rPr>
                <w:rFonts w:hint="eastAsia" w:ascii="宋体" w:hAnsi="宋体" w:cs="宋体"/>
                <w:b/>
                <w:bCs/>
                <w:color w:val="000000" w:themeColor="text1"/>
                <w:kern w:val="21"/>
                <w:szCs w:val="24"/>
                <w:highlight w:val="none"/>
                <w14:textFill>
                  <w14:solidFill>
                    <w14:schemeClr w14:val="tx1"/>
                  </w14:solidFill>
                </w14:textFill>
              </w:rPr>
              <w:sym w:font="Wingdings" w:char="F0FE"/>
            </w:r>
            <w:r>
              <w:rPr>
                <w:rFonts w:hint="eastAsia" w:ascii="宋体" w:hAnsi="宋体" w:cs="宋体"/>
                <w:bCs/>
                <w:color w:val="000000" w:themeColor="text1"/>
                <w:kern w:val="21"/>
                <w:szCs w:val="24"/>
                <w:highlight w:val="none"/>
                <w14:textFill>
                  <w14:solidFill>
                    <w14:schemeClr w14:val="tx1"/>
                  </w14:solidFill>
                </w14:textFill>
              </w:rPr>
              <w:t>自行踏勘</w:t>
            </w:r>
            <w:r>
              <w:rPr>
                <w:rFonts w:hint="eastAsia" w:ascii="宋体" w:hAnsi="宋体" w:cs="宋体"/>
                <w:color w:val="000000" w:themeColor="text1"/>
                <w:kern w:val="21"/>
                <w:szCs w:val="24"/>
                <w:highlight w:val="none"/>
                <w14:textFill>
                  <w14:solidFill>
                    <w14:schemeClr w14:val="tx1"/>
                  </w14:solidFill>
                </w14:textFill>
              </w:rPr>
              <w:t>□业主单位</w:t>
            </w:r>
            <w:r>
              <w:rPr>
                <w:rFonts w:hint="eastAsia" w:ascii="宋体" w:hAnsi="宋体" w:cs="宋体"/>
                <w:color w:val="000000" w:themeColor="text1"/>
                <w:kern w:val="21"/>
                <w:szCs w:val="24"/>
                <w:highlight w:val="none"/>
                <w:lang w:val="zh-CN"/>
                <w14:textFill>
                  <w14:solidFill>
                    <w14:schemeClr w14:val="tx1"/>
                  </w14:solidFill>
                </w14:textFill>
              </w:rPr>
              <w:t>统一组织</w:t>
            </w:r>
          </w:p>
        </w:tc>
      </w:tr>
      <w:tr w14:paraId="5879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60D5DE78">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14</w:t>
            </w:r>
          </w:p>
        </w:tc>
        <w:tc>
          <w:tcPr>
            <w:tcW w:w="1515" w:type="dxa"/>
            <w:vAlign w:val="center"/>
          </w:tcPr>
          <w:p w14:paraId="07C48374">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center"/>
              <w:textAlignment w:val="auto"/>
              <w:rPr>
                <w:rFonts w:hint="eastAsia" w:cs="宋体"/>
                <w:color w:val="000000" w:themeColor="text1"/>
                <w:kern w:val="21"/>
                <w:sz w:val="24"/>
                <w:szCs w:val="24"/>
                <w:highlight w:val="none"/>
                <w14:textFill>
                  <w14:solidFill>
                    <w14:schemeClr w14:val="tx1"/>
                  </w14:solidFill>
                </w14:textFill>
              </w:rPr>
            </w:pPr>
            <w:r>
              <w:rPr>
                <w:rFonts w:hint="eastAsia" w:cs="宋体"/>
                <w:b w:val="0"/>
                <w:color w:val="000000" w:themeColor="text1"/>
                <w:kern w:val="21"/>
                <w:sz w:val="24"/>
                <w:highlight w:val="none"/>
                <w:lang w:val="en-US" w:eastAsia="zh-CN"/>
                <w14:textFill>
                  <w14:solidFill>
                    <w14:schemeClr w14:val="tx1"/>
                  </w14:solidFill>
                </w14:textFill>
              </w:rPr>
              <w:t>投标</w:t>
            </w:r>
            <w:r>
              <w:rPr>
                <w:rFonts w:hint="eastAsia" w:cs="宋体"/>
                <w:b w:val="0"/>
                <w:color w:val="000000" w:themeColor="text1"/>
                <w:kern w:val="21"/>
                <w:sz w:val="24"/>
                <w:highlight w:val="none"/>
                <w14:textFill>
                  <w14:solidFill>
                    <w14:schemeClr w14:val="tx1"/>
                  </w14:solidFill>
                </w14:textFill>
              </w:rPr>
              <w:t>文件要求</w:t>
            </w:r>
          </w:p>
        </w:tc>
        <w:tc>
          <w:tcPr>
            <w:tcW w:w="7753" w:type="dxa"/>
            <w:vAlign w:val="center"/>
          </w:tcPr>
          <w:p w14:paraId="18F3B529">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eastAsia="宋体" w:cs="宋体"/>
                <w:color w:val="000000" w:themeColor="text1"/>
                <w:kern w:val="21"/>
                <w:sz w:val="24"/>
                <w:szCs w:val="24"/>
                <w:highlight w:val="none"/>
                <w:lang w:eastAsia="zh-CN"/>
                <w14:textFill>
                  <w14:solidFill>
                    <w14:schemeClr w14:val="tx1"/>
                  </w14:solidFill>
                </w14:textFill>
              </w:rPr>
            </w:pPr>
            <w:r>
              <w:rPr>
                <w:rFonts w:hint="eastAsia" w:cs="宋体"/>
                <w:b w:val="0"/>
                <w:color w:val="000000" w:themeColor="text1"/>
                <w:kern w:val="21"/>
                <w:sz w:val="24"/>
                <w:highlight w:val="none"/>
                <w:u w:val="single"/>
                <w14:textFill>
                  <w14:solidFill>
                    <w14:schemeClr w14:val="tx1"/>
                  </w14:solidFill>
                </w14:textFill>
              </w:rPr>
              <w:t>加密电子</w:t>
            </w:r>
            <w:r>
              <w:rPr>
                <w:rFonts w:hint="eastAsia" w:cs="宋体"/>
                <w:b w:val="0"/>
                <w:color w:val="000000" w:themeColor="text1"/>
                <w:kern w:val="21"/>
                <w:sz w:val="24"/>
                <w:highlight w:val="none"/>
                <w:u w:val="single"/>
                <w:lang w:eastAsia="zh-CN"/>
                <w14:textFill>
                  <w14:solidFill>
                    <w14:schemeClr w14:val="tx1"/>
                  </w14:solidFill>
                </w14:textFill>
              </w:rPr>
              <w:t>投标文件</w:t>
            </w:r>
          </w:p>
        </w:tc>
      </w:tr>
      <w:tr w14:paraId="7D32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4ED4E27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15</w:t>
            </w:r>
          </w:p>
        </w:tc>
        <w:tc>
          <w:tcPr>
            <w:tcW w:w="1515" w:type="dxa"/>
            <w:vAlign w:val="center"/>
          </w:tcPr>
          <w:p w14:paraId="5800C1CD">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center"/>
              <w:textAlignment w:val="auto"/>
              <w:rPr>
                <w:rFonts w:hint="eastAsia" w:cs="宋体"/>
                <w:color w:val="000000" w:themeColor="text1"/>
                <w:kern w:val="21"/>
                <w:sz w:val="24"/>
                <w:szCs w:val="24"/>
                <w:highlight w:val="none"/>
                <w14:textFill>
                  <w14:solidFill>
                    <w14:schemeClr w14:val="tx1"/>
                  </w14:solidFill>
                </w14:textFill>
              </w:rPr>
            </w:pPr>
            <w:r>
              <w:rPr>
                <w:rFonts w:hint="eastAsia" w:cs="宋体"/>
                <w:b w:val="0"/>
                <w:color w:val="000000" w:themeColor="text1"/>
                <w:kern w:val="21"/>
                <w:sz w:val="24"/>
                <w:highlight w:val="none"/>
                <w:lang w:val="en-US" w:eastAsia="zh-CN"/>
                <w14:textFill>
                  <w14:solidFill>
                    <w14:schemeClr w14:val="tx1"/>
                  </w14:solidFill>
                </w14:textFill>
              </w:rPr>
              <w:t>投标</w:t>
            </w:r>
            <w:r>
              <w:rPr>
                <w:rFonts w:hint="eastAsia" w:cs="宋体"/>
                <w:b w:val="0"/>
                <w:color w:val="000000" w:themeColor="text1"/>
                <w:kern w:val="21"/>
                <w:sz w:val="24"/>
                <w:highlight w:val="none"/>
                <w14:textFill>
                  <w14:solidFill>
                    <w14:schemeClr w14:val="tx1"/>
                  </w14:solidFill>
                </w14:textFill>
              </w:rPr>
              <w:t>文件解密时间</w:t>
            </w:r>
          </w:p>
        </w:tc>
        <w:tc>
          <w:tcPr>
            <w:tcW w:w="7753" w:type="dxa"/>
            <w:vAlign w:val="center"/>
          </w:tcPr>
          <w:p w14:paraId="3017B5C2">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b w:val="0"/>
                <w:color w:val="000000" w:themeColor="text1"/>
                <w:kern w:val="21"/>
                <w:sz w:val="24"/>
                <w:highlight w:val="none"/>
                <w:u w:val="single"/>
                <w14:textFill>
                  <w14:solidFill>
                    <w14:schemeClr w14:val="tx1"/>
                  </w14:solidFill>
                </w14:textFill>
              </w:rPr>
            </w:pPr>
            <w:r>
              <w:rPr>
                <w:rFonts w:hint="eastAsia" w:cs="宋体"/>
                <w:b w:val="0"/>
                <w:color w:val="000000" w:themeColor="text1"/>
                <w:kern w:val="21"/>
                <w:sz w:val="24"/>
                <w:highlight w:val="none"/>
                <w:u w:val="single"/>
                <w14:textFill>
                  <w14:solidFill>
                    <w14:schemeClr w14:val="tx1"/>
                  </w14:solidFill>
                </w14:textFill>
              </w:rPr>
              <w:t>招标文件提交截止时间后30分钟内（以系统解密倒计时为准）</w:t>
            </w:r>
          </w:p>
          <w:p w14:paraId="18A4969D">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color w:val="000000" w:themeColor="text1"/>
                <w:kern w:val="21"/>
                <w:sz w:val="24"/>
                <w:szCs w:val="24"/>
                <w:highlight w:val="none"/>
                <w14:textFill>
                  <w14:solidFill>
                    <w14:schemeClr w14:val="tx1"/>
                  </w14:solidFill>
                </w14:textFill>
              </w:rPr>
            </w:pPr>
            <w:r>
              <w:rPr>
                <w:rFonts w:hint="eastAsia" w:cs="宋体"/>
                <w:bCs w:val="0"/>
                <w:color w:val="000000" w:themeColor="text1"/>
                <w:kern w:val="21"/>
                <w:sz w:val="24"/>
                <w:highlight w:val="none"/>
                <w14:textFill>
                  <w14:solidFill>
                    <w14:schemeClr w14:val="tx1"/>
                  </w14:solidFill>
                </w14:textFill>
              </w:rPr>
              <w:t>其他要求：</w:t>
            </w:r>
            <w:r>
              <w:rPr>
                <w:rFonts w:hint="eastAsia" w:cs="宋体"/>
                <w:bCs w:val="0"/>
                <w:color w:val="000000" w:themeColor="text1"/>
                <w:kern w:val="21"/>
                <w:sz w:val="24"/>
                <w:highlight w:val="none"/>
                <w:lang w:eastAsia="zh-CN"/>
                <w14:textFill>
                  <w14:solidFill>
                    <w14:schemeClr w14:val="tx1"/>
                  </w14:solidFill>
                </w14:textFill>
              </w:rPr>
              <w:t>投标文件</w:t>
            </w:r>
            <w:r>
              <w:rPr>
                <w:rFonts w:hint="eastAsia" w:cs="宋体"/>
                <w:bCs w:val="0"/>
                <w:color w:val="000000" w:themeColor="text1"/>
                <w:kern w:val="21"/>
                <w:sz w:val="24"/>
                <w:highlight w:val="none"/>
                <w14:textFill>
                  <w14:solidFill>
                    <w14:schemeClr w14:val="tx1"/>
                  </w14:solidFill>
                </w14:textFill>
              </w:rPr>
              <w:t>解密可以采用网上远程方式，无需到招标现场进行解密。解密的CA锁必须与</w:t>
            </w:r>
            <w:r>
              <w:rPr>
                <w:rFonts w:hint="eastAsia" w:cs="宋体"/>
                <w:bCs w:val="0"/>
                <w:color w:val="000000" w:themeColor="text1"/>
                <w:kern w:val="21"/>
                <w:sz w:val="24"/>
                <w:highlight w:val="none"/>
                <w:lang w:eastAsia="zh-CN"/>
                <w14:textFill>
                  <w14:solidFill>
                    <w14:schemeClr w14:val="tx1"/>
                  </w14:solidFill>
                </w14:textFill>
              </w:rPr>
              <w:t>投标文件</w:t>
            </w:r>
            <w:r>
              <w:rPr>
                <w:rFonts w:hint="eastAsia" w:cs="宋体"/>
                <w:bCs w:val="0"/>
                <w:color w:val="000000" w:themeColor="text1"/>
                <w:kern w:val="21"/>
                <w:sz w:val="24"/>
                <w:highlight w:val="none"/>
                <w14:textFill>
                  <w14:solidFill>
                    <w14:schemeClr w14:val="tx1"/>
                  </w14:solidFill>
                </w14:textFill>
              </w:rPr>
              <w:t>加密的CA锁一致，否则造成的后果由投标人自行承担。</w:t>
            </w:r>
          </w:p>
        </w:tc>
      </w:tr>
      <w:tr w14:paraId="26A9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222D199A">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16</w:t>
            </w:r>
          </w:p>
        </w:tc>
        <w:tc>
          <w:tcPr>
            <w:tcW w:w="1515" w:type="dxa"/>
            <w:vAlign w:val="center"/>
          </w:tcPr>
          <w:p w14:paraId="373BF8E5">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bCs/>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lang w:val="en-US" w:eastAsia="zh-CN"/>
                <w14:textFill>
                  <w14:solidFill>
                    <w14:schemeClr w14:val="tx1"/>
                  </w14:solidFill>
                </w14:textFill>
              </w:rPr>
              <w:t>开标</w:t>
            </w:r>
            <w:r>
              <w:rPr>
                <w:rFonts w:hint="eastAsia" w:ascii="宋体" w:hAnsi="宋体" w:cs="宋体"/>
                <w:color w:val="000000" w:themeColor="text1"/>
                <w:kern w:val="21"/>
                <w:szCs w:val="24"/>
                <w:highlight w:val="none"/>
                <w14:textFill>
                  <w14:solidFill>
                    <w14:schemeClr w14:val="tx1"/>
                  </w14:solidFill>
                </w14:textFill>
              </w:rPr>
              <w:t>时间及地点</w:t>
            </w:r>
          </w:p>
        </w:tc>
        <w:tc>
          <w:tcPr>
            <w:tcW w:w="7753" w:type="dxa"/>
            <w:vAlign w:val="center"/>
          </w:tcPr>
          <w:p w14:paraId="12C83BC4">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lang w:val="zh-CN"/>
                <w14:textFill>
                  <w14:solidFill>
                    <w14:schemeClr w14:val="tx1"/>
                  </w14:solidFill>
                </w14:textFill>
              </w:rPr>
            </w:pPr>
            <w:r>
              <w:rPr>
                <w:rFonts w:hint="eastAsia" w:ascii="宋体" w:hAnsi="宋体" w:cs="宋体"/>
                <w:color w:val="000000" w:themeColor="text1"/>
                <w:kern w:val="21"/>
                <w:highlight w:val="none"/>
                <w:u w:val="single"/>
                <w14:textFill>
                  <w14:solidFill>
                    <w14:schemeClr w14:val="tx1"/>
                  </w14:solidFill>
                </w14:textFill>
              </w:rPr>
              <w:t>详见招标公告</w:t>
            </w:r>
          </w:p>
        </w:tc>
      </w:tr>
      <w:tr w14:paraId="7AAC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50D7F6C3">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17</w:t>
            </w:r>
          </w:p>
        </w:tc>
        <w:tc>
          <w:tcPr>
            <w:tcW w:w="1515" w:type="dxa"/>
            <w:vAlign w:val="center"/>
          </w:tcPr>
          <w:p w14:paraId="0822671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评审办法</w:t>
            </w:r>
          </w:p>
        </w:tc>
        <w:tc>
          <w:tcPr>
            <w:tcW w:w="7753" w:type="dxa"/>
            <w:vAlign w:val="center"/>
          </w:tcPr>
          <w:p w14:paraId="2AD9A570">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b/>
                <w:bCs/>
                <w:color w:val="000000" w:themeColor="text1"/>
                <w:kern w:val="21"/>
                <w:szCs w:val="24"/>
                <w:highlight w:val="none"/>
                <w14:textFill>
                  <w14:solidFill>
                    <w14:schemeClr w14:val="tx1"/>
                  </w14:solidFill>
                </w14:textFill>
              </w:rPr>
              <w:sym w:font="Wingdings" w:char="00FE"/>
            </w:r>
            <w:r>
              <w:rPr>
                <w:rFonts w:hint="eastAsia" w:ascii="宋体" w:hAnsi="宋体" w:cs="宋体"/>
                <w:color w:val="000000" w:themeColor="text1"/>
                <w:kern w:val="21"/>
                <w:highlight w:val="none"/>
                <w:u w:val="single"/>
                <w14:textFill>
                  <w14:solidFill>
                    <w14:schemeClr w14:val="tx1"/>
                  </w14:solidFill>
                </w14:textFill>
              </w:rPr>
              <w:t>综合评分法</w:t>
            </w:r>
          </w:p>
        </w:tc>
      </w:tr>
      <w:tr w14:paraId="1AC3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4823450B">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18</w:t>
            </w:r>
          </w:p>
        </w:tc>
        <w:tc>
          <w:tcPr>
            <w:tcW w:w="1515" w:type="dxa"/>
            <w:vAlign w:val="center"/>
          </w:tcPr>
          <w:p w14:paraId="0C1C9F86">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kern w:val="21"/>
                <w:highlight w:val="none"/>
                <w:lang w:val="en-US" w:eastAsia="zh-CN"/>
              </w:rPr>
              <w:t>评标委员会</w:t>
            </w:r>
            <w:r>
              <w:rPr>
                <w:rFonts w:hint="eastAsia" w:ascii="宋体" w:hAnsi="宋体" w:cs="宋体"/>
                <w:color w:val="000000" w:themeColor="text1"/>
                <w:kern w:val="21"/>
                <w:highlight w:val="none"/>
                <w14:textFill>
                  <w14:solidFill>
                    <w14:schemeClr w14:val="tx1"/>
                  </w14:solidFill>
                </w14:textFill>
              </w:rPr>
              <w:t>推荐</w:t>
            </w:r>
            <w:r>
              <w:rPr>
                <w:rFonts w:hint="eastAsia" w:ascii="宋体" w:hAnsi="宋体" w:cs="宋体"/>
                <w:color w:val="000000" w:themeColor="text1"/>
                <w:kern w:val="21"/>
                <w:highlight w:val="none"/>
                <w:lang w:val="en-US" w:eastAsia="zh-CN"/>
                <w14:textFill>
                  <w14:solidFill>
                    <w14:schemeClr w14:val="tx1"/>
                  </w14:solidFill>
                </w14:textFill>
              </w:rPr>
              <w:t>中标</w:t>
            </w:r>
            <w:r>
              <w:rPr>
                <w:rFonts w:hint="eastAsia" w:ascii="宋体" w:hAnsi="宋体" w:cs="宋体"/>
                <w:color w:val="000000" w:themeColor="text1"/>
                <w:kern w:val="21"/>
                <w:highlight w:val="none"/>
                <w14:textFill>
                  <w14:solidFill>
                    <w14:schemeClr w14:val="tx1"/>
                  </w14:solidFill>
                </w14:textFill>
              </w:rPr>
              <w:t>候选人的数量</w:t>
            </w:r>
          </w:p>
        </w:tc>
        <w:tc>
          <w:tcPr>
            <w:tcW w:w="7753" w:type="dxa"/>
            <w:vAlign w:val="center"/>
          </w:tcPr>
          <w:p w14:paraId="41209A1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b/>
                <w:bCs/>
                <w:color w:val="000000" w:themeColor="text1"/>
                <w:kern w:val="21"/>
                <w:highlight w:val="none"/>
                <w:u w:val="single"/>
                <w:lang w:val="en-US" w:eastAsia="zh-CN"/>
                <w14:textFill>
                  <w14:solidFill>
                    <w14:schemeClr w14:val="tx1"/>
                  </w14:solidFill>
                </w14:textFill>
              </w:rPr>
              <w:t>2</w:t>
            </w:r>
            <w:r>
              <w:rPr>
                <w:rFonts w:hint="eastAsia" w:ascii="宋体" w:hAnsi="宋体" w:cs="宋体"/>
                <w:b/>
                <w:bCs/>
                <w:color w:val="000000" w:themeColor="text1"/>
                <w:kern w:val="21"/>
                <w:highlight w:val="none"/>
                <w:u w:val="single"/>
                <w14:textFill>
                  <w14:solidFill>
                    <w14:schemeClr w14:val="tx1"/>
                  </w14:solidFill>
                </w14:textFill>
              </w:rPr>
              <w:t>家</w:t>
            </w:r>
          </w:p>
        </w:tc>
      </w:tr>
      <w:tr w14:paraId="2CDC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52B2A785">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19</w:t>
            </w:r>
          </w:p>
        </w:tc>
        <w:tc>
          <w:tcPr>
            <w:tcW w:w="1515" w:type="dxa"/>
            <w:vAlign w:val="center"/>
          </w:tcPr>
          <w:p w14:paraId="2AD18BBC">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代理服务费</w:t>
            </w:r>
          </w:p>
        </w:tc>
        <w:tc>
          <w:tcPr>
            <w:tcW w:w="7753" w:type="dxa"/>
            <w:vAlign w:val="center"/>
          </w:tcPr>
          <w:p w14:paraId="43EA6CC9">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b w:val="0"/>
                <w:color w:val="000000" w:themeColor="text1"/>
                <w:kern w:val="21"/>
                <w:sz w:val="24"/>
                <w:highlight w:val="none"/>
                <w14:textFill>
                  <w14:solidFill>
                    <w14:schemeClr w14:val="tx1"/>
                  </w14:solidFill>
                </w14:textFill>
              </w:rPr>
            </w:pPr>
            <w:r>
              <w:rPr>
                <w:rFonts w:hint="eastAsia" w:cs="宋体"/>
                <w:b w:val="0"/>
                <w:color w:val="000000" w:themeColor="text1"/>
                <w:kern w:val="21"/>
                <w:sz w:val="24"/>
                <w:highlight w:val="none"/>
                <w14:textFill>
                  <w14:solidFill>
                    <w14:schemeClr w14:val="tx1"/>
                  </w14:solidFill>
                </w14:textFill>
              </w:rPr>
              <w:t>（1）金额：</w:t>
            </w:r>
          </w:p>
          <w:p w14:paraId="135C2B6C">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b w:val="0"/>
                <w:color w:val="000000" w:themeColor="text1"/>
                <w:kern w:val="21"/>
                <w:sz w:val="24"/>
                <w:highlight w:val="none"/>
                <w14:textFill>
                  <w14:solidFill>
                    <w14:schemeClr w14:val="tx1"/>
                  </w14:solidFill>
                </w14:textFill>
              </w:rPr>
            </w:pPr>
            <w:r>
              <w:rPr>
                <w:rFonts w:hint="eastAsia" w:cs="宋体"/>
                <w:color w:val="000000" w:themeColor="text1"/>
                <w:kern w:val="21"/>
                <w:sz w:val="24"/>
                <w:szCs w:val="24"/>
                <w:highlight w:val="none"/>
                <w14:textFill>
                  <w14:solidFill>
                    <w14:schemeClr w14:val="tx1"/>
                  </w14:solidFill>
                </w14:textFill>
              </w:rPr>
              <w:t>□</w:t>
            </w:r>
            <w:r>
              <w:rPr>
                <w:rFonts w:hint="eastAsia" w:cs="宋体"/>
                <w:b w:val="0"/>
                <w:color w:val="000000" w:themeColor="text1"/>
                <w:kern w:val="21"/>
                <w:sz w:val="24"/>
                <w:highlight w:val="none"/>
                <w14:textFill>
                  <w14:solidFill>
                    <w14:schemeClr w14:val="tx1"/>
                  </w14:solidFill>
                </w14:textFill>
              </w:rPr>
              <w:t>免收</w:t>
            </w:r>
          </w:p>
          <w:p w14:paraId="51FA7DE3">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eastAsia="宋体" w:cs="宋体"/>
                <w:b w:val="0"/>
                <w:bCs w:val="0"/>
                <w:color w:val="000000" w:themeColor="text1"/>
                <w:kern w:val="21"/>
                <w:sz w:val="24"/>
                <w:highlight w:val="none"/>
                <w:u w:val="single"/>
                <w:lang w:eastAsia="zh-CN"/>
                <w14:textFill>
                  <w14:solidFill>
                    <w14:schemeClr w14:val="tx1"/>
                  </w14:solidFill>
                </w14:textFill>
              </w:rPr>
            </w:pPr>
            <w:r>
              <w:rPr>
                <w:rFonts w:hint="eastAsia" w:cs="宋体"/>
                <w:color w:val="000000" w:themeColor="text1"/>
                <w:kern w:val="21"/>
                <w:sz w:val="24"/>
                <w:szCs w:val="24"/>
                <w:highlight w:val="none"/>
                <w14:textFill>
                  <w14:solidFill>
                    <w14:schemeClr w14:val="tx1"/>
                  </w14:solidFill>
                </w14:textFill>
              </w:rPr>
              <w:sym w:font="Wingdings" w:char="00FE"/>
            </w:r>
            <w:r>
              <w:rPr>
                <w:rFonts w:hint="eastAsia" w:cs="宋体"/>
                <w:b w:val="0"/>
                <w:bCs w:val="0"/>
                <w:color w:val="000000" w:themeColor="text1"/>
                <w:kern w:val="21"/>
                <w:sz w:val="24"/>
                <w:highlight w:val="none"/>
                <w14:textFill>
                  <w14:solidFill>
                    <w14:schemeClr w14:val="tx1"/>
                  </w14:solidFill>
                </w14:textFill>
              </w:rPr>
              <w:t>定额收取：</w:t>
            </w:r>
            <w:r>
              <w:rPr>
                <w:rFonts w:hint="eastAsia" w:cs="宋体"/>
                <w:b w:val="0"/>
                <w:bCs w:val="0"/>
                <w:color w:val="000000" w:themeColor="text1"/>
                <w:kern w:val="21"/>
                <w:sz w:val="24"/>
                <w:highlight w:val="none"/>
                <w:u w:val="single"/>
                <w:lang w:val="en-US" w:eastAsia="zh-CN"/>
                <w14:textFill>
                  <w14:solidFill>
                    <w14:schemeClr w14:val="tx1"/>
                  </w14:solidFill>
                </w14:textFill>
              </w:rPr>
              <w:t>每家收取</w:t>
            </w:r>
            <w:r>
              <w:rPr>
                <w:rFonts w:hint="eastAsia" w:cs="宋体"/>
                <w:b w:val="0"/>
                <w:bCs w:val="0"/>
                <w:color w:val="000000" w:themeColor="text1"/>
                <w:kern w:val="21"/>
                <w:sz w:val="24"/>
                <w:highlight w:val="none"/>
                <w:u w:val="single"/>
                <w14:textFill>
                  <w14:solidFill>
                    <w14:schemeClr w14:val="tx1"/>
                  </w14:solidFill>
                </w14:textFill>
              </w:rPr>
              <w:t>人民</w:t>
            </w:r>
            <w:r>
              <w:rPr>
                <w:rFonts w:hint="eastAsia" w:cs="宋体"/>
                <w:b w:val="0"/>
                <w:bCs w:val="0"/>
                <w:color w:val="000000" w:themeColor="text1"/>
                <w:kern w:val="21"/>
                <w:sz w:val="24"/>
                <w:highlight w:val="none"/>
                <w:u w:val="single"/>
                <w:lang w:val="en-US" w:eastAsia="zh-CN"/>
                <w14:textFill>
                  <w14:solidFill>
                    <w14:schemeClr w14:val="tx1"/>
                  </w14:solidFill>
                </w14:textFill>
              </w:rPr>
              <w:t>币22200.00元</w:t>
            </w:r>
            <w:r>
              <w:rPr>
                <w:rFonts w:hint="eastAsia" w:cs="宋体"/>
                <w:b w:val="0"/>
                <w:bCs w:val="0"/>
                <w:color w:val="000000" w:themeColor="text1"/>
                <w:kern w:val="21"/>
                <w:sz w:val="24"/>
                <w:highlight w:val="none"/>
                <w:u w:val="single"/>
                <w:lang w:eastAsia="zh-CN"/>
                <w14:textFill>
                  <w14:solidFill>
                    <w14:schemeClr w14:val="tx1"/>
                  </w14:solidFill>
                </w14:textFill>
              </w:rPr>
              <w:t>（</w:t>
            </w:r>
            <w:r>
              <w:rPr>
                <w:rFonts w:hint="eastAsia" w:cs="宋体"/>
                <w:b w:val="0"/>
                <w:bCs w:val="0"/>
                <w:color w:val="000000" w:themeColor="text1"/>
                <w:kern w:val="21"/>
                <w:sz w:val="24"/>
                <w:highlight w:val="none"/>
                <w:u w:val="single"/>
                <w:lang w:val="en-US" w:eastAsia="zh-CN"/>
                <w14:textFill>
                  <w14:solidFill>
                    <w14:schemeClr w14:val="tx1"/>
                  </w14:solidFill>
                </w14:textFill>
              </w:rPr>
              <w:t>每家按照190万元的预算为基数计算</w:t>
            </w:r>
            <w:r>
              <w:rPr>
                <w:rFonts w:hint="eastAsia" w:cs="宋体"/>
                <w:b w:val="0"/>
                <w:bCs w:val="0"/>
                <w:color w:val="000000" w:themeColor="text1"/>
                <w:kern w:val="21"/>
                <w:sz w:val="24"/>
                <w:highlight w:val="none"/>
                <w:u w:val="single"/>
                <w:lang w:eastAsia="zh-CN"/>
                <w14:textFill>
                  <w14:solidFill>
                    <w14:schemeClr w14:val="tx1"/>
                  </w14:solidFill>
                </w14:textFill>
              </w:rPr>
              <w:t>）</w:t>
            </w:r>
          </w:p>
          <w:p w14:paraId="11BC5B63">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color w:val="000000" w:themeColor="text1"/>
                <w:kern w:val="21"/>
                <w:sz w:val="24"/>
                <w:highlight w:val="none"/>
                <w14:textFill>
                  <w14:solidFill>
                    <w14:schemeClr w14:val="tx1"/>
                  </w14:solidFill>
                </w14:textFill>
              </w:rPr>
            </w:pPr>
            <w:r>
              <w:rPr>
                <w:rFonts w:hint="eastAsia" w:cs="宋体"/>
                <w:color w:val="000000" w:themeColor="text1"/>
                <w:kern w:val="21"/>
                <w:sz w:val="24"/>
                <w:szCs w:val="24"/>
                <w:highlight w:val="none"/>
                <w14:textFill>
                  <w14:solidFill>
                    <w14:schemeClr w14:val="tx1"/>
                  </w14:solidFill>
                </w14:textFill>
              </w:rPr>
              <w:t>□</w:t>
            </w:r>
            <w:r>
              <w:rPr>
                <w:rFonts w:hint="eastAsia" w:cs="宋体"/>
                <w:b w:val="0"/>
                <w:color w:val="000000" w:themeColor="text1"/>
                <w:kern w:val="21"/>
                <w:sz w:val="24"/>
                <w:highlight w:val="none"/>
                <w14:textFill>
                  <w14:solidFill>
                    <w14:schemeClr w14:val="tx1"/>
                  </w14:solidFill>
                </w14:textFill>
              </w:rPr>
              <w:t>按下列标准收取：</w:t>
            </w:r>
            <w:r>
              <w:rPr>
                <w:rFonts w:hint="eastAsia" w:cs="宋体"/>
                <w:b w:val="0"/>
                <w:color w:val="000000" w:themeColor="text1"/>
                <w:kern w:val="21"/>
                <w:sz w:val="24"/>
                <w:highlight w:val="none"/>
                <w:u w:val="single"/>
                <w14:textFill>
                  <w14:solidFill>
                    <w14:schemeClr w14:val="tx1"/>
                  </w14:solidFill>
                </w14:textFill>
              </w:rPr>
              <w:t>详见招标文件第三章投标人须知正文</w:t>
            </w:r>
            <w:r>
              <w:rPr>
                <w:rFonts w:hint="eastAsia" w:cs="宋体"/>
                <w:b w:val="0"/>
                <w:bCs w:val="0"/>
                <w:color w:val="000000" w:themeColor="text1"/>
                <w:kern w:val="21"/>
                <w:sz w:val="24"/>
                <w:highlight w:val="none"/>
                <w:u w:val="single"/>
                <w14:textFill>
                  <w14:solidFill>
                    <w14:schemeClr w14:val="tx1"/>
                  </w14:solidFill>
                </w14:textFill>
              </w:rPr>
              <w:t>（如不足4000元的，按4000元收取）</w:t>
            </w:r>
          </w:p>
          <w:p w14:paraId="020AAA5A">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b w:val="0"/>
                <w:color w:val="000000" w:themeColor="text1"/>
                <w:kern w:val="21"/>
                <w:sz w:val="24"/>
                <w:highlight w:val="none"/>
                <w14:textFill>
                  <w14:solidFill>
                    <w14:schemeClr w14:val="tx1"/>
                  </w14:solidFill>
                </w14:textFill>
              </w:rPr>
            </w:pPr>
            <w:r>
              <w:rPr>
                <w:rFonts w:hint="eastAsia" w:cs="宋体"/>
                <w:b w:val="0"/>
                <w:color w:val="000000" w:themeColor="text1"/>
                <w:kern w:val="21"/>
                <w:sz w:val="24"/>
                <w:highlight w:val="none"/>
                <w14:textFill>
                  <w14:solidFill>
                    <w14:schemeClr w14:val="tx1"/>
                  </w14:solidFill>
                </w14:textFill>
              </w:rPr>
              <w:t>（2）支付方式：</w:t>
            </w:r>
            <w:r>
              <w:rPr>
                <w:rFonts w:hint="eastAsia" w:cs="宋体"/>
                <w:color w:val="000000" w:themeColor="text1"/>
                <w:kern w:val="21"/>
                <w:sz w:val="24"/>
                <w:szCs w:val="24"/>
                <w:highlight w:val="none"/>
                <w14:textFill>
                  <w14:solidFill>
                    <w14:schemeClr w14:val="tx1"/>
                  </w14:solidFill>
                </w14:textFill>
              </w:rPr>
              <w:sym w:font="Wingdings" w:char="00FE"/>
            </w:r>
            <w:r>
              <w:rPr>
                <w:rFonts w:hint="eastAsia" w:cs="宋体"/>
                <w:b w:val="0"/>
                <w:color w:val="000000" w:themeColor="text1"/>
                <w:kern w:val="21"/>
                <w:sz w:val="24"/>
                <w:highlight w:val="none"/>
                <w14:textFill>
                  <w14:solidFill>
                    <w14:schemeClr w14:val="tx1"/>
                  </w14:solidFill>
                </w14:textFill>
              </w:rPr>
              <w:t>转账/电汇</w:t>
            </w:r>
          </w:p>
          <w:p w14:paraId="6E35F9D0">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eastAsia="宋体" w:cs="宋体"/>
                <w:b w:val="0"/>
                <w:bCs w:val="0"/>
                <w:color w:val="000000" w:themeColor="text1"/>
                <w:kern w:val="21"/>
                <w:sz w:val="24"/>
                <w:szCs w:val="24"/>
                <w:highlight w:val="none"/>
                <w:u w:val="single"/>
                <w:lang w:eastAsia="zh-CN"/>
                <w14:textFill>
                  <w14:solidFill>
                    <w14:schemeClr w14:val="tx1"/>
                  </w14:solidFill>
                </w14:textFill>
              </w:rPr>
            </w:pPr>
            <w:r>
              <w:rPr>
                <w:rFonts w:hint="eastAsia" w:cs="宋体"/>
                <w:b w:val="0"/>
                <w:bCs w:val="0"/>
                <w:color w:val="000000" w:themeColor="text1"/>
                <w:kern w:val="21"/>
                <w:sz w:val="24"/>
                <w:szCs w:val="24"/>
                <w:highlight w:val="none"/>
                <w14:textFill>
                  <w14:solidFill>
                    <w14:schemeClr w14:val="tx1"/>
                  </w14:solidFill>
                </w14:textFill>
              </w:rPr>
              <w:t>（3）收取单位：</w:t>
            </w:r>
            <w:r>
              <w:rPr>
                <w:rFonts w:hint="eastAsia" w:cs="宋体"/>
                <w:b w:val="0"/>
                <w:bCs w:val="0"/>
                <w:color w:val="000000" w:themeColor="text1"/>
                <w:kern w:val="21"/>
                <w:sz w:val="24"/>
                <w:szCs w:val="24"/>
                <w:highlight w:val="none"/>
                <w:u w:val="single"/>
                <w:lang w:eastAsia="zh-CN"/>
                <w14:textFill>
                  <w14:solidFill>
                    <w14:schemeClr w14:val="tx1"/>
                  </w14:solidFill>
                </w14:textFill>
              </w:rPr>
              <w:t>肥西县公共资源交易有限责任公司</w:t>
            </w:r>
          </w:p>
          <w:p w14:paraId="27BD8678">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cs="宋体"/>
                <w:color w:val="000000" w:themeColor="text1"/>
                <w:kern w:val="21"/>
                <w:sz w:val="24"/>
                <w:szCs w:val="24"/>
                <w:highlight w:val="none"/>
                <w14:textFill>
                  <w14:solidFill>
                    <w14:schemeClr w14:val="tx1"/>
                  </w14:solidFill>
                </w14:textFill>
              </w:rPr>
            </w:pPr>
            <w:r>
              <w:rPr>
                <w:rFonts w:hint="eastAsia" w:cs="宋体"/>
                <w:b w:val="0"/>
                <w:bCs w:val="0"/>
                <w:color w:val="000000" w:themeColor="text1"/>
                <w:kern w:val="21"/>
                <w:sz w:val="24"/>
                <w:szCs w:val="24"/>
                <w:highlight w:val="none"/>
                <w14:textFill>
                  <w14:solidFill>
                    <w14:schemeClr w14:val="tx1"/>
                  </w14:solidFill>
                </w14:textFill>
              </w:rPr>
              <w:t>（4）缴纳时间：</w:t>
            </w:r>
            <w:r>
              <w:rPr>
                <w:rFonts w:hint="eastAsia" w:cs="宋体"/>
                <w:b w:val="0"/>
                <w:bCs w:val="0"/>
                <w:color w:val="000000" w:themeColor="text1"/>
                <w:kern w:val="21"/>
                <w:sz w:val="24"/>
                <w:szCs w:val="24"/>
                <w:highlight w:val="none"/>
                <w:u w:val="single"/>
                <w14:textFill>
                  <w14:solidFill>
                    <w14:schemeClr w14:val="tx1"/>
                  </w14:solidFill>
                </w14:textFill>
              </w:rPr>
              <w:t>成交通知书发放后三个工作日内</w:t>
            </w:r>
          </w:p>
        </w:tc>
      </w:tr>
      <w:tr w14:paraId="2D0D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208EA350">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20</w:t>
            </w:r>
          </w:p>
        </w:tc>
        <w:tc>
          <w:tcPr>
            <w:tcW w:w="1515" w:type="dxa"/>
            <w:vAlign w:val="center"/>
          </w:tcPr>
          <w:p w14:paraId="1B1BEE96">
            <w:pPr>
              <w:pStyle w:val="2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leftChars="0" w:firstLine="0" w:firstLineChars="0"/>
              <w:jc w:val="center"/>
              <w:textAlignment w:val="auto"/>
              <w:rPr>
                <w:rFonts w:hint="eastAsia" w:cs="宋体"/>
                <w:color w:val="000000" w:themeColor="text1"/>
                <w:kern w:val="21"/>
                <w:sz w:val="24"/>
                <w:szCs w:val="24"/>
                <w:highlight w:val="none"/>
                <w14:textFill>
                  <w14:solidFill>
                    <w14:schemeClr w14:val="tx1"/>
                  </w14:solidFill>
                </w14:textFill>
              </w:rPr>
            </w:pPr>
            <w:r>
              <w:rPr>
                <w:rFonts w:hint="eastAsia" w:cs="宋体"/>
                <w:b w:val="0"/>
                <w:color w:val="000000" w:themeColor="text1"/>
                <w:kern w:val="21"/>
                <w:sz w:val="24"/>
                <w:highlight w:val="none"/>
                <w14:textFill>
                  <w14:solidFill>
                    <w14:schemeClr w14:val="tx1"/>
                  </w14:solidFill>
                </w14:textFill>
              </w:rPr>
              <w:t>履约保证金</w:t>
            </w:r>
          </w:p>
        </w:tc>
        <w:tc>
          <w:tcPr>
            <w:tcW w:w="7753" w:type="dxa"/>
            <w:vAlign w:val="center"/>
          </w:tcPr>
          <w:p w14:paraId="199C9EA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olor w:val="000000" w:themeColor="text1"/>
                <w:kern w:val="21"/>
                <w:szCs w:val="24"/>
                <w:highlight w:val="none"/>
                <w:lang w:val="en-US" w:eastAsia="zh-CN"/>
                <w14:textFill>
                  <w14:solidFill>
                    <w14:schemeClr w14:val="tx1"/>
                  </w14:solidFill>
                </w14:textFill>
              </w:rPr>
            </w:pPr>
            <w:r>
              <w:rPr>
                <w:rFonts w:hint="eastAsia" w:ascii="宋体" w:hAnsi="宋体"/>
                <w:color w:val="000000" w:themeColor="text1"/>
                <w:kern w:val="21"/>
                <w:szCs w:val="24"/>
                <w:highlight w:val="none"/>
                <w14:textFill>
                  <w14:solidFill>
                    <w14:schemeClr w14:val="tx1"/>
                  </w14:solidFill>
                </w14:textFill>
              </w:rPr>
              <w:t>1.履约保证金数额：</w:t>
            </w:r>
            <w:r>
              <w:rPr>
                <w:rFonts w:hint="eastAsia" w:ascii="宋体" w:hAnsi="宋体"/>
                <w:color w:val="000000" w:themeColor="text1"/>
                <w:kern w:val="21"/>
                <w:szCs w:val="24"/>
                <w:highlight w:val="none"/>
                <w:u w:val="single"/>
                <w:lang w:val="en-US" w:eastAsia="zh-CN"/>
                <w14:textFill>
                  <w14:solidFill>
                    <w14:schemeClr w14:val="tx1"/>
                  </w14:solidFill>
                </w14:textFill>
              </w:rPr>
              <w:t>不收取</w:t>
            </w:r>
          </w:p>
          <w:p w14:paraId="287F1BF3">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olor w:val="000000" w:themeColor="text1"/>
                <w:kern w:val="21"/>
                <w:szCs w:val="24"/>
                <w:highlight w:val="none"/>
                <w14:textFill>
                  <w14:solidFill>
                    <w14:schemeClr w14:val="tx1"/>
                  </w14:solidFill>
                </w14:textFill>
              </w:rPr>
            </w:pPr>
            <w:r>
              <w:rPr>
                <w:rFonts w:hint="eastAsia" w:ascii="宋体" w:hAnsi="宋体"/>
                <w:color w:val="000000" w:themeColor="text1"/>
                <w:kern w:val="21"/>
                <w:szCs w:val="24"/>
                <w:highlight w:val="none"/>
                <w14:textFill>
                  <w14:solidFill>
                    <w14:schemeClr w14:val="tx1"/>
                  </w14:solidFill>
                </w14:textFill>
              </w:rPr>
              <w:t>2.收受方式为</w:t>
            </w:r>
            <w:r>
              <w:rPr>
                <w:rFonts w:hint="eastAsia" w:ascii="宋体" w:hAnsi="宋体" w:cs="宋体"/>
                <w:color w:val="000000" w:themeColor="text1"/>
                <w:kern w:val="21"/>
                <w:szCs w:val="24"/>
                <w:highlight w:val="none"/>
                <w14:textFill>
                  <w14:solidFill>
                    <w14:schemeClr w14:val="tx1"/>
                  </w14:solidFill>
                </w14:textFill>
              </w:rPr>
              <w:t>：</w:t>
            </w:r>
            <w:r>
              <w:rPr>
                <w:rFonts w:ascii="宋体" w:hAnsi="宋体"/>
                <w:color w:val="000000" w:themeColor="text1"/>
                <w:kern w:val="21"/>
                <w:szCs w:val="24"/>
                <w:highlight w:val="none"/>
                <w14:textFill>
                  <w14:solidFill>
                    <w14:schemeClr w14:val="tx1"/>
                  </w14:solidFill>
                </w14:textFill>
              </w:rPr>
              <w:sym w:font="Wingdings" w:char="00A8"/>
            </w:r>
            <w:r>
              <w:rPr>
                <w:rFonts w:hint="eastAsia" w:ascii="宋体" w:hAnsi="宋体" w:cs="宋体"/>
                <w:color w:val="000000" w:themeColor="text1"/>
                <w:kern w:val="21"/>
                <w:szCs w:val="24"/>
                <w:highlight w:val="none"/>
                <w14:textFill>
                  <w14:solidFill>
                    <w14:schemeClr w14:val="tx1"/>
                  </w14:solidFill>
                </w14:textFill>
              </w:rPr>
              <w:t>现金保证</w:t>
            </w:r>
            <w:r>
              <w:rPr>
                <w:rFonts w:ascii="宋体" w:hAnsi="宋体"/>
                <w:color w:val="000000" w:themeColor="text1"/>
                <w:kern w:val="21"/>
                <w:szCs w:val="24"/>
                <w:highlight w:val="none"/>
                <w14:textFill>
                  <w14:solidFill>
                    <w14:schemeClr w14:val="tx1"/>
                  </w14:solidFill>
                </w14:textFill>
              </w:rPr>
              <w:sym w:font="Wingdings" w:char="00A8"/>
            </w:r>
            <w:r>
              <w:rPr>
                <w:rFonts w:hint="eastAsia" w:ascii="宋体" w:hAnsi="宋体" w:cs="宋体"/>
                <w:color w:val="000000" w:themeColor="text1"/>
                <w:kern w:val="21"/>
                <w:szCs w:val="24"/>
                <w:highlight w:val="none"/>
                <w14:textFill>
                  <w14:solidFill>
                    <w14:schemeClr w14:val="tx1"/>
                  </w14:solidFill>
                </w14:textFill>
              </w:rPr>
              <w:t>现金支票</w:t>
            </w:r>
            <w:r>
              <w:rPr>
                <w:rFonts w:ascii="宋体" w:hAnsi="宋体"/>
                <w:color w:val="000000" w:themeColor="text1"/>
                <w:kern w:val="21"/>
                <w:szCs w:val="24"/>
                <w:highlight w:val="none"/>
                <w14:textFill>
                  <w14:solidFill>
                    <w14:schemeClr w14:val="tx1"/>
                  </w14:solidFill>
                </w14:textFill>
              </w:rPr>
              <w:sym w:font="Wingdings" w:char="00A8"/>
            </w:r>
            <w:r>
              <w:rPr>
                <w:rFonts w:hint="eastAsia" w:ascii="宋体" w:hAnsi="宋体" w:cs="宋体"/>
                <w:color w:val="000000" w:themeColor="text1"/>
                <w:kern w:val="21"/>
                <w:szCs w:val="24"/>
                <w:highlight w:val="none"/>
                <w14:textFill>
                  <w14:solidFill>
                    <w14:schemeClr w14:val="tx1"/>
                  </w14:solidFill>
                </w14:textFill>
              </w:rPr>
              <w:t>银行汇</w:t>
            </w:r>
            <w:r>
              <w:rPr>
                <w:rFonts w:hint="eastAsia" w:ascii="宋体" w:hAnsi="宋体"/>
                <w:color w:val="000000" w:themeColor="text1"/>
                <w:kern w:val="21"/>
                <w:szCs w:val="24"/>
                <w:highlight w:val="none"/>
                <w14:textFill>
                  <w14:solidFill>
                    <w14:schemeClr w14:val="tx1"/>
                  </w14:solidFill>
                </w14:textFill>
              </w:rPr>
              <w:t>票</w:t>
            </w:r>
          </w:p>
          <w:p w14:paraId="2F60045B">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olor w:val="000000" w:themeColor="text1"/>
                <w:kern w:val="21"/>
                <w:szCs w:val="24"/>
                <w:highlight w:val="none"/>
                <w14:textFill>
                  <w14:solidFill>
                    <w14:schemeClr w14:val="tx1"/>
                  </w14:solidFill>
                </w14:textFill>
              </w:rPr>
            </w:pPr>
            <w:r>
              <w:rPr>
                <w:rFonts w:ascii="宋体" w:hAnsi="宋体"/>
                <w:color w:val="000000" w:themeColor="text1"/>
                <w:kern w:val="21"/>
                <w:szCs w:val="24"/>
                <w:highlight w:val="none"/>
                <w14:textFill>
                  <w14:solidFill>
                    <w14:schemeClr w14:val="tx1"/>
                  </w14:solidFill>
                </w14:textFill>
              </w:rPr>
              <w:sym w:font="Wingdings" w:char="00A8"/>
            </w:r>
            <w:r>
              <w:rPr>
                <w:rFonts w:hint="eastAsia" w:ascii="宋体" w:hAnsi="宋体" w:cs="宋体"/>
                <w:color w:val="000000" w:themeColor="text1"/>
                <w:kern w:val="21"/>
                <w:szCs w:val="24"/>
                <w:highlight w:val="none"/>
                <w14:textFill>
                  <w14:solidFill>
                    <w14:schemeClr w14:val="tx1"/>
                  </w14:solidFill>
                </w14:textFill>
              </w:rPr>
              <w:t>银行保函</w:t>
            </w:r>
            <w:r>
              <w:rPr>
                <w:rFonts w:ascii="宋体" w:hAnsi="宋体"/>
                <w:color w:val="000000" w:themeColor="text1"/>
                <w:kern w:val="21"/>
                <w:szCs w:val="24"/>
                <w:highlight w:val="none"/>
                <w14:textFill>
                  <w14:solidFill>
                    <w14:schemeClr w14:val="tx1"/>
                  </w14:solidFill>
                </w14:textFill>
              </w:rPr>
              <w:sym w:font="Wingdings" w:char="00A8"/>
            </w:r>
            <w:r>
              <w:rPr>
                <w:rFonts w:hint="eastAsia" w:ascii="宋体" w:hAnsi="宋体" w:cs="宋体"/>
                <w:color w:val="000000" w:themeColor="text1"/>
                <w:kern w:val="21"/>
                <w:szCs w:val="24"/>
                <w:highlight w:val="none"/>
                <w14:textFill>
                  <w14:solidFill>
                    <w14:schemeClr w14:val="tx1"/>
                  </w14:solidFill>
                </w14:textFill>
              </w:rPr>
              <w:t>银行转账</w:t>
            </w:r>
          </w:p>
          <w:p w14:paraId="1193F10D">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olor w:val="000000" w:themeColor="text1"/>
                <w:kern w:val="21"/>
                <w:szCs w:val="24"/>
                <w:highlight w:val="none"/>
                <w:lang w:eastAsia="zh-CN"/>
                <w14:textFill>
                  <w14:solidFill>
                    <w14:schemeClr w14:val="tx1"/>
                  </w14:solidFill>
                </w14:textFill>
              </w:rPr>
            </w:pPr>
            <w:r>
              <w:rPr>
                <w:rFonts w:hint="eastAsia" w:ascii="宋体" w:hAnsi="宋体"/>
                <w:color w:val="000000" w:themeColor="text1"/>
                <w:kern w:val="21"/>
                <w:szCs w:val="24"/>
                <w:highlight w:val="none"/>
                <w14:textFill>
                  <w14:solidFill>
                    <w14:schemeClr w14:val="tx1"/>
                  </w14:solidFill>
                </w14:textFill>
              </w:rPr>
              <w:t>3.收受人为</w:t>
            </w:r>
            <w:r>
              <w:rPr>
                <w:rFonts w:hint="eastAsia" w:ascii="宋体" w:hAnsi="宋体"/>
                <w:color w:val="000000" w:themeColor="text1"/>
                <w:kern w:val="21"/>
                <w:szCs w:val="24"/>
                <w:highlight w:val="none"/>
                <w:lang w:eastAsia="zh-CN"/>
                <w14:textFill>
                  <w14:solidFill>
                    <w14:schemeClr w14:val="tx1"/>
                  </w14:solidFill>
                </w14:textFill>
              </w:rPr>
              <w:t>：</w:t>
            </w:r>
            <w:r>
              <w:rPr>
                <w:rFonts w:ascii="宋体" w:hAnsi="宋体"/>
                <w:color w:val="000000" w:themeColor="text1"/>
                <w:kern w:val="21"/>
                <w:szCs w:val="24"/>
                <w:highlight w:val="none"/>
                <w14:textFill>
                  <w14:solidFill>
                    <w14:schemeClr w14:val="tx1"/>
                  </w14:solidFill>
                </w14:textFill>
              </w:rPr>
              <w:sym w:font="Wingdings" w:char="F0FE"/>
            </w:r>
            <w:r>
              <w:rPr>
                <w:rFonts w:hint="eastAsia" w:ascii="宋体" w:hAnsi="宋体"/>
                <w:color w:val="000000" w:themeColor="text1"/>
                <w:kern w:val="21"/>
                <w:szCs w:val="24"/>
                <w:highlight w:val="none"/>
                <w14:textFill>
                  <w14:solidFill>
                    <w14:schemeClr w14:val="tx1"/>
                  </w14:solidFill>
                </w14:textFill>
              </w:rPr>
              <w:t>业主单位、</w:t>
            </w:r>
            <w:r>
              <w:rPr>
                <w:rFonts w:ascii="宋体" w:hAnsi="宋体"/>
                <w:color w:val="000000" w:themeColor="text1"/>
                <w:kern w:val="21"/>
                <w:szCs w:val="24"/>
                <w:highlight w:val="none"/>
                <w14:textFill>
                  <w14:solidFill>
                    <w14:schemeClr w14:val="tx1"/>
                  </w14:solidFill>
                </w14:textFill>
              </w:rPr>
              <w:sym w:font="Wingdings" w:char="F0FE"/>
            </w:r>
            <w:r>
              <w:rPr>
                <w:rFonts w:hint="eastAsia" w:ascii="宋体" w:hAnsi="宋体"/>
                <w:color w:val="000000" w:themeColor="text1"/>
                <w:kern w:val="21"/>
                <w:szCs w:val="24"/>
                <w:highlight w:val="none"/>
                <w14:textFill>
                  <w14:solidFill>
                    <w14:schemeClr w14:val="tx1"/>
                  </w14:solidFill>
                </w14:textFill>
              </w:rPr>
              <w:t>委托人、□</w:t>
            </w:r>
            <w:r>
              <w:rPr>
                <w:rFonts w:hint="eastAsia" w:ascii="宋体" w:hAnsi="宋体"/>
                <w:color w:val="000000" w:themeColor="text1"/>
                <w:kern w:val="21"/>
                <w:szCs w:val="24"/>
                <w:highlight w:val="none"/>
                <w:lang w:eastAsia="zh-CN"/>
                <w14:textFill>
                  <w14:solidFill>
                    <w14:schemeClr w14:val="tx1"/>
                  </w14:solidFill>
                </w14:textFill>
              </w:rPr>
              <w:t>肥西县公共资源交易有限责任公司</w:t>
            </w:r>
          </w:p>
          <w:p w14:paraId="739338F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olor w:val="000000" w:themeColor="text1"/>
                <w:kern w:val="21"/>
                <w:szCs w:val="24"/>
                <w:highlight w:val="none"/>
                <w14:textFill>
                  <w14:solidFill>
                    <w14:schemeClr w14:val="tx1"/>
                  </w14:solidFill>
                </w14:textFill>
              </w:rPr>
            </w:pPr>
            <w:r>
              <w:rPr>
                <w:rFonts w:hint="eastAsia" w:ascii="宋体" w:hAnsi="宋体"/>
                <w:color w:val="000000" w:themeColor="text1"/>
                <w:kern w:val="21"/>
                <w:szCs w:val="24"/>
                <w:highlight w:val="none"/>
                <w14:textFill>
                  <w14:solidFill>
                    <w14:schemeClr w14:val="tx1"/>
                  </w14:solidFill>
                </w14:textFill>
              </w:rPr>
              <w:t>4.提交时限：合同签订前按规定提交履约保证金，若成交人在规定时限内未提交保证金的，业主单位将书面通知成交人，5日内不能办理的，业主单位将有权取消其成交资格,并没收其投标保证金。在此情况下业主单位可将该项目授予排名第二的投标人或重新招标。</w:t>
            </w:r>
          </w:p>
          <w:p w14:paraId="71FD533D">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olor w:val="000000" w:themeColor="text1"/>
                <w:kern w:val="21"/>
                <w:szCs w:val="24"/>
                <w:highlight w:val="none"/>
                <w14:textFill>
                  <w14:solidFill>
                    <w14:schemeClr w14:val="tx1"/>
                  </w14:solidFill>
                </w14:textFill>
              </w:rPr>
            </w:pPr>
            <w:r>
              <w:rPr>
                <w:rFonts w:hint="eastAsia" w:ascii="宋体" w:hAnsi="宋体"/>
                <w:color w:val="000000" w:themeColor="text1"/>
                <w:kern w:val="21"/>
                <w:szCs w:val="24"/>
                <w:highlight w:val="none"/>
                <w14:textFill>
                  <w14:solidFill>
                    <w14:schemeClr w14:val="tx1"/>
                  </w14:solidFill>
                </w14:textFill>
              </w:rPr>
              <w:t>5.退还：</w:t>
            </w:r>
            <w:r>
              <w:rPr>
                <w:rFonts w:hint="eastAsia" w:ascii="宋体" w:hAnsi="宋体"/>
                <w:color w:val="000000" w:themeColor="text1"/>
                <w:kern w:val="21"/>
                <w:sz w:val="24"/>
                <w:szCs w:val="24"/>
                <w14:textFill>
                  <w14:solidFill>
                    <w14:schemeClr w14:val="tx1"/>
                  </w14:solidFill>
                </w14:textFill>
              </w:rPr>
              <w:t>合同终止且无</w:t>
            </w:r>
            <w:r>
              <w:rPr>
                <w:rFonts w:hint="eastAsia" w:ascii="宋体" w:hAnsi="宋体"/>
                <w:color w:val="000000" w:themeColor="text1"/>
                <w:kern w:val="21"/>
                <w:sz w:val="24"/>
                <w:szCs w:val="24"/>
                <w:lang w:val="en-US" w:eastAsia="zh-CN"/>
                <w14:textFill>
                  <w14:solidFill>
                    <w14:schemeClr w14:val="tx1"/>
                  </w14:solidFill>
                </w14:textFill>
              </w:rPr>
              <w:t>中标人</w:t>
            </w:r>
            <w:r>
              <w:rPr>
                <w:rFonts w:hint="eastAsia" w:ascii="宋体" w:hAnsi="宋体"/>
                <w:color w:val="000000" w:themeColor="text1"/>
                <w:kern w:val="21"/>
                <w:sz w:val="24"/>
                <w:szCs w:val="24"/>
                <w14:textFill>
                  <w14:solidFill>
                    <w14:schemeClr w14:val="tx1"/>
                  </w14:solidFill>
                </w14:textFill>
              </w:rPr>
              <w:t>责任后，一个月内退还。</w:t>
            </w:r>
          </w:p>
          <w:p w14:paraId="1E6F4093">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olor w:val="000000" w:themeColor="text1"/>
                <w:kern w:val="21"/>
                <w:szCs w:val="24"/>
                <w:highlight w:val="none"/>
                <w14:textFill>
                  <w14:solidFill>
                    <w14:schemeClr w14:val="tx1"/>
                  </w14:solidFill>
                </w14:textFill>
              </w:rPr>
            </w:pPr>
            <w:r>
              <w:rPr>
                <w:rFonts w:hint="eastAsia" w:ascii="宋体" w:hAnsi="宋体"/>
                <w:color w:val="000000" w:themeColor="text1"/>
                <w:kern w:val="21"/>
                <w:szCs w:val="24"/>
                <w:highlight w:val="none"/>
                <w14:textFill>
                  <w14:solidFill>
                    <w14:schemeClr w14:val="tx1"/>
                  </w14:solidFill>
                </w14:textFill>
              </w:rPr>
              <w:t>6.如采用银行保函，</w:t>
            </w:r>
            <w:r>
              <w:rPr>
                <w:rFonts w:hint="eastAsia" w:ascii="宋体" w:hAnsi="宋体"/>
                <w:color w:val="000000" w:themeColor="text1"/>
                <w:kern w:val="21"/>
                <w:szCs w:val="24"/>
                <w:highlight w:val="none"/>
                <w:lang w:val="en-US" w:eastAsia="zh-CN"/>
                <w14:textFill>
                  <w14:solidFill>
                    <w14:schemeClr w14:val="tx1"/>
                  </w14:solidFill>
                </w14:textFill>
              </w:rPr>
              <w:t>须为</w:t>
            </w:r>
            <w:r>
              <w:rPr>
                <w:rFonts w:hint="eastAsia" w:ascii="宋体" w:hAnsi="宋体"/>
                <w:color w:val="000000" w:themeColor="text1"/>
                <w:kern w:val="21"/>
                <w:szCs w:val="24"/>
                <w:highlight w:val="none"/>
                <w14:textFill>
                  <w14:solidFill>
                    <w14:schemeClr w14:val="tx1"/>
                  </w14:solidFill>
                </w14:textFill>
              </w:rPr>
              <w:t>见索即付无条件保函。</w:t>
            </w:r>
          </w:p>
        </w:tc>
      </w:tr>
      <w:tr w14:paraId="690E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69A4B182">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21</w:t>
            </w:r>
          </w:p>
        </w:tc>
        <w:tc>
          <w:tcPr>
            <w:tcW w:w="1515" w:type="dxa"/>
            <w:vAlign w:val="center"/>
          </w:tcPr>
          <w:p w14:paraId="6E3AA91B">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本项目提供除招标文件以外的其他资料</w:t>
            </w:r>
          </w:p>
        </w:tc>
        <w:tc>
          <w:tcPr>
            <w:tcW w:w="7753" w:type="dxa"/>
            <w:vAlign w:val="center"/>
          </w:tcPr>
          <w:p w14:paraId="5B766BB1">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sym w:font="Wingdings" w:char="F0FE"/>
            </w:r>
            <w:r>
              <w:rPr>
                <w:rFonts w:hint="eastAsia" w:ascii="宋体" w:hAnsi="宋体" w:cs="宋体"/>
                <w:color w:val="000000" w:themeColor="text1"/>
                <w:kern w:val="21"/>
                <w:szCs w:val="24"/>
                <w:highlight w:val="none"/>
                <w14:textFill>
                  <w14:solidFill>
                    <w14:schemeClr w14:val="tx1"/>
                  </w14:solidFill>
                </w14:textFill>
              </w:rPr>
              <w:t>无</w:t>
            </w:r>
          </w:p>
        </w:tc>
      </w:tr>
      <w:tr w14:paraId="0078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61F820FE">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22</w:t>
            </w:r>
          </w:p>
        </w:tc>
        <w:tc>
          <w:tcPr>
            <w:tcW w:w="1515" w:type="dxa"/>
            <w:vAlign w:val="center"/>
          </w:tcPr>
          <w:p w14:paraId="07168A44">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本地化服务</w:t>
            </w:r>
          </w:p>
        </w:tc>
        <w:tc>
          <w:tcPr>
            <w:tcW w:w="7753" w:type="dxa"/>
            <w:vAlign w:val="center"/>
          </w:tcPr>
          <w:p w14:paraId="06C30BF4">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本项目是否要求本地化服务能力：□要求</w:t>
            </w:r>
            <w:r>
              <w:rPr>
                <w:rFonts w:hint="eastAsia" w:ascii="宋体" w:hAnsi="宋体" w:cs="宋体"/>
                <w:color w:val="000000" w:themeColor="text1"/>
                <w:kern w:val="21"/>
                <w:szCs w:val="24"/>
                <w:highlight w:val="none"/>
                <w14:textFill>
                  <w14:solidFill>
                    <w14:schemeClr w14:val="tx1"/>
                  </w14:solidFill>
                </w14:textFill>
              </w:rPr>
              <w:sym w:font="Wingdings" w:char="F0FE"/>
            </w:r>
            <w:r>
              <w:rPr>
                <w:rFonts w:hint="eastAsia" w:ascii="宋体" w:hAnsi="宋体" w:cs="宋体"/>
                <w:color w:val="000000" w:themeColor="text1"/>
                <w:kern w:val="21"/>
                <w:szCs w:val="24"/>
                <w:highlight w:val="none"/>
                <w14:textFill>
                  <w14:solidFill>
                    <w14:schemeClr w14:val="tx1"/>
                  </w14:solidFill>
                </w14:textFill>
              </w:rPr>
              <w:t>不要求</w:t>
            </w:r>
          </w:p>
          <w:p w14:paraId="03AE3A6E">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本地化服务的能力是指具有下列条件之一：</w:t>
            </w:r>
          </w:p>
          <w:p w14:paraId="4E043692">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1）在本地具有固定的办公场所及人员；</w:t>
            </w:r>
          </w:p>
          <w:p w14:paraId="12AE6A1D">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2）投标人在本地注册成立的；</w:t>
            </w:r>
          </w:p>
          <w:p w14:paraId="4829A3AA">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b/>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3）承诺成交即设立本地化服务机构。</w:t>
            </w:r>
          </w:p>
        </w:tc>
      </w:tr>
      <w:tr w14:paraId="1676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2D07CEA2">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23</w:t>
            </w:r>
          </w:p>
        </w:tc>
        <w:tc>
          <w:tcPr>
            <w:tcW w:w="1515" w:type="dxa"/>
            <w:vAlign w:val="center"/>
          </w:tcPr>
          <w:p w14:paraId="1F8EE443">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其他</w:t>
            </w:r>
          </w:p>
        </w:tc>
        <w:tc>
          <w:tcPr>
            <w:tcW w:w="7753" w:type="dxa"/>
            <w:vAlign w:val="center"/>
          </w:tcPr>
          <w:p w14:paraId="47D7A14A">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1.无论何种原因，即使投标人招标时携带了证书等材料的原件，但在招标文件中未提供与之内容完全一致的扫描件的，招标小组可以视同其未提供。</w:t>
            </w:r>
          </w:p>
          <w:p w14:paraId="365365E5">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2.招标文件中要求加盖公章，均可以提供加盖公章的扫描件；招标文件要求提供的证明资料均应制作在</w:t>
            </w:r>
            <w:r>
              <w:rPr>
                <w:rFonts w:hint="eastAsia" w:ascii="宋体" w:hAnsi="宋体" w:cs="宋体"/>
                <w:color w:val="000000" w:themeColor="text1"/>
                <w:kern w:val="21"/>
                <w:szCs w:val="24"/>
                <w:highlight w:val="none"/>
                <w:lang w:eastAsia="zh-CN"/>
                <w14:textFill>
                  <w14:solidFill>
                    <w14:schemeClr w14:val="tx1"/>
                  </w14:solidFill>
                </w14:textFill>
              </w:rPr>
              <w:t>投标文件</w:t>
            </w:r>
            <w:r>
              <w:rPr>
                <w:rFonts w:hint="eastAsia" w:ascii="宋体" w:hAnsi="宋体" w:cs="宋体"/>
                <w:color w:val="000000" w:themeColor="text1"/>
                <w:kern w:val="21"/>
                <w:szCs w:val="24"/>
                <w:highlight w:val="none"/>
                <w14:textFill>
                  <w14:solidFill>
                    <w14:schemeClr w14:val="tx1"/>
                  </w14:solidFill>
                </w14:textFill>
              </w:rPr>
              <w:t>中。招标文件中的招标资料模糊不清的，</w:t>
            </w:r>
            <w:r>
              <w:rPr>
                <w:rFonts w:hint="eastAsia"/>
                <w:kern w:val="21"/>
                <w:highlight w:val="none"/>
                <w:lang w:val="en-US" w:eastAsia="zh-CN"/>
              </w:rPr>
              <w:t>评标委员会</w:t>
            </w:r>
            <w:r>
              <w:rPr>
                <w:rFonts w:hint="eastAsia" w:ascii="宋体" w:hAnsi="宋体" w:cs="宋体"/>
                <w:color w:val="000000" w:themeColor="text1"/>
                <w:kern w:val="21"/>
                <w:szCs w:val="24"/>
                <w:highlight w:val="none"/>
                <w14:textFill>
                  <w14:solidFill>
                    <w14:schemeClr w14:val="tx1"/>
                  </w14:solidFill>
                </w14:textFill>
              </w:rPr>
              <w:t>将按不利于投标人的理解进行评审，由此产生的一切后果由投标人自行承担。</w:t>
            </w:r>
          </w:p>
          <w:p w14:paraId="3878C16F">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strike/>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3.本项目将对</w:t>
            </w:r>
            <w:r>
              <w:rPr>
                <w:rFonts w:hint="eastAsia" w:ascii="宋体" w:hAnsi="宋体" w:cs="宋体"/>
                <w:color w:val="000000" w:themeColor="text1"/>
                <w:kern w:val="21"/>
                <w:szCs w:val="24"/>
                <w:highlight w:val="none"/>
                <w:lang w:val="en-US" w:eastAsia="zh-CN"/>
                <w14:textFill>
                  <w14:solidFill>
                    <w14:schemeClr w14:val="tx1"/>
                  </w14:solidFill>
                </w14:textFill>
              </w:rPr>
              <w:t>中标</w:t>
            </w:r>
            <w:r>
              <w:rPr>
                <w:rFonts w:hint="eastAsia" w:ascii="宋体" w:hAnsi="宋体" w:cs="宋体"/>
                <w:color w:val="000000" w:themeColor="text1"/>
                <w:kern w:val="21"/>
                <w:szCs w:val="24"/>
                <w:highlight w:val="none"/>
                <w14:textFill>
                  <w14:solidFill>
                    <w14:schemeClr w14:val="tx1"/>
                  </w14:solidFill>
                </w14:textFill>
              </w:rPr>
              <w:t>候选人经</w:t>
            </w:r>
            <w:r>
              <w:rPr>
                <w:rFonts w:hint="eastAsia"/>
                <w:kern w:val="21"/>
                <w:highlight w:val="none"/>
                <w:lang w:val="en-US" w:eastAsia="zh-CN"/>
              </w:rPr>
              <w:t>评标委员会</w:t>
            </w:r>
            <w:r>
              <w:rPr>
                <w:rFonts w:hint="eastAsia" w:ascii="宋体" w:hAnsi="宋体" w:cs="宋体"/>
                <w:color w:val="000000" w:themeColor="text1"/>
                <w:kern w:val="21"/>
                <w:szCs w:val="24"/>
                <w:highlight w:val="none"/>
                <w14:textFill>
                  <w14:solidFill>
                    <w14:schemeClr w14:val="tx1"/>
                  </w14:solidFill>
                </w14:textFill>
              </w:rPr>
              <w:t>评审认可的以下内容进行公示：</w:t>
            </w:r>
          </w:p>
          <w:p w14:paraId="0BA17E7E">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u w:val="singl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（1）投标人业绩（如有，得分业绩）：项目名称；</w:t>
            </w:r>
          </w:p>
          <w:p w14:paraId="4D7E5FF8">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（2）银行保函或担保机构担保或保证保险形式的投标保证金扫描件（如采用）。</w:t>
            </w:r>
          </w:p>
          <w:p w14:paraId="04348FC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注：如存在弄虚作假行为，将取消成交资格并上报监管部门按有关规定处理。</w:t>
            </w:r>
          </w:p>
          <w:p w14:paraId="6F7C813C">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4.如有最新国家和地方标准、规范等，应按最新标准、规范执行，如多个规范对同一问题的标准和要求不一致时，应按较高标准和要求内容执行。</w:t>
            </w:r>
          </w:p>
        </w:tc>
      </w:tr>
      <w:tr w14:paraId="4C87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5" w:type="dxa"/>
            <w:vAlign w:val="center"/>
          </w:tcPr>
          <w:p w14:paraId="64C88E44">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strike/>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24</w:t>
            </w:r>
          </w:p>
        </w:tc>
        <w:tc>
          <w:tcPr>
            <w:tcW w:w="1515" w:type="dxa"/>
            <w:vAlign w:val="center"/>
          </w:tcPr>
          <w:p w14:paraId="7D06C63A">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重要提示</w:t>
            </w:r>
          </w:p>
        </w:tc>
        <w:tc>
          <w:tcPr>
            <w:tcW w:w="7753" w:type="dxa"/>
            <w:vAlign w:val="center"/>
          </w:tcPr>
          <w:p w14:paraId="07EFA51F">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1.投标人成交之后，应当在规定的期间内与业主单位签订合同，业主单位拒绝签订合同的，成交人应当及时向监管部门反映，以便协调处理；</w:t>
            </w:r>
          </w:p>
          <w:p w14:paraId="0F9E4818">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2.投标人成交之后，应当在规定的时间内与业主单位签订合同，投标人拒绝签订合同的，业主单位应当及时向监管部门反映，以便协调处理；</w:t>
            </w:r>
          </w:p>
          <w:p w14:paraId="46406C2D">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3.成交合同签订后，成交人未及时履行义务的，业主单位应当及时向监管部门反映，以便协调处理；</w:t>
            </w:r>
          </w:p>
          <w:p w14:paraId="3082E1AD">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4.成交合同签订后，业主单位未及时履行义务影响成交人履行义务的，成交人应当及时向监管部门反映，以便协调处理。</w:t>
            </w:r>
          </w:p>
          <w:p w14:paraId="28186FD5">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cs="宋体"/>
                <w:color w:val="000000" w:themeColor="text1"/>
                <w:kern w:val="21"/>
                <w:szCs w:val="24"/>
                <w:highlight w:val="none"/>
                <w14:textFill>
                  <w14:solidFill>
                    <w14:schemeClr w14:val="tx1"/>
                  </w14:solidFill>
                </w14:textFill>
              </w:rPr>
            </w:pPr>
            <w:r>
              <w:rPr>
                <w:rFonts w:hint="eastAsia" w:ascii="宋体" w:hAnsi="宋体" w:cs="宋体"/>
                <w:color w:val="000000" w:themeColor="text1"/>
                <w:kern w:val="21"/>
                <w:szCs w:val="24"/>
                <w:highlight w:val="none"/>
                <w14:textFill>
                  <w14:solidFill>
                    <w14:schemeClr w14:val="tx1"/>
                  </w14:solidFill>
                </w14:textFill>
              </w:rPr>
              <w:t>业主单位和成交人未履行上述义务的，监管部门将依法对业主单位和成交人进行处理，追究相关责任。</w:t>
            </w:r>
          </w:p>
        </w:tc>
      </w:tr>
    </w:tbl>
    <w:p w14:paraId="0CA89A6D">
      <w:pPr>
        <w:widowControl/>
        <w:jc w:val="left"/>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br w:type="page"/>
      </w:r>
    </w:p>
    <w:p w14:paraId="3B390D0F">
      <w:pPr>
        <w:pStyle w:val="2"/>
        <w:spacing w:line="500" w:lineRule="exact"/>
        <w:ind w:firstLine="0"/>
        <w:rPr>
          <w:rFonts w:hint="eastAsia" w:ascii="宋体" w:hAnsi="宋体" w:eastAsia="宋体"/>
          <w:color w:val="000000" w:themeColor="text1"/>
          <w:sz w:val="24"/>
          <w:szCs w:val="24"/>
          <w:highlight w:val="none"/>
          <w14:textFill>
            <w14:solidFill>
              <w14:schemeClr w14:val="tx1"/>
            </w14:solidFill>
          </w14:textFill>
        </w:rPr>
      </w:pPr>
      <w:bookmarkStart w:id="16" w:name="_Toc7895"/>
      <w:bookmarkStart w:id="17" w:name="_Toc1060"/>
      <w:r>
        <w:rPr>
          <w:rFonts w:hint="eastAsia" w:ascii="宋体" w:hAnsi="宋体" w:eastAsia="宋体"/>
          <w:color w:val="000000" w:themeColor="text1"/>
          <w:highlight w:val="none"/>
          <w14:textFill>
            <w14:solidFill>
              <w14:schemeClr w14:val="tx1"/>
            </w14:solidFill>
          </w14:textFill>
        </w:rPr>
        <w:t>第三章投标人须知</w:t>
      </w:r>
      <w:bookmarkEnd w:id="16"/>
      <w:bookmarkEnd w:id="17"/>
    </w:p>
    <w:p w14:paraId="1AD34469">
      <w:pPr>
        <w:spacing w:line="360" w:lineRule="auto"/>
        <w:jc w:val="center"/>
        <w:outlineLvl w:val="2"/>
        <w:rPr>
          <w:rFonts w:hint="eastAsia" w:asciiTheme="minorEastAsia" w:hAnsiTheme="minorEastAsia" w:eastAsiaTheme="minorEastAsia"/>
          <w:b/>
          <w:color w:val="000000" w:themeColor="text1"/>
          <w:sz w:val="24"/>
          <w:highlight w:val="none"/>
          <w14:textFill>
            <w14:solidFill>
              <w14:schemeClr w14:val="tx1"/>
            </w14:solidFill>
          </w14:textFill>
        </w:rPr>
      </w:pPr>
      <w:bookmarkStart w:id="18" w:name="_Hlt509650126"/>
      <w:bookmarkEnd w:id="18"/>
      <w:bookmarkStart w:id="19" w:name="_Hlt509650686"/>
      <w:bookmarkEnd w:id="19"/>
      <w:bookmarkStart w:id="20" w:name="_Hlt509649998"/>
      <w:bookmarkEnd w:id="20"/>
      <w:bookmarkStart w:id="21" w:name="_Hlt509649722"/>
      <w:bookmarkEnd w:id="21"/>
      <w:bookmarkStart w:id="22" w:name="_Hlt509650955"/>
      <w:bookmarkEnd w:id="22"/>
      <w:bookmarkStart w:id="23" w:name="_Hlt526418143"/>
      <w:bookmarkEnd w:id="23"/>
      <w:bookmarkStart w:id="24" w:name="_Toc21093"/>
      <w:r>
        <w:rPr>
          <w:rFonts w:hint="eastAsia" w:asciiTheme="minorEastAsia" w:hAnsiTheme="minorEastAsia" w:eastAsiaTheme="minorEastAsia"/>
          <w:b/>
          <w:color w:val="000000" w:themeColor="text1"/>
          <w:sz w:val="24"/>
          <w:highlight w:val="none"/>
          <w14:textFill>
            <w14:solidFill>
              <w14:schemeClr w14:val="tx1"/>
            </w14:solidFill>
          </w14:textFill>
        </w:rPr>
        <w:t>第一部分总则</w:t>
      </w:r>
      <w:bookmarkEnd w:id="24"/>
    </w:p>
    <w:p w14:paraId="35F4336E">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适用范围</w:t>
      </w:r>
    </w:p>
    <w:p w14:paraId="7465E125">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1.1</w:t>
      </w:r>
      <w:r>
        <w:rPr>
          <w:rFonts w:hint="eastAsia" w:ascii="宋体" w:hAnsi="宋体" w:eastAsia="宋体"/>
          <w:color w:val="000000" w:themeColor="text1"/>
          <w:sz w:val="24"/>
          <w:highlight w:val="none"/>
          <w14:textFill>
            <w14:solidFill>
              <w14:schemeClr w14:val="tx1"/>
            </w14:solidFill>
          </w14:textFill>
        </w:rPr>
        <w:t>本招标文件仅适用于本次公开招标所述的服务项目采购。</w:t>
      </w:r>
    </w:p>
    <w:p w14:paraId="037B2EA6">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定义</w:t>
      </w:r>
    </w:p>
    <w:p w14:paraId="27B9407E">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w:t>
      </w:r>
      <w:r>
        <w:rPr>
          <w:rFonts w:ascii="宋体" w:hAnsi="宋体" w:eastAsia="宋体"/>
          <w:color w:val="000000" w:themeColor="text1"/>
          <w:sz w:val="24"/>
          <w:highlight w:val="none"/>
          <w14:textFill>
            <w14:solidFill>
              <w14:schemeClr w14:val="tx1"/>
            </w14:solidFill>
          </w14:textFill>
        </w:rPr>
        <w:t>1</w:t>
      </w:r>
      <w:r>
        <w:rPr>
          <w:rFonts w:hint="eastAsia" w:ascii="宋体" w:hAnsi="宋体" w:eastAsia="宋体"/>
          <w:color w:val="000000" w:themeColor="text1"/>
          <w:sz w:val="24"/>
          <w:highlight w:val="none"/>
          <w14:textFill>
            <w14:solidFill>
              <w14:schemeClr w14:val="tx1"/>
            </w14:solidFill>
          </w14:textFill>
        </w:rPr>
        <w:t>服务：系指除货物和工程以外的其他对象，包括咨询、调研、评估、规划、设计、监理、审计、保险、租赁、印刷、维修、物业管理等。</w:t>
      </w:r>
    </w:p>
    <w:p w14:paraId="08EBDF5E">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2.2时限（年份、月份等）计算：系指从开标之日向前追溯X年/月（“X”为“一”及以后整数）起算。</w:t>
      </w:r>
    </w:p>
    <w:p w14:paraId="5BE4D876">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2.3业绩：业绩系指符合本招标文件规定的与最终用户签订的合同</w:t>
      </w:r>
      <w:r>
        <w:rPr>
          <w:rFonts w:hint="eastAsia" w:ascii="宋体" w:hAnsi="宋体" w:eastAsia="宋体"/>
          <w:color w:val="000000" w:themeColor="text1"/>
          <w:sz w:val="24"/>
          <w:highlight w:val="none"/>
          <w14:textFill>
            <w14:solidFill>
              <w14:schemeClr w14:val="tx1"/>
            </w14:solidFill>
          </w14:textFill>
        </w:rPr>
        <w:t>或</w:t>
      </w:r>
      <w:r>
        <w:rPr>
          <w:rFonts w:ascii="宋体" w:hAnsi="宋体" w:eastAsia="宋体"/>
          <w:color w:val="000000" w:themeColor="text1"/>
          <w:sz w:val="24"/>
          <w:highlight w:val="none"/>
          <w14:textFill>
            <w14:solidFill>
              <w14:schemeClr w14:val="tx1"/>
            </w14:solidFill>
          </w14:textFill>
        </w:rPr>
        <w:t>招标文件要求的相关证明。投标人与其关联公司（如母公司、控股公司、分公司、子公司、同一法定代表人的公司等）之间签订的合同，均不予认可。</w:t>
      </w:r>
    </w:p>
    <w:p w14:paraId="7551135C">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招标人、招标代理机构及投标人</w:t>
      </w:r>
    </w:p>
    <w:p w14:paraId="4260B139">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w:t>
      </w:r>
      <w:r>
        <w:rPr>
          <w:rFonts w:ascii="宋体" w:hAnsi="宋体" w:eastAsia="宋体"/>
          <w:color w:val="000000" w:themeColor="text1"/>
          <w:sz w:val="24"/>
          <w:highlight w:val="none"/>
          <w14:textFill>
            <w14:solidFill>
              <w14:schemeClr w14:val="tx1"/>
            </w14:solidFill>
          </w14:textFill>
        </w:rPr>
        <w:t>.1</w:t>
      </w:r>
      <w:r>
        <w:rPr>
          <w:rFonts w:hint="eastAsia" w:ascii="宋体" w:hAnsi="宋体" w:eastAsia="宋体"/>
          <w:color w:val="000000" w:themeColor="text1"/>
          <w:sz w:val="24"/>
          <w:highlight w:val="none"/>
          <w14:textFill>
            <w14:solidFill>
              <w14:schemeClr w14:val="tx1"/>
            </w14:solidFill>
          </w14:textFill>
        </w:rPr>
        <w:t>招标人</w:t>
      </w: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系指本次招标项目的业主方。</w:t>
      </w:r>
    </w:p>
    <w:p w14:paraId="127BBAD7">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3.2委托人：系指本次招标项目的委托方。</w:t>
      </w:r>
    </w:p>
    <w:p w14:paraId="2FBB897F">
      <w:pPr>
        <w:spacing w:line="360" w:lineRule="auto"/>
        <w:ind w:firstLine="480" w:firstLineChars="200"/>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w:t>
      </w: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3招标代理机构</w:t>
      </w: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系指肥西县公共资源交易有限责任公司，以下简称“县</w:t>
      </w:r>
      <w:r>
        <w:rPr>
          <w:rFonts w:hint="eastAsia" w:ascii="宋体" w:hAnsi="宋体" w:eastAsia="宋体" w:cs="宋体"/>
          <w:color w:val="000000" w:themeColor="text1"/>
          <w:sz w:val="24"/>
          <w:szCs w:val="24"/>
          <w:highlight w:val="none"/>
          <w:lang w:val="en-US" w:eastAsia="zh-CN"/>
          <w14:textFill>
            <w14:solidFill>
              <w14:schemeClr w14:val="tx1"/>
            </w14:solidFill>
          </w14:textFill>
        </w:rPr>
        <w:t>交易</w:t>
      </w:r>
      <w:r>
        <w:rPr>
          <w:rFonts w:hint="eastAsia" w:ascii="宋体" w:hAnsi="宋体" w:eastAsia="宋体" w:cs="宋体"/>
          <w:color w:val="000000" w:themeColor="text1"/>
          <w:sz w:val="24"/>
          <w:szCs w:val="24"/>
          <w:highlight w:val="none"/>
          <w14:textFill>
            <w14:solidFill>
              <w14:schemeClr w14:val="tx1"/>
            </w14:solidFill>
          </w14:textFill>
        </w:rPr>
        <w:t>公司”。</w:t>
      </w:r>
    </w:p>
    <w:p w14:paraId="48969A3D">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w:t>
      </w: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4</w:t>
      </w:r>
      <w:r>
        <w:rPr>
          <w:rFonts w:ascii="宋体" w:hAnsi="宋体" w:eastAsia="宋体"/>
          <w:color w:val="000000" w:themeColor="text1"/>
          <w:sz w:val="24"/>
          <w:highlight w:val="none"/>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系指按规定获取了本招标文件，且已经提交或准备提交本次投标文件的法人或者其他组织。</w:t>
      </w:r>
    </w:p>
    <w:p w14:paraId="54A7EC7A">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w:t>
      </w: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5合格的投标人：</w:t>
      </w:r>
    </w:p>
    <w:p w14:paraId="4927E7C0">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3.5.1</w:t>
      </w:r>
      <w:r>
        <w:rPr>
          <w:rFonts w:hint="eastAsia" w:ascii="宋体" w:hAnsi="宋体" w:eastAsia="宋体" w:cs="宋体"/>
          <w:color w:val="000000" w:themeColor="text1"/>
          <w:sz w:val="24"/>
          <w:szCs w:val="24"/>
          <w:highlight w:val="none"/>
          <w14:textFill>
            <w14:solidFill>
              <w14:schemeClr w14:val="tx1"/>
            </w14:solidFill>
          </w14:textFill>
        </w:rPr>
        <w:t>合格的投标人应符合招标文件载明的投标资格。</w:t>
      </w:r>
    </w:p>
    <w:p w14:paraId="1AF28C04">
      <w:pPr>
        <w:spacing w:line="360" w:lineRule="auto"/>
        <w:ind w:firstLine="4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3.5.2除非招标文件认可，否则母、子公司之间的业绩、资质不得互用。</w:t>
      </w:r>
    </w:p>
    <w:p w14:paraId="65F23211">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3.5.3</w:t>
      </w:r>
      <w:r>
        <w:rPr>
          <w:rFonts w:hint="eastAsia" w:ascii="宋体" w:hAnsi="宋体" w:eastAsia="宋体"/>
          <w:color w:val="000000" w:themeColor="text1"/>
          <w:sz w:val="24"/>
          <w:highlight w:val="none"/>
          <w14:textFill>
            <w14:solidFill>
              <w14:schemeClr w14:val="tx1"/>
            </w14:solidFill>
          </w14:textFill>
        </w:rPr>
        <w:t>与招标人存在利害关系可能影响招标公正性的法人、其他组织或个人，不得参加投标。</w:t>
      </w:r>
    </w:p>
    <w:p w14:paraId="1777B45C">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单位负责人为同一人或者存在控股、管理关系的不同单位，不得参加同一标段投标或者未划分标段的同一招标项目投标。</w:t>
      </w:r>
    </w:p>
    <w:p w14:paraId="664EDC66">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违反前两款规定的，相关投标均无效。</w:t>
      </w:r>
    </w:p>
    <w:p w14:paraId="7A6A30FC">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4</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资金来源</w:t>
      </w:r>
    </w:p>
    <w:p w14:paraId="56E61E05">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本</w:t>
      </w:r>
      <w:r>
        <w:rPr>
          <w:rFonts w:hint="eastAsia" w:ascii="宋体" w:hAnsi="宋体" w:eastAsia="宋体"/>
          <w:color w:val="000000" w:themeColor="text1"/>
          <w:sz w:val="24"/>
          <w:highlight w:val="none"/>
          <w14:textFill>
            <w14:solidFill>
              <w14:schemeClr w14:val="tx1"/>
            </w14:solidFill>
          </w14:textFill>
        </w:rPr>
        <w:t>项目</w:t>
      </w:r>
      <w:r>
        <w:rPr>
          <w:rFonts w:hint="eastAsia" w:asciiTheme="minorEastAsia" w:hAnsiTheme="minorEastAsia" w:eastAsiaTheme="minorEastAsia"/>
          <w:color w:val="000000" w:themeColor="text1"/>
          <w:sz w:val="24"/>
          <w:highlight w:val="none"/>
          <w14:textFill>
            <w14:solidFill>
              <w14:schemeClr w14:val="tx1"/>
            </w14:solidFill>
          </w14:textFill>
        </w:rPr>
        <w:t>的招标人已获得足以支付本次招标后所签订的合同项下的资金。</w:t>
      </w:r>
    </w:p>
    <w:p w14:paraId="551A8400">
      <w:pPr>
        <w:spacing w:line="360" w:lineRule="auto"/>
        <w:ind w:firstLine="435"/>
        <w:rPr>
          <w:rFonts w:hint="eastAsia" w:ascii="宋体" w:hAnsi="宋体" w:eastAsia="宋体"/>
          <w:color w:val="000000" w:themeColor="text1"/>
          <w:sz w:val="24"/>
          <w:highlight w:val="none"/>
          <w14:textFill>
            <w14:solidFill>
              <w14:schemeClr w14:val="tx1"/>
            </w14:solidFill>
          </w14:textFill>
        </w:rPr>
      </w:pPr>
      <w:bookmarkStart w:id="25" w:name="_Hlk11702998"/>
      <w:r>
        <w:rPr>
          <w:rFonts w:hint="eastAsia" w:ascii="宋体" w:hAnsi="宋体" w:eastAsia="宋体"/>
          <w:color w:val="000000" w:themeColor="text1"/>
          <w:sz w:val="24"/>
          <w:highlight w:val="none"/>
          <w14:textFill>
            <w14:solidFill>
              <w14:schemeClr w14:val="tx1"/>
            </w14:solidFill>
          </w14:textFill>
        </w:rPr>
        <w:t>4.2项目预算金额和分项（或分包）最高限价见</w:t>
      </w:r>
      <w:r>
        <w:rPr>
          <w:rFonts w:hint="eastAsia" w:ascii="宋体" w:hAnsi="宋体" w:eastAsia="宋体"/>
          <w:color w:val="000000" w:themeColor="text1"/>
          <w:sz w:val="24"/>
          <w:highlight w:val="none"/>
          <w:u w:val="single"/>
          <w:lang w:val="en-US" w:eastAsia="zh-CN"/>
          <w14:textFill>
            <w14:solidFill>
              <w14:schemeClr w14:val="tx1"/>
            </w14:solidFill>
          </w14:textFill>
        </w:rPr>
        <w:t>招标公告</w:t>
      </w:r>
      <w:r>
        <w:rPr>
          <w:rFonts w:hint="eastAsia" w:ascii="宋体" w:hAnsi="宋体" w:eastAsia="宋体"/>
          <w:color w:val="000000" w:themeColor="text1"/>
          <w:sz w:val="24"/>
          <w:highlight w:val="none"/>
          <w14:textFill>
            <w14:solidFill>
              <w14:schemeClr w14:val="tx1"/>
            </w14:solidFill>
          </w14:textFill>
        </w:rPr>
        <w:t>。</w:t>
      </w:r>
    </w:p>
    <w:bookmarkEnd w:id="25"/>
    <w:p w14:paraId="7546DA33">
      <w:pPr>
        <w:spacing w:line="44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5.踏勘现场</w:t>
      </w:r>
    </w:p>
    <w:p w14:paraId="3A2DCD70">
      <w:pPr>
        <w:spacing w:line="44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5.1投标人应自行对供货（安装）、施工或服务现场和周围环境进行踏勘，以获取编制投标文件和签署合同所需的资料。踏勘现场的方式、地址及联系方式见投标人须知前附表。</w:t>
      </w:r>
    </w:p>
    <w:p w14:paraId="0A2F25B8">
      <w:pPr>
        <w:spacing w:line="44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5.2踏勘现场所发生的费用由投标人自行承担。招标人向投标人提供的有关供货（安装）、施工或服务现场的资料和数据，是招标人现有的能使</w:t>
      </w:r>
      <w:r>
        <w:rPr>
          <w:rFonts w:hint="eastAsia" w:ascii="宋体" w:hAnsi="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利用的资料。招标人对投标人由此而做出的推论、理解和结论概不负责。投标人未到供货（安装）、施工或服务现场实地踏勘的，成交后签订合同时和履约过程中，不得以不完全了解现场情况为由，提出任何形式的增加合同价款或索赔的要求。</w:t>
      </w:r>
    </w:p>
    <w:p w14:paraId="4DC6CA20">
      <w:pPr>
        <w:spacing w:line="440" w:lineRule="exact"/>
        <w:ind w:firstLine="480" w:firstLineChars="200"/>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5.3除非有特殊要求，招标文件不单独提供供货（安装）、施工或服务地点的自然环境、气候条件、公用设施等情况，投标人被视为熟悉上述与履行合同有关的一切情况。</w:t>
      </w:r>
    </w:p>
    <w:p w14:paraId="5E451600">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6</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投标费用</w:t>
      </w:r>
    </w:p>
    <w:p w14:paraId="1B69D8D1">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不论投标的结果如何，投标人应承担所有与准备和参加投标有关的费用。</w:t>
      </w:r>
    </w:p>
    <w:p w14:paraId="46AF8319">
      <w:pPr>
        <w:spacing w:line="440" w:lineRule="exact"/>
        <w:ind w:firstLine="482"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7.知识产权</w:t>
      </w:r>
    </w:p>
    <w:p w14:paraId="56452043">
      <w:pPr>
        <w:spacing w:line="44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7.1</w:t>
      </w:r>
      <w:r>
        <w:rPr>
          <w:rFonts w:hint="eastAsia" w:ascii="宋体" w:hAnsi="宋体" w:eastAsia="宋体" w:cs="宋体"/>
          <w:bCs/>
          <w:color w:val="000000" w:themeColor="text1"/>
          <w:sz w:val="24"/>
          <w:szCs w:val="24"/>
          <w:highlight w:val="none"/>
          <w14:textFill>
            <w14:solidFill>
              <w14:schemeClr w14:val="tx1"/>
            </w14:solidFill>
          </w14:textFill>
        </w:rPr>
        <w:t>投标人须保证，招标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w:t>
      </w:r>
      <w:r>
        <w:rPr>
          <w:rFonts w:hint="eastAsia" w:ascii="宋体" w:hAnsi="宋体" w:eastAsia="宋体" w:cs="宋体"/>
          <w:color w:val="000000" w:themeColor="text1"/>
          <w:sz w:val="24"/>
          <w:szCs w:val="24"/>
          <w:highlight w:val="none"/>
          <w14:textFill>
            <w14:solidFill>
              <w14:schemeClr w14:val="tx1"/>
            </w14:solidFill>
          </w14:textFill>
        </w:rPr>
        <w:t>如因此导致招标人损失的，投标人须承担全部赔偿责任。</w:t>
      </w:r>
    </w:p>
    <w:p w14:paraId="34F37D70">
      <w:p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8.纪律与保密</w:t>
      </w:r>
    </w:p>
    <w:p w14:paraId="7C1FF605">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8.1投标人的投标行为应遵守中国的有关法律、法规和规章。</w:t>
      </w:r>
    </w:p>
    <w:p w14:paraId="712E10D4">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8.2投标人不得相互串通投标报价，不得排挤其他投标人的公平竞争，损害招标人或者其他投标人的合法权益。</w:t>
      </w:r>
    </w:p>
    <w:p w14:paraId="0F488E54">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投标人不得与招标人串通投标，损害国家利益、社会公共利益或者他人的合法权益。禁止投标人以向招标人或者谈判小组成员行贿的手段谋取中标。</w:t>
      </w:r>
    </w:p>
    <w:p w14:paraId="6D88E2FC">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投标人不得以低于成本的报价竞标，也不得以他人名义投标或者以其他方式弄虚作假，骗取中标。</w:t>
      </w:r>
    </w:p>
    <w:p w14:paraId="3778DFC6">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.3在确定中标人之前，投标人不得与招标人就投标价格、投标方案等实质性内容进行谈判，也不得私下接触评标委员会成员。</w:t>
      </w:r>
    </w:p>
    <w:p w14:paraId="332D7D15">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.4在确定中标人之前，投标人试图在投标文件审查、澄清、比较和评价时对谈判小组、招标人和县</w:t>
      </w:r>
      <w:r>
        <w:rPr>
          <w:rFonts w:hint="eastAsia" w:ascii="宋体" w:hAnsi="宋体" w:eastAsia="宋体" w:cs="宋体"/>
          <w:color w:val="000000" w:themeColor="text1"/>
          <w:sz w:val="24"/>
          <w:szCs w:val="24"/>
          <w:highlight w:val="none"/>
          <w:lang w:val="en-US" w:eastAsia="zh-CN"/>
          <w14:textFill>
            <w14:solidFill>
              <w14:schemeClr w14:val="tx1"/>
            </w14:solidFill>
          </w14:textFill>
        </w:rPr>
        <w:t>交易</w:t>
      </w:r>
      <w:r>
        <w:rPr>
          <w:rFonts w:hint="eastAsia" w:ascii="宋体" w:hAnsi="宋体" w:eastAsia="宋体" w:cs="宋体"/>
          <w:color w:val="000000" w:themeColor="text1"/>
          <w:sz w:val="24"/>
          <w:szCs w:val="24"/>
          <w:highlight w:val="none"/>
          <w14:textFill>
            <w14:solidFill>
              <w14:schemeClr w14:val="tx1"/>
            </w14:solidFill>
          </w14:textFill>
        </w:rPr>
        <w:t>公司施加任何影响都可能导致其投标无效。</w:t>
      </w:r>
    </w:p>
    <w:p w14:paraId="73245369">
      <w:pPr>
        <w:spacing w:line="360" w:lineRule="auto"/>
        <w:ind w:firstLine="480"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5由招标人向投标人提供的图纸、详细资料、样品、模型、模件和所有其它资料，被视为保密资料，仅被用于它所规定的用途。除非得到招标人的同意，不能向任何第三方透露。谈判结束后，应招标人要求，投标人应归还所有从招标人处获得的保密资料。</w:t>
      </w:r>
    </w:p>
    <w:p w14:paraId="53A0D99B">
      <w:p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9.联合体投标</w:t>
      </w:r>
    </w:p>
    <w:p w14:paraId="5CC8EFE4">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9.1除非本项目明确要求不接受联合体形式谈判外，两个以上法人（招标文件如有约定，从其约定）或者其他组织可以组成一个联合体，以一个投标人的身份共同</w:t>
      </w:r>
      <w:r>
        <w:rPr>
          <w:rFonts w:hint="eastAsia" w:ascii="宋体" w:hAnsi="宋体" w:eastAsia="宋体" w:cs="宋体"/>
          <w:color w:val="000000" w:themeColor="text1"/>
          <w:sz w:val="24"/>
          <w:highlight w:val="none"/>
          <w14:textFill>
            <w14:solidFill>
              <w14:schemeClr w14:val="tx1"/>
            </w14:solidFill>
          </w14:textFill>
        </w:rPr>
        <w:t>谈判</w:t>
      </w:r>
      <w:r>
        <w:rPr>
          <w:rFonts w:hint="eastAsia" w:ascii="宋体" w:hAnsi="宋体" w:eastAsia="宋体" w:cs="宋体"/>
          <w:color w:val="000000" w:themeColor="text1"/>
          <w:sz w:val="24"/>
          <w:szCs w:val="24"/>
          <w:highlight w:val="none"/>
          <w14:textFill>
            <w14:solidFill>
              <w14:schemeClr w14:val="tx1"/>
            </w14:solidFill>
          </w14:textFill>
        </w:rPr>
        <w:t>。</w:t>
      </w:r>
    </w:p>
    <w:p w14:paraId="23A7DCD7">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9.2以联合体形式参加</w:t>
      </w:r>
      <w:r>
        <w:rPr>
          <w:rFonts w:hint="eastAsia" w:ascii="宋体" w:hAnsi="宋体" w:eastAsia="宋体" w:cs="宋体"/>
          <w:color w:val="000000" w:themeColor="text1"/>
          <w:sz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的，联合体各方均应当具备承担</w:t>
      </w:r>
      <w:r>
        <w:rPr>
          <w:rFonts w:hint="eastAsia" w:ascii="宋体" w:hAnsi="宋体" w:eastAsia="宋体" w:cs="宋体"/>
          <w:color w:val="000000" w:themeColor="text1"/>
          <w:sz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项目的相应能力；国家有关规定或者招标文件对投标人资格条件有规定的，联合体各方均应当具备规定的相应资格条件。由同一专业的单位组成的联合体，按照资质等级较低的单位确定资质等级。</w:t>
      </w:r>
    </w:p>
    <w:p w14:paraId="79CFE3DE">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9.3联合体各方应当签订联合体协议，明确约定各方拟承担的工作和责任，并将联合体协议连同投标文件一并提交。联合体中标的，联合体各方应当共同与招标人签订合同，就中标项目向招标人承担连带责任。联合体各方在同一招标项目（标段）中以自己名义单独</w:t>
      </w:r>
      <w:r>
        <w:rPr>
          <w:rFonts w:hint="eastAsia" w:ascii="宋体" w:hAnsi="宋体" w:eastAsia="宋体" w:cs="宋体"/>
          <w:color w:val="000000" w:themeColor="text1"/>
          <w:sz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或者参加其他联合体</w:t>
      </w:r>
      <w:r>
        <w:rPr>
          <w:rFonts w:hint="eastAsia" w:ascii="宋体" w:hAnsi="宋体" w:eastAsia="宋体" w:cs="宋体"/>
          <w:color w:val="000000" w:themeColor="text1"/>
          <w:sz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的，相关</w:t>
      </w:r>
      <w:r>
        <w:rPr>
          <w:rFonts w:hint="eastAsia" w:ascii="宋体" w:hAnsi="宋体" w:eastAsia="宋体" w:cs="宋体"/>
          <w:color w:val="000000" w:themeColor="text1"/>
          <w:sz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均无效。</w:t>
      </w:r>
    </w:p>
    <w:p w14:paraId="3765AB98">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9.4</w:t>
      </w:r>
      <w:r>
        <w:rPr>
          <w:rFonts w:hint="eastAsia" w:ascii="宋体" w:hAnsi="宋体" w:eastAsia="宋体" w:cs="宋体"/>
          <w:color w:val="000000" w:themeColor="text1"/>
          <w:sz w:val="24"/>
          <w:highlight w:val="none"/>
          <w14:textFill>
            <w14:solidFill>
              <w14:schemeClr w14:val="tx1"/>
            </w14:solidFill>
          </w14:textFill>
        </w:rPr>
        <w:t>联合体谈判的，投标保证金由联合体牵头方递交，以一方名义递交保证金的，对联合体各方均具有约束力。</w:t>
      </w:r>
    </w:p>
    <w:p w14:paraId="5274A814">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9.5除招标文件有明确约定的，联合体参加</w:t>
      </w:r>
      <w:r>
        <w:rPr>
          <w:rFonts w:hint="eastAsia" w:ascii="宋体" w:hAnsi="宋体" w:eastAsia="宋体" w:cs="宋体"/>
          <w:color w:val="000000" w:themeColor="text1"/>
          <w:sz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的，可以由联合体中的任一方获取招标文件。</w:t>
      </w:r>
    </w:p>
    <w:p w14:paraId="6060FA81">
      <w:pPr>
        <w:spacing w:line="360" w:lineRule="auto"/>
        <w:ind w:firstLine="482" w:firstLineChars="20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10.</w:t>
      </w:r>
      <w:r>
        <w:rPr>
          <w:rFonts w:hint="eastAsia" w:ascii="宋体" w:hAnsi="宋体" w:eastAsia="宋体" w:cs="宋体"/>
          <w:b/>
          <w:bCs/>
          <w:color w:val="000000" w:themeColor="text1"/>
          <w:sz w:val="24"/>
          <w:highlight w:val="none"/>
          <w14:textFill>
            <w14:solidFill>
              <w14:schemeClr w14:val="tx1"/>
            </w14:solidFill>
          </w14:textFill>
        </w:rPr>
        <w:t>投标专用章的效力</w:t>
      </w:r>
    </w:p>
    <w:p w14:paraId="03770EA5">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10.1招标文件中明确要求加盖公章的，投标人必须加盖投标人公章。在有授权文件(原件或原件的扫描件)表明投标专用章法律效力等同于投标人公章的情况下，可以加盖投标专用章，否则将导致投标无效。</w:t>
      </w:r>
    </w:p>
    <w:p w14:paraId="09797303">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11.合同标的转让</w:t>
      </w:r>
    </w:p>
    <w:p w14:paraId="133DEDDE">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11.1合同未约定或者未经招标人同意，中标人不得向他人转让中标项目，也不得将中标项目肢解后分别向他人转让。</w:t>
      </w:r>
    </w:p>
    <w:p w14:paraId="49DB24D4">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11.2合同约定或者经招标人同意，中标人可以将中标项目的部分非主体、非关键性工作分包给他人完成。接受分包的人应当具备相应的资格条件，并不得再次分包。如果本项目允许分包，投标人根据招标项目的实际情况，拟在中标后将中标项目的非主体、非关键性工作交由他人完成的，应在投标文件中载明。</w:t>
      </w:r>
    </w:p>
    <w:p w14:paraId="7720C848">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11.3中标人应当就分包项目向招标人负责，接受分包的人就分包项目承担连带责任。</w:t>
      </w:r>
    </w:p>
    <w:p w14:paraId="3FB0683E">
      <w:pPr>
        <w:spacing w:line="360" w:lineRule="auto"/>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12.招标信息的发布</w:t>
      </w:r>
    </w:p>
    <w:p w14:paraId="6D9BF68D">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12.1与本次招标活动相关的信息，</w:t>
      </w:r>
      <w:r>
        <w:rPr>
          <w:rFonts w:hint="eastAsia" w:ascii="宋体" w:hAnsi="宋体" w:eastAsia="宋体" w:cs="宋体"/>
          <w:color w:val="000000" w:themeColor="text1"/>
          <w:sz w:val="24"/>
          <w:szCs w:val="18"/>
          <w:highlight w:val="none"/>
          <w14:textFill>
            <w14:solidFill>
              <w14:schemeClr w14:val="tx1"/>
            </w14:solidFill>
          </w14:textFill>
        </w:rPr>
        <w:t>将在肥西县公共资源交易有限责任公司、优质采云采购平台、安徽省招标投标信息网、中国采购与招标网上发布</w:t>
      </w:r>
      <w:r>
        <w:rPr>
          <w:rFonts w:hint="eastAsia" w:ascii="宋体" w:hAnsi="宋体" w:eastAsia="宋体" w:cs="宋体"/>
          <w:color w:val="000000" w:themeColor="text1"/>
          <w:sz w:val="24"/>
          <w:highlight w:val="none"/>
          <w14:textFill>
            <w14:solidFill>
              <w14:schemeClr w14:val="tx1"/>
            </w14:solidFill>
          </w14:textFill>
        </w:rPr>
        <w:t>。</w:t>
      </w:r>
    </w:p>
    <w:p w14:paraId="134E6BDF">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13</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招标文件构成</w:t>
      </w:r>
    </w:p>
    <w:p w14:paraId="428D0C2C">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13.1招标文件包括下列内容：</w:t>
      </w:r>
    </w:p>
    <w:p w14:paraId="3818DCBC">
      <w:pPr>
        <w:spacing w:line="360" w:lineRule="auto"/>
        <w:ind w:firstLine="840" w:firstLineChars="350"/>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第一章</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招标公告</w:t>
      </w:r>
    </w:p>
    <w:p w14:paraId="2CD8EF97">
      <w:pPr>
        <w:spacing w:line="360" w:lineRule="auto"/>
        <w:ind w:firstLine="840" w:firstLineChars="350"/>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第二章</w:t>
      </w:r>
      <w:r>
        <w:rPr>
          <w:rFonts w:asciiTheme="minorEastAsia" w:hAnsiTheme="minorEastAsia" w:eastAsiaTheme="minorEastAsia"/>
          <w:color w:val="000000" w:themeColor="text1"/>
          <w:sz w:val="24"/>
          <w:highlight w:val="none"/>
          <w14:textFill>
            <w14:solidFill>
              <w14:schemeClr w14:val="tx1"/>
            </w14:solidFill>
          </w14:textFill>
        </w:rPr>
        <w:t>投标人须知</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前附表</w:t>
      </w:r>
    </w:p>
    <w:p w14:paraId="196C3EC9">
      <w:pPr>
        <w:spacing w:line="360" w:lineRule="auto"/>
        <w:ind w:firstLine="840" w:firstLineChars="350"/>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第三章</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投标人须知</w:t>
      </w:r>
    </w:p>
    <w:p w14:paraId="44060AAC">
      <w:pPr>
        <w:spacing w:line="360" w:lineRule="auto"/>
        <w:ind w:firstLine="840" w:firstLineChars="350"/>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第四章</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招标需求</w:t>
      </w:r>
    </w:p>
    <w:p w14:paraId="68B17112">
      <w:pPr>
        <w:spacing w:line="360" w:lineRule="auto"/>
        <w:ind w:firstLine="840" w:firstLineChars="350"/>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第五章</w:t>
      </w:r>
      <w:r>
        <w:rPr>
          <w:rFonts w:asciiTheme="minorEastAsia" w:hAnsiTheme="minorEastAsia" w:eastAsiaTheme="minorEastAsia"/>
          <w:color w:val="000000" w:themeColor="text1"/>
          <w:sz w:val="24"/>
          <w:highlight w:val="none"/>
          <w14:textFill>
            <w14:solidFill>
              <w14:schemeClr w14:val="tx1"/>
            </w14:solidFill>
          </w14:textFill>
        </w:rPr>
        <w:t>评标</w:t>
      </w:r>
      <w:r>
        <w:rPr>
          <w:rFonts w:hint="eastAsia" w:asciiTheme="minorEastAsia" w:hAnsiTheme="minorEastAsia" w:eastAsiaTheme="minorEastAsia"/>
          <w:color w:val="000000" w:themeColor="text1"/>
          <w:sz w:val="24"/>
          <w:highlight w:val="none"/>
          <w14:textFill>
            <w14:solidFill>
              <w14:schemeClr w14:val="tx1"/>
            </w14:solidFill>
          </w14:textFill>
        </w:rPr>
        <w:t>方法</w:t>
      </w:r>
    </w:p>
    <w:p w14:paraId="7A4BA763">
      <w:pPr>
        <w:spacing w:line="360" w:lineRule="auto"/>
        <w:ind w:firstLine="840" w:firstLineChars="350"/>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六</w:t>
      </w:r>
      <w:r>
        <w:rPr>
          <w:rFonts w:hint="eastAsia" w:asciiTheme="minorEastAsia" w:hAnsiTheme="minorEastAsia" w:eastAsiaTheme="minorEastAsia"/>
          <w:color w:val="000000" w:themeColor="text1"/>
          <w:sz w:val="24"/>
          <w:highlight w:val="none"/>
          <w14:textFill>
            <w14:solidFill>
              <w14:schemeClr w14:val="tx1"/>
            </w14:solidFill>
          </w14:textFill>
        </w:rPr>
        <w:t>章</w:t>
      </w:r>
      <w:r>
        <w:rPr>
          <w:rFonts w:asciiTheme="minorEastAsia" w:hAnsiTheme="minorEastAsia" w:eastAsiaTheme="minorEastAsia"/>
          <w:color w:val="000000" w:themeColor="text1"/>
          <w:sz w:val="24"/>
          <w:highlight w:val="none"/>
          <w14:textFill>
            <w14:solidFill>
              <w14:schemeClr w14:val="tx1"/>
            </w14:solidFill>
          </w14:textFill>
        </w:rPr>
        <w:t>合同</w:t>
      </w:r>
    </w:p>
    <w:p w14:paraId="436177BA">
      <w:pPr>
        <w:spacing w:line="360" w:lineRule="auto"/>
        <w:ind w:firstLine="840" w:firstLineChars="350"/>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七</w:t>
      </w:r>
      <w:r>
        <w:rPr>
          <w:rFonts w:hint="eastAsia" w:asciiTheme="minorEastAsia" w:hAnsiTheme="minorEastAsia" w:eastAsiaTheme="minorEastAsia"/>
          <w:color w:val="000000" w:themeColor="text1"/>
          <w:sz w:val="24"/>
          <w:highlight w:val="none"/>
          <w14:textFill>
            <w14:solidFill>
              <w14:schemeClr w14:val="tx1"/>
            </w14:solidFill>
          </w14:textFill>
        </w:rPr>
        <w:t>章</w:t>
      </w:r>
      <w:r>
        <w:rPr>
          <w:rFonts w:asciiTheme="minorEastAsia" w:hAnsiTheme="minorEastAsia" w:eastAsiaTheme="minorEastAsia"/>
          <w:color w:val="000000" w:themeColor="text1"/>
          <w:sz w:val="24"/>
          <w:highlight w:val="none"/>
          <w14:textFill>
            <w14:solidFill>
              <w14:schemeClr w14:val="tx1"/>
            </w14:solidFill>
          </w14:textFill>
        </w:rPr>
        <w:t>投标文件格式</w:t>
      </w:r>
    </w:p>
    <w:p w14:paraId="0D3AF0AB">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13</w:t>
      </w:r>
      <w:r>
        <w:rPr>
          <w:rFonts w:asciiTheme="minorEastAsia" w:hAnsiTheme="minorEastAsia" w:eastAsiaTheme="minorEastAsia"/>
          <w:color w:val="000000" w:themeColor="text1"/>
          <w:sz w:val="24"/>
          <w:highlight w:val="none"/>
          <w14:textFill>
            <w14:solidFill>
              <w14:schemeClr w14:val="tx1"/>
            </w14:solidFill>
          </w14:textFill>
        </w:rPr>
        <w:t>.2招标文件中有不一致的，有</w:t>
      </w:r>
      <w:r>
        <w:rPr>
          <w:rFonts w:hint="eastAsia" w:asciiTheme="minorEastAsia" w:hAnsiTheme="minorEastAsia" w:eastAsiaTheme="minorEastAsia"/>
          <w:color w:val="000000" w:themeColor="text1"/>
          <w:sz w:val="24"/>
          <w:highlight w:val="none"/>
          <w14:textFill>
            <w14:solidFill>
              <w14:schemeClr w14:val="tx1"/>
            </w14:solidFill>
          </w14:textFill>
        </w:rPr>
        <w:t>澄清</w:t>
      </w:r>
      <w:r>
        <w:rPr>
          <w:rFonts w:asciiTheme="minorEastAsia" w:hAnsiTheme="minorEastAsia" w:eastAsiaTheme="minorEastAsia"/>
          <w:color w:val="000000" w:themeColor="text1"/>
          <w:sz w:val="24"/>
          <w:highlight w:val="none"/>
          <w14:textFill>
            <w14:solidFill>
              <w14:schemeClr w14:val="tx1"/>
            </w14:solidFill>
          </w14:textFill>
        </w:rPr>
        <w:t>的部分以最终的</w:t>
      </w:r>
      <w:r>
        <w:rPr>
          <w:rFonts w:hint="eastAsia" w:asciiTheme="minorEastAsia" w:hAnsiTheme="minorEastAsia" w:eastAsiaTheme="minorEastAsia"/>
          <w:color w:val="000000" w:themeColor="text1"/>
          <w:sz w:val="24"/>
          <w:highlight w:val="none"/>
          <w14:textFill>
            <w14:solidFill>
              <w14:schemeClr w14:val="tx1"/>
            </w14:solidFill>
          </w14:textFill>
        </w:rPr>
        <w:t>澄清更正</w:t>
      </w:r>
      <w:r>
        <w:rPr>
          <w:rFonts w:asciiTheme="minorEastAsia" w:hAnsiTheme="minorEastAsia" w:eastAsiaTheme="minorEastAsia"/>
          <w:color w:val="000000" w:themeColor="text1"/>
          <w:sz w:val="24"/>
          <w:highlight w:val="none"/>
          <w14:textFill>
            <w14:solidFill>
              <w14:schemeClr w14:val="tx1"/>
            </w14:solidFill>
          </w14:textFill>
        </w:rPr>
        <w:t>内容为准</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292F7849">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13</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w:t>
      </w:r>
      <w:r>
        <w:rPr>
          <w:rFonts w:asciiTheme="minorEastAsia" w:hAnsiTheme="minorEastAsia" w:eastAsiaTheme="minorEastAsia"/>
          <w:color w:val="000000" w:themeColor="text1"/>
          <w:sz w:val="24"/>
          <w:highlight w:val="none"/>
          <w14:textFill>
            <w14:solidFill>
              <w14:schemeClr w14:val="tx1"/>
            </w14:solidFill>
          </w14:textFill>
        </w:rPr>
        <w:t>投标人应认真阅读招标文件所有的事项、格式、条款和技术规范等。</w:t>
      </w:r>
    </w:p>
    <w:p w14:paraId="1D2649C9">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14</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招标文件的澄清与修改</w:t>
      </w:r>
    </w:p>
    <w:p w14:paraId="60E95F83">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Theme="minorEastAsia" w:hAnsiTheme="minorEastAsia" w:eastAsiaTheme="minorEastAsia"/>
          <w:color w:val="000000" w:themeColor="text1"/>
          <w:sz w:val="24"/>
          <w:highlight w:val="none"/>
          <w14:textFill>
            <w14:solidFill>
              <w14:schemeClr w14:val="tx1"/>
            </w14:solidFill>
          </w14:textFill>
        </w:rPr>
        <w:t>投标人如对招标文件内容有疑问，必须在</w:t>
      </w:r>
      <w:r>
        <w:rPr>
          <w:rFonts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asciiTheme="minorEastAsia" w:hAnsiTheme="minorEastAsia" w:eastAsiaTheme="minorEastAsia"/>
          <w:color w:val="000000" w:themeColor="text1"/>
          <w:sz w:val="24"/>
          <w:highlight w:val="none"/>
          <w14:textFill>
            <w14:solidFill>
              <w14:schemeClr w14:val="tx1"/>
            </w14:solidFill>
          </w14:textFill>
        </w:rPr>
        <w:t>规定的</w:t>
      </w:r>
      <w:r>
        <w:rPr>
          <w:rFonts w:hint="eastAsia" w:asciiTheme="minorEastAsia" w:hAnsiTheme="minorEastAsia" w:eastAsiaTheme="minorEastAsia"/>
          <w:color w:val="000000" w:themeColor="text1"/>
          <w:sz w:val="24"/>
          <w:highlight w:val="none"/>
          <w14:textFill>
            <w14:solidFill>
              <w14:schemeClr w14:val="tx1"/>
            </w14:solidFill>
          </w14:textFill>
        </w:rPr>
        <w:t>网上询问</w:t>
      </w:r>
      <w:r>
        <w:rPr>
          <w:rFonts w:asciiTheme="minorEastAsia" w:hAnsiTheme="minorEastAsia" w:eastAsiaTheme="minorEastAsia"/>
          <w:color w:val="000000" w:themeColor="text1"/>
          <w:sz w:val="24"/>
          <w:highlight w:val="none"/>
          <w14:textFill>
            <w14:solidFill>
              <w14:schemeClr w14:val="tx1"/>
            </w14:solidFill>
          </w14:textFill>
        </w:rPr>
        <w:t>截止时间前以网上提问形式</w:t>
      </w:r>
      <w:r>
        <w:rPr>
          <w:rFonts w:hint="eastAsia" w:asciiTheme="minorEastAsia" w:hAnsiTheme="minorEastAsia" w:eastAsiaTheme="minorEastAsia"/>
          <w:color w:val="000000" w:themeColor="text1"/>
          <w:sz w:val="24"/>
          <w:highlight w:val="none"/>
          <w14:textFill>
            <w14:solidFill>
              <w14:schemeClr w14:val="tx1"/>
            </w14:solidFill>
          </w14:textFill>
        </w:rPr>
        <w:t>（优质采平台）</w:t>
      </w:r>
      <w:r>
        <w:rPr>
          <w:rFonts w:asciiTheme="minorEastAsia" w:hAnsiTheme="minorEastAsia" w:eastAsiaTheme="minorEastAsia"/>
          <w:color w:val="000000" w:themeColor="text1"/>
          <w:sz w:val="24"/>
          <w:highlight w:val="none"/>
          <w14:textFill>
            <w14:solidFill>
              <w14:schemeClr w14:val="tx1"/>
            </w14:solidFill>
          </w14:textFill>
        </w:rPr>
        <w:t>提交给</w:t>
      </w:r>
      <w:r>
        <w:rPr>
          <w:rFonts w:hint="eastAsia" w:asciiTheme="minorEastAsia" w:hAnsiTheme="minorEastAsia" w:eastAsiaTheme="minorEastAsia"/>
          <w:color w:val="000000" w:themeColor="text1"/>
          <w:sz w:val="24"/>
          <w:highlight w:val="none"/>
          <w14:textFill>
            <w14:solidFill>
              <w14:schemeClr w14:val="tx1"/>
            </w14:solidFill>
          </w14:textFill>
        </w:rPr>
        <w:t>招标代理机构</w:t>
      </w:r>
      <w:r>
        <w:rPr>
          <w:rFonts w:asciiTheme="minorEastAsia" w:hAnsiTheme="minorEastAsia" w:eastAsiaTheme="minorEastAsia"/>
          <w:color w:val="000000" w:themeColor="text1"/>
          <w:sz w:val="24"/>
          <w:highlight w:val="none"/>
          <w14:textFill>
            <w14:solidFill>
              <w14:schemeClr w14:val="tx1"/>
            </w14:solidFill>
          </w14:textFill>
        </w:rPr>
        <w:t>。</w:t>
      </w:r>
    </w:p>
    <w:p w14:paraId="740206F8">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2招标人可主动地或在解答投标人提出的问题时对招标文件进行澄清与修改。招标代理机构</w:t>
      </w:r>
      <w:r>
        <w:rPr>
          <w:rFonts w:asciiTheme="minorEastAsia" w:hAnsiTheme="minorEastAsia" w:eastAsiaTheme="minorEastAsia"/>
          <w:color w:val="000000" w:themeColor="text1"/>
          <w:sz w:val="24"/>
          <w:highlight w:val="none"/>
          <w14:textFill>
            <w14:solidFill>
              <w14:schemeClr w14:val="tx1"/>
            </w14:solidFill>
          </w14:textFill>
        </w:rPr>
        <w:t>将</w:t>
      </w:r>
      <w:r>
        <w:rPr>
          <w:rFonts w:hint="eastAsia" w:asciiTheme="minorEastAsia" w:hAnsiTheme="minorEastAsia" w:eastAsiaTheme="minorEastAsia"/>
          <w:color w:val="000000" w:themeColor="text1"/>
          <w:sz w:val="24"/>
          <w:highlight w:val="none"/>
          <w14:textFill>
            <w14:solidFill>
              <w14:schemeClr w14:val="tx1"/>
            </w14:solidFill>
          </w14:textFill>
        </w:rPr>
        <w:t>在“优质采云采购平台”（http://www.youzhicai.com/）以发布更正公告的方式</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澄清或修改招标文件，更正公告的</w:t>
      </w:r>
      <w:r>
        <w:rPr>
          <w:rFonts w:asciiTheme="minorEastAsia" w:hAnsiTheme="minorEastAsia" w:eastAsiaTheme="minorEastAsia"/>
          <w:color w:val="000000" w:themeColor="text1"/>
          <w:sz w:val="24"/>
          <w:highlight w:val="none"/>
          <w14:textFill>
            <w14:solidFill>
              <w14:schemeClr w14:val="tx1"/>
            </w14:solidFill>
          </w14:textFill>
        </w:rPr>
        <w:t>内容</w:t>
      </w:r>
      <w:r>
        <w:rPr>
          <w:rFonts w:hint="eastAsia" w:asciiTheme="minorEastAsia" w:hAnsiTheme="minorEastAsia" w:eastAsiaTheme="minorEastAsia"/>
          <w:color w:val="000000" w:themeColor="text1"/>
          <w:sz w:val="24"/>
          <w:highlight w:val="none"/>
          <w14:textFill>
            <w14:solidFill>
              <w14:schemeClr w14:val="tx1"/>
            </w14:solidFill>
          </w14:textFill>
        </w:rPr>
        <w:t>作</w:t>
      </w:r>
      <w:r>
        <w:rPr>
          <w:rFonts w:asciiTheme="minorEastAsia" w:hAnsiTheme="minorEastAsia" w:eastAsiaTheme="minorEastAsia"/>
          <w:color w:val="000000" w:themeColor="text1"/>
          <w:sz w:val="24"/>
          <w:highlight w:val="none"/>
          <w14:textFill>
            <w14:solidFill>
              <w14:schemeClr w14:val="tx1"/>
            </w14:solidFill>
          </w14:textFill>
        </w:rPr>
        <w:t>为招标文件</w:t>
      </w:r>
      <w:r>
        <w:rPr>
          <w:rFonts w:hint="eastAsia" w:asciiTheme="minorEastAsia" w:hAnsiTheme="minorEastAsia" w:eastAsiaTheme="minorEastAsia"/>
          <w:color w:val="000000" w:themeColor="text1"/>
          <w:sz w:val="24"/>
          <w:highlight w:val="none"/>
          <w14:textFill>
            <w14:solidFill>
              <w14:schemeClr w14:val="tx1"/>
            </w14:solidFill>
          </w14:textFill>
        </w:rPr>
        <w:t>的</w:t>
      </w:r>
      <w:r>
        <w:rPr>
          <w:rFonts w:asciiTheme="minorEastAsia" w:hAnsiTheme="minorEastAsia" w:eastAsiaTheme="minorEastAsia"/>
          <w:color w:val="000000" w:themeColor="text1"/>
          <w:sz w:val="24"/>
          <w:highlight w:val="none"/>
          <w14:textFill>
            <w14:solidFill>
              <w14:schemeClr w14:val="tx1"/>
            </w14:solidFill>
          </w14:textFill>
        </w:rPr>
        <w:t>组成部分，对投标人起约束作用</w:t>
      </w:r>
      <w:r>
        <w:rPr>
          <w:rFonts w:hint="eastAsia" w:asciiTheme="minorEastAsia" w:hAnsiTheme="minorEastAsia" w:eastAsiaTheme="minorEastAsia"/>
          <w:color w:val="000000" w:themeColor="text1"/>
          <w:sz w:val="24"/>
          <w:highlight w:val="none"/>
          <w14:textFill>
            <w14:solidFill>
              <w14:schemeClr w14:val="tx1"/>
            </w14:solidFill>
          </w14:textFill>
        </w:rPr>
        <w:t>。投标人应主动上网查询。招标代理机构不承担投标人未及时关注相关信息引发的相关责任。</w:t>
      </w:r>
    </w:p>
    <w:p w14:paraId="0CD244E5">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14.3任何人或任何组织向投标人提供的任何书面或口头资料，未经招标代理机构在网上发布或书面通知，均作无效处理，不得作为招标文件的组成部分。招标代理机构对投标人由此而做出的推论、理解和结论概不负责。</w:t>
      </w:r>
    </w:p>
    <w:p w14:paraId="79A9AEC6">
      <w:pPr>
        <w:spacing w:line="360" w:lineRule="auto"/>
        <w:ind w:firstLine="435"/>
        <w:rPr>
          <w:rFonts w:hint="eastAsia" w:asciiTheme="minorEastAsia" w:hAnsiTheme="minorEastAsia" w:eastAsiaTheme="minorEastAsia"/>
          <w:iCs/>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对于</w:t>
      </w:r>
      <w:r>
        <w:rPr>
          <w:rFonts w:ascii="宋体" w:hAnsi="宋体" w:eastAsia="宋体"/>
          <w:color w:val="000000" w:themeColor="text1"/>
          <w:sz w:val="24"/>
          <w:highlight w:val="none"/>
          <w14:textFill>
            <w14:solidFill>
              <w14:schemeClr w14:val="tx1"/>
            </w14:solidFill>
          </w14:textFill>
        </w:rPr>
        <w:t>没有</w:t>
      </w:r>
      <w:r>
        <w:rPr>
          <w:rFonts w:asciiTheme="minorEastAsia" w:hAnsiTheme="minorEastAsia" w:eastAsiaTheme="minorEastAsia"/>
          <w:color w:val="000000" w:themeColor="text1"/>
          <w:sz w:val="24"/>
          <w:highlight w:val="none"/>
          <w14:textFill>
            <w14:solidFill>
              <w14:schemeClr w14:val="tx1"/>
            </w14:solidFill>
          </w14:textFill>
        </w:rPr>
        <w:t>提出</w:t>
      </w:r>
      <w:r>
        <w:rPr>
          <w:rFonts w:hint="eastAsia" w:asciiTheme="minorEastAsia" w:hAnsiTheme="minorEastAsia" w:eastAsiaTheme="minorEastAsia"/>
          <w:color w:val="000000" w:themeColor="text1"/>
          <w:sz w:val="24"/>
          <w:highlight w:val="none"/>
          <w14:textFill>
            <w14:solidFill>
              <w14:schemeClr w14:val="tx1"/>
            </w14:solidFill>
          </w14:textFill>
        </w:rPr>
        <w:t>疑问</w:t>
      </w:r>
      <w:r>
        <w:rPr>
          <w:rFonts w:asciiTheme="minorEastAsia" w:hAnsiTheme="minorEastAsia" w:eastAsiaTheme="minorEastAsia"/>
          <w:color w:val="000000" w:themeColor="text1"/>
          <w:sz w:val="24"/>
          <w:highlight w:val="none"/>
          <w14:textFill>
            <w14:solidFill>
              <w14:schemeClr w14:val="tx1"/>
            </w14:solidFill>
          </w14:textFill>
        </w:rPr>
        <w:t>又参与了</w:t>
      </w:r>
      <w:r>
        <w:rPr>
          <w:rFonts w:hint="eastAsia" w:asciiTheme="minorEastAsia" w:hAnsiTheme="minorEastAsia" w:eastAsiaTheme="minorEastAsia"/>
          <w:color w:val="000000" w:themeColor="text1"/>
          <w:sz w:val="24"/>
          <w:highlight w:val="none"/>
          <w14:textFill>
            <w14:solidFill>
              <w14:schemeClr w14:val="tx1"/>
            </w14:solidFill>
          </w14:textFill>
        </w:rPr>
        <w:t>本</w:t>
      </w:r>
      <w:r>
        <w:rPr>
          <w:rFonts w:asciiTheme="minorEastAsia" w:hAnsiTheme="minorEastAsia" w:eastAsiaTheme="minorEastAsia"/>
          <w:color w:val="000000" w:themeColor="text1"/>
          <w:sz w:val="24"/>
          <w:highlight w:val="none"/>
          <w14:textFill>
            <w14:solidFill>
              <w14:schemeClr w14:val="tx1"/>
            </w14:solidFill>
          </w14:textFill>
        </w:rPr>
        <w:t>项目投标的</w:t>
      </w:r>
      <w:r>
        <w:rPr>
          <w:rFonts w:hint="eastAsia" w:asciiTheme="minorEastAsia" w:hAnsiTheme="minorEastAsia" w:eastAsiaTheme="minorEastAsia"/>
          <w:color w:val="000000" w:themeColor="text1"/>
          <w:sz w:val="24"/>
          <w:highlight w:val="none"/>
          <w14:textFill>
            <w14:solidFill>
              <w14:schemeClr w14:val="tx1"/>
            </w14:solidFill>
          </w14:textFill>
        </w:rPr>
        <w:t>投标人</w:t>
      </w:r>
      <w:r>
        <w:rPr>
          <w:rFonts w:asciiTheme="minorEastAsia" w:hAnsiTheme="minorEastAsia" w:eastAsiaTheme="minorEastAsia"/>
          <w:color w:val="000000" w:themeColor="text1"/>
          <w:sz w:val="24"/>
          <w:highlight w:val="none"/>
          <w14:textFill>
            <w14:solidFill>
              <w14:schemeClr w14:val="tx1"/>
            </w14:solidFill>
          </w14:textFill>
        </w:rPr>
        <w:t>将被视为完全认同</w:t>
      </w:r>
      <w:r>
        <w:rPr>
          <w:rFonts w:hint="eastAsia" w:asciiTheme="minorEastAsia" w:hAnsiTheme="minorEastAsia" w:eastAsiaTheme="minorEastAsia"/>
          <w:color w:val="000000" w:themeColor="text1"/>
          <w:sz w:val="24"/>
          <w:highlight w:val="none"/>
          <w14:textFill>
            <w14:solidFill>
              <w14:schemeClr w14:val="tx1"/>
            </w14:solidFill>
          </w14:textFill>
        </w:rPr>
        <w:t>本</w:t>
      </w:r>
      <w:r>
        <w:rPr>
          <w:rFonts w:asciiTheme="minorEastAsia" w:hAnsiTheme="minorEastAsia" w:eastAsiaTheme="minorEastAsia"/>
          <w:color w:val="000000" w:themeColor="text1"/>
          <w:sz w:val="24"/>
          <w:highlight w:val="none"/>
          <w14:textFill>
            <w14:solidFill>
              <w14:schemeClr w14:val="tx1"/>
            </w14:solidFill>
          </w14:textFill>
        </w:rPr>
        <w:t>招标文件（含</w:t>
      </w:r>
      <w:r>
        <w:rPr>
          <w:rFonts w:hint="eastAsia" w:asciiTheme="minorEastAsia" w:hAnsiTheme="minorEastAsia" w:eastAsiaTheme="minorEastAsia"/>
          <w:color w:val="000000" w:themeColor="text1"/>
          <w:sz w:val="24"/>
          <w:highlight w:val="none"/>
          <w14:textFill>
            <w14:solidFill>
              <w14:schemeClr w14:val="tx1"/>
            </w14:solidFill>
          </w14:textFill>
        </w:rPr>
        <w:t>更正公告的</w:t>
      </w:r>
      <w:r>
        <w:rPr>
          <w:rFonts w:asciiTheme="minorEastAsia" w:hAnsiTheme="minorEastAsia" w:eastAsiaTheme="minorEastAsia"/>
          <w:color w:val="000000" w:themeColor="text1"/>
          <w:sz w:val="24"/>
          <w:highlight w:val="none"/>
          <w14:textFill>
            <w14:solidFill>
              <w14:schemeClr w14:val="tx1"/>
            </w14:solidFill>
          </w14:textFill>
        </w:rPr>
        <w:t>内容）</w:t>
      </w:r>
      <w:r>
        <w:rPr>
          <w:rFonts w:hint="eastAsia" w:asciiTheme="minorEastAsia" w:hAnsiTheme="minorEastAsia" w:eastAsiaTheme="minorEastAsia"/>
          <w:i/>
          <w:color w:val="000000" w:themeColor="text1"/>
          <w:sz w:val="24"/>
          <w:highlight w:val="none"/>
          <w14:textFill>
            <w14:solidFill>
              <w14:schemeClr w14:val="tx1"/>
            </w14:solidFill>
          </w14:textFill>
        </w:rPr>
        <w:t>。</w:t>
      </w:r>
    </w:p>
    <w:p w14:paraId="7DA2DADC">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15</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投标范围及投标文件中标准和计量单位的使用</w:t>
      </w:r>
    </w:p>
    <w:p w14:paraId="6BB330B7">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15</w:t>
      </w:r>
      <w:r>
        <w:rPr>
          <w:rFonts w:asciiTheme="minorEastAsia" w:hAnsiTheme="minorEastAsia" w:eastAsiaTheme="minorEastAsia"/>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项目</w:t>
      </w:r>
      <w:r>
        <w:rPr>
          <w:rFonts w:asciiTheme="minorEastAsia" w:hAnsiTheme="minorEastAsia" w:eastAsiaTheme="minorEastAsia"/>
          <w:color w:val="000000" w:themeColor="text1"/>
          <w:sz w:val="24"/>
          <w:highlight w:val="none"/>
          <w14:textFill>
            <w14:solidFill>
              <w14:schemeClr w14:val="tx1"/>
            </w14:solidFill>
          </w14:textFill>
        </w:rPr>
        <w:t>有分包的，投标人可对招标文件其中某一个或几个分包进行投标，除非在</w:t>
      </w:r>
      <w:r>
        <w:rPr>
          <w:rFonts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asciiTheme="minorEastAsia" w:hAnsiTheme="minorEastAsia" w:eastAsiaTheme="minorEastAsia"/>
          <w:color w:val="000000" w:themeColor="text1"/>
          <w:sz w:val="24"/>
          <w:highlight w:val="none"/>
          <w14:textFill>
            <w14:solidFill>
              <w14:schemeClr w14:val="tx1"/>
            </w14:solidFill>
          </w14:textFill>
        </w:rPr>
        <w:t>中另有规定。</w:t>
      </w:r>
    </w:p>
    <w:p w14:paraId="5460D3FD">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15</w:t>
      </w:r>
      <w:r>
        <w:rPr>
          <w:rFonts w:asciiTheme="minorEastAsia" w:hAnsiTheme="minorEastAsia" w:eastAsiaTheme="minorEastAsia"/>
          <w:color w:val="000000" w:themeColor="text1"/>
          <w:sz w:val="24"/>
          <w:highlight w:val="none"/>
          <w14:textFill>
            <w14:solidFill>
              <w14:schemeClr w14:val="tx1"/>
            </w14:solidFill>
          </w14:textFill>
        </w:rPr>
        <w:t>.2投标人应当对所投分包招标文件中“</w:t>
      </w:r>
      <w:r>
        <w:rPr>
          <w:rFonts w:hint="eastAsia" w:asciiTheme="minorEastAsia" w:hAnsiTheme="minorEastAsia" w:eastAsiaTheme="minorEastAsia"/>
          <w:color w:val="000000" w:themeColor="text1"/>
          <w:sz w:val="24"/>
          <w:highlight w:val="none"/>
          <w14:textFill>
            <w14:solidFill>
              <w14:schemeClr w14:val="tx1"/>
            </w14:solidFill>
          </w14:textFill>
        </w:rPr>
        <w:t>采购</w:t>
      </w:r>
      <w:r>
        <w:rPr>
          <w:rFonts w:asciiTheme="minorEastAsia" w:hAnsiTheme="minorEastAsia" w:eastAsiaTheme="minorEastAsia"/>
          <w:color w:val="000000" w:themeColor="text1"/>
          <w:sz w:val="24"/>
          <w:highlight w:val="none"/>
          <w14:textFill>
            <w14:solidFill>
              <w14:schemeClr w14:val="tx1"/>
            </w14:solidFill>
          </w14:textFill>
        </w:rPr>
        <w:t>需求”所列的所有内容进行投标，如仅</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投标</w:t>
      </w:r>
      <w:r>
        <w:rPr>
          <w:rFonts w:hint="eastAsia" w:asciiTheme="minorEastAsia" w:hAnsiTheme="minorEastAsia" w:eastAsiaTheme="minorEastAsia"/>
          <w:color w:val="000000" w:themeColor="text1"/>
          <w:sz w:val="24"/>
          <w:highlight w:val="none"/>
          <w14:textFill>
            <w14:solidFill>
              <w14:schemeClr w14:val="tx1"/>
            </w14:solidFill>
          </w14:textFill>
        </w:rPr>
        <w:t>所投包别</w:t>
      </w:r>
      <w:r>
        <w:rPr>
          <w:rFonts w:asciiTheme="minorEastAsia" w:hAnsiTheme="minorEastAsia" w:eastAsiaTheme="minorEastAsia"/>
          <w:color w:val="000000" w:themeColor="text1"/>
          <w:sz w:val="24"/>
          <w:highlight w:val="none"/>
          <w14:textFill>
            <w14:solidFill>
              <w14:schemeClr w14:val="tx1"/>
            </w14:solidFill>
          </w14:textFill>
        </w:rPr>
        <w:t>中的部分内容，其</w:t>
      </w:r>
      <w:r>
        <w:rPr>
          <w:rFonts w:hint="eastAsia" w:asciiTheme="minorEastAsia" w:hAnsiTheme="minorEastAsia" w:eastAsiaTheme="minorEastAsia"/>
          <w:color w:val="000000" w:themeColor="text1"/>
          <w:sz w:val="24"/>
          <w:highlight w:val="none"/>
          <w14:textFill>
            <w14:solidFill>
              <w14:schemeClr w14:val="tx1"/>
            </w14:solidFill>
          </w14:textFill>
        </w:rPr>
        <w:t>所投包别的</w:t>
      </w:r>
      <w:r>
        <w:rPr>
          <w:rFonts w:asciiTheme="minorEastAsia" w:hAnsiTheme="minorEastAsia" w:eastAsiaTheme="minorEastAsia"/>
          <w:color w:val="000000" w:themeColor="text1"/>
          <w:sz w:val="24"/>
          <w:highlight w:val="none"/>
          <w14:textFill>
            <w14:solidFill>
              <w14:schemeClr w14:val="tx1"/>
            </w14:solidFill>
          </w14:textFill>
        </w:rPr>
        <w:t>投标将被认定为</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21B18653">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15</w:t>
      </w:r>
      <w:r>
        <w:rPr>
          <w:rFonts w:asciiTheme="minorEastAsia" w:hAnsiTheme="minorEastAsia" w:eastAsiaTheme="minorEastAsia"/>
          <w:color w:val="000000" w:themeColor="text1"/>
          <w:sz w:val="24"/>
          <w:highlight w:val="none"/>
          <w14:textFill>
            <w14:solidFill>
              <w14:schemeClr w14:val="tx1"/>
            </w14:solidFill>
          </w14:textFill>
        </w:rPr>
        <w:t>.3无论招标文件中是否要求，</w:t>
      </w:r>
      <w:r>
        <w:rPr>
          <w:rFonts w:hint="eastAsia" w:asciiTheme="minorEastAsia" w:hAnsiTheme="minorEastAsia" w:eastAsiaTheme="minorEastAsia"/>
          <w:color w:val="000000" w:themeColor="text1"/>
          <w:sz w:val="24"/>
          <w:highlight w:val="none"/>
          <w14:textFill>
            <w14:solidFill>
              <w14:schemeClr w14:val="tx1"/>
            </w14:solidFill>
          </w14:textFill>
        </w:rPr>
        <w:t>投标人所投服务及伴随的货物和工程均应符合国家强制性标准。</w:t>
      </w:r>
    </w:p>
    <w:p w14:paraId="327AE9D5">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15</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除</w:t>
      </w:r>
      <w:r>
        <w:rPr>
          <w:rFonts w:ascii="宋体" w:hAnsi="宋体" w:eastAsia="宋体"/>
          <w:color w:val="000000" w:themeColor="text1"/>
          <w:sz w:val="24"/>
          <w:highlight w:val="none"/>
          <w14:textFill>
            <w14:solidFill>
              <w14:schemeClr w14:val="tx1"/>
            </w14:solidFill>
          </w14:textFill>
        </w:rPr>
        <w:t>招标文件</w:t>
      </w:r>
      <w:r>
        <w:rPr>
          <w:rFonts w:asciiTheme="minorEastAsia" w:hAnsiTheme="minorEastAsia" w:eastAsiaTheme="minorEastAsia"/>
          <w:color w:val="000000" w:themeColor="text1"/>
          <w:sz w:val="24"/>
          <w:highlight w:val="none"/>
          <w14:textFill>
            <w14:solidFill>
              <w14:schemeClr w14:val="tx1"/>
            </w14:solidFill>
          </w14:textFill>
        </w:rPr>
        <w:t>中有特殊要求外，投标文件中所使用的计量单位，应采用中华人民共和国法定计量单位。</w:t>
      </w:r>
    </w:p>
    <w:p w14:paraId="30695564">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16</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投标文件构成</w:t>
      </w:r>
    </w:p>
    <w:p w14:paraId="53FD9BF8">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16</w:t>
      </w:r>
      <w:r>
        <w:rPr>
          <w:rFonts w:asciiTheme="minorEastAsia" w:hAnsiTheme="minorEastAsia" w:eastAsiaTheme="minorEastAsia"/>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投标人</w:t>
      </w:r>
      <w:r>
        <w:rPr>
          <w:rFonts w:asciiTheme="minorEastAsia" w:hAnsiTheme="minorEastAsia" w:eastAsiaTheme="minorEastAsia"/>
          <w:color w:val="000000" w:themeColor="text1"/>
          <w:sz w:val="24"/>
          <w:highlight w:val="none"/>
          <w14:textFill>
            <w14:solidFill>
              <w14:schemeClr w14:val="tx1"/>
            </w14:solidFill>
          </w14:textFill>
        </w:rPr>
        <w:t>应完整地按招标文件提供的投标文件格式及要求</w:t>
      </w:r>
      <w:r>
        <w:rPr>
          <w:rFonts w:hint="eastAsia" w:asciiTheme="minorEastAsia" w:hAnsiTheme="minorEastAsia" w:eastAsiaTheme="minorEastAsia"/>
          <w:color w:val="000000" w:themeColor="text1"/>
          <w:sz w:val="24"/>
          <w:highlight w:val="none"/>
          <w14:textFill>
            <w14:solidFill>
              <w14:schemeClr w14:val="tx1"/>
            </w14:solidFill>
          </w14:textFill>
        </w:rPr>
        <w:t>编</w:t>
      </w:r>
      <w:r>
        <w:rPr>
          <w:rFonts w:asciiTheme="minorEastAsia" w:hAnsiTheme="minorEastAsia" w:eastAsiaTheme="minorEastAsia"/>
          <w:color w:val="000000" w:themeColor="text1"/>
          <w:sz w:val="24"/>
          <w:highlight w:val="none"/>
          <w14:textFill>
            <w14:solidFill>
              <w14:schemeClr w14:val="tx1"/>
            </w14:solidFill>
          </w14:textFill>
        </w:rPr>
        <w:t>写投标文件，</w:t>
      </w:r>
      <w:r>
        <w:rPr>
          <w:rFonts w:hint="eastAsia" w:asciiTheme="minorEastAsia" w:hAnsiTheme="minorEastAsia" w:eastAsiaTheme="minorEastAsia"/>
          <w:color w:val="000000" w:themeColor="text1"/>
          <w:sz w:val="24"/>
          <w:highlight w:val="none"/>
          <w14:textFill>
            <w14:solidFill>
              <w14:schemeClr w14:val="tx1"/>
            </w14:solidFill>
          </w14:textFill>
        </w:rPr>
        <w:t>具体内容详见本项目第六章投标文件格式的相关内容。</w:t>
      </w:r>
    </w:p>
    <w:p w14:paraId="43554D3D">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16</w:t>
      </w:r>
      <w:r>
        <w:rPr>
          <w:rFonts w:asciiTheme="minorEastAsia" w:hAnsiTheme="minorEastAsia" w:eastAsiaTheme="minorEastAsia"/>
          <w:color w:val="000000" w:themeColor="text1"/>
          <w:sz w:val="24"/>
          <w:highlight w:val="none"/>
          <w14:textFill>
            <w14:solidFill>
              <w14:schemeClr w14:val="tx1"/>
            </w14:solidFill>
          </w14:textFill>
        </w:rPr>
        <w:t>.2上述</w:t>
      </w:r>
      <w:r>
        <w:rPr>
          <w:rFonts w:ascii="宋体" w:hAnsi="宋体" w:eastAsia="宋体"/>
          <w:color w:val="000000" w:themeColor="text1"/>
          <w:sz w:val="24"/>
          <w:highlight w:val="none"/>
          <w14:textFill>
            <w14:solidFill>
              <w14:schemeClr w14:val="tx1"/>
            </w14:solidFill>
          </w14:textFill>
        </w:rPr>
        <w:t>文件</w:t>
      </w:r>
      <w:r>
        <w:rPr>
          <w:rFonts w:asciiTheme="minorEastAsia" w:hAnsiTheme="minorEastAsia" w:eastAsiaTheme="minorEastAsia"/>
          <w:color w:val="000000" w:themeColor="text1"/>
          <w:sz w:val="24"/>
          <w:highlight w:val="none"/>
          <w14:textFill>
            <w14:solidFill>
              <w14:schemeClr w14:val="tx1"/>
            </w14:solidFill>
          </w14:textFill>
        </w:rPr>
        <w:t>应按照招标文件规定的格式填写、签署和盖章。</w:t>
      </w:r>
    </w:p>
    <w:p w14:paraId="3A80F653">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17</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证明投标标的的合格性和符合招标文件规定的投标文件</w:t>
      </w:r>
    </w:p>
    <w:p w14:paraId="0076ADD7">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投标人</w:t>
      </w:r>
      <w:r>
        <w:rPr>
          <w:rFonts w:asciiTheme="minorEastAsia" w:hAnsiTheme="minorEastAsia" w:eastAsiaTheme="minorEastAsia"/>
          <w:color w:val="000000" w:themeColor="text1"/>
          <w:sz w:val="24"/>
          <w:highlight w:val="none"/>
          <w14:textFill>
            <w14:solidFill>
              <w14:schemeClr w14:val="tx1"/>
            </w14:solidFill>
          </w14:textFill>
        </w:rPr>
        <w:t>应提交</w:t>
      </w:r>
      <w:r>
        <w:rPr>
          <w:rFonts w:hint="eastAsia" w:asciiTheme="minorEastAsia" w:hAnsiTheme="minorEastAsia" w:eastAsiaTheme="minorEastAsia"/>
          <w:color w:val="000000" w:themeColor="text1"/>
          <w:sz w:val="24"/>
          <w:highlight w:val="none"/>
          <w14:textFill>
            <w14:solidFill>
              <w14:schemeClr w14:val="tx1"/>
            </w14:solidFill>
          </w14:textFill>
        </w:rPr>
        <w:t>招标文件要求的</w:t>
      </w:r>
      <w:r>
        <w:rPr>
          <w:rFonts w:asciiTheme="minorEastAsia" w:hAnsiTheme="minorEastAsia" w:eastAsiaTheme="minorEastAsia"/>
          <w:color w:val="000000" w:themeColor="text1"/>
          <w:sz w:val="24"/>
          <w:highlight w:val="none"/>
          <w14:textFill>
            <w14:solidFill>
              <w14:schemeClr w14:val="tx1"/>
            </w14:solidFill>
          </w14:textFill>
        </w:rPr>
        <w:t>证明文件，证明其投标内容符合招标文件规定。该证明文件是投标文件的一部分。</w:t>
      </w:r>
    </w:p>
    <w:p w14:paraId="63F7C2DB">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.2上款所述的证明文件，可以是文字资料、图纸和数据</w:t>
      </w:r>
      <w:bookmarkStart w:id="26" w:name="_Hlk11703583"/>
      <w:r>
        <w:rPr>
          <w:rFonts w:hint="eastAsia" w:asciiTheme="minorEastAsia" w:hAnsiTheme="minorEastAsia" w:eastAsiaTheme="minorEastAsia"/>
          <w:color w:val="000000" w:themeColor="text1"/>
          <w:sz w:val="24"/>
          <w:highlight w:val="none"/>
          <w14:textFill>
            <w14:solidFill>
              <w14:schemeClr w14:val="tx1"/>
            </w14:solidFill>
          </w14:textFill>
        </w:rPr>
        <w:t>。</w:t>
      </w:r>
    </w:p>
    <w:bookmarkEnd w:id="26"/>
    <w:p w14:paraId="32FB3CC7">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17</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本条所指证明文件不包括对招标文件相关部分的文字、图标的复制。</w:t>
      </w:r>
    </w:p>
    <w:p w14:paraId="6B576ED7">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为保证</w:t>
      </w:r>
      <w:r>
        <w:rPr>
          <w:rFonts w:ascii="宋体" w:hAnsi="宋体" w:eastAsia="宋体"/>
          <w:color w:val="000000" w:themeColor="text1"/>
          <w:sz w:val="24"/>
          <w:highlight w:val="none"/>
          <w14:textFill>
            <w14:solidFill>
              <w14:schemeClr w14:val="tx1"/>
            </w14:solidFill>
          </w14:textFill>
        </w:rPr>
        <w:t>公平</w:t>
      </w:r>
      <w:r>
        <w:rPr>
          <w:rFonts w:asciiTheme="minorEastAsia" w:hAnsiTheme="minorEastAsia" w:eastAsiaTheme="minorEastAsia"/>
          <w:color w:val="000000" w:themeColor="text1"/>
          <w:sz w:val="24"/>
          <w:highlight w:val="none"/>
          <w14:textFill>
            <w14:solidFill>
              <w14:schemeClr w14:val="tx1"/>
            </w14:solidFill>
          </w14:textFill>
        </w:rPr>
        <w:t>公正，除非另有规定或说明，投标人对同一项目投标时，不得同时提供</w:t>
      </w:r>
      <w:r>
        <w:rPr>
          <w:rFonts w:hint="eastAsia" w:asciiTheme="minorEastAsia" w:hAnsiTheme="minorEastAsia" w:eastAsiaTheme="minorEastAsia"/>
          <w:color w:val="000000" w:themeColor="text1"/>
          <w:sz w:val="24"/>
          <w:highlight w:val="none"/>
          <w14:textFill>
            <w14:solidFill>
              <w14:schemeClr w14:val="tx1"/>
            </w14:solidFill>
          </w14:textFill>
        </w:rPr>
        <w:t>备选</w:t>
      </w:r>
      <w:r>
        <w:rPr>
          <w:rFonts w:asciiTheme="minorEastAsia" w:hAnsiTheme="minorEastAsia" w:eastAsiaTheme="minorEastAsia"/>
          <w:color w:val="000000" w:themeColor="text1"/>
          <w:sz w:val="24"/>
          <w:highlight w:val="none"/>
          <w14:textFill>
            <w14:solidFill>
              <w14:schemeClr w14:val="tx1"/>
            </w14:solidFill>
          </w14:textFill>
        </w:rPr>
        <w:t>投标方案。</w:t>
      </w:r>
    </w:p>
    <w:p w14:paraId="14441210">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18</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投标报价</w:t>
      </w:r>
    </w:p>
    <w:p w14:paraId="1275AF48">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8</w:t>
      </w:r>
      <w:r>
        <w:rPr>
          <w:rFonts w:asciiTheme="minorEastAsia" w:hAnsiTheme="minorEastAsia" w:eastAsiaTheme="minorEastAsia"/>
          <w:color w:val="000000" w:themeColor="text1"/>
          <w:sz w:val="24"/>
          <w:highlight w:val="none"/>
          <w14:textFill>
            <w14:solidFill>
              <w14:schemeClr w14:val="tx1"/>
            </w14:solidFill>
          </w14:textFill>
        </w:rPr>
        <w:t>.1投标人的报价应当包括满足本次招标全部采购需求所应提供的服务</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以及伴随的货物和工程</w:t>
      </w:r>
      <w:r>
        <w:rPr>
          <w:rFonts w:hint="eastAsia" w:asciiTheme="minorEastAsia" w:hAnsiTheme="minorEastAsia" w:eastAsiaTheme="minorEastAsia"/>
          <w:color w:val="000000" w:themeColor="text1"/>
          <w:sz w:val="24"/>
          <w:highlight w:val="none"/>
          <w14:textFill>
            <w14:solidFill>
              <w14:schemeClr w14:val="tx1"/>
            </w14:solidFill>
          </w14:textFill>
        </w:rPr>
        <w:t>。所有投标均应以人民币报价投标人的投标报价应遵守《中华人民共和国价格法》。</w:t>
      </w:r>
    </w:p>
    <w:p w14:paraId="47D20ADD">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8</w:t>
      </w:r>
      <w:r>
        <w:rPr>
          <w:rFonts w:asciiTheme="minorEastAsia" w:hAnsiTheme="minorEastAsia" w:eastAsiaTheme="minorEastAsia"/>
          <w:color w:val="000000" w:themeColor="text1"/>
          <w:sz w:val="24"/>
          <w:highlight w:val="none"/>
          <w14:textFill>
            <w14:solidFill>
              <w14:schemeClr w14:val="tx1"/>
            </w14:solidFill>
          </w14:textFill>
        </w:rPr>
        <w:t>.2投标人报价超过招标文件规定的预算金额或者分项、分包最高限价，其投标将被认定为</w:t>
      </w:r>
      <w:r>
        <w:rPr>
          <w:rFonts w:asciiTheme="minorEastAsia" w:hAnsiTheme="minorEastAsia" w:eastAsiaTheme="minorEastAsia"/>
          <w:b/>
          <w:bCs/>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5FF7927B">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18</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3投标人应在投标分项报价表上标明分项服务、伴随的货物和工程的价格（如适用）和总价，未标明的视同包含在投标报价中。</w:t>
      </w:r>
    </w:p>
    <w:p w14:paraId="37BB5C7D">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8</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4投标报价</w:t>
      </w:r>
      <w:r>
        <w:rPr>
          <w:rFonts w:asciiTheme="minorEastAsia" w:hAnsiTheme="minorEastAsia" w:eastAsiaTheme="minorEastAsia"/>
          <w:color w:val="000000" w:themeColor="text1"/>
          <w:sz w:val="24"/>
          <w:highlight w:val="none"/>
          <w14:textFill>
            <w14:solidFill>
              <w14:schemeClr w14:val="tx1"/>
            </w14:solidFill>
          </w14:textFill>
        </w:rPr>
        <w:t>在合同履行过程中是固定不变的，不得以任何理由予以变更。任何包含价格调整要求的投标，其投标将被认定为</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29D7FF27">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18</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5评标委员会认为投标人的报价明显低于其他通过符合性审查投标人的报价，有可能影响产品质量或者不能诚信履约的，应当要求其在合理的时间内提供书面说明，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color w:val="000000" w:themeColor="text1"/>
          <w:sz w:val="24"/>
          <w:highlight w:val="none"/>
          <w14:textFill>
            <w14:solidFill>
              <w14:schemeClr w14:val="tx1"/>
            </w14:solidFill>
          </w14:textFill>
        </w:rPr>
        <w:t>必要时提交相关证明材料；投标人不能证明其报价合理性的，其投标将被认定为</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5E64498B">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8</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6招标人</w:t>
      </w:r>
      <w:r>
        <w:rPr>
          <w:rFonts w:asciiTheme="minorEastAsia" w:hAnsiTheme="minorEastAsia" w:eastAsiaTheme="minorEastAsia"/>
          <w:color w:val="000000" w:themeColor="text1"/>
          <w:sz w:val="24"/>
          <w:highlight w:val="none"/>
          <w14:textFill>
            <w14:solidFill>
              <w14:schemeClr w14:val="tx1"/>
            </w14:solidFill>
          </w14:textFill>
        </w:rPr>
        <w:t>不接受具有附加条件的报价。</w:t>
      </w:r>
    </w:p>
    <w:p w14:paraId="4866332F">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19</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投标保证金</w:t>
      </w:r>
    </w:p>
    <w:p w14:paraId="13C67C2D">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19</w:t>
      </w:r>
      <w:r>
        <w:rPr>
          <w:rFonts w:asciiTheme="minorEastAsia" w:hAnsiTheme="minorEastAsia" w:eastAsiaTheme="minorEastAsia"/>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投标人</w:t>
      </w:r>
      <w:r>
        <w:rPr>
          <w:rFonts w:asciiTheme="minorEastAsia" w:hAnsiTheme="minorEastAsia" w:eastAsiaTheme="minorEastAsia"/>
          <w:color w:val="000000" w:themeColor="text1"/>
          <w:sz w:val="24"/>
          <w:highlight w:val="none"/>
          <w14:textFill>
            <w14:solidFill>
              <w14:schemeClr w14:val="tx1"/>
            </w14:solidFill>
          </w14:textFill>
        </w:rPr>
        <w:t>应提交</w:t>
      </w:r>
      <w:r>
        <w:rPr>
          <w:rFonts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asciiTheme="minorEastAsia" w:hAnsiTheme="minorEastAsia" w:eastAsiaTheme="minorEastAsia"/>
          <w:color w:val="000000" w:themeColor="text1"/>
          <w:sz w:val="24"/>
          <w:highlight w:val="none"/>
          <w14:textFill>
            <w14:solidFill>
              <w14:schemeClr w14:val="tx1"/>
            </w14:solidFill>
          </w14:textFill>
        </w:rPr>
        <w:t>中规定的投标保证金，并作为其投标的一部分。投标人未按本</w:t>
      </w:r>
      <w:r>
        <w:rPr>
          <w:rFonts w:hint="eastAsia" w:asciiTheme="minorEastAsia" w:hAnsiTheme="minorEastAsia" w:eastAsiaTheme="minorEastAsia"/>
          <w:color w:val="000000" w:themeColor="text1"/>
          <w:sz w:val="24"/>
          <w:highlight w:val="none"/>
          <w14:textFill>
            <w14:solidFill>
              <w14:schemeClr w14:val="tx1"/>
            </w14:solidFill>
          </w14:textFill>
        </w:rPr>
        <w:t>招标文件</w:t>
      </w:r>
      <w:r>
        <w:rPr>
          <w:rFonts w:asciiTheme="minorEastAsia" w:hAnsiTheme="minorEastAsia" w:eastAsiaTheme="minorEastAsia"/>
          <w:color w:val="000000" w:themeColor="text1"/>
          <w:sz w:val="24"/>
          <w:highlight w:val="none"/>
          <w14:textFill>
            <w14:solidFill>
              <w14:schemeClr w14:val="tx1"/>
            </w14:solidFill>
          </w14:textFill>
        </w:rPr>
        <w:t>规定提交投标保证金的，其投标将被认定为</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4096859E">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19</w:t>
      </w: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投标人请注意：</w:t>
      </w:r>
    </w:p>
    <w:p w14:paraId="6990CBDF">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（1）除非招标文件另有规定，投标保证金缴纳人名称与投标人名称应当一致，否则</w:t>
      </w:r>
      <w:r>
        <w:rPr>
          <w:rFonts w:asciiTheme="minorEastAsia" w:hAnsiTheme="minorEastAsia" w:eastAsiaTheme="minorEastAsia"/>
          <w:color w:val="000000" w:themeColor="text1"/>
          <w:sz w:val="24"/>
          <w:highlight w:val="none"/>
          <w14:textFill>
            <w14:solidFill>
              <w14:schemeClr w14:val="tx1"/>
            </w14:solidFill>
          </w14:textFill>
        </w:rPr>
        <w:t>其投标将被认定为</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72EA232B">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）前次采购失败的，</w:t>
      </w:r>
      <w:r>
        <w:rPr>
          <w:rFonts w:hint="eastAsia" w:asciiTheme="minorEastAsia" w:hAnsiTheme="minorEastAsia" w:eastAsiaTheme="minorEastAsia"/>
          <w:color w:val="000000" w:themeColor="text1"/>
          <w:sz w:val="24"/>
          <w:highlight w:val="none"/>
          <w14:textFill>
            <w14:solidFill>
              <w14:schemeClr w14:val="tx1"/>
            </w14:solidFill>
          </w14:textFill>
        </w:rPr>
        <w:t>招标代理机构</w:t>
      </w:r>
      <w:r>
        <w:rPr>
          <w:rFonts w:asciiTheme="minorEastAsia" w:hAnsiTheme="minorEastAsia" w:eastAsiaTheme="minorEastAsia"/>
          <w:color w:val="000000" w:themeColor="text1"/>
          <w:sz w:val="24"/>
          <w:highlight w:val="none"/>
          <w14:textFill>
            <w14:solidFill>
              <w14:schemeClr w14:val="tx1"/>
            </w14:solidFill>
          </w14:textFill>
        </w:rPr>
        <w:t>将退还投标人的投标保证金。</w:t>
      </w:r>
    </w:p>
    <w:p w14:paraId="1B541DD0">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招标代理机构</w:t>
      </w:r>
      <w:r>
        <w:rPr>
          <w:rFonts w:asciiTheme="minorEastAsia" w:hAnsiTheme="minorEastAsia" w:eastAsiaTheme="minorEastAsia"/>
          <w:color w:val="000000" w:themeColor="text1"/>
          <w:sz w:val="24"/>
          <w:highlight w:val="none"/>
          <w14:textFill>
            <w14:solidFill>
              <w14:schemeClr w14:val="tx1"/>
            </w14:solidFill>
          </w14:textFill>
        </w:rPr>
        <w:t>投标保证金缴纳账号采用动态虚拟账号（分包项目每一个包别对应一个账号），项目采购失败后，投标保证金缴纳账号将会发生变化，请投标人参与后续采购时，注意勿将投标保证金错交至其他项目虚拟账号或前次公告账号。</w:t>
      </w:r>
    </w:p>
    <w:p w14:paraId="05086B57">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）凡转账到其他项目虚拟账号或本项目前次公告账号的，投标保证金无效。</w:t>
      </w:r>
    </w:p>
    <w:p w14:paraId="2F0A939E">
      <w:pPr>
        <w:spacing w:line="360" w:lineRule="auto"/>
        <w:ind w:firstLine="480" w:firstLineChars="200"/>
        <w:jc w:val="left"/>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19.3招标人最迟将在中标通知书发出后5日内向中标候选人以外的其他投标人退还投标保证金，与中标人签订合同后5日内向中标人和其他中标候选人退还投标保证金。</w:t>
      </w:r>
    </w:p>
    <w:p w14:paraId="43CDD1EA">
      <w:pPr>
        <w:spacing w:line="360" w:lineRule="auto"/>
        <w:ind w:firstLine="480" w:firstLineChars="200"/>
        <w:jc w:val="left"/>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19.4有下列情形之一的，投标保证金将不予退还：</w:t>
      </w:r>
    </w:p>
    <w:p w14:paraId="49FADCB8">
      <w:pPr>
        <w:spacing w:line="360" w:lineRule="auto"/>
        <w:ind w:firstLine="480" w:firstLineChars="200"/>
        <w:jc w:val="left"/>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（1）投标人在规定的投标有效期内撤销其投标；</w:t>
      </w:r>
    </w:p>
    <w:p w14:paraId="37F24919">
      <w:pPr>
        <w:spacing w:line="360" w:lineRule="auto"/>
        <w:ind w:firstLine="480" w:firstLineChars="200"/>
        <w:jc w:val="left"/>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2）中标候选人无正当理由放弃中标项目资格的；或中标人无正当理由不与招标人签订合同的；或中标人在签订合同时向招标人提出附加条件或者更改合同实质性内容的；或中标人不提交投标文件所要求的履约保证金的；</w:t>
      </w:r>
    </w:p>
    <w:p w14:paraId="64EB1E25">
      <w:pPr>
        <w:spacing w:line="360" w:lineRule="auto"/>
        <w:ind w:firstLine="480" w:firstLineChars="200"/>
        <w:jc w:val="left"/>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（3）投标人存在弄虚作假行为的。</w:t>
      </w:r>
    </w:p>
    <w:p w14:paraId="2AF05805">
      <w:pPr>
        <w:spacing w:line="360" w:lineRule="auto"/>
        <w:ind w:firstLine="480" w:firstLineChars="200"/>
        <w:jc w:val="left"/>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注：如投标保证金采用第二类形式，出现以上情形的，由受益人向开立人申请索赔。</w:t>
      </w:r>
    </w:p>
    <w:p w14:paraId="616D84D7">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t>19.5由于投标人行为导致招标人或</w:t>
      </w:r>
      <w:r>
        <w:rPr>
          <w:rFonts w:hint="eastAsia" w:ascii="宋体" w:hAnsi="宋体" w:eastAsia="宋体" w:cs="宋体"/>
          <w:color w:val="000000" w:themeColor="text1"/>
          <w:sz w:val="24"/>
          <w:szCs w:val="22"/>
          <w:highlight w:val="none"/>
          <w:lang w:val="en-US" w:eastAsia="zh-CN"/>
          <w14:textFill>
            <w14:solidFill>
              <w14:schemeClr w14:val="tx1"/>
            </w14:solidFill>
          </w14:textFill>
        </w:rPr>
        <w:t>县交易公司</w:t>
      </w:r>
      <w:r>
        <w:rPr>
          <w:rFonts w:hint="eastAsia" w:ascii="宋体" w:hAnsi="宋体" w:eastAsia="宋体" w:cs="宋体"/>
          <w:color w:val="000000" w:themeColor="text1"/>
          <w:sz w:val="24"/>
          <w:szCs w:val="22"/>
          <w:highlight w:val="none"/>
          <w14:textFill>
            <w14:solidFill>
              <w14:schemeClr w14:val="tx1"/>
            </w14:solidFill>
          </w14:textFill>
        </w:rPr>
        <w:t>损失的，相应损失由投标人承担，从投标保证金中扣除。投标保证金扣除后仍不足以弥补损失的，投标人应当对超过部分予以赔偿。</w:t>
      </w:r>
    </w:p>
    <w:p w14:paraId="418E21D1">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20</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投标有效期</w:t>
      </w:r>
    </w:p>
    <w:p w14:paraId="04B4367B">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20.1投标有效期为从投标截止之日算起的日历天数，投标有效期详见</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109AC136">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20.2在投标有效期内，投标人的投标保持有效，投标人不得要求撤销或修改其投标文件。投标有效期不满足要求的投标，其投标将被认定为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000000" w:themeColor="text1"/>
          <w:sz w:val="24"/>
          <w:highlight w:val="none"/>
          <w14:textFill>
            <w14:solidFill>
              <w14:schemeClr w14:val="tx1"/>
            </w14:solidFill>
          </w14:textFill>
        </w:rPr>
        <w:t>投标无效</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1BF2F4C2">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20</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因特殊原因，招标人或招标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52A47C89">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投标文件的制作</w:t>
      </w:r>
    </w:p>
    <w:p w14:paraId="0B4A673E">
      <w:pPr>
        <w:spacing w:line="360" w:lineRule="auto"/>
        <w:ind w:firstLine="43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21.1.本项目采用全流程电子化招标采购方式，投标人必须递交电子投标文件，并对电子投标文件进行电子签章并使用CA锁进行加密，在招标文件规定的投标截止时间前使用“优质采投标工具客户端”完成上传。</w:t>
      </w:r>
    </w:p>
    <w:p w14:paraId="40677656">
      <w:pPr>
        <w:spacing w:line="360" w:lineRule="auto"/>
        <w:ind w:firstLine="43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21.2.全流程电子招标采购项目</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必须上传CA锁加密的电子投标文件，</w:t>
      </w:r>
      <w:r>
        <w:rPr>
          <w:rFonts w:hint="eastAsia" w:ascii="宋体" w:hAnsi="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下载招标文件后，如未在招标文件规定的投标文件递交截止时间前上传电子投标文件，视为投标无效；投标人在投标文件递交截止时间前，可以对其所递交的电子投标文件进行撤回，修改后重新上传（具体操作详见教程）；</w:t>
      </w:r>
    </w:p>
    <w:p w14:paraId="5C339FA7">
      <w:pPr>
        <w:spacing w:line="360" w:lineRule="auto"/>
        <w:ind w:firstLine="43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21.3.投标文件递交截止时间以优质采云采购平台（www.youzhicai.com）系统的时间为准，逾期系统将自动关闭,电子投标文件未完成上传的，视为没有递交投标文件；</w:t>
      </w:r>
    </w:p>
    <w:p w14:paraId="43809E69">
      <w:pPr>
        <w:spacing w:line="360" w:lineRule="auto"/>
        <w:ind w:firstLine="43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21.4.投标文件可远程解密，投标人无需到达开标现场。招标文件“投标人须知”中另有规定的，从其规定。</w:t>
      </w:r>
    </w:p>
    <w:p w14:paraId="384A0CB1">
      <w:pPr>
        <w:spacing w:line="360" w:lineRule="auto"/>
        <w:ind w:firstLine="437"/>
        <w:outlineLvl w:val="3"/>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21.5.投标人在制作、上传电子投标文件过程中，若存在技术操作问题，请及时联系优质采云采购平台客服人员，客服电话：400-0099-555，0551-62220164，0551-62220012。</w:t>
      </w:r>
    </w:p>
    <w:p w14:paraId="0BD5C762">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22</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投标截止</w:t>
      </w:r>
    </w:p>
    <w:p w14:paraId="234EAF5A">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22</w:t>
      </w:r>
      <w:r>
        <w:rPr>
          <w:rFonts w:asciiTheme="minorEastAsia" w:hAnsiTheme="minorEastAsia" w:eastAsiaTheme="minorEastAsia"/>
          <w:color w:val="000000" w:themeColor="text1"/>
          <w:sz w:val="24"/>
          <w:highlight w:val="none"/>
          <w14:textFill>
            <w14:solidFill>
              <w14:schemeClr w14:val="tx1"/>
            </w14:solidFill>
          </w14:textFill>
        </w:rPr>
        <w:t>.1投标人应在</w:t>
      </w:r>
      <w:r>
        <w:rPr>
          <w:rFonts w:ascii="宋体" w:hAnsi="宋体" w:eastAsia="宋体"/>
          <w:color w:val="000000" w:themeColor="text1"/>
          <w:sz w:val="24"/>
          <w:highlight w:val="none"/>
          <w:u w:val="single"/>
          <w14:textFill>
            <w14:solidFill>
              <w14:schemeClr w14:val="tx1"/>
            </w14:solidFill>
          </w14:textFill>
        </w:rPr>
        <w:t>投标人须知前附表</w:t>
      </w:r>
      <w:r>
        <w:rPr>
          <w:rFonts w:asciiTheme="minorEastAsia" w:hAnsiTheme="minorEastAsia" w:eastAsiaTheme="minorEastAsia"/>
          <w:color w:val="000000" w:themeColor="text1"/>
          <w:sz w:val="24"/>
          <w:highlight w:val="none"/>
          <w14:textFill>
            <w14:solidFill>
              <w14:schemeClr w14:val="tx1"/>
            </w14:solidFill>
          </w14:textFill>
        </w:rPr>
        <w:t>中规定的</w:t>
      </w:r>
      <w:r>
        <w:rPr>
          <w:rFonts w:hint="eastAsia" w:asciiTheme="minorEastAsia" w:hAnsiTheme="minorEastAsia" w:eastAsiaTheme="minorEastAsia"/>
          <w:color w:val="000000" w:themeColor="text1"/>
          <w:sz w:val="24"/>
          <w:highlight w:val="none"/>
          <w14:textFill>
            <w14:solidFill>
              <w14:schemeClr w14:val="tx1"/>
            </w14:solidFill>
          </w14:textFill>
        </w:rPr>
        <w:t>投标</w:t>
      </w:r>
      <w:r>
        <w:rPr>
          <w:rFonts w:asciiTheme="minorEastAsia" w:hAnsiTheme="minorEastAsia" w:eastAsiaTheme="minorEastAsia"/>
          <w:color w:val="000000" w:themeColor="text1"/>
          <w:sz w:val="24"/>
          <w:highlight w:val="none"/>
          <w14:textFill>
            <w14:solidFill>
              <w14:schemeClr w14:val="tx1"/>
            </w14:solidFill>
          </w14:textFill>
        </w:rPr>
        <w:t>截止时间前，</w:t>
      </w:r>
      <w:r>
        <w:rPr>
          <w:rFonts w:hint="eastAsia" w:asciiTheme="minorEastAsia" w:hAnsiTheme="minorEastAsia" w:eastAsiaTheme="minorEastAsia"/>
          <w:color w:val="000000" w:themeColor="text1"/>
          <w:sz w:val="24"/>
          <w:highlight w:val="none"/>
          <w14:textFill>
            <w14:solidFill>
              <w14:schemeClr w14:val="tx1"/>
            </w14:solidFill>
          </w14:textFill>
        </w:rPr>
        <w:t>在网上提交加密电子投标文件。</w:t>
      </w:r>
    </w:p>
    <w:p w14:paraId="1CA9E4BE">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22.2</w:t>
      </w:r>
      <w:r>
        <w:rPr>
          <w:rFonts w:asciiTheme="minorEastAsia" w:hAnsiTheme="minorEastAsia" w:eastAsiaTheme="minorEastAsia"/>
          <w:color w:val="000000" w:themeColor="text1"/>
          <w:sz w:val="24"/>
          <w:highlight w:val="none"/>
          <w14:textFill>
            <w14:solidFill>
              <w14:schemeClr w14:val="tx1"/>
            </w14:solidFill>
          </w14:textFill>
        </w:rPr>
        <w:t>投标</w:t>
      </w:r>
      <w:r>
        <w:rPr>
          <w:rFonts w:hint="eastAsia" w:asciiTheme="minorEastAsia" w:hAnsiTheme="minorEastAsia" w:eastAsiaTheme="minorEastAsia"/>
          <w:color w:val="000000" w:themeColor="text1"/>
          <w:sz w:val="24"/>
          <w:highlight w:val="none"/>
          <w14:textFill>
            <w14:solidFill>
              <w14:schemeClr w14:val="tx1"/>
            </w14:solidFill>
          </w14:textFill>
        </w:rPr>
        <w:t>人</w:t>
      </w:r>
      <w:r>
        <w:rPr>
          <w:rFonts w:asciiTheme="minorEastAsia" w:hAnsiTheme="minorEastAsia" w:eastAsiaTheme="minorEastAsia"/>
          <w:color w:val="000000" w:themeColor="text1"/>
          <w:sz w:val="24"/>
          <w:highlight w:val="none"/>
          <w14:textFill>
            <w14:solidFill>
              <w14:schemeClr w14:val="tx1"/>
            </w14:solidFill>
          </w14:textFill>
        </w:rPr>
        <w:t>在</w:t>
      </w:r>
      <w:r>
        <w:rPr>
          <w:rFonts w:ascii="宋体" w:hAnsi="宋体" w:eastAsia="宋体"/>
          <w:color w:val="000000" w:themeColor="text1"/>
          <w:sz w:val="24"/>
          <w:highlight w:val="none"/>
          <w14:textFill>
            <w14:solidFill>
              <w14:schemeClr w14:val="tx1"/>
            </w14:solidFill>
          </w14:textFill>
        </w:rPr>
        <w:t>招标文件</w:t>
      </w:r>
      <w:r>
        <w:rPr>
          <w:rFonts w:asciiTheme="minorEastAsia" w:hAnsiTheme="minorEastAsia" w:eastAsiaTheme="minorEastAsia"/>
          <w:color w:val="000000" w:themeColor="text1"/>
          <w:sz w:val="24"/>
          <w:highlight w:val="none"/>
          <w14:textFill>
            <w14:solidFill>
              <w14:schemeClr w14:val="tx1"/>
            </w14:solidFill>
          </w14:textFill>
        </w:rPr>
        <w:t>规定的投标截止时间前上传了网上加密电子投标文件，但未在规定时间内进行解密的，</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3CB906B8">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22</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招标人</w:t>
      </w:r>
      <w:r>
        <w:rPr>
          <w:rFonts w:asciiTheme="minorEastAsia" w:hAnsiTheme="minorEastAsia" w:eastAsiaTheme="minorEastAsia"/>
          <w:color w:val="000000" w:themeColor="text1"/>
          <w:sz w:val="24"/>
          <w:highlight w:val="none"/>
          <w14:textFill>
            <w14:solidFill>
              <w14:schemeClr w14:val="tx1"/>
            </w14:solidFill>
          </w14:textFill>
        </w:rPr>
        <w:t>和</w:t>
      </w:r>
      <w:r>
        <w:rPr>
          <w:rFonts w:hint="eastAsia" w:asciiTheme="minorEastAsia" w:hAnsiTheme="minorEastAsia" w:eastAsiaTheme="minorEastAsia"/>
          <w:color w:val="000000" w:themeColor="text1"/>
          <w:sz w:val="24"/>
          <w:highlight w:val="none"/>
          <w14:textFill>
            <w14:solidFill>
              <w14:schemeClr w14:val="tx1"/>
            </w14:solidFill>
          </w14:textFill>
        </w:rPr>
        <w:t>招标代理机构</w:t>
      </w:r>
      <w:r>
        <w:rPr>
          <w:rFonts w:asciiTheme="minorEastAsia" w:hAnsiTheme="minorEastAsia" w:eastAsiaTheme="minorEastAsia"/>
          <w:color w:val="000000" w:themeColor="text1"/>
          <w:sz w:val="24"/>
          <w:highlight w:val="none"/>
          <w14:textFill>
            <w14:solidFill>
              <w14:schemeClr w14:val="tx1"/>
            </w14:solidFill>
          </w14:textFill>
        </w:rPr>
        <w:t>有权按本</w:t>
      </w:r>
      <w:r>
        <w:rPr>
          <w:rFonts w:hint="eastAsia" w:asciiTheme="minorEastAsia" w:hAnsiTheme="minorEastAsia" w:eastAsiaTheme="minorEastAsia"/>
          <w:color w:val="000000" w:themeColor="text1"/>
          <w:sz w:val="24"/>
          <w:highlight w:val="none"/>
          <w14:textFill>
            <w14:solidFill>
              <w14:schemeClr w14:val="tx1"/>
            </w14:solidFill>
          </w14:textFill>
        </w:rPr>
        <w:t>招标文件</w:t>
      </w:r>
      <w:r>
        <w:rPr>
          <w:rFonts w:asciiTheme="minorEastAsia" w:hAnsiTheme="minorEastAsia" w:eastAsiaTheme="minorEastAsia"/>
          <w:color w:val="000000" w:themeColor="text1"/>
          <w:sz w:val="24"/>
          <w:highlight w:val="none"/>
          <w14:textFill>
            <w14:solidFill>
              <w14:schemeClr w14:val="tx1"/>
            </w14:solidFill>
          </w14:textFill>
        </w:rPr>
        <w:t>的规定，延迟投标截止时间。在此情况下，</w:t>
      </w:r>
      <w:r>
        <w:rPr>
          <w:rFonts w:hint="eastAsia" w:asciiTheme="minorEastAsia" w:hAnsiTheme="minorEastAsia" w:eastAsiaTheme="minorEastAsia"/>
          <w:color w:val="000000" w:themeColor="text1"/>
          <w:sz w:val="24"/>
          <w:highlight w:val="none"/>
          <w14:textFill>
            <w14:solidFill>
              <w14:schemeClr w14:val="tx1"/>
            </w14:solidFill>
          </w14:textFill>
        </w:rPr>
        <w:t>招标人</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招标代理机构</w:t>
      </w:r>
      <w:r>
        <w:rPr>
          <w:rFonts w:asciiTheme="minorEastAsia" w:hAnsiTheme="minorEastAsia" w:eastAsiaTheme="minorEastAsia"/>
          <w:color w:val="000000" w:themeColor="text1"/>
          <w:sz w:val="24"/>
          <w:highlight w:val="none"/>
          <w14:textFill>
            <w14:solidFill>
              <w14:schemeClr w14:val="tx1"/>
            </w14:solidFill>
          </w14:textFill>
        </w:rPr>
        <w:t>和投标人受投标截止时间制约的所有权利和义务均应延长至新的截止时间。</w:t>
      </w:r>
    </w:p>
    <w:p w14:paraId="21439571">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23</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投标文件的递交、修改与撤回</w:t>
      </w:r>
    </w:p>
    <w:p w14:paraId="38C8C64D">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23.1投标人应当在第一章“投标邀请”规定的投标截止时间前</w:t>
      </w:r>
      <w:r>
        <w:rPr>
          <w:rFonts w:asciiTheme="minorEastAsia" w:hAnsiTheme="minorEastAsia" w:eastAsiaTheme="minorEastAsia"/>
          <w:color w:val="000000" w:themeColor="text1"/>
          <w:sz w:val="24"/>
          <w:highlight w:val="none"/>
          <w14:textFill>
            <w14:solidFill>
              <w14:schemeClr w14:val="tx1"/>
            </w14:solidFill>
          </w14:textFill>
        </w:rPr>
        <w:t>，将加密的投标文件</w:t>
      </w:r>
      <w:r>
        <w:rPr>
          <w:rFonts w:hint="eastAsia" w:asciiTheme="minorEastAsia" w:hAnsiTheme="minorEastAsia" w:eastAsiaTheme="minorEastAsia"/>
          <w:color w:val="000000" w:themeColor="text1"/>
          <w:sz w:val="24"/>
          <w:highlight w:val="none"/>
          <w14:textFill>
            <w14:solidFill>
              <w14:schemeClr w14:val="tx1"/>
            </w14:solidFill>
          </w14:textFill>
        </w:rPr>
        <w:t>在电子交易系统</w:t>
      </w:r>
      <w:r>
        <w:rPr>
          <w:rFonts w:asciiTheme="minorEastAsia" w:hAnsiTheme="minorEastAsia" w:eastAsiaTheme="minorEastAsia"/>
          <w:color w:val="000000" w:themeColor="text1"/>
          <w:sz w:val="24"/>
          <w:highlight w:val="none"/>
          <w14:textFill>
            <w14:solidFill>
              <w14:schemeClr w14:val="tx1"/>
            </w14:solidFill>
          </w14:textFill>
        </w:rPr>
        <w:t>上传。</w:t>
      </w:r>
    </w:p>
    <w:p w14:paraId="096C3EEF">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23.2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18B70AD4">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23.</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投标人在</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规定的解密时间（以电子交易系统解密倒计时为准）内完成电子投标文件的解密工作。</w:t>
      </w:r>
    </w:p>
    <w:p w14:paraId="41271CBD">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24</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开标</w:t>
      </w:r>
    </w:p>
    <w:p w14:paraId="14866192">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24.1招标人和招标代理机构将按</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中规定的开标时间和地点组织公开开标。</w:t>
      </w:r>
    </w:p>
    <w:p w14:paraId="0259C887">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24</w:t>
      </w:r>
      <w:r>
        <w:rPr>
          <w:rFonts w:asciiTheme="minorEastAsia" w:hAnsiTheme="minorEastAsia" w:eastAsiaTheme="minorEastAsia"/>
          <w:color w:val="000000" w:themeColor="text1"/>
          <w:sz w:val="24"/>
          <w:highlight w:val="none"/>
          <w14:textFill>
            <w14:solidFill>
              <w14:schemeClr w14:val="tx1"/>
            </w14:solidFill>
          </w14:textFill>
        </w:rPr>
        <w:t>.2开标时，各投标</w:t>
      </w:r>
      <w:r>
        <w:rPr>
          <w:rFonts w:hint="eastAsia" w:asciiTheme="minorEastAsia" w:hAnsiTheme="minorEastAsia" w:eastAsiaTheme="minorEastAsia"/>
          <w:color w:val="000000" w:themeColor="text1"/>
          <w:sz w:val="24"/>
          <w:highlight w:val="none"/>
          <w14:textFill>
            <w14:solidFill>
              <w14:schemeClr w14:val="tx1"/>
            </w14:solidFill>
          </w14:textFill>
        </w:rPr>
        <w:t>人</w:t>
      </w:r>
      <w:r>
        <w:rPr>
          <w:rFonts w:asciiTheme="minorEastAsia" w:hAnsiTheme="minorEastAsia" w:eastAsiaTheme="minorEastAsia"/>
          <w:color w:val="000000" w:themeColor="text1"/>
          <w:sz w:val="24"/>
          <w:highlight w:val="none"/>
          <w14:textFill>
            <w14:solidFill>
              <w14:schemeClr w14:val="tx1"/>
            </w14:solidFill>
          </w14:textFill>
        </w:rPr>
        <w:t>应在规定时间前（</w:t>
      </w:r>
      <w:r>
        <w:rPr>
          <w:rFonts w:hint="eastAsia" w:asciiTheme="minorEastAsia" w:hAnsiTheme="minorEastAsia" w:eastAsiaTheme="minorEastAsia"/>
          <w:color w:val="000000" w:themeColor="text1"/>
          <w:sz w:val="24"/>
          <w:highlight w:val="none"/>
          <w14:textFill>
            <w14:solidFill>
              <w14:schemeClr w14:val="tx1"/>
            </w14:solidFill>
          </w14:textFill>
        </w:rPr>
        <w:t>以电子交易系统解密倒计时为准</w:t>
      </w:r>
      <w:r>
        <w:rPr>
          <w:rFonts w:asciiTheme="minorEastAsia" w:hAnsiTheme="minorEastAsia" w:eastAsiaTheme="minorEastAsia"/>
          <w:color w:val="000000" w:themeColor="text1"/>
          <w:sz w:val="24"/>
          <w:highlight w:val="none"/>
          <w14:textFill>
            <w14:solidFill>
              <w14:schemeClr w14:val="tx1"/>
            </w14:solidFill>
          </w14:textFill>
        </w:rPr>
        <w:t>）对本单位的投标文件</w:t>
      </w:r>
      <w:r>
        <w:rPr>
          <w:rFonts w:hint="eastAsia" w:asciiTheme="minorEastAsia" w:hAnsiTheme="minorEastAsia" w:eastAsiaTheme="minorEastAsia"/>
          <w:color w:val="000000" w:themeColor="text1"/>
          <w:sz w:val="24"/>
          <w:highlight w:val="none"/>
          <w14:textFill>
            <w14:solidFill>
              <w14:schemeClr w14:val="tx1"/>
            </w14:solidFill>
          </w14:textFill>
        </w:rPr>
        <w:t>进行</w:t>
      </w:r>
      <w:r>
        <w:rPr>
          <w:rFonts w:asciiTheme="minorEastAsia" w:hAnsiTheme="minorEastAsia" w:eastAsiaTheme="minorEastAsia"/>
          <w:color w:val="000000" w:themeColor="text1"/>
          <w:sz w:val="24"/>
          <w:highlight w:val="none"/>
          <w14:textFill>
            <w14:solidFill>
              <w14:schemeClr w14:val="tx1"/>
            </w14:solidFill>
          </w14:textFill>
        </w:rPr>
        <w:t>解密。</w:t>
      </w:r>
    </w:p>
    <w:p w14:paraId="496E9625">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24</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w:t>
      </w:r>
      <w:r>
        <w:rPr>
          <w:rFonts w:asciiTheme="minorEastAsia" w:hAnsiTheme="minorEastAsia" w:eastAsiaTheme="minorEastAsia"/>
          <w:color w:val="000000" w:themeColor="text1"/>
          <w:sz w:val="24"/>
          <w:highlight w:val="none"/>
          <w14:textFill>
            <w14:solidFill>
              <w14:schemeClr w14:val="tx1"/>
            </w14:solidFill>
          </w14:textFill>
        </w:rPr>
        <w:t>开标时，</w:t>
      </w:r>
      <w:r>
        <w:rPr>
          <w:rFonts w:hint="eastAsia" w:asciiTheme="minorEastAsia" w:hAnsiTheme="minorEastAsia" w:eastAsiaTheme="minorEastAsia"/>
          <w:color w:val="000000" w:themeColor="text1"/>
          <w:sz w:val="24"/>
          <w:highlight w:val="none"/>
          <w14:textFill>
            <w14:solidFill>
              <w14:schemeClr w14:val="tx1"/>
            </w14:solidFill>
          </w14:textFill>
        </w:rPr>
        <w:t>招标代理机构</w:t>
      </w:r>
      <w:r>
        <w:rPr>
          <w:rFonts w:asciiTheme="minorEastAsia" w:hAnsiTheme="minorEastAsia" w:eastAsiaTheme="minorEastAsia"/>
          <w:color w:val="000000" w:themeColor="text1"/>
          <w:sz w:val="24"/>
          <w:highlight w:val="none"/>
          <w14:textFill>
            <w14:solidFill>
              <w14:schemeClr w14:val="tx1"/>
            </w14:solidFill>
          </w14:textFill>
        </w:rPr>
        <w:t>将通过网上开标系统公布</w:t>
      </w:r>
      <w:r>
        <w:rPr>
          <w:rFonts w:hint="eastAsia" w:asciiTheme="minorEastAsia" w:hAnsiTheme="minorEastAsia" w:eastAsiaTheme="minorEastAsia"/>
          <w:color w:val="000000" w:themeColor="text1"/>
          <w:sz w:val="24"/>
          <w:highlight w:val="none"/>
          <w14:textFill>
            <w14:solidFill>
              <w14:schemeClr w14:val="tx1"/>
            </w14:solidFill>
          </w14:textFill>
        </w:rPr>
        <w:t>开标结果，公布内容包括投标人名称、投标价格及招标文件规定的内容。</w:t>
      </w:r>
    </w:p>
    <w:p w14:paraId="3282DEA3">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24.4招标人或招标代理机构将对开标过程进行记录，由参加开标的各投标人代表和相关工作人员签字确认，并存档备查。</w:t>
      </w:r>
    </w:p>
    <w:p w14:paraId="61A3F1D9">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投标人未派代表参加开标的，视同投标人认可开标结果。</w:t>
      </w:r>
    </w:p>
    <w:p w14:paraId="6981FB7B">
      <w:pPr>
        <w:spacing w:line="360" w:lineRule="auto"/>
        <w:ind w:firstLine="435"/>
        <w:rPr>
          <w:rFonts w:hint="eastAsia" w:asciiTheme="minorEastAsia" w:hAnsiTheme="minorEastAsia" w:eastAsiaTheme="minorEastAsia"/>
          <w:color w:val="000000" w:themeColor="text1"/>
          <w:sz w:val="28"/>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24.5投标人代表对开标过程和开标记录有疑义，以及认为招标人、招标代理机构相关工作人员有需要回避的情形的，应当场提出询问或者回避申请。</w:t>
      </w:r>
    </w:p>
    <w:p w14:paraId="3A997BDE">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25</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资格审查</w:t>
      </w:r>
    </w:p>
    <w:p w14:paraId="2D31D9DA">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25.1本招标项目采用资格后审方式进行资格审查。未</w:t>
      </w:r>
      <w:r>
        <w:rPr>
          <w:rFonts w:asciiTheme="minorEastAsia" w:hAnsiTheme="minorEastAsia" w:eastAsiaTheme="minorEastAsia"/>
          <w:color w:val="000000" w:themeColor="text1"/>
          <w:sz w:val="24"/>
          <w:highlight w:val="none"/>
          <w14:textFill>
            <w14:solidFill>
              <w14:schemeClr w14:val="tx1"/>
            </w14:solidFill>
          </w14:textFill>
        </w:rPr>
        <w:t>通过资格审查的投标人</w:t>
      </w:r>
      <w:r>
        <w:rPr>
          <w:rFonts w:hint="eastAsia" w:asciiTheme="minorEastAsia" w:hAnsiTheme="minorEastAsia" w:eastAsiaTheme="minorEastAsia"/>
          <w:color w:val="000000" w:themeColor="text1"/>
          <w:sz w:val="24"/>
          <w:highlight w:val="none"/>
          <w14:textFill>
            <w14:solidFill>
              <w14:schemeClr w14:val="tx1"/>
            </w14:solidFill>
          </w14:textFill>
        </w:rPr>
        <w:t>不</w:t>
      </w:r>
      <w:r>
        <w:rPr>
          <w:rFonts w:asciiTheme="minorEastAsia" w:hAnsiTheme="minorEastAsia" w:eastAsiaTheme="minorEastAsia"/>
          <w:color w:val="000000" w:themeColor="text1"/>
          <w:sz w:val="24"/>
          <w:highlight w:val="none"/>
          <w14:textFill>
            <w14:solidFill>
              <w14:schemeClr w14:val="tx1"/>
            </w14:solidFill>
          </w14:textFill>
        </w:rPr>
        <w:t>进入评标</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6C7F50BE">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26</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投标文件符合性审查与澄清</w:t>
      </w:r>
    </w:p>
    <w:p w14:paraId="6B496CFA">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6</w:t>
      </w:r>
      <w:r>
        <w:rPr>
          <w:rFonts w:asciiTheme="minorEastAsia" w:hAnsiTheme="minorEastAsia" w:eastAsiaTheme="minorEastAsia"/>
          <w:color w:val="000000" w:themeColor="text1"/>
          <w:sz w:val="24"/>
          <w:highlight w:val="none"/>
          <w14:textFill>
            <w14:solidFill>
              <w14:schemeClr w14:val="tx1"/>
            </w14:solidFill>
          </w14:textFill>
        </w:rPr>
        <w:t>.1符合性审查是指依据招标文件的规定，从投标文件的有效性和完整性对招标文件的</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投标</w:t>
      </w:r>
      <w:r>
        <w:rPr>
          <w:rFonts w:asciiTheme="minorEastAsia" w:hAnsiTheme="minorEastAsia" w:eastAsiaTheme="minorEastAsia"/>
          <w:color w:val="000000" w:themeColor="text1"/>
          <w:sz w:val="24"/>
          <w:highlight w:val="none"/>
          <w14:textFill>
            <w14:solidFill>
              <w14:schemeClr w14:val="tx1"/>
            </w14:solidFill>
          </w14:textFill>
        </w:rPr>
        <w:t>程度</w:t>
      </w:r>
      <w:r>
        <w:rPr>
          <w:rFonts w:ascii="宋体" w:hAnsi="宋体" w:eastAsia="宋体"/>
          <w:color w:val="000000" w:themeColor="text1"/>
          <w:sz w:val="24"/>
          <w:highlight w:val="none"/>
          <w14:textFill>
            <w14:solidFill>
              <w14:schemeClr w14:val="tx1"/>
            </w14:solidFill>
          </w14:textFill>
        </w:rPr>
        <w:t>进行</w:t>
      </w:r>
      <w:r>
        <w:rPr>
          <w:rFonts w:asciiTheme="minorEastAsia" w:hAnsiTheme="minorEastAsia" w:eastAsiaTheme="minorEastAsia"/>
          <w:color w:val="000000" w:themeColor="text1"/>
          <w:sz w:val="24"/>
          <w:highlight w:val="none"/>
          <w14:textFill>
            <w14:solidFill>
              <w14:schemeClr w14:val="tx1"/>
            </w14:solidFill>
          </w14:textFill>
        </w:rPr>
        <w:t>审查，以确定是否对招标文件的实质性要求做出</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投标</w:t>
      </w:r>
      <w:r>
        <w:rPr>
          <w:rFonts w:asciiTheme="minorEastAsia" w:hAnsiTheme="minorEastAsia" w:eastAsiaTheme="minorEastAsia"/>
          <w:color w:val="000000" w:themeColor="text1"/>
          <w:sz w:val="24"/>
          <w:highlight w:val="none"/>
          <w14:textFill>
            <w14:solidFill>
              <w14:schemeClr w14:val="tx1"/>
            </w14:solidFill>
          </w14:textFill>
        </w:rPr>
        <w:t>。</w:t>
      </w:r>
    </w:p>
    <w:p w14:paraId="7AE698A5">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6</w:t>
      </w:r>
      <w:r>
        <w:rPr>
          <w:rFonts w:ascii="宋体" w:hAnsi="宋体" w:eastAsia="宋体"/>
          <w:color w:val="000000" w:themeColor="text1"/>
          <w:sz w:val="24"/>
          <w:highlight w:val="none"/>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投标文件的澄清</w:t>
      </w:r>
    </w:p>
    <w:p w14:paraId="7B7AEC72">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6</w:t>
      </w:r>
      <w:r>
        <w:rPr>
          <w:rFonts w:ascii="宋体" w:hAnsi="宋体" w:eastAsia="宋体"/>
          <w:color w:val="000000" w:themeColor="text1"/>
          <w:sz w:val="24"/>
          <w:highlight w:val="none"/>
          <w14:textFill>
            <w14:solidFill>
              <w14:schemeClr w14:val="tx1"/>
            </w14:solidFill>
          </w14:textFill>
        </w:rPr>
        <w:t>.2.1为有助于投标</w:t>
      </w:r>
      <w:r>
        <w:rPr>
          <w:rFonts w:hint="eastAsia" w:ascii="宋体" w:hAnsi="宋体" w:eastAsia="宋体"/>
          <w:color w:val="000000" w:themeColor="text1"/>
          <w:sz w:val="24"/>
          <w:highlight w:val="none"/>
          <w14:textFill>
            <w14:solidFill>
              <w14:schemeClr w14:val="tx1"/>
            </w14:solidFill>
          </w14:textFill>
        </w:rPr>
        <w:t>文件</w:t>
      </w:r>
      <w:r>
        <w:rPr>
          <w:rFonts w:ascii="宋体" w:hAnsi="宋体" w:eastAsia="宋体"/>
          <w:color w:val="000000" w:themeColor="text1"/>
          <w:sz w:val="24"/>
          <w:highlight w:val="none"/>
          <w14:textFill>
            <w14:solidFill>
              <w14:schemeClr w14:val="tx1"/>
            </w14:solidFill>
          </w14:textFill>
        </w:rPr>
        <w:t>的审查、评价和比较，在评标期间，评标委员会将以书面</w:t>
      </w:r>
      <w:r>
        <w:rPr>
          <w:rFonts w:hint="eastAsia" w:ascii="宋体" w:hAnsi="宋体" w:eastAsia="宋体"/>
          <w:color w:val="000000" w:themeColor="text1"/>
          <w:sz w:val="24"/>
          <w:highlight w:val="none"/>
          <w14:textFill>
            <w14:solidFill>
              <w14:schemeClr w14:val="tx1"/>
            </w14:solidFill>
          </w14:textFill>
        </w:rPr>
        <w:t>方式（询标）</w:t>
      </w:r>
      <w:r>
        <w:rPr>
          <w:rFonts w:ascii="宋体" w:hAnsi="宋体" w:eastAsia="宋体"/>
          <w:color w:val="000000" w:themeColor="text1"/>
          <w:sz w:val="24"/>
          <w:highlight w:val="none"/>
          <w14:textFill>
            <w14:solidFill>
              <w14:schemeClr w14:val="tx1"/>
            </w14:solidFill>
          </w14:textFill>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000000" w:themeColor="text1"/>
          <w:sz w:val="24"/>
          <w:highlight w:val="none"/>
          <w14:textFill>
            <w14:solidFill>
              <w14:schemeClr w14:val="tx1"/>
            </w14:solidFill>
          </w14:textFill>
        </w:rPr>
        <w:t>审</w:t>
      </w:r>
      <w:r>
        <w:rPr>
          <w:rFonts w:ascii="宋体" w:hAnsi="宋体" w:eastAsia="宋体"/>
          <w:color w:val="000000" w:themeColor="text1"/>
          <w:sz w:val="24"/>
          <w:highlight w:val="none"/>
          <w14:textFill>
            <w14:solidFill>
              <w14:schemeClr w14:val="tx1"/>
            </w14:solidFill>
          </w14:textFill>
        </w:rPr>
        <w:t>查投标人的报价，有可能影响履约的情况作必要的澄清、说明或补正。投标人的澄清、说明或补正应在评标委员会规定的时间内以书面</w:t>
      </w:r>
      <w:r>
        <w:rPr>
          <w:rFonts w:hint="eastAsia" w:ascii="宋体" w:hAnsi="宋体" w:eastAsia="宋体"/>
          <w:color w:val="000000" w:themeColor="text1"/>
          <w:sz w:val="24"/>
          <w:highlight w:val="none"/>
          <w14:textFill>
            <w14:solidFill>
              <w14:schemeClr w14:val="tx1"/>
            </w14:solidFill>
          </w14:textFill>
        </w:rPr>
        <w:t>方式</w:t>
      </w:r>
      <w:r>
        <w:rPr>
          <w:rFonts w:ascii="宋体" w:hAnsi="宋体" w:eastAsia="宋体"/>
          <w:color w:val="000000" w:themeColor="text1"/>
          <w:sz w:val="24"/>
          <w:highlight w:val="none"/>
          <w14:textFill>
            <w14:solidFill>
              <w14:schemeClr w14:val="tx1"/>
            </w14:solidFill>
          </w14:textFill>
        </w:rPr>
        <w:t>进行，并不得超出投标文件范围或者改变投标文件的实质性内容。</w:t>
      </w:r>
    </w:p>
    <w:p w14:paraId="35CDD105">
      <w:pPr>
        <w:spacing w:line="360" w:lineRule="auto"/>
        <w:ind w:firstLine="435"/>
        <w:rPr>
          <w:rFonts w:hint="eastAsia" w:ascii="宋体" w:hAnsi="宋体" w:eastAsia="宋体"/>
          <w:b/>
          <w:bCs/>
          <w:color w:val="000000" w:themeColor="text1"/>
          <w:sz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33D86D2E">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26</w:t>
      </w:r>
      <w:r>
        <w:rPr>
          <w:rFonts w:asciiTheme="minorEastAsia" w:hAnsiTheme="minorEastAsia" w:eastAsiaTheme="minorEastAsia"/>
          <w:color w:val="000000" w:themeColor="text1"/>
          <w:sz w:val="24"/>
          <w:highlight w:val="none"/>
          <w14:textFill>
            <w14:solidFill>
              <w14:schemeClr w14:val="tx1"/>
            </w14:solidFill>
          </w14:textFill>
        </w:rPr>
        <w:t>.2.2</w:t>
      </w:r>
      <w:r>
        <w:rPr>
          <w:rFonts w:hint="eastAsia" w:asciiTheme="minorEastAsia" w:hAnsiTheme="minorEastAsia" w:eastAsiaTheme="minorEastAsia"/>
          <w:color w:val="000000" w:themeColor="text1"/>
          <w:sz w:val="24"/>
          <w:highlight w:val="none"/>
          <w14:textFill>
            <w14:solidFill>
              <w14:schemeClr w14:val="tx1"/>
            </w14:solidFill>
          </w14:textFill>
        </w:rPr>
        <w:t>投标人的澄清、说明或补正将作为投标文件的一部分。</w:t>
      </w:r>
    </w:p>
    <w:p w14:paraId="10E158AD">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6</w:t>
      </w:r>
      <w:r>
        <w:rPr>
          <w:rFonts w:ascii="宋体" w:hAnsi="宋体" w:eastAsia="宋体"/>
          <w:color w:val="000000" w:themeColor="text1"/>
          <w:sz w:val="24"/>
          <w:highlight w:val="none"/>
          <w14:textFill>
            <w14:solidFill>
              <w14:schemeClr w14:val="tx1"/>
            </w14:solidFill>
          </w14:textFill>
        </w:rPr>
        <w:t>.2.3评标委员会对投标人提交的澄清、说明或补正有疑问的，可以要求投标人进一步澄清、说明或补正，直至满足评标委员会的要求。</w:t>
      </w:r>
    </w:p>
    <w:p w14:paraId="3013ABF5">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6</w:t>
      </w:r>
      <w:r>
        <w:rPr>
          <w:rFonts w:ascii="宋体" w:hAnsi="宋体" w:eastAsia="宋体"/>
          <w:color w:val="000000" w:themeColor="text1"/>
          <w:sz w:val="24"/>
          <w:highlight w:val="none"/>
          <w14:textFill>
            <w14:solidFill>
              <w14:schemeClr w14:val="tx1"/>
            </w14:solidFill>
          </w14:textFill>
        </w:rPr>
        <w:t>.3投标文件报价出现前后不一致的，按照下列规定修正：</w:t>
      </w:r>
    </w:p>
    <w:p w14:paraId="7DB897F0">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）投标文件中开标一览表内容与投标文件中相应内容不一致的，以开标一览表为准；</w:t>
      </w:r>
    </w:p>
    <w:p w14:paraId="2DA9CC66">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2</w:t>
      </w:r>
      <w:r>
        <w:rPr>
          <w:rFonts w:ascii="宋体" w:hAnsi="宋体" w:eastAsia="宋体"/>
          <w:color w:val="000000" w:themeColor="text1"/>
          <w:sz w:val="24"/>
          <w:highlight w:val="none"/>
          <w14:textFill>
            <w14:solidFill>
              <w14:schemeClr w14:val="tx1"/>
            </w14:solidFill>
          </w14:textFill>
        </w:rPr>
        <w:t>）大写金额和小写金额不一致的，以大写金额为准；</w:t>
      </w:r>
    </w:p>
    <w:p w14:paraId="6613226B">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3</w:t>
      </w:r>
      <w:r>
        <w:rPr>
          <w:rFonts w:ascii="宋体" w:hAnsi="宋体" w:eastAsia="宋体"/>
          <w:color w:val="000000" w:themeColor="text1"/>
          <w:sz w:val="24"/>
          <w:highlight w:val="none"/>
          <w14:textFill>
            <w14:solidFill>
              <w14:schemeClr w14:val="tx1"/>
            </w14:solidFill>
          </w14:textFill>
        </w:rPr>
        <w:t>）单价金额小数点或者百分比有明显错位的，以开标一览表的总价为准，并修改单价；</w:t>
      </w:r>
    </w:p>
    <w:p w14:paraId="071C5A03">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4</w:t>
      </w:r>
      <w:r>
        <w:rPr>
          <w:rFonts w:ascii="宋体" w:hAnsi="宋体" w:eastAsia="宋体"/>
          <w:color w:val="000000" w:themeColor="text1"/>
          <w:sz w:val="24"/>
          <w:highlight w:val="none"/>
          <w14:textFill>
            <w14:solidFill>
              <w14:schemeClr w14:val="tx1"/>
            </w14:solidFill>
          </w14:textFill>
        </w:rPr>
        <w:t>）总价金额与按单价汇总金额不一致的，以单价金额计算结果为准。</w:t>
      </w:r>
    </w:p>
    <w:p w14:paraId="65B5D138">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同时出现两种以上不一致的，按照前款规定的顺序修正。修正后的报价按照第2</w:t>
      </w:r>
      <w:r>
        <w:rPr>
          <w:rFonts w:hint="eastAsia" w:ascii="宋体" w:hAnsi="宋体" w:eastAsia="宋体"/>
          <w:color w:val="000000" w:themeColor="text1"/>
          <w:sz w:val="24"/>
          <w:highlight w:val="none"/>
          <w14:textFill>
            <w14:solidFill>
              <w14:schemeClr w14:val="tx1"/>
            </w14:solidFill>
          </w14:textFill>
        </w:rPr>
        <w:t>6</w:t>
      </w:r>
      <w:r>
        <w:rPr>
          <w:rFonts w:ascii="宋体" w:hAnsi="宋体" w:eastAsia="宋体"/>
          <w:color w:val="000000" w:themeColor="text1"/>
          <w:sz w:val="24"/>
          <w:highlight w:val="none"/>
          <w14:textFill>
            <w14:solidFill>
              <w14:schemeClr w14:val="tx1"/>
            </w14:solidFill>
          </w14:textFill>
        </w:rPr>
        <w:t>.2条的规定经投标人确认后产生约束力，投标人不确认的，其投标将被认定为</w:t>
      </w:r>
      <w:r>
        <w:rPr>
          <w:rFonts w:ascii="宋体" w:hAnsi="宋体" w:eastAsia="宋体"/>
          <w:b/>
          <w:color w:val="000000" w:themeColor="text1"/>
          <w:sz w:val="24"/>
          <w:highlight w:val="none"/>
          <w14:textFill>
            <w14:solidFill>
              <w14:schemeClr w14:val="tx1"/>
            </w14:solidFill>
          </w14:textFill>
        </w:rPr>
        <w:t>投标无效</w:t>
      </w:r>
      <w:r>
        <w:rPr>
          <w:rFonts w:ascii="宋体" w:hAnsi="宋体" w:eastAsia="宋体"/>
          <w:color w:val="000000" w:themeColor="text1"/>
          <w:sz w:val="24"/>
          <w:highlight w:val="none"/>
          <w14:textFill>
            <w14:solidFill>
              <w14:schemeClr w14:val="tx1"/>
            </w14:solidFill>
          </w14:textFill>
        </w:rPr>
        <w:t>。</w:t>
      </w:r>
    </w:p>
    <w:p w14:paraId="0B285106">
      <w:pPr>
        <w:spacing w:line="360" w:lineRule="auto"/>
        <w:ind w:firstLine="435"/>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对不同文字文本投标文件的解释发生异议的，以中文文本为准。</w:t>
      </w:r>
    </w:p>
    <w:p w14:paraId="24B91A70">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27</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投标无效</w:t>
      </w:r>
    </w:p>
    <w:p w14:paraId="6C380A8F">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.1根据本</w:t>
      </w:r>
      <w:r>
        <w:rPr>
          <w:rFonts w:hint="eastAsia" w:asciiTheme="minorEastAsia" w:hAnsiTheme="minorEastAsia" w:eastAsiaTheme="minorEastAsia"/>
          <w:color w:val="000000" w:themeColor="text1"/>
          <w:sz w:val="24"/>
          <w:highlight w:val="none"/>
          <w14:textFill>
            <w14:solidFill>
              <w14:schemeClr w14:val="tx1"/>
            </w14:solidFill>
          </w14:textFill>
        </w:rPr>
        <w:t>招标文件</w:t>
      </w:r>
      <w:r>
        <w:rPr>
          <w:rFonts w:asciiTheme="minorEastAsia" w:hAnsiTheme="minorEastAsia" w:eastAsiaTheme="minorEastAsia"/>
          <w:color w:val="000000" w:themeColor="text1"/>
          <w:sz w:val="24"/>
          <w:highlight w:val="none"/>
          <w14:textFill>
            <w14:solidFill>
              <w14:schemeClr w14:val="tx1"/>
            </w14:solidFill>
          </w14:textFill>
        </w:rPr>
        <w:t>的规定，评标委员会要审查每份投标文件是否实质上</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投标</w:t>
      </w:r>
      <w:r>
        <w:rPr>
          <w:rFonts w:asciiTheme="minorEastAsia" w:hAnsiTheme="minorEastAsia" w:eastAsiaTheme="minorEastAsia"/>
          <w:color w:val="000000" w:themeColor="text1"/>
          <w:sz w:val="24"/>
          <w:highlight w:val="none"/>
          <w14:textFill>
            <w14:solidFill>
              <w14:schemeClr w14:val="tx1"/>
            </w14:solidFill>
          </w14:textFill>
        </w:rPr>
        <w:t>了招标文件的要求。投标人不得通过修正或撤销不符合要求的偏离，从而使其投标成为实质上</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投标</w:t>
      </w:r>
      <w:r>
        <w:rPr>
          <w:rFonts w:asciiTheme="minorEastAsia" w:hAnsiTheme="minorEastAsia" w:eastAsiaTheme="minorEastAsia"/>
          <w:color w:val="000000" w:themeColor="text1"/>
          <w:sz w:val="24"/>
          <w:highlight w:val="none"/>
          <w14:textFill>
            <w14:solidFill>
              <w14:schemeClr w14:val="tx1"/>
            </w14:solidFill>
          </w14:textFill>
        </w:rPr>
        <w:t>的投标。</w:t>
      </w:r>
    </w:p>
    <w:p w14:paraId="3CFA01EA">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评标委员会决定投标的</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投标</w:t>
      </w:r>
      <w:r>
        <w:rPr>
          <w:rFonts w:hint="eastAsia" w:asciiTheme="minorEastAsia" w:hAnsiTheme="minorEastAsia" w:eastAsiaTheme="minorEastAsia"/>
          <w:color w:val="000000" w:themeColor="text1"/>
          <w:sz w:val="24"/>
          <w:highlight w:val="none"/>
          <w14:textFill>
            <w14:solidFill>
              <w14:schemeClr w14:val="tx1"/>
            </w14:solidFill>
          </w14:textFill>
        </w:rPr>
        <w:t>性只根据招标文件要求和投标文件内容。</w:t>
      </w:r>
    </w:p>
    <w:p w14:paraId="5E28527C">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无论何种原因，即使投标人投标时携带了证书材料的原件，但投标文件中未提供与之内容完全一致的扫描件的，评标委员会视同其未提供。</w:t>
      </w:r>
    </w:p>
    <w:p w14:paraId="4BF14F24">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.2如发现下列情况之一的，其投标将被认定为</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0375E7BB">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宋体" w:hAnsi="宋体" w:eastAsia="宋体"/>
          <w:color w:val="000000" w:themeColor="text1"/>
          <w:sz w:val="24"/>
          <w:highlight w:val="none"/>
          <w14:textFill>
            <w14:solidFill>
              <w14:schemeClr w14:val="tx1"/>
            </w14:solidFill>
          </w14:textFill>
        </w:rPr>
        <w:t>1）未按招标文件</w:t>
      </w:r>
      <w:r>
        <w:rPr>
          <w:rFonts w:hint="eastAsia" w:ascii="宋体" w:hAnsi="宋体" w:eastAsia="宋体"/>
          <w:color w:val="000000" w:themeColor="text1"/>
          <w:sz w:val="24"/>
          <w:highlight w:val="none"/>
          <w14:textFill>
            <w14:solidFill>
              <w14:schemeClr w14:val="tx1"/>
            </w14:solidFill>
          </w14:textFill>
        </w:rPr>
        <w:t>的</w:t>
      </w:r>
      <w:r>
        <w:rPr>
          <w:rFonts w:ascii="宋体" w:hAnsi="宋体" w:eastAsia="宋体"/>
          <w:color w:val="000000" w:themeColor="text1"/>
          <w:sz w:val="24"/>
          <w:highlight w:val="none"/>
          <w14:textFill>
            <w14:solidFill>
              <w14:schemeClr w14:val="tx1"/>
            </w14:solidFill>
          </w14:textFill>
        </w:rPr>
        <w:t>规定提交投标保证金的；</w:t>
      </w:r>
    </w:p>
    <w:p w14:paraId="5D47A7A1">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w:t>
      </w:r>
      <w:r>
        <w:rPr>
          <w:rFonts w:ascii="宋体" w:hAnsi="宋体" w:eastAsia="宋体"/>
          <w:color w:val="000000" w:themeColor="text1"/>
          <w:sz w:val="24"/>
          <w:highlight w:val="none"/>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投标文件</w:t>
      </w:r>
      <w:r>
        <w:rPr>
          <w:rFonts w:ascii="宋体" w:hAnsi="宋体" w:eastAsia="宋体"/>
          <w:color w:val="000000" w:themeColor="text1"/>
          <w:sz w:val="24"/>
          <w:highlight w:val="none"/>
          <w14:textFill>
            <w14:solidFill>
              <w14:schemeClr w14:val="tx1"/>
            </w14:solidFill>
          </w14:textFill>
        </w:rPr>
        <w:t>未按照招标文件规定要求签署、盖章的；</w:t>
      </w:r>
    </w:p>
    <w:p w14:paraId="20F6BC42">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w:t>
      </w:r>
      <w:r>
        <w:rPr>
          <w:rFonts w:ascii="宋体" w:hAnsi="宋体" w:eastAsia="宋体"/>
          <w:color w:val="000000" w:themeColor="text1"/>
          <w:sz w:val="24"/>
          <w:highlight w:val="none"/>
          <w14:textFill>
            <w14:solidFill>
              <w14:schemeClr w14:val="tx1"/>
            </w14:solidFill>
          </w14:textFill>
        </w:rPr>
        <w:t>3）</w:t>
      </w:r>
      <w:r>
        <w:rPr>
          <w:rFonts w:hint="eastAsia" w:ascii="宋体" w:hAnsi="宋体" w:eastAsia="宋体"/>
          <w:color w:val="000000" w:themeColor="text1"/>
          <w:sz w:val="24"/>
          <w:highlight w:val="none"/>
          <w14:textFill>
            <w14:solidFill>
              <w14:schemeClr w14:val="tx1"/>
            </w14:solidFill>
          </w14:textFill>
        </w:rPr>
        <w:t>不具备招标文件中规定的资格要求的</w:t>
      </w:r>
      <w:r>
        <w:rPr>
          <w:rFonts w:ascii="宋体" w:hAnsi="宋体" w:eastAsia="宋体"/>
          <w:color w:val="000000" w:themeColor="text1"/>
          <w:sz w:val="24"/>
          <w:highlight w:val="none"/>
          <w14:textFill>
            <w14:solidFill>
              <w14:schemeClr w14:val="tx1"/>
            </w14:solidFill>
          </w14:textFill>
        </w:rPr>
        <w:t>；</w:t>
      </w:r>
    </w:p>
    <w:p w14:paraId="34A0F19D">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（4）</w:t>
      </w:r>
      <w:r>
        <w:rPr>
          <w:rFonts w:ascii="宋体" w:hAnsi="宋体" w:eastAsia="宋体"/>
          <w:color w:val="000000" w:themeColor="text1"/>
          <w:sz w:val="24"/>
          <w:highlight w:val="none"/>
          <w14:textFill>
            <w14:solidFill>
              <w14:schemeClr w14:val="tx1"/>
            </w14:solidFill>
          </w14:textFill>
        </w:rPr>
        <w:t>报价超过招标文件中规定的预算金额或者最高限价的；</w:t>
      </w:r>
    </w:p>
    <w:p w14:paraId="1D61F25F">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（5）</w:t>
      </w:r>
      <w:r>
        <w:rPr>
          <w:rFonts w:ascii="宋体" w:hAnsi="宋体" w:eastAsia="宋体"/>
          <w:color w:val="000000" w:themeColor="text1"/>
          <w:sz w:val="24"/>
          <w:highlight w:val="none"/>
          <w14:textFill>
            <w14:solidFill>
              <w14:schemeClr w14:val="tx1"/>
            </w14:solidFill>
          </w14:textFill>
        </w:rPr>
        <w:t>投标文件含有</w:t>
      </w:r>
      <w:r>
        <w:rPr>
          <w:rFonts w:hint="eastAsia" w:ascii="宋体" w:hAnsi="宋体" w:eastAsia="宋体"/>
          <w:color w:val="000000" w:themeColor="text1"/>
          <w:sz w:val="24"/>
          <w:highlight w:val="none"/>
          <w14:textFill>
            <w14:solidFill>
              <w14:schemeClr w14:val="tx1"/>
            </w14:solidFill>
          </w14:textFill>
        </w:rPr>
        <w:t>招标人</w:t>
      </w:r>
      <w:r>
        <w:rPr>
          <w:rFonts w:ascii="宋体" w:hAnsi="宋体" w:eastAsia="宋体"/>
          <w:color w:val="000000" w:themeColor="text1"/>
          <w:sz w:val="24"/>
          <w:highlight w:val="none"/>
          <w14:textFill>
            <w14:solidFill>
              <w14:schemeClr w14:val="tx1"/>
            </w14:solidFill>
          </w14:textFill>
        </w:rPr>
        <w:t>不能接受的附加条件的</w:t>
      </w:r>
      <w:r>
        <w:rPr>
          <w:rFonts w:hint="eastAsia" w:ascii="宋体" w:hAnsi="宋体" w:eastAsia="宋体"/>
          <w:color w:val="000000" w:themeColor="text1"/>
          <w:sz w:val="24"/>
          <w:highlight w:val="none"/>
          <w14:textFill>
            <w14:solidFill>
              <w14:schemeClr w14:val="tx1"/>
            </w14:solidFill>
          </w14:textFill>
        </w:rPr>
        <w:t>；</w:t>
      </w:r>
    </w:p>
    <w:p w14:paraId="519BF449">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（6）</w:t>
      </w:r>
      <w:r>
        <w:rPr>
          <w:rFonts w:ascii="宋体" w:hAnsi="宋体" w:eastAsia="宋体"/>
          <w:color w:val="000000" w:themeColor="text1"/>
          <w:sz w:val="24"/>
          <w:highlight w:val="none"/>
          <w14:textFill>
            <w14:solidFill>
              <w14:schemeClr w14:val="tx1"/>
            </w14:solidFill>
          </w14:textFill>
        </w:rPr>
        <w:t>法律、法规和招标文件规定的其他无效情形。</w:t>
      </w:r>
    </w:p>
    <w:p w14:paraId="66F78330">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28</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比较与评价</w:t>
      </w:r>
    </w:p>
    <w:p w14:paraId="4070AD24">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8.1经符合性审查合格的投标文件，评标委员会将根据招标文件确定的评标方法和标准，对其投标文件作进一步的比较与评价。</w:t>
      </w:r>
    </w:p>
    <w:p w14:paraId="3DAF1CB7">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8.2评标严格按照</w:t>
      </w:r>
      <w:r>
        <w:rPr>
          <w:rFonts w:hint="eastAsia" w:ascii="宋体" w:hAnsi="宋体" w:eastAsia="宋体"/>
          <w:color w:val="000000" w:themeColor="text1"/>
          <w:sz w:val="24"/>
          <w:highlight w:val="none"/>
          <w14:textFill>
            <w14:solidFill>
              <w14:schemeClr w14:val="tx1"/>
            </w14:solidFill>
          </w14:textFill>
        </w:rPr>
        <w:t>招标文件</w:t>
      </w:r>
      <w:r>
        <w:rPr>
          <w:rFonts w:hint="eastAsia" w:asciiTheme="minorEastAsia" w:hAnsiTheme="minorEastAsia" w:eastAsiaTheme="minorEastAsia"/>
          <w:color w:val="000000" w:themeColor="text1"/>
          <w:sz w:val="24"/>
          <w:highlight w:val="none"/>
          <w14:textFill>
            <w14:solidFill>
              <w14:schemeClr w14:val="tx1"/>
            </w14:solidFill>
          </w14:textFill>
        </w:rPr>
        <w:t>的要求和条件进行。根据实际情况，在</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中规定采用下列一种评标方法，详细评标方法和标准见招标文件第四章：</w:t>
      </w:r>
    </w:p>
    <w:p w14:paraId="01ED5BC5">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1）最低评标价法，是指</w:t>
      </w:r>
      <w:r>
        <w:rPr>
          <w:rFonts w:ascii="宋体" w:hAnsi="宋体" w:eastAsia="宋体"/>
          <w:color w:val="000000" w:themeColor="text1"/>
          <w:sz w:val="24"/>
          <w:highlight w:val="none"/>
          <w14:textFill>
            <w14:solidFill>
              <w14:schemeClr w14:val="tx1"/>
            </w14:solidFill>
          </w14:textFill>
        </w:rPr>
        <w:t>投标文件满足招标文件全部实质性要求</w:t>
      </w:r>
      <w:r>
        <w:rPr>
          <w:rFonts w:hint="eastAsia" w:ascii="宋体" w:hAnsi="宋体" w:eastAsia="宋体"/>
          <w:color w:val="000000" w:themeColor="text1"/>
          <w:sz w:val="24"/>
          <w:highlight w:val="none"/>
          <w14:textFill>
            <w14:solidFill>
              <w14:schemeClr w14:val="tx1"/>
            </w14:solidFill>
          </w14:textFill>
        </w:rPr>
        <w:t>，</w:t>
      </w:r>
      <w:r>
        <w:rPr>
          <w:rFonts w:ascii="宋体" w:hAnsi="宋体" w:eastAsia="宋体"/>
          <w:color w:val="000000" w:themeColor="text1"/>
          <w:sz w:val="24"/>
          <w:highlight w:val="none"/>
          <w14:textFill>
            <w14:solidFill>
              <w14:schemeClr w14:val="tx1"/>
            </w14:solidFill>
          </w14:textFill>
        </w:rPr>
        <w:t>且投标报价最低的</w:t>
      </w:r>
      <w:r>
        <w:rPr>
          <w:rFonts w:hint="eastAsia" w:ascii="宋体" w:hAnsi="宋体" w:eastAsia="宋体"/>
          <w:color w:val="000000" w:themeColor="text1"/>
          <w:sz w:val="24"/>
          <w:highlight w:val="none"/>
          <w14:textFill>
            <w14:solidFill>
              <w14:schemeClr w14:val="tx1"/>
            </w14:solidFill>
          </w14:textFill>
        </w:rPr>
        <w:t>投标人</w:t>
      </w:r>
      <w:r>
        <w:rPr>
          <w:rFonts w:ascii="宋体" w:hAnsi="宋体" w:eastAsia="宋体"/>
          <w:color w:val="000000" w:themeColor="text1"/>
          <w:sz w:val="24"/>
          <w:highlight w:val="none"/>
          <w14:textFill>
            <w14:solidFill>
              <w14:schemeClr w14:val="tx1"/>
            </w14:solidFill>
          </w14:textFill>
        </w:rPr>
        <w:t>为中标</w:t>
      </w:r>
      <w:r>
        <w:rPr>
          <w:rFonts w:hint="eastAsia" w:ascii="宋体" w:hAnsi="宋体" w:eastAsia="宋体"/>
          <w:color w:val="000000" w:themeColor="text1"/>
          <w:sz w:val="24"/>
          <w:highlight w:val="none"/>
          <w14:textFill>
            <w14:solidFill>
              <w14:schemeClr w14:val="tx1"/>
            </w14:solidFill>
          </w14:textFill>
        </w:rPr>
        <w:t>候选</w:t>
      </w:r>
      <w:r>
        <w:rPr>
          <w:rFonts w:ascii="宋体" w:hAnsi="宋体" w:eastAsia="宋体"/>
          <w:color w:val="000000" w:themeColor="text1"/>
          <w:sz w:val="24"/>
          <w:highlight w:val="none"/>
          <w14:textFill>
            <w14:solidFill>
              <w14:schemeClr w14:val="tx1"/>
            </w14:solidFill>
          </w14:textFill>
        </w:rPr>
        <w:t>人的评标方法</w:t>
      </w:r>
      <w:r>
        <w:rPr>
          <w:rFonts w:hint="eastAsia" w:ascii="宋体" w:hAnsi="宋体" w:eastAsia="宋体"/>
          <w:color w:val="000000" w:themeColor="text1"/>
          <w:sz w:val="24"/>
          <w:highlight w:val="none"/>
          <w14:textFill>
            <w14:solidFill>
              <w14:schemeClr w14:val="tx1"/>
            </w14:solidFill>
          </w14:textFill>
        </w:rPr>
        <w:t>。</w:t>
      </w:r>
    </w:p>
    <w:p w14:paraId="09E64C64">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（2）综合评分法，是</w:t>
      </w:r>
      <w:r>
        <w:rPr>
          <w:rFonts w:ascii="宋体" w:hAnsi="宋体" w:eastAsia="宋体"/>
          <w:color w:val="000000" w:themeColor="text1"/>
          <w:sz w:val="24"/>
          <w:highlight w:val="none"/>
          <w14:textFill>
            <w14:solidFill>
              <w14:schemeClr w14:val="tx1"/>
            </w14:solidFill>
          </w14:textFill>
        </w:rPr>
        <w:t>指投标文件满足招标</w:t>
      </w:r>
      <w:r>
        <w:rPr>
          <w:rFonts w:hint="eastAsia" w:ascii="宋体" w:hAnsi="宋体" w:eastAsia="宋体"/>
          <w:color w:val="000000" w:themeColor="text1"/>
          <w:sz w:val="24"/>
          <w:highlight w:val="none"/>
          <w14:textFill>
            <w14:solidFill>
              <w14:schemeClr w14:val="tx1"/>
            </w14:solidFill>
          </w14:textFill>
        </w:rPr>
        <w:t>文件</w:t>
      </w:r>
      <w:r>
        <w:rPr>
          <w:rFonts w:ascii="宋体" w:hAnsi="宋体" w:eastAsia="宋体"/>
          <w:color w:val="000000" w:themeColor="text1"/>
          <w:sz w:val="24"/>
          <w:highlight w:val="none"/>
          <w14:textFill>
            <w14:solidFill>
              <w14:schemeClr w14:val="tx1"/>
            </w14:solidFill>
          </w14:textFill>
        </w:rPr>
        <w:t>全部实质性要求</w:t>
      </w:r>
      <w:r>
        <w:rPr>
          <w:rFonts w:hint="eastAsia" w:ascii="宋体" w:hAnsi="宋体" w:eastAsia="宋体"/>
          <w:color w:val="000000" w:themeColor="text1"/>
          <w:sz w:val="24"/>
          <w:highlight w:val="none"/>
          <w14:textFill>
            <w14:solidFill>
              <w14:schemeClr w14:val="tx1"/>
            </w14:solidFill>
          </w14:textFill>
        </w:rPr>
        <w:t>，</w:t>
      </w:r>
      <w:r>
        <w:rPr>
          <w:rFonts w:ascii="宋体" w:hAnsi="宋体" w:eastAsia="宋体"/>
          <w:color w:val="000000" w:themeColor="text1"/>
          <w:sz w:val="24"/>
          <w:highlight w:val="none"/>
          <w14:textFill>
            <w14:solidFill>
              <w14:schemeClr w14:val="tx1"/>
            </w14:solidFill>
          </w14:textFill>
        </w:rPr>
        <w:t>且按照评审因素的</w:t>
      </w:r>
      <w:r>
        <w:rPr>
          <w:rFonts w:hint="eastAsia" w:ascii="宋体" w:hAnsi="宋体" w:eastAsia="宋体"/>
          <w:color w:val="000000" w:themeColor="text1"/>
          <w:sz w:val="24"/>
          <w:highlight w:val="none"/>
          <w14:textFill>
            <w14:solidFill>
              <w14:schemeClr w14:val="tx1"/>
            </w14:solidFill>
          </w14:textFill>
        </w:rPr>
        <w:t>量化</w:t>
      </w:r>
      <w:r>
        <w:rPr>
          <w:rFonts w:ascii="宋体" w:hAnsi="宋体" w:eastAsia="宋体"/>
          <w:color w:val="000000" w:themeColor="text1"/>
          <w:sz w:val="24"/>
          <w:highlight w:val="none"/>
          <w14:textFill>
            <w14:solidFill>
              <w14:schemeClr w14:val="tx1"/>
            </w14:solidFill>
          </w14:textFill>
        </w:rPr>
        <w:t>指标评审得分最高的</w:t>
      </w:r>
      <w:r>
        <w:rPr>
          <w:rFonts w:hint="eastAsia" w:ascii="宋体" w:hAnsi="宋体" w:eastAsia="宋体"/>
          <w:color w:val="000000" w:themeColor="text1"/>
          <w:sz w:val="24"/>
          <w:highlight w:val="none"/>
          <w14:textFill>
            <w14:solidFill>
              <w14:schemeClr w14:val="tx1"/>
            </w14:solidFill>
          </w14:textFill>
        </w:rPr>
        <w:t>投标人</w:t>
      </w:r>
      <w:r>
        <w:rPr>
          <w:rFonts w:ascii="宋体" w:hAnsi="宋体" w:eastAsia="宋体"/>
          <w:color w:val="000000" w:themeColor="text1"/>
          <w:sz w:val="24"/>
          <w:highlight w:val="none"/>
          <w14:textFill>
            <w14:solidFill>
              <w14:schemeClr w14:val="tx1"/>
            </w14:solidFill>
          </w14:textFill>
        </w:rPr>
        <w:t>为中标候选人的评标方法。</w:t>
      </w:r>
    </w:p>
    <w:p w14:paraId="630D582B">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29</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废标</w:t>
      </w:r>
    </w:p>
    <w:p w14:paraId="11FC512A">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出现下列情形之一，将导致项目废标：</w:t>
      </w:r>
    </w:p>
    <w:p w14:paraId="17C283DD">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1）符合专业条件的</w:t>
      </w:r>
      <w:r>
        <w:rPr>
          <w:rFonts w:hint="eastAsia" w:ascii="宋体" w:hAnsi="宋体"/>
          <w:color w:val="000000" w:themeColor="text1"/>
          <w:sz w:val="24"/>
          <w:highlight w:val="none"/>
          <w:lang w:eastAsia="zh-CN"/>
          <w14:textFill>
            <w14:solidFill>
              <w14:schemeClr w14:val="tx1"/>
            </w14:solidFill>
          </w14:textFill>
        </w:rPr>
        <w:t>投标人</w:t>
      </w:r>
      <w:r>
        <w:rPr>
          <w:rFonts w:hint="eastAsia" w:ascii="宋体" w:hAnsi="宋体" w:eastAsia="宋体"/>
          <w:color w:val="000000" w:themeColor="text1"/>
          <w:sz w:val="24"/>
          <w:highlight w:val="none"/>
          <w14:textFill>
            <w14:solidFill>
              <w14:schemeClr w14:val="tx1"/>
            </w14:solidFill>
          </w14:textFill>
        </w:rPr>
        <w:t>或者对招标文件做实质性</w:t>
      </w:r>
      <w:r>
        <w:rPr>
          <w:rFonts w:hint="eastAsia" w:ascii="宋体" w:hAnsi="宋体"/>
          <w:color w:val="000000" w:themeColor="text1"/>
          <w:sz w:val="24"/>
          <w:highlight w:val="none"/>
          <w:lang w:eastAsia="zh-CN"/>
          <w14:textFill>
            <w14:solidFill>
              <w14:schemeClr w14:val="tx1"/>
            </w14:solidFill>
          </w14:textFill>
        </w:rPr>
        <w:t>投标</w:t>
      </w:r>
      <w:r>
        <w:rPr>
          <w:rFonts w:hint="eastAsia" w:ascii="宋体" w:hAnsi="宋体" w:eastAsia="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lang w:eastAsia="zh-CN"/>
          <w14:textFill>
            <w14:solidFill>
              <w14:schemeClr w14:val="tx1"/>
            </w14:solidFill>
          </w14:textFill>
        </w:rPr>
        <w:t>投标人</w:t>
      </w:r>
      <w:r>
        <w:rPr>
          <w:rFonts w:hint="eastAsia" w:ascii="宋体" w:hAnsi="宋体" w:eastAsia="宋体"/>
          <w:color w:val="000000" w:themeColor="text1"/>
          <w:sz w:val="24"/>
          <w:highlight w:val="none"/>
          <w14:textFill>
            <w14:solidFill>
              <w14:schemeClr w14:val="tx1"/>
            </w14:solidFill>
          </w14:textFill>
        </w:rPr>
        <w:t>不足规定数量的；</w:t>
      </w:r>
    </w:p>
    <w:p w14:paraId="1C497354">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（2）出现影响采购公正的违法、违规行为的；</w:t>
      </w:r>
    </w:p>
    <w:p w14:paraId="48DA2047">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（3）投标人的报价均超过了采购预算，招标人不能支付的；</w:t>
      </w:r>
    </w:p>
    <w:p w14:paraId="7315178F">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（4）因重大变故，采购任务取消的。</w:t>
      </w:r>
    </w:p>
    <w:p w14:paraId="0B35CC01">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30</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保密要求</w:t>
      </w:r>
    </w:p>
    <w:p w14:paraId="29DFEA01">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30.1评标将在严格保密的情况下进行。</w:t>
      </w:r>
    </w:p>
    <w:p w14:paraId="0E20DF37">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30.2有关人员</w:t>
      </w:r>
      <w:r>
        <w:rPr>
          <w:rFonts w:ascii="宋体" w:hAnsi="宋体" w:eastAsia="宋体"/>
          <w:color w:val="000000" w:themeColor="text1"/>
          <w:sz w:val="24"/>
          <w:highlight w:val="none"/>
          <w14:textFill>
            <w14:solidFill>
              <w14:schemeClr w14:val="tx1"/>
            </w14:solidFill>
          </w14:textFill>
        </w:rPr>
        <w:t>应当</w:t>
      </w:r>
      <w:r>
        <w:rPr>
          <w:rFonts w:hint="eastAsia" w:ascii="宋体" w:hAnsi="宋体" w:eastAsia="宋体"/>
          <w:color w:val="000000" w:themeColor="text1"/>
          <w:sz w:val="24"/>
          <w:highlight w:val="none"/>
          <w14:textFill>
            <w14:solidFill>
              <w14:schemeClr w14:val="tx1"/>
            </w14:solidFill>
          </w14:textFill>
        </w:rPr>
        <w:t>遵</w:t>
      </w:r>
      <w:r>
        <w:rPr>
          <w:rFonts w:ascii="宋体" w:hAnsi="宋体" w:eastAsia="宋体"/>
          <w:color w:val="000000" w:themeColor="text1"/>
          <w:sz w:val="24"/>
          <w:highlight w:val="none"/>
          <w14:textFill>
            <w14:solidFill>
              <w14:schemeClr w14:val="tx1"/>
            </w14:solidFill>
          </w14:textFill>
        </w:rPr>
        <w:t>守评</w:t>
      </w:r>
      <w:r>
        <w:rPr>
          <w:rFonts w:hint="eastAsia" w:ascii="宋体" w:hAnsi="宋体" w:eastAsia="宋体"/>
          <w:color w:val="000000" w:themeColor="text1"/>
          <w:sz w:val="24"/>
          <w:highlight w:val="none"/>
          <w14:textFill>
            <w14:solidFill>
              <w14:schemeClr w14:val="tx1"/>
            </w14:solidFill>
          </w14:textFill>
        </w:rPr>
        <w:t>标</w:t>
      </w:r>
      <w:r>
        <w:rPr>
          <w:rFonts w:ascii="宋体" w:hAnsi="宋体" w:eastAsia="宋体"/>
          <w:color w:val="000000" w:themeColor="text1"/>
          <w:sz w:val="24"/>
          <w:highlight w:val="none"/>
          <w14:textFill>
            <w14:solidFill>
              <w14:schemeClr w14:val="tx1"/>
            </w14:solidFill>
          </w14:textFill>
        </w:rPr>
        <w:t>工作纪律，不得</w:t>
      </w:r>
      <w:r>
        <w:rPr>
          <w:rFonts w:hint="eastAsia" w:ascii="宋体" w:hAnsi="宋体" w:eastAsia="宋体"/>
          <w:color w:val="000000" w:themeColor="text1"/>
          <w:sz w:val="24"/>
          <w:highlight w:val="none"/>
          <w14:textFill>
            <w14:solidFill>
              <w14:schemeClr w14:val="tx1"/>
            </w14:solidFill>
          </w14:textFill>
        </w:rPr>
        <w:t>泄露</w:t>
      </w:r>
      <w:r>
        <w:rPr>
          <w:rFonts w:ascii="宋体" w:hAnsi="宋体" w:eastAsia="宋体"/>
          <w:color w:val="000000" w:themeColor="text1"/>
          <w:sz w:val="24"/>
          <w:highlight w:val="none"/>
          <w14:textFill>
            <w14:solidFill>
              <w14:schemeClr w14:val="tx1"/>
            </w14:solidFill>
          </w14:textFill>
        </w:rPr>
        <w:t>评</w:t>
      </w:r>
      <w:r>
        <w:rPr>
          <w:rFonts w:hint="eastAsia" w:ascii="宋体" w:hAnsi="宋体" w:eastAsia="宋体"/>
          <w:color w:val="000000" w:themeColor="text1"/>
          <w:sz w:val="24"/>
          <w:highlight w:val="none"/>
          <w14:textFill>
            <w14:solidFill>
              <w14:schemeClr w14:val="tx1"/>
            </w14:solidFill>
          </w14:textFill>
        </w:rPr>
        <w:t>标文件</w:t>
      </w:r>
      <w:r>
        <w:rPr>
          <w:rFonts w:ascii="宋体" w:hAnsi="宋体" w:eastAsia="宋体"/>
          <w:color w:val="000000" w:themeColor="text1"/>
          <w:sz w:val="24"/>
          <w:highlight w:val="none"/>
          <w14:textFill>
            <w14:solidFill>
              <w14:schemeClr w14:val="tx1"/>
            </w14:solidFill>
          </w14:textFill>
        </w:rPr>
        <w:t>、评</w:t>
      </w:r>
      <w:r>
        <w:rPr>
          <w:rFonts w:hint="eastAsia" w:ascii="宋体" w:hAnsi="宋体" w:eastAsia="宋体"/>
          <w:color w:val="000000" w:themeColor="text1"/>
          <w:sz w:val="24"/>
          <w:highlight w:val="none"/>
          <w14:textFill>
            <w14:solidFill>
              <w14:schemeClr w14:val="tx1"/>
            </w14:solidFill>
          </w14:textFill>
        </w:rPr>
        <w:t>标</w:t>
      </w:r>
      <w:r>
        <w:rPr>
          <w:rFonts w:ascii="宋体" w:hAnsi="宋体" w:eastAsia="宋体"/>
          <w:color w:val="000000" w:themeColor="text1"/>
          <w:sz w:val="24"/>
          <w:highlight w:val="none"/>
          <w14:textFill>
            <w14:solidFill>
              <w14:schemeClr w14:val="tx1"/>
            </w14:solidFill>
          </w14:textFill>
        </w:rPr>
        <w:t>情况和评</w:t>
      </w:r>
      <w:r>
        <w:rPr>
          <w:rFonts w:hint="eastAsia" w:ascii="宋体" w:hAnsi="宋体" w:eastAsia="宋体"/>
          <w:color w:val="000000" w:themeColor="text1"/>
          <w:sz w:val="24"/>
          <w:highlight w:val="none"/>
          <w14:textFill>
            <w14:solidFill>
              <w14:schemeClr w14:val="tx1"/>
            </w14:solidFill>
          </w14:textFill>
        </w:rPr>
        <w:t>标</w:t>
      </w:r>
      <w:r>
        <w:rPr>
          <w:rFonts w:ascii="宋体" w:hAnsi="宋体" w:eastAsia="宋体"/>
          <w:color w:val="000000" w:themeColor="text1"/>
          <w:sz w:val="24"/>
          <w:highlight w:val="none"/>
          <w14:textFill>
            <w14:solidFill>
              <w14:schemeClr w14:val="tx1"/>
            </w14:solidFill>
          </w14:textFill>
        </w:rPr>
        <w:t>中获悉的</w:t>
      </w:r>
      <w:r>
        <w:rPr>
          <w:rFonts w:hint="eastAsia" w:ascii="宋体" w:hAnsi="宋体" w:eastAsia="宋体"/>
          <w:color w:val="000000" w:themeColor="text1"/>
          <w:sz w:val="24"/>
          <w:highlight w:val="none"/>
          <w14:textFill>
            <w14:solidFill>
              <w14:schemeClr w14:val="tx1"/>
            </w14:solidFill>
          </w14:textFill>
        </w:rPr>
        <w:t>国家秘密、</w:t>
      </w:r>
      <w:r>
        <w:rPr>
          <w:rFonts w:ascii="宋体" w:hAnsi="宋体" w:eastAsia="宋体"/>
          <w:color w:val="000000" w:themeColor="text1"/>
          <w:sz w:val="24"/>
          <w:highlight w:val="none"/>
          <w14:textFill>
            <w14:solidFill>
              <w14:schemeClr w14:val="tx1"/>
            </w14:solidFill>
          </w14:textFill>
        </w:rPr>
        <w:t>商业秘密。</w:t>
      </w:r>
    </w:p>
    <w:p w14:paraId="1E1FF2F6">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中标候选人的确定原则及标准</w:t>
      </w:r>
    </w:p>
    <w:p w14:paraId="4AB880C3">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31</w:t>
      </w:r>
      <w:r>
        <w:rPr>
          <w:rFonts w:asciiTheme="minorEastAsia" w:hAnsiTheme="minorEastAsia" w:eastAsiaTheme="minorEastAsia"/>
          <w:color w:val="000000" w:themeColor="text1"/>
          <w:sz w:val="24"/>
          <w:highlight w:val="none"/>
          <w14:textFill>
            <w14:solidFill>
              <w14:schemeClr w14:val="tx1"/>
            </w14:solidFill>
          </w14:textFill>
        </w:rPr>
        <w:t>.1评</w:t>
      </w:r>
      <w:r>
        <w:rPr>
          <w:rFonts w:hint="eastAsia" w:asciiTheme="minorEastAsia" w:hAnsiTheme="minorEastAsia" w:eastAsiaTheme="minorEastAsia"/>
          <w:color w:val="000000" w:themeColor="text1"/>
          <w:sz w:val="24"/>
          <w:highlight w:val="none"/>
          <w14:textFill>
            <w14:solidFill>
              <w14:schemeClr w14:val="tx1"/>
            </w14:solidFill>
          </w14:textFill>
        </w:rPr>
        <w:t>标</w:t>
      </w:r>
      <w:r>
        <w:rPr>
          <w:rFonts w:asciiTheme="minorEastAsia" w:hAnsiTheme="minorEastAsia" w:eastAsiaTheme="minorEastAsia"/>
          <w:color w:val="000000" w:themeColor="text1"/>
          <w:sz w:val="24"/>
          <w:highlight w:val="none"/>
          <w14:textFill>
            <w14:solidFill>
              <w14:schemeClr w14:val="tx1"/>
            </w14:solidFill>
          </w14:textFill>
        </w:rPr>
        <w:t>委员会依据本项目招标文件所约定的评标方法，对实质上</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投标</w:t>
      </w:r>
      <w:r>
        <w:rPr>
          <w:rFonts w:asciiTheme="minorEastAsia" w:hAnsiTheme="minorEastAsia" w:eastAsiaTheme="minorEastAsia"/>
          <w:color w:val="000000" w:themeColor="text1"/>
          <w:sz w:val="24"/>
          <w:highlight w:val="none"/>
          <w14:textFill>
            <w14:solidFill>
              <w14:schemeClr w14:val="tx1"/>
            </w14:solidFill>
          </w14:textFill>
        </w:rPr>
        <w:t>招标文件的投标人按下列方法进行排序</w:t>
      </w:r>
      <w:r>
        <w:rPr>
          <w:rFonts w:hint="eastAsia" w:asciiTheme="minorEastAsia" w:hAnsiTheme="minorEastAsia" w:eastAsiaTheme="minorEastAsia"/>
          <w:color w:val="000000" w:themeColor="text1"/>
          <w:sz w:val="24"/>
          <w:highlight w:val="none"/>
          <w14:textFill>
            <w14:solidFill>
              <w14:schemeClr w14:val="tx1"/>
            </w14:solidFill>
          </w14:textFill>
        </w:rPr>
        <w:t>，确定中标候选人</w:t>
      </w:r>
      <w:r>
        <w:rPr>
          <w:rFonts w:asciiTheme="minorEastAsia" w:hAnsiTheme="minorEastAsia" w:eastAsiaTheme="minorEastAsia"/>
          <w:color w:val="000000" w:themeColor="text1"/>
          <w:sz w:val="24"/>
          <w:highlight w:val="none"/>
          <w14:textFill>
            <w14:solidFill>
              <w14:schemeClr w14:val="tx1"/>
            </w14:solidFill>
          </w14:textFill>
        </w:rPr>
        <w:t>：</w:t>
      </w:r>
    </w:p>
    <w:p w14:paraId="233097ED">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1）采用最低评标价法的，除了算术修正和落实政策需进行的价格扣除外，不对投标人的投标价格进行任何调整。评标结果按修正和扣除后的投标报价由低到高顺序排列。修正和扣除后的投标报价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000000" w:themeColor="text1"/>
          <w:sz w:val="24"/>
          <w:highlight w:val="none"/>
          <w14:textFill>
            <w14:solidFill>
              <w14:schemeClr w14:val="tx1"/>
            </w14:solidFill>
          </w14:textFill>
        </w:rPr>
        <w:t>出现两家或两家以上相同者，采取评标委员会抽签方式确定中标候选顺序。</w:t>
      </w:r>
    </w:p>
    <w:p w14:paraId="1A4125D5">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2）采用综合评分法的，评标结果按评审后得分由高到低顺序排列。得分相同的，</w:t>
      </w:r>
      <w:r>
        <w:rPr>
          <w:rFonts w:hint="eastAsia" w:asciiTheme="minorEastAsia" w:hAnsiTheme="minorEastAsia" w:eastAsiaTheme="minorEastAsia"/>
          <w:color w:val="000000" w:themeColor="text1"/>
          <w:sz w:val="24"/>
          <w:highlight w:val="none"/>
          <w14:textFill>
            <w14:solidFill>
              <w14:schemeClr w14:val="tx1"/>
            </w14:solidFill>
          </w14:textFill>
        </w:rPr>
        <w:t>按投标报价由低到高顺序排列。</w:t>
      </w:r>
      <w:r>
        <w:rPr>
          <w:rFonts w:asciiTheme="minorEastAsia" w:hAnsiTheme="minorEastAsia" w:eastAsiaTheme="minorEastAsia"/>
          <w:color w:val="000000" w:themeColor="text1"/>
          <w:sz w:val="24"/>
          <w:highlight w:val="none"/>
          <w14:textFill>
            <w14:solidFill>
              <w14:schemeClr w14:val="tx1"/>
            </w14:solidFill>
          </w14:textFill>
        </w:rPr>
        <w:t>得分与投标报价均相同的</w:t>
      </w:r>
      <w:r>
        <w:rPr>
          <w:rFonts w:hint="eastAsia" w:asciiTheme="minorEastAsia" w:hAnsiTheme="minorEastAsia" w:eastAsiaTheme="minorEastAsia"/>
          <w:color w:val="000000" w:themeColor="text1"/>
          <w:sz w:val="24"/>
          <w:highlight w:val="none"/>
          <w14:textFill>
            <w14:solidFill>
              <w14:schemeClr w14:val="tx1"/>
            </w14:solidFill>
          </w14:textFill>
        </w:rPr>
        <w:t>，则采取评标委员会抽签方式确定中标候选顺序。</w:t>
      </w:r>
    </w:p>
    <w:p w14:paraId="505521D6">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32</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确定中标候选人和中标人</w:t>
      </w:r>
    </w:p>
    <w:p w14:paraId="6CFFF731">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32</w:t>
      </w:r>
      <w:r>
        <w:rPr>
          <w:rFonts w:asciiTheme="minorEastAsia" w:hAnsiTheme="minorEastAsia" w:eastAsiaTheme="minorEastAsia"/>
          <w:color w:val="000000" w:themeColor="text1"/>
          <w:sz w:val="24"/>
          <w:highlight w:val="none"/>
          <w14:textFill>
            <w14:solidFill>
              <w14:schemeClr w14:val="tx1"/>
            </w14:solidFill>
          </w14:textFill>
        </w:rPr>
        <w:t>.1评标委员会将根据评标标准，按</w:t>
      </w:r>
      <w:r>
        <w:rPr>
          <w:rFonts w:asciiTheme="minorEastAsia" w:hAnsiTheme="minorEastAsia" w:eastAsiaTheme="minorEastAsia"/>
          <w:color w:val="000000" w:themeColor="text1"/>
          <w:sz w:val="24"/>
          <w:highlight w:val="none"/>
          <w:u w:val="single"/>
          <w14:textFill>
            <w14:solidFill>
              <w14:schemeClr w14:val="tx1"/>
            </w14:solidFill>
          </w14:textFill>
        </w:rPr>
        <w:t>投标</w:t>
      </w:r>
      <w:r>
        <w:rPr>
          <w:rFonts w:hint="eastAsia" w:asciiTheme="minorEastAsia" w:hAnsiTheme="minorEastAsia" w:eastAsiaTheme="minorEastAsia"/>
          <w:color w:val="000000" w:themeColor="text1"/>
          <w:sz w:val="24"/>
          <w:highlight w:val="none"/>
          <w:u w:val="single"/>
          <w14:textFill>
            <w14:solidFill>
              <w14:schemeClr w14:val="tx1"/>
            </w14:solidFill>
          </w14:textFill>
        </w:rPr>
        <w:t>人</w:t>
      </w:r>
      <w:r>
        <w:rPr>
          <w:rFonts w:asciiTheme="minorEastAsia" w:hAnsiTheme="minorEastAsia" w:eastAsiaTheme="minorEastAsia"/>
          <w:color w:val="000000" w:themeColor="text1"/>
          <w:sz w:val="24"/>
          <w:highlight w:val="none"/>
          <w:u w:val="single"/>
          <w14:textFill>
            <w14:solidFill>
              <w14:schemeClr w14:val="tx1"/>
            </w14:solidFill>
          </w14:textFill>
        </w:rPr>
        <w:t>须知前附表</w:t>
      </w:r>
      <w:r>
        <w:rPr>
          <w:rFonts w:asciiTheme="minorEastAsia" w:hAnsiTheme="minorEastAsia" w:eastAsiaTheme="minorEastAsia"/>
          <w:color w:val="000000" w:themeColor="text1"/>
          <w:sz w:val="24"/>
          <w:highlight w:val="none"/>
          <w14:textFill>
            <w14:solidFill>
              <w14:schemeClr w14:val="tx1"/>
            </w14:solidFill>
          </w14:textFill>
        </w:rPr>
        <w:t>中规定数量推荐中标候选人。</w:t>
      </w:r>
    </w:p>
    <w:p w14:paraId="32BAF495">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32.2按</w:t>
      </w:r>
      <w:r>
        <w:rPr>
          <w:rFonts w:asciiTheme="minorEastAsia" w:hAnsiTheme="minorEastAsia" w:eastAsiaTheme="minorEastAsia"/>
          <w:color w:val="000000" w:themeColor="text1"/>
          <w:sz w:val="24"/>
          <w:highlight w:val="none"/>
          <w:u w:val="single"/>
          <w14:textFill>
            <w14:solidFill>
              <w14:schemeClr w14:val="tx1"/>
            </w14:solidFill>
          </w14:textFill>
        </w:rPr>
        <w:t>投标</w:t>
      </w:r>
      <w:r>
        <w:rPr>
          <w:rFonts w:hint="eastAsia" w:asciiTheme="minorEastAsia" w:hAnsiTheme="minorEastAsia" w:eastAsiaTheme="minorEastAsia"/>
          <w:color w:val="000000" w:themeColor="text1"/>
          <w:sz w:val="24"/>
          <w:highlight w:val="none"/>
          <w:u w:val="single"/>
          <w14:textFill>
            <w14:solidFill>
              <w14:schemeClr w14:val="tx1"/>
            </w14:solidFill>
          </w14:textFill>
        </w:rPr>
        <w:t>人</w:t>
      </w:r>
      <w:r>
        <w:rPr>
          <w:rFonts w:asciiTheme="minorEastAsia" w:hAnsiTheme="minorEastAsia" w:eastAsiaTheme="minorEastAsia"/>
          <w:color w:val="000000" w:themeColor="text1"/>
          <w:sz w:val="24"/>
          <w:highlight w:val="none"/>
          <w:u w:val="single"/>
          <w14:textFill>
            <w14:solidFill>
              <w14:schemeClr w14:val="tx1"/>
            </w14:solidFill>
          </w14:textFill>
        </w:rPr>
        <w:t>须知前附表</w:t>
      </w:r>
      <w:r>
        <w:rPr>
          <w:rFonts w:hint="eastAsia" w:asciiTheme="minorEastAsia" w:hAnsiTheme="minorEastAsia" w:eastAsiaTheme="minorEastAsia"/>
          <w:color w:val="000000" w:themeColor="text1"/>
          <w:sz w:val="24"/>
          <w:highlight w:val="none"/>
          <w14:textFill>
            <w14:solidFill>
              <w14:schemeClr w14:val="tx1"/>
            </w14:solidFill>
          </w14:textFill>
        </w:rPr>
        <w:t>中规定，</w:t>
      </w:r>
      <w:r>
        <w:rPr>
          <w:rFonts w:asciiTheme="minorEastAsia" w:hAnsiTheme="minorEastAsia" w:eastAsiaTheme="minorEastAsia"/>
          <w:color w:val="000000" w:themeColor="text1"/>
          <w:sz w:val="24"/>
          <w:highlight w:val="none"/>
          <w14:textFill>
            <w14:solidFill>
              <w14:schemeClr w14:val="tx1"/>
            </w14:solidFill>
          </w14:textFill>
        </w:rPr>
        <w:t>由评标委员会或</w:t>
      </w:r>
      <w:r>
        <w:rPr>
          <w:rFonts w:hint="eastAsia" w:asciiTheme="minorEastAsia" w:hAnsiTheme="minorEastAsia" w:eastAsiaTheme="minorEastAsia"/>
          <w:color w:val="000000" w:themeColor="text1"/>
          <w:sz w:val="24"/>
          <w:highlight w:val="none"/>
          <w14:textFill>
            <w14:solidFill>
              <w14:schemeClr w14:val="tx1"/>
            </w14:solidFill>
          </w14:textFill>
        </w:rPr>
        <w:t>招标人</w:t>
      </w:r>
      <w:r>
        <w:rPr>
          <w:rFonts w:asciiTheme="minorEastAsia" w:hAnsiTheme="minorEastAsia" w:eastAsiaTheme="minorEastAsia"/>
          <w:color w:val="000000" w:themeColor="text1"/>
          <w:sz w:val="24"/>
          <w:highlight w:val="none"/>
          <w14:textFill>
            <w14:solidFill>
              <w14:schemeClr w14:val="tx1"/>
            </w14:solidFill>
          </w14:textFill>
        </w:rPr>
        <w:t>确定中标人。</w:t>
      </w:r>
    </w:p>
    <w:p w14:paraId="4945D39E">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32</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因重大变故采购任务取消时，招标人有权拒绝任何投标人中标，且对受影响的投标人不承担任何责任。</w:t>
      </w:r>
    </w:p>
    <w:p w14:paraId="16D425EC">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33</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编写评标报告</w:t>
      </w:r>
    </w:p>
    <w:p w14:paraId="63BF9A2F">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488AF9E8">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34</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中标候选人公示</w:t>
      </w:r>
    </w:p>
    <w:p w14:paraId="16A2044A">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34</w:t>
      </w: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中标候选人信息将在网上公示，公示期不少于3日，期满无异议则发布中标结果公告。</w:t>
      </w:r>
    </w:p>
    <w:p w14:paraId="608B378A">
      <w:pPr>
        <w:spacing w:line="360" w:lineRule="auto"/>
        <w:ind w:firstLine="482" w:firstLineChars="200"/>
        <w:jc w:val="left"/>
        <w:outlineLvl w:val="3"/>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35.中标通知书</w:t>
      </w:r>
    </w:p>
    <w:p w14:paraId="57DE8CDC">
      <w:pPr>
        <w:spacing w:line="360" w:lineRule="auto"/>
        <w:ind w:firstLine="480" w:firstLineChars="200"/>
        <w:jc w:val="left"/>
        <w:outlineLvl w:val="3"/>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35.1县</w:t>
      </w:r>
      <w:r>
        <w:rPr>
          <w:rFonts w:hint="eastAsia" w:ascii="宋体" w:hAnsi="宋体" w:eastAsia="宋体" w:cs="宋体"/>
          <w:bCs/>
          <w:color w:val="000000" w:themeColor="text1"/>
          <w:sz w:val="24"/>
          <w:highlight w:val="none"/>
          <w:lang w:val="en-US" w:eastAsia="zh-CN"/>
          <w14:textFill>
            <w14:solidFill>
              <w14:schemeClr w14:val="tx1"/>
            </w14:solidFill>
          </w14:textFill>
        </w:rPr>
        <w:t>交易</w:t>
      </w:r>
      <w:r>
        <w:rPr>
          <w:rFonts w:hint="eastAsia" w:ascii="宋体" w:hAnsi="宋体" w:eastAsia="宋体" w:cs="宋体"/>
          <w:bCs/>
          <w:color w:val="000000" w:themeColor="text1"/>
          <w:sz w:val="24"/>
          <w:highlight w:val="none"/>
          <w14:textFill>
            <w14:solidFill>
              <w14:schemeClr w14:val="tx1"/>
            </w14:solidFill>
          </w14:textFill>
        </w:rPr>
        <w:t>公司将以中标通知书形式通知中标人，其投标已被接受。</w:t>
      </w:r>
    </w:p>
    <w:p w14:paraId="0FCECB10">
      <w:pPr>
        <w:spacing w:line="360" w:lineRule="auto"/>
        <w:ind w:firstLine="480" w:firstLineChars="200"/>
        <w:jc w:val="left"/>
        <w:outlineLvl w:val="3"/>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35.2县</w:t>
      </w:r>
      <w:r>
        <w:rPr>
          <w:rFonts w:hint="eastAsia" w:ascii="宋体" w:hAnsi="宋体" w:eastAsia="宋体" w:cs="宋体"/>
          <w:bCs/>
          <w:color w:val="000000" w:themeColor="text1"/>
          <w:sz w:val="24"/>
          <w:highlight w:val="none"/>
          <w:lang w:val="en-US" w:eastAsia="zh-CN"/>
          <w14:textFill>
            <w14:solidFill>
              <w14:schemeClr w14:val="tx1"/>
            </w14:solidFill>
          </w14:textFill>
        </w:rPr>
        <w:t>交易</w:t>
      </w:r>
      <w:r>
        <w:rPr>
          <w:rFonts w:hint="eastAsia" w:ascii="宋体" w:hAnsi="宋体" w:eastAsia="宋体" w:cs="宋体"/>
          <w:bCs/>
          <w:color w:val="000000" w:themeColor="text1"/>
          <w:sz w:val="24"/>
          <w:highlight w:val="none"/>
          <w14:textFill>
            <w14:solidFill>
              <w14:schemeClr w14:val="tx1"/>
            </w14:solidFill>
          </w14:textFill>
        </w:rPr>
        <w:t>公司对未中标的投标人不做未中标原因的解释。</w:t>
      </w:r>
    </w:p>
    <w:p w14:paraId="0B50D0F3">
      <w:pPr>
        <w:spacing w:line="360" w:lineRule="auto"/>
        <w:ind w:firstLine="480" w:firstLineChars="200"/>
        <w:jc w:val="left"/>
        <w:outlineLvl w:val="3"/>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35.3中标结果公告发布后，中标人请在3个工作日内领取中标通知书。</w:t>
      </w:r>
    </w:p>
    <w:p w14:paraId="366CAD3B">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35.4中标通知书对招标人和中标人具有同等法律效力。中标通知书发出以后，招标人改变中标结果或者中标人放弃中标，应当承担相应的法律责任。</w:t>
      </w:r>
    </w:p>
    <w:p w14:paraId="023E77B2">
      <w:pPr>
        <w:spacing w:line="360" w:lineRule="auto"/>
        <w:ind w:firstLine="480" w:firstLineChars="200"/>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35.5中标通知书是合同的组成部分。</w:t>
      </w:r>
    </w:p>
    <w:p w14:paraId="3182912D">
      <w:pPr>
        <w:spacing w:line="360" w:lineRule="auto"/>
        <w:ind w:firstLine="482" w:firstLineChars="200"/>
        <w:jc w:val="left"/>
        <w:outlineLvl w:val="3"/>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36.履约保证金</w:t>
      </w:r>
    </w:p>
    <w:p w14:paraId="790836F3">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36.1签订合同前，投标人应提交履约保证金。履约保证金金额、收受方式及收受人见投标人须知前附表规定。</w:t>
      </w:r>
    </w:p>
    <w:p w14:paraId="4B3103AF">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36.2投标人须知前附表约定收取定额履约保证金或免收履约保证金的，从其规定。</w:t>
      </w:r>
    </w:p>
    <w:p w14:paraId="326730B5">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36.3</w:t>
      </w:r>
      <w:r>
        <w:rPr>
          <w:rFonts w:hint="eastAsia" w:ascii="宋体" w:hAnsi="宋体" w:eastAsia="宋体" w:cs="宋体"/>
          <w:color w:val="000000" w:themeColor="text1"/>
          <w:sz w:val="24"/>
          <w:highlight w:val="none"/>
          <w14:textFill>
            <w14:solidFill>
              <w14:schemeClr w14:val="tx1"/>
            </w14:solidFill>
          </w14:textFill>
        </w:rPr>
        <w:t>如果中标人未按规定交纳履约保证金的，视为放弃中标，其投标保证金不予退还，给招标人造成的损失超过投标保证金数额的，中标人还应当对超过部分予以赔偿。在此情况下招标人可以按照</w:t>
      </w:r>
      <w:r>
        <w:rPr>
          <w:rFonts w:hint="eastAsia" w:ascii="宋体" w:hAnsi="宋体" w:eastAsia="宋体" w:cs="宋体"/>
          <w:color w:val="000000" w:themeColor="text1"/>
          <w:kern w:val="0"/>
          <w:sz w:val="24"/>
          <w:highlight w:val="none"/>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提出的中标候选人名单排序依次确定其他中标候选人为中标人，也可以重新招标。</w:t>
      </w:r>
    </w:p>
    <w:p w14:paraId="3BC46B51">
      <w:pPr>
        <w:spacing w:line="360" w:lineRule="auto"/>
        <w:ind w:firstLine="482" w:firstLineChars="200"/>
        <w:jc w:val="left"/>
        <w:outlineLvl w:val="3"/>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37.签订合同</w:t>
      </w:r>
    </w:p>
    <w:p w14:paraId="7955DAEA">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37.1</w:t>
      </w:r>
      <w:r>
        <w:rPr>
          <w:rFonts w:hint="eastAsia" w:ascii="宋体" w:hAnsi="宋体" w:eastAsia="宋体" w:cs="宋体"/>
          <w:color w:val="000000" w:themeColor="text1"/>
          <w:sz w:val="24"/>
          <w:szCs w:val="24"/>
          <w:highlight w:val="none"/>
          <w14:textFill>
            <w14:solidFill>
              <w14:schemeClr w14:val="tx1"/>
            </w14:solidFill>
          </w14:textFill>
        </w:rPr>
        <w:t>中标人应在中标通知书发出之日起三十日内（具体时间、地点见中标通知书）与招标人签订合同。招标文件、中标人的投标文件及澄清文件等，均作为合同的附件。合同签订前中标人应出示中标通知书和履约保证金交纳证明。</w:t>
      </w:r>
    </w:p>
    <w:p w14:paraId="6DBC30B3">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37.2中标人拒绝与招标人签订合同的，招标人可以按照评审报告推荐的中标候选人名单排序，确定下一中标候选人为中标人，也可以重新开展招标活动。</w:t>
      </w:r>
    </w:p>
    <w:p w14:paraId="67A5403B">
      <w:pPr>
        <w:spacing w:line="360" w:lineRule="auto"/>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37.3当出现法规规定的中标无效或中标结果无效情形时，招标人可依法与排名下一位的中标候选人另行签订合同，或依法重新开展采购活动。</w:t>
      </w:r>
    </w:p>
    <w:p w14:paraId="499E055A">
      <w:pPr>
        <w:spacing w:line="360" w:lineRule="auto"/>
        <w:ind w:firstLine="482" w:firstLineChars="200"/>
        <w:jc w:val="left"/>
        <w:outlineLvl w:val="3"/>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38.中标服务费</w:t>
      </w:r>
    </w:p>
    <w:p w14:paraId="4E403971">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38</w:t>
      </w:r>
      <w:r>
        <w:rPr>
          <w:rFonts w:ascii="宋体" w:hAnsi="宋体" w:eastAsia="宋体"/>
          <w:color w:val="000000" w:themeColor="text1"/>
          <w:sz w:val="24"/>
          <w:highlight w:val="none"/>
          <w14:textFill>
            <w14:solidFill>
              <w14:schemeClr w14:val="tx1"/>
            </w14:solidFill>
          </w14:textFill>
        </w:rPr>
        <w:t>.1</w:t>
      </w:r>
      <w:r>
        <w:rPr>
          <w:rFonts w:hint="eastAsia" w:ascii="宋体" w:hAnsi="宋体" w:eastAsia="宋体"/>
          <w:color w:val="000000" w:themeColor="text1"/>
          <w:sz w:val="24"/>
          <w:highlight w:val="none"/>
          <w14:textFill>
            <w14:solidFill>
              <w14:schemeClr w14:val="tx1"/>
            </w14:solidFill>
          </w14:textFill>
        </w:rPr>
        <w:t>在公告中标结果后，</w:t>
      </w:r>
      <w:r>
        <w:rPr>
          <w:rFonts w:ascii="宋体" w:hAnsi="宋体" w:eastAsia="宋体"/>
          <w:color w:val="000000" w:themeColor="text1"/>
          <w:sz w:val="24"/>
          <w:highlight w:val="none"/>
          <w14:textFill>
            <w14:solidFill>
              <w14:schemeClr w14:val="tx1"/>
            </w14:solidFill>
          </w14:textFill>
        </w:rPr>
        <w:t>中标</w:t>
      </w:r>
      <w:r>
        <w:rPr>
          <w:rFonts w:hint="eastAsia" w:ascii="宋体" w:hAnsi="宋体"/>
          <w:color w:val="000000" w:themeColor="text1"/>
          <w:sz w:val="24"/>
          <w:highlight w:val="none"/>
          <w:lang w:eastAsia="zh-CN"/>
          <w14:textFill>
            <w14:solidFill>
              <w14:schemeClr w14:val="tx1"/>
            </w14:solidFill>
          </w14:textFill>
        </w:rPr>
        <w:t>投标人</w:t>
      </w:r>
      <w:r>
        <w:rPr>
          <w:rFonts w:ascii="宋体" w:hAnsi="宋体" w:eastAsia="宋体"/>
          <w:color w:val="000000" w:themeColor="text1"/>
          <w:sz w:val="24"/>
          <w:highlight w:val="none"/>
          <w14:textFill>
            <w14:solidFill>
              <w14:schemeClr w14:val="tx1"/>
            </w14:solidFill>
          </w14:textFill>
        </w:rPr>
        <w:t>应向</w:t>
      </w:r>
      <w:r>
        <w:rPr>
          <w:rFonts w:hint="eastAsia" w:ascii="宋体" w:hAnsi="宋体" w:eastAsia="宋体"/>
          <w:color w:val="000000" w:themeColor="text1"/>
          <w:sz w:val="24"/>
          <w:highlight w:val="none"/>
          <w:lang w:val="en-US" w:eastAsia="zh-CN"/>
          <w14:textFill>
            <w14:solidFill>
              <w14:schemeClr w14:val="tx1"/>
            </w14:solidFill>
          </w14:textFill>
        </w:rPr>
        <w:t>县交易</w:t>
      </w:r>
      <w:r>
        <w:rPr>
          <w:rFonts w:hint="eastAsia" w:ascii="宋体" w:hAnsi="宋体" w:eastAsia="宋体"/>
          <w:color w:val="000000" w:themeColor="text1"/>
          <w:sz w:val="24"/>
          <w:highlight w:val="none"/>
          <w14:textFill>
            <w14:solidFill>
              <w14:schemeClr w14:val="tx1"/>
            </w14:solidFill>
          </w14:textFill>
        </w:rPr>
        <w:t>公司交纳</w:t>
      </w:r>
      <w:r>
        <w:rPr>
          <w:rFonts w:ascii="宋体" w:hAnsi="宋体" w:eastAsia="宋体"/>
          <w:color w:val="000000" w:themeColor="text1"/>
          <w:sz w:val="24"/>
          <w:highlight w:val="none"/>
          <w14:textFill>
            <w14:solidFill>
              <w14:schemeClr w14:val="tx1"/>
            </w14:solidFill>
          </w14:textFill>
        </w:rPr>
        <w:t>中标服务费</w:t>
      </w:r>
      <w:r>
        <w:rPr>
          <w:rFonts w:hint="eastAsia" w:ascii="宋体" w:hAnsi="宋体" w:eastAsia="宋体"/>
          <w:color w:val="000000" w:themeColor="text1"/>
          <w:sz w:val="24"/>
          <w:highlight w:val="none"/>
          <w14:textFill>
            <w14:solidFill>
              <w14:schemeClr w14:val="tx1"/>
            </w14:solidFill>
          </w14:textFill>
        </w:rPr>
        <w:t>。</w:t>
      </w:r>
    </w:p>
    <w:p w14:paraId="10E88589">
      <w:pPr>
        <w:spacing w:line="360" w:lineRule="auto"/>
        <w:ind w:firstLine="480" w:firstLineChars="200"/>
        <w:rPr>
          <w:rFonts w:hint="eastAsia" w:ascii="宋体" w:hAnsi="宋体" w:eastAsia="宋体"/>
          <w:b/>
          <w:bCs/>
          <w:color w:val="000000" w:themeColor="text1"/>
          <w:sz w:val="24"/>
          <w:highlight w:val="none"/>
          <w14:textFill>
            <w14:solidFill>
              <w14:schemeClr w14:val="tx1"/>
            </w14:solidFill>
          </w14:textFill>
        </w:rPr>
      </w:pPr>
      <w:bookmarkStart w:id="27" w:name="_Toc518923100"/>
      <w:bookmarkStart w:id="28" w:name="_Toc2583661"/>
      <w:r>
        <w:rPr>
          <w:rFonts w:hint="eastAsia" w:ascii="宋体" w:hAnsi="宋体" w:eastAsia="宋体"/>
          <w:bCs/>
          <w:color w:val="000000" w:themeColor="text1"/>
          <w:sz w:val="24"/>
          <w:highlight w:val="none"/>
          <w14:textFill>
            <w14:solidFill>
              <w14:schemeClr w14:val="tx1"/>
            </w14:solidFill>
          </w14:textFill>
        </w:rPr>
        <w:t>招标代理服务费缴纳账户</w:t>
      </w:r>
    </w:p>
    <w:p w14:paraId="3F25761B">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户名：肥西县公共资源交易有限责任公司</w:t>
      </w:r>
    </w:p>
    <w:p w14:paraId="58F4CABF">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账号：179746801939</w:t>
      </w:r>
    </w:p>
    <w:p w14:paraId="1065C5BD">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开户行：中国银行股份有限公司肥西支行</w:t>
      </w:r>
    </w:p>
    <w:p w14:paraId="2B5FA17A">
      <w:pPr>
        <w:spacing w:line="360" w:lineRule="auto"/>
        <w:ind w:firstLine="435"/>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招标代理服务费的收取采用差额定率累进计费方式，具体收费标准参照关于印发《招标（采购）代理行业服务收费指导意见》的通知（合公协〔2023]03号）文件收取。</w:t>
      </w:r>
    </w:p>
    <w:p w14:paraId="0EC2998B">
      <w:pPr>
        <w:jc w:val="center"/>
        <w:rPr>
          <w:rStyle w:val="20"/>
          <w:rFonts w:hint="eastAsia" w:ascii="宋体" w:hAnsi="宋体" w:eastAsia="宋体" w:cs="宋体"/>
          <w:color w:val="000000" w:themeColor="text1"/>
          <w:sz w:val="24"/>
          <w:highlight w:val="none"/>
          <w14:textFill>
            <w14:solidFill>
              <w14:schemeClr w14:val="tx1"/>
            </w14:solidFill>
          </w14:textFill>
        </w:rPr>
      </w:pPr>
      <w:r>
        <w:rPr>
          <w:rStyle w:val="20"/>
          <w:rFonts w:hint="eastAsia" w:ascii="宋体" w:hAnsi="宋体" w:eastAsia="宋体" w:cs="宋体"/>
          <w:color w:val="000000" w:themeColor="text1"/>
          <w:sz w:val="24"/>
          <w:highlight w:val="none"/>
          <w14:textFill>
            <w14:solidFill>
              <w14:schemeClr w14:val="tx1"/>
            </w14:solidFill>
          </w14:textFill>
        </w:rPr>
        <w:t>招标代理服务收费标准</w:t>
      </w:r>
    </w:p>
    <w:tbl>
      <w:tblPr>
        <w:tblStyle w:val="17"/>
        <w:tblW w:w="934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03"/>
        <w:gridCol w:w="1537"/>
        <w:gridCol w:w="1568"/>
        <w:gridCol w:w="2337"/>
      </w:tblGrid>
      <w:tr w14:paraId="5553CF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03" w:type="dxa"/>
            <w:tcBorders>
              <w:top w:val="single" w:color="auto" w:sz="4" w:space="0"/>
              <w:bottom w:val="single" w:color="auto" w:sz="4" w:space="0"/>
              <w:right w:val="single" w:color="auto" w:sz="4" w:space="0"/>
            </w:tcBorders>
            <w:vAlign w:val="center"/>
          </w:tcPr>
          <w:p w14:paraId="5A892344">
            <w:pPr>
              <w:spacing w:line="360" w:lineRule="auto"/>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中标金额</w:t>
            </w:r>
          </w:p>
        </w:tc>
        <w:tc>
          <w:tcPr>
            <w:tcW w:w="1537" w:type="dxa"/>
            <w:tcBorders>
              <w:top w:val="single" w:color="auto" w:sz="4" w:space="0"/>
              <w:left w:val="single" w:color="auto" w:sz="4" w:space="0"/>
              <w:bottom w:val="single" w:color="auto" w:sz="4" w:space="0"/>
              <w:right w:val="single" w:color="auto" w:sz="4" w:space="0"/>
            </w:tcBorders>
            <w:vAlign w:val="center"/>
          </w:tcPr>
          <w:p w14:paraId="5A1AC344">
            <w:pPr>
              <w:spacing w:line="360" w:lineRule="auto"/>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货物招标</w:t>
            </w:r>
          </w:p>
        </w:tc>
        <w:tc>
          <w:tcPr>
            <w:tcW w:w="1568" w:type="dxa"/>
            <w:tcBorders>
              <w:top w:val="single" w:color="auto" w:sz="4" w:space="0"/>
              <w:left w:val="single" w:color="auto" w:sz="4" w:space="0"/>
              <w:bottom w:val="single" w:color="auto" w:sz="4" w:space="0"/>
              <w:right w:val="single" w:color="auto" w:sz="4" w:space="0"/>
            </w:tcBorders>
            <w:vAlign w:val="center"/>
          </w:tcPr>
          <w:p w14:paraId="4FC1E031">
            <w:pPr>
              <w:spacing w:line="360" w:lineRule="auto"/>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服务招标</w:t>
            </w:r>
          </w:p>
        </w:tc>
        <w:tc>
          <w:tcPr>
            <w:tcW w:w="2337" w:type="dxa"/>
            <w:tcBorders>
              <w:top w:val="single" w:color="auto" w:sz="4" w:space="0"/>
              <w:left w:val="single" w:color="auto" w:sz="4" w:space="0"/>
              <w:bottom w:val="single" w:color="auto" w:sz="4" w:space="0"/>
            </w:tcBorders>
            <w:vAlign w:val="center"/>
          </w:tcPr>
          <w:p w14:paraId="5BC2A57F">
            <w:pPr>
              <w:spacing w:line="360" w:lineRule="auto"/>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工程招标</w:t>
            </w:r>
          </w:p>
        </w:tc>
      </w:tr>
      <w:tr w14:paraId="7AD76A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03" w:type="dxa"/>
            <w:tcBorders>
              <w:top w:val="single" w:color="auto" w:sz="4" w:space="0"/>
              <w:bottom w:val="single" w:color="auto" w:sz="4" w:space="0"/>
              <w:right w:val="single" w:color="auto" w:sz="4" w:space="0"/>
            </w:tcBorders>
            <w:vAlign w:val="center"/>
          </w:tcPr>
          <w:p w14:paraId="0B5E97AB">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100</w:t>
            </w:r>
            <w:r>
              <w:rPr>
                <w:rFonts w:hint="eastAsia" w:ascii="宋体" w:hAnsi="宋体" w:eastAsia="宋体" w:cs="宋体"/>
                <w:bCs/>
                <w:color w:val="000000" w:themeColor="text1"/>
                <w:sz w:val="24"/>
                <w:highlight w:val="none"/>
                <w14:textFill>
                  <w14:solidFill>
                    <w14:schemeClr w14:val="tx1"/>
                  </w14:solidFill>
                </w14:textFill>
              </w:rPr>
              <w:t>万元以下</w:t>
            </w:r>
          </w:p>
        </w:tc>
        <w:tc>
          <w:tcPr>
            <w:tcW w:w="1537" w:type="dxa"/>
            <w:tcBorders>
              <w:top w:val="single" w:color="auto" w:sz="4" w:space="0"/>
              <w:left w:val="single" w:color="auto" w:sz="4" w:space="0"/>
              <w:bottom w:val="single" w:color="auto" w:sz="4" w:space="0"/>
              <w:right w:val="single" w:color="auto" w:sz="4" w:space="0"/>
            </w:tcBorders>
            <w:vAlign w:val="center"/>
          </w:tcPr>
          <w:p w14:paraId="46ED3989">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1.</w:t>
            </w:r>
            <w:r>
              <w:rPr>
                <w:rFonts w:hint="eastAsia" w:ascii="宋体" w:hAnsi="宋体" w:eastAsia="宋体" w:cs="宋体"/>
                <w:bCs/>
                <w:color w:val="000000" w:themeColor="text1"/>
                <w:sz w:val="24"/>
                <w:highlight w:val="none"/>
                <w14:textFill>
                  <w14:solidFill>
                    <w14:schemeClr w14:val="tx1"/>
                  </w14:solidFill>
                </w14:textFill>
              </w:rPr>
              <w:t>5</w:t>
            </w:r>
            <w:r>
              <w:rPr>
                <w:rFonts w:ascii="宋体" w:hAnsi="宋体" w:eastAsia="宋体" w:cs="宋体"/>
                <w:bCs/>
                <w:color w:val="000000" w:themeColor="text1"/>
                <w:sz w:val="24"/>
                <w:highlight w:val="none"/>
                <w14:textFill>
                  <w14:solidFill>
                    <w14:schemeClr w14:val="tx1"/>
                  </w14:solidFill>
                </w14:textFill>
              </w:rPr>
              <w:t>%</w:t>
            </w:r>
          </w:p>
        </w:tc>
        <w:tc>
          <w:tcPr>
            <w:tcW w:w="1568" w:type="dxa"/>
            <w:tcBorders>
              <w:top w:val="single" w:color="auto" w:sz="4" w:space="0"/>
              <w:left w:val="single" w:color="auto" w:sz="4" w:space="0"/>
              <w:bottom w:val="single" w:color="auto" w:sz="4" w:space="0"/>
              <w:right w:val="single" w:color="auto" w:sz="4" w:space="0"/>
            </w:tcBorders>
            <w:vAlign w:val="center"/>
          </w:tcPr>
          <w:p w14:paraId="15C52260">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1.</w:t>
            </w:r>
            <w:r>
              <w:rPr>
                <w:rFonts w:hint="eastAsia" w:ascii="宋体" w:hAnsi="宋体" w:eastAsia="宋体" w:cs="宋体"/>
                <w:bCs/>
                <w:color w:val="000000" w:themeColor="text1"/>
                <w:sz w:val="24"/>
                <w:highlight w:val="none"/>
                <w14:textFill>
                  <w14:solidFill>
                    <w14:schemeClr w14:val="tx1"/>
                  </w14:solidFill>
                </w14:textFill>
              </w:rPr>
              <w:t>5</w:t>
            </w:r>
            <w:r>
              <w:rPr>
                <w:rFonts w:ascii="宋体" w:hAnsi="宋体" w:eastAsia="宋体" w:cs="宋体"/>
                <w:bCs/>
                <w:color w:val="000000" w:themeColor="text1"/>
                <w:sz w:val="24"/>
                <w:highlight w:val="none"/>
                <w14:textFill>
                  <w14:solidFill>
                    <w14:schemeClr w14:val="tx1"/>
                  </w14:solidFill>
                </w14:textFill>
              </w:rPr>
              <w:t>%</w:t>
            </w:r>
          </w:p>
        </w:tc>
        <w:tc>
          <w:tcPr>
            <w:tcW w:w="2337" w:type="dxa"/>
            <w:tcBorders>
              <w:top w:val="single" w:color="auto" w:sz="4" w:space="0"/>
              <w:left w:val="single" w:color="auto" w:sz="4" w:space="0"/>
              <w:bottom w:val="single" w:color="auto" w:sz="4" w:space="0"/>
            </w:tcBorders>
            <w:vAlign w:val="center"/>
          </w:tcPr>
          <w:p w14:paraId="46C47C0A">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1.0</w:t>
            </w:r>
            <w:r>
              <w:rPr>
                <w:rFonts w:ascii="宋体" w:hAnsi="宋体" w:eastAsia="宋体" w:cs="宋体"/>
                <w:bCs/>
                <w:color w:val="000000" w:themeColor="text1"/>
                <w:sz w:val="24"/>
                <w:highlight w:val="none"/>
                <w14:textFill>
                  <w14:solidFill>
                    <w14:schemeClr w14:val="tx1"/>
                  </w14:solidFill>
                </w14:textFill>
              </w:rPr>
              <w:t>%</w:t>
            </w:r>
          </w:p>
        </w:tc>
      </w:tr>
      <w:tr w14:paraId="4AFE8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03" w:type="dxa"/>
            <w:tcBorders>
              <w:top w:val="single" w:color="auto" w:sz="4" w:space="0"/>
              <w:bottom w:val="single" w:color="auto" w:sz="4" w:space="0"/>
              <w:right w:val="single" w:color="auto" w:sz="4" w:space="0"/>
            </w:tcBorders>
            <w:vAlign w:val="center"/>
          </w:tcPr>
          <w:p w14:paraId="3511BC7B">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100</w:t>
            </w:r>
            <w:r>
              <w:rPr>
                <w:rFonts w:hint="eastAsia" w:ascii="宋体" w:hAnsi="宋体" w:eastAsia="宋体" w:cs="宋体"/>
                <w:bCs/>
                <w:color w:val="000000" w:themeColor="text1"/>
                <w:sz w:val="24"/>
                <w:highlight w:val="none"/>
                <w14:textFill>
                  <w14:solidFill>
                    <w14:schemeClr w14:val="tx1"/>
                  </w14:solidFill>
                </w14:textFill>
              </w:rPr>
              <w:t>万元</w:t>
            </w:r>
            <w:r>
              <w:rPr>
                <w:rFonts w:ascii="宋体" w:hAnsi="宋体" w:eastAsia="宋体" w:cs="宋体"/>
                <w:bCs/>
                <w:color w:val="000000" w:themeColor="text1"/>
                <w:sz w:val="24"/>
                <w:highlight w:val="none"/>
                <w14:textFill>
                  <w14:solidFill>
                    <w14:schemeClr w14:val="tx1"/>
                  </w14:solidFill>
                </w14:textFill>
              </w:rPr>
              <w:t>-500</w:t>
            </w:r>
            <w:r>
              <w:rPr>
                <w:rFonts w:hint="eastAsia" w:ascii="宋体" w:hAnsi="宋体" w:eastAsia="宋体" w:cs="宋体"/>
                <w:bCs/>
                <w:color w:val="000000" w:themeColor="text1"/>
                <w:sz w:val="24"/>
                <w:highlight w:val="none"/>
                <w14:textFill>
                  <w14:solidFill>
                    <w14:schemeClr w14:val="tx1"/>
                  </w14:solidFill>
                </w14:textFill>
              </w:rPr>
              <w:t>万元（含500万元）</w:t>
            </w:r>
          </w:p>
        </w:tc>
        <w:tc>
          <w:tcPr>
            <w:tcW w:w="1537" w:type="dxa"/>
            <w:tcBorders>
              <w:top w:val="single" w:color="auto" w:sz="4" w:space="0"/>
              <w:left w:val="single" w:color="auto" w:sz="4" w:space="0"/>
              <w:bottom w:val="single" w:color="auto" w:sz="4" w:space="0"/>
              <w:right w:val="single" w:color="auto" w:sz="4" w:space="0"/>
            </w:tcBorders>
            <w:vAlign w:val="center"/>
          </w:tcPr>
          <w:p w14:paraId="04789D12">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1</w:t>
            </w:r>
            <w:r>
              <w:rPr>
                <w:rFonts w:ascii="宋体" w:hAnsi="宋体" w:eastAsia="宋体" w:cs="宋体"/>
                <w:bCs/>
                <w:color w:val="000000" w:themeColor="text1"/>
                <w:sz w:val="24"/>
                <w:highlight w:val="none"/>
                <w14:textFill>
                  <w14:solidFill>
                    <w14:schemeClr w14:val="tx1"/>
                  </w14:solidFill>
                </w14:textFill>
              </w:rPr>
              <w:t>.</w:t>
            </w:r>
            <w:r>
              <w:rPr>
                <w:rFonts w:hint="eastAsia" w:ascii="宋体" w:hAnsi="宋体" w:eastAsia="宋体" w:cs="宋体"/>
                <w:bCs/>
                <w:color w:val="000000" w:themeColor="text1"/>
                <w:sz w:val="24"/>
                <w:highlight w:val="none"/>
                <w14:textFill>
                  <w14:solidFill>
                    <w14:schemeClr w14:val="tx1"/>
                  </w14:solidFill>
                </w14:textFill>
              </w:rPr>
              <w:t>1</w:t>
            </w:r>
            <w:r>
              <w:rPr>
                <w:rFonts w:ascii="宋体" w:hAnsi="宋体" w:eastAsia="宋体" w:cs="宋体"/>
                <w:bCs/>
                <w:color w:val="000000" w:themeColor="text1"/>
                <w:sz w:val="24"/>
                <w:highlight w:val="none"/>
                <w14:textFill>
                  <w14:solidFill>
                    <w14:schemeClr w14:val="tx1"/>
                  </w14:solidFill>
                </w14:textFill>
              </w:rPr>
              <w:t>%</w:t>
            </w:r>
          </w:p>
        </w:tc>
        <w:tc>
          <w:tcPr>
            <w:tcW w:w="1568" w:type="dxa"/>
            <w:tcBorders>
              <w:top w:val="single" w:color="auto" w:sz="4" w:space="0"/>
              <w:left w:val="single" w:color="auto" w:sz="4" w:space="0"/>
              <w:bottom w:val="single" w:color="auto" w:sz="4" w:space="0"/>
              <w:right w:val="single" w:color="auto" w:sz="4" w:space="0"/>
            </w:tcBorders>
            <w:vAlign w:val="center"/>
          </w:tcPr>
          <w:p w14:paraId="222E5B9C">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w:t>
            </w:r>
            <w:r>
              <w:rPr>
                <w:rFonts w:hint="eastAsia" w:ascii="宋体" w:hAnsi="宋体" w:eastAsia="宋体" w:cs="宋体"/>
                <w:bCs/>
                <w:color w:val="000000" w:themeColor="text1"/>
                <w:sz w:val="24"/>
                <w:highlight w:val="none"/>
                <w14:textFill>
                  <w14:solidFill>
                    <w14:schemeClr w14:val="tx1"/>
                  </w14:solidFill>
                </w14:textFill>
              </w:rPr>
              <w:t>8</w:t>
            </w:r>
            <w:r>
              <w:rPr>
                <w:rFonts w:ascii="宋体" w:hAnsi="宋体" w:eastAsia="宋体" w:cs="宋体"/>
                <w:bCs/>
                <w:color w:val="000000" w:themeColor="text1"/>
                <w:sz w:val="24"/>
                <w:highlight w:val="none"/>
                <w14:textFill>
                  <w14:solidFill>
                    <w14:schemeClr w14:val="tx1"/>
                  </w14:solidFill>
                </w14:textFill>
              </w:rPr>
              <w:t>%</w:t>
            </w:r>
          </w:p>
        </w:tc>
        <w:tc>
          <w:tcPr>
            <w:tcW w:w="2337" w:type="dxa"/>
            <w:tcBorders>
              <w:top w:val="single" w:color="auto" w:sz="4" w:space="0"/>
              <w:left w:val="single" w:color="auto" w:sz="4" w:space="0"/>
              <w:bottom w:val="single" w:color="auto" w:sz="4" w:space="0"/>
            </w:tcBorders>
            <w:vAlign w:val="center"/>
          </w:tcPr>
          <w:p w14:paraId="677D3F9E">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w:t>
            </w:r>
            <w:r>
              <w:rPr>
                <w:rFonts w:hint="eastAsia" w:ascii="宋体" w:hAnsi="宋体" w:eastAsia="宋体" w:cs="宋体"/>
                <w:bCs/>
                <w:color w:val="000000" w:themeColor="text1"/>
                <w:sz w:val="24"/>
                <w:highlight w:val="none"/>
                <w14:textFill>
                  <w14:solidFill>
                    <w14:schemeClr w14:val="tx1"/>
                  </w14:solidFill>
                </w14:textFill>
              </w:rPr>
              <w:t>7</w:t>
            </w:r>
            <w:r>
              <w:rPr>
                <w:rFonts w:ascii="宋体" w:hAnsi="宋体" w:eastAsia="宋体" w:cs="宋体"/>
                <w:bCs/>
                <w:color w:val="000000" w:themeColor="text1"/>
                <w:sz w:val="24"/>
                <w:highlight w:val="none"/>
                <w14:textFill>
                  <w14:solidFill>
                    <w14:schemeClr w14:val="tx1"/>
                  </w14:solidFill>
                </w14:textFill>
              </w:rPr>
              <w:t>%</w:t>
            </w:r>
          </w:p>
        </w:tc>
      </w:tr>
      <w:tr w14:paraId="31259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03" w:type="dxa"/>
            <w:tcBorders>
              <w:top w:val="single" w:color="auto" w:sz="4" w:space="0"/>
              <w:bottom w:val="single" w:color="auto" w:sz="4" w:space="0"/>
              <w:right w:val="single" w:color="auto" w:sz="4" w:space="0"/>
            </w:tcBorders>
            <w:vAlign w:val="center"/>
          </w:tcPr>
          <w:p w14:paraId="21E7622A">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500</w:t>
            </w:r>
            <w:r>
              <w:rPr>
                <w:rFonts w:hint="eastAsia" w:ascii="宋体" w:hAnsi="宋体" w:eastAsia="宋体" w:cs="宋体"/>
                <w:bCs/>
                <w:color w:val="000000" w:themeColor="text1"/>
                <w:sz w:val="24"/>
                <w:highlight w:val="none"/>
                <w14:textFill>
                  <w14:solidFill>
                    <w14:schemeClr w14:val="tx1"/>
                  </w14:solidFill>
                </w14:textFill>
              </w:rPr>
              <w:t>万元</w:t>
            </w:r>
            <w:r>
              <w:rPr>
                <w:rFonts w:ascii="宋体" w:hAnsi="宋体" w:eastAsia="宋体" w:cs="宋体"/>
                <w:bCs/>
                <w:color w:val="000000" w:themeColor="text1"/>
                <w:sz w:val="24"/>
                <w:highlight w:val="none"/>
                <w14:textFill>
                  <w14:solidFill>
                    <w14:schemeClr w14:val="tx1"/>
                  </w14:solidFill>
                </w14:textFill>
              </w:rPr>
              <w:t>-1000</w:t>
            </w:r>
            <w:r>
              <w:rPr>
                <w:rFonts w:hint="eastAsia" w:ascii="宋体" w:hAnsi="宋体" w:eastAsia="宋体" w:cs="宋体"/>
                <w:bCs/>
                <w:color w:val="000000" w:themeColor="text1"/>
                <w:sz w:val="24"/>
                <w:highlight w:val="none"/>
                <w14:textFill>
                  <w14:solidFill>
                    <w14:schemeClr w14:val="tx1"/>
                  </w14:solidFill>
                </w14:textFill>
              </w:rPr>
              <w:t>万元（含1000万元）</w:t>
            </w:r>
          </w:p>
        </w:tc>
        <w:tc>
          <w:tcPr>
            <w:tcW w:w="1537" w:type="dxa"/>
            <w:tcBorders>
              <w:top w:val="single" w:color="auto" w:sz="4" w:space="0"/>
              <w:left w:val="single" w:color="auto" w:sz="4" w:space="0"/>
              <w:bottom w:val="single" w:color="auto" w:sz="4" w:space="0"/>
              <w:right w:val="single" w:color="auto" w:sz="4" w:space="0"/>
            </w:tcBorders>
            <w:vAlign w:val="center"/>
          </w:tcPr>
          <w:p w14:paraId="44ADA865">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w:t>
            </w:r>
            <w:r>
              <w:rPr>
                <w:rFonts w:hint="eastAsia" w:ascii="宋体" w:hAnsi="宋体" w:eastAsia="宋体" w:cs="宋体"/>
                <w:bCs/>
                <w:color w:val="000000" w:themeColor="text1"/>
                <w:sz w:val="24"/>
                <w:highlight w:val="none"/>
                <w14:textFill>
                  <w14:solidFill>
                    <w14:schemeClr w14:val="tx1"/>
                  </w14:solidFill>
                </w14:textFill>
              </w:rPr>
              <w:t>8</w:t>
            </w:r>
            <w:r>
              <w:rPr>
                <w:rFonts w:ascii="宋体" w:hAnsi="宋体" w:eastAsia="宋体" w:cs="宋体"/>
                <w:bCs/>
                <w:color w:val="000000" w:themeColor="text1"/>
                <w:sz w:val="24"/>
                <w:highlight w:val="none"/>
                <w14:textFill>
                  <w14:solidFill>
                    <w14:schemeClr w14:val="tx1"/>
                  </w14:solidFill>
                </w14:textFill>
              </w:rPr>
              <w:t>%</w:t>
            </w:r>
          </w:p>
        </w:tc>
        <w:tc>
          <w:tcPr>
            <w:tcW w:w="1568" w:type="dxa"/>
            <w:tcBorders>
              <w:top w:val="single" w:color="auto" w:sz="4" w:space="0"/>
              <w:left w:val="single" w:color="auto" w:sz="4" w:space="0"/>
              <w:bottom w:val="single" w:color="auto" w:sz="4" w:space="0"/>
              <w:right w:val="single" w:color="auto" w:sz="4" w:space="0"/>
            </w:tcBorders>
            <w:vAlign w:val="center"/>
          </w:tcPr>
          <w:p w14:paraId="5521FAF0">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w:t>
            </w:r>
            <w:r>
              <w:rPr>
                <w:rFonts w:hint="eastAsia" w:ascii="宋体" w:hAnsi="宋体" w:eastAsia="宋体" w:cs="宋体"/>
                <w:bCs/>
                <w:color w:val="000000" w:themeColor="text1"/>
                <w:sz w:val="24"/>
                <w:highlight w:val="none"/>
                <w14:textFill>
                  <w14:solidFill>
                    <w14:schemeClr w14:val="tx1"/>
                  </w14:solidFill>
                </w14:textFill>
              </w:rPr>
              <w:t>45</w:t>
            </w:r>
            <w:r>
              <w:rPr>
                <w:rFonts w:ascii="宋体" w:hAnsi="宋体" w:eastAsia="宋体" w:cs="宋体"/>
                <w:bCs/>
                <w:color w:val="000000" w:themeColor="text1"/>
                <w:sz w:val="24"/>
                <w:highlight w:val="none"/>
                <w14:textFill>
                  <w14:solidFill>
                    <w14:schemeClr w14:val="tx1"/>
                  </w14:solidFill>
                </w14:textFill>
              </w:rPr>
              <w:t>%</w:t>
            </w:r>
          </w:p>
        </w:tc>
        <w:tc>
          <w:tcPr>
            <w:tcW w:w="2337" w:type="dxa"/>
            <w:tcBorders>
              <w:top w:val="single" w:color="auto" w:sz="4" w:space="0"/>
              <w:left w:val="single" w:color="auto" w:sz="4" w:space="0"/>
              <w:bottom w:val="single" w:color="auto" w:sz="4" w:space="0"/>
            </w:tcBorders>
            <w:vAlign w:val="center"/>
          </w:tcPr>
          <w:p w14:paraId="13A4B7A3">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w:t>
            </w:r>
            <w:r>
              <w:rPr>
                <w:rFonts w:hint="eastAsia" w:ascii="宋体" w:hAnsi="宋体" w:eastAsia="宋体" w:cs="宋体"/>
                <w:bCs/>
                <w:color w:val="000000" w:themeColor="text1"/>
                <w:sz w:val="24"/>
                <w:highlight w:val="none"/>
                <w14:textFill>
                  <w14:solidFill>
                    <w14:schemeClr w14:val="tx1"/>
                  </w14:solidFill>
                </w14:textFill>
              </w:rPr>
              <w:t>55</w:t>
            </w:r>
            <w:r>
              <w:rPr>
                <w:rFonts w:ascii="宋体" w:hAnsi="宋体" w:eastAsia="宋体" w:cs="宋体"/>
                <w:bCs/>
                <w:color w:val="000000" w:themeColor="text1"/>
                <w:sz w:val="24"/>
                <w:highlight w:val="none"/>
                <w14:textFill>
                  <w14:solidFill>
                    <w14:schemeClr w14:val="tx1"/>
                  </w14:solidFill>
                </w14:textFill>
              </w:rPr>
              <w:t>%</w:t>
            </w:r>
          </w:p>
        </w:tc>
      </w:tr>
      <w:tr w14:paraId="594A0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03" w:type="dxa"/>
            <w:tcBorders>
              <w:top w:val="single" w:color="auto" w:sz="4" w:space="0"/>
              <w:bottom w:val="single" w:color="auto" w:sz="4" w:space="0"/>
              <w:right w:val="single" w:color="auto" w:sz="4" w:space="0"/>
            </w:tcBorders>
            <w:vAlign w:val="center"/>
          </w:tcPr>
          <w:p w14:paraId="0951784E">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1000</w:t>
            </w:r>
            <w:r>
              <w:rPr>
                <w:rFonts w:hint="eastAsia" w:ascii="宋体" w:hAnsi="宋体" w:eastAsia="宋体" w:cs="宋体"/>
                <w:bCs/>
                <w:color w:val="000000" w:themeColor="text1"/>
                <w:sz w:val="24"/>
                <w:highlight w:val="none"/>
                <w14:textFill>
                  <w14:solidFill>
                    <w14:schemeClr w14:val="tx1"/>
                  </w14:solidFill>
                </w14:textFill>
              </w:rPr>
              <w:t>万元</w:t>
            </w:r>
            <w:r>
              <w:rPr>
                <w:rFonts w:ascii="宋体" w:hAnsi="宋体" w:eastAsia="宋体" w:cs="宋体"/>
                <w:bCs/>
                <w:color w:val="000000" w:themeColor="text1"/>
                <w:sz w:val="24"/>
                <w:highlight w:val="none"/>
                <w14:textFill>
                  <w14:solidFill>
                    <w14:schemeClr w14:val="tx1"/>
                  </w14:solidFill>
                </w14:textFill>
              </w:rPr>
              <w:t>-5000</w:t>
            </w:r>
            <w:r>
              <w:rPr>
                <w:rFonts w:hint="eastAsia" w:ascii="宋体" w:hAnsi="宋体" w:eastAsia="宋体" w:cs="宋体"/>
                <w:bCs/>
                <w:color w:val="000000" w:themeColor="text1"/>
                <w:sz w:val="24"/>
                <w:highlight w:val="none"/>
                <w14:textFill>
                  <w14:solidFill>
                    <w14:schemeClr w14:val="tx1"/>
                  </w14:solidFill>
                </w14:textFill>
              </w:rPr>
              <w:t>万元（含5000万元）</w:t>
            </w:r>
          </w:p>
        </w:tc>
        <w:tc>
          <w:tcPr>
            <w:tcW w:w="1537" w:type="dxa"/>
            <w:tcBorders>
              <w:top w:val="single" w:color="auto" w:sz="4" w:space="0"/>
              <w:left w:val="single" w:color="auto" w:sz="4" w:space="0"/>
              <w:bottom w:val="single" w:color="auto" w:sz="4" w:space="0"/>
              <w:right w:val="single" w:color="auto" w:sz="4" w:space="0"/>
            </w:tcBorders>
            <w:vAlign w:val="center"/>
          </w:tcPr>
          <w:p w14:paraId="15810A80">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w:t>
            </w:r>
            <w:r>
              <w:rPr>
                <w:rFonts w:hint="eastAsia" w:ascii="宋体" w:hAnsi="宋体" w:eastAsia="宋体" w:cs="宋体"/>
                <w:bCs/>
                <w:color w:val="000000" w:themeColor="text1"/>
                <w:sz w:val="24"/>
                <w:highlight w:val="none"/>
                <w14:textFill>
                  <w14:solidFill>
                    <w14:schemeClr w14:val="tx1"/>
                  </w14:solidFill>
                </w14:textFill>
              </w:rPr>
              <w:t>5</w:t>
            </w:r>
            <w:r>
              <w:rPr>
                <w:rFonts w:ascii="宋体" w:hAnsi="宋体" w:eastAsia="宋体" w:cs="宋体"/>
                <w:bCs/>
                <w:color w:val="000000" w:themeColor="text1"/>
                <w:sz w:val="24"/>
                <w:highlight w:val="none"/>
                <w14:textFill>
                  <w14:solidFill>
                    <w14:schemeClr w14:val="tx1"/>
                  </w14:solidFill>
                </w14:textFill>
              </w:rPr>
              <w:t>%</w:t>
            </w:r>
          </w:p>
        </w:tc>
        <w:tc>
          <w:tcPr>
            <w:tcW w:w="1568" w:type="dxa"/>
            <w:tcBorders>
              <w:top w:val="single" w:color="auto" w:sz="4" w:space="0"/>
              <w:left w:val="single" w:color="auto" w:sz="4" w:space="0"/>
              <w:bottom w:val="single" w:color="auto" w:sz="4" w:space="0"/>
              <w:right w:val="single" w:color="auto" w:sz="4" w:space="0"/>
            </w:tcBorders>
            <w:vAlign w:val="center"/>
          </w:tcPr>
          <w:p w14:paraId="127C92E4">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0.2</w:t>
            </w:r>
            <w:r>
              <w:rPr>
                <w:rFonts w:hint="eastAsia" w:ascii="宋体" w:hAnsi="宋体" w:eastAsia="宋体" w:cs="宋体"/>
                <w:bCs/>
                <w:color w:val="000000" w:themeColor="text1"/>
                <w:sz w:val="24"/>
                <w:highlight w:val="none"/>
                <w14:textFill>
                  <w14:solidFill>
                    <w14:schemeClr w14:val="tx1"/>
                  </w14:solidFill>
                </w14:textFill>
              </w:rPr>
              <w:t>5</w:t>
            </w:r>
            <w:r>
              <w:rPr>
                <w:rFonts w:ascii="宋体" w:hAnsi="宋体" w:eastAsia="宋体" w:cs="宋体"/>
                <w:bCs/>
                <w:color w:val="000000" w:themeColor="text1"/>
                <w:sz w:val="24"/>
                <w:highlight w:val="none"/>
                <w14:textFill>
                  <w14:solidFill>
                    <w14:schemeClr w14:val="tx1"/>
                  </w14:solidFill>
                </w14:textFill>
              </w:rPr>
              <w:t>%</w:t>
            </w:r>
          </w:p>
        </w:tc>
        <w:tc>
          <w:tcPr>
            <w:tcW w:w="2337" w:type="dxa"/>
            <w:tcBorders>
              <w:top w:val="single" w:color="auto" w:sz="4" w:space="0"/>
              <w:left w:val="single" w:color="auto" w:sz="4" w:space="0"/>
              <w:bottom w:val="single" w:color="auto" w:sz="4" w:space="0"/>
            </w:tcBorders>
            <w:vAlign w:val="center"/>
          </w:tcPr>
          <w:p w14:paraId="501BE5C1">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w:t>
            </w:r>
            <w:r>
              <w:rPr>
                <w:rFonts w:hint="eastAsia" w:ascii="宋体" w:hAnsi="宋体" w:eastAsia="宋体" w:cs="宋体"/>
                <w:bCs/>
                <w:color w:val="000000" w:themeColor="text1"/>
                <w:sz w:val="24"/>
                <w:highlight w:val="none"/>
                <w14:textFill>
                  <w14:solidFill>
                    <w14:schemeClr w14:val="tx1"/>
                  </w14:solidFill>
                </w14:textFill>
              </w:rPr>
              <w:t>35</w:t>
            </w:r>
            <w:r>
              <w:rPr>
                <w:rFonts w:ascii="宋体" w:hAnsi="宋体" w:eastAsia="宋体" w:cs="宋体"/>
                <w:bCs/>
                <w:color w:val="000000" w:themeColor="text1"/>
                <w:sz w:val="24"/>
                <w:highlight w:val="none"/>
                <w14:textFill>
                  <w14:solidFill>
                    <w14:schemeClr w14:val="tx1"/>
                  </w14:solidFill>
                </w14:textFill>
              </w:rPr>
              <w:t>%</w:t>
            </w:r>
          </w:p>
        </w:tc>
      </w:tr>
      <w:tr w14:paraId="2B1092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03" w:type="dxa"/>
            <w:tcBorders>
              <w:top w:val="single" w:color="auto" w:sz="4" w:space="0"/>
              <w:bottom w:val="single" w:color="auto" w:sz="4" w:space="0"/>
              <w:right w:val="single" w:color="auto" w:sz="4" w:space="0"/>
            </w:tcBorders>
            <w:vAlign w:val="center"/>
          </w:tcPr>
          <w:p w14:paraId="091777D6">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5000</w:t>
            </w:r>
            <w:r>
              <w:rPr>
                <w:rFonts w:hint="eastAsia" w:ascii="宋体" w:hAnsi="宋体" w:eastAsia="宋体" w:cs="宋体"/>
                <w:bCs/>
                <w:color w:val="000000" w:themeColor="text1"/>
                <w:sz w:val="24"/>
                <w:highlight w:val="none"/>
                <w14:textFill>
                  <w14:solidFill>
                    <w14:schemeClr w14:val="tx1"/>
                  </w14:solidFill>
                </w14:textFill>
              </w:rPr>
              <w:t>万元</w:t>
            </w:r>
            <w:r>
              <w:rPr>
                <w:rFonts w:ascii="宋体" w:hAnsi="宋体" w:eastAsia="宋体" w:cs="宋体"/>
                <w:bCs/>
                <w:color w:val="000000" w:themeColor="text1"/>
                <w:sz w:val="24"/>
                <w:highlight w:val="none"/>
                <w14:textFill>
                  <w14:solidFill>
                    <w14:schemeClr w14:val="tx1"/>
                  </w14:solidFill>
                </w14:textFill>
              </w:rPr>
              <w:t>-1</w:t>
            </w:r>
            <w:r>
              <w:rPr>
                <w:rFonts w:hint="eastAsia" w:ascii="宋体" w:hAnsi="宋体" w:eastAsia="宋体" w:cs="宋体"/>
                <w:bCs/>
                <w:color w:val="000000" w:themeColor="text1"/>
                <w:sz w:val="24"/>
                <w:highlight w:val="none"/>
                <w14:textFill>
                  <w14:solidFill>
                    <w14:schemeClr w14:val="tx1"/>
                  </w14:solidFill>
                </w14:textFill>
              </w:rPr>
              <w:t>亿元（含</w:t>
            </w:r>
            <w:r>
              <w:rPr>
                <w:rFonts w:ascii="宋体" w:hAnsi="宋体" w:eastAsia="宋体" w:cs="宋体"/>
                <w:bCs/>
                <w:color w:val="000000" w:themeColor="text1"/>
                <w:sz w:val="24"/>
                <w:highlight w:val="none"/>
                <w14:textFill>
                  <w14:solidFill>
                    <w14:schemeClr w14:val="tx1"/>
                  </w14:solidFill>
                </w14:textFill>
              </w:rPr>
              <w:t>1</w:t>
            </w:r>
            <w:r>
              <w:rPr>
                <w:rFonts w:hint="eastAsia" w:ascii="宋体" w:hAnsi="宋体" w:eastAsia="宋体" w:cs="宋体"/>
                <w:bCs/>
                <w:color w:val="000000" w:themeColor="text1"/>
                <w:sz w:val="24"/>
                <w:highlight w:val="none"/>
                <w14:textFill>
                  <w14:solidFill>
                    <w14:schemeClr w14:val="tx1"/>
                  </w14:solidFill>
                </w14:textFill>
              </w:rPr>
              <w:t>亿元）</w:t>
            </w:r>
          </w:p>
        </w:tc>
        <w:tc>
          <w:tcPr>
            <w:tcW w:w="1537" w:type="dxa"/>
            <w:tcBorders>
              <w:top w:val="single" w:color="auto" w:sz="4" w:space="0"/>
              <w:left w:val="single" w:color="auto" w:sz="4" w:space="0"/>
              <w:bottom w:val="single" w:color="auto" w:sz="4" w:space="0"/>
              <w:right w:val="single" w:color="auto" w:sz="4" w:space="0"/>
            </w:tcBorders>
            <w:vAlign w:val="center"/>
          </w:tcPr>
          <w:p w14:paraId="645D0E3A">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0.2</w:t>
            </w:r>
            <w:r>
              <w:rPr>
                <w:rFonts w:hint="eastAsia" w:ascii="宋体" w:hAnsi="宋体" w:eastAsia="宋体" w:cs="宋体"/>
                <w:bCs/>
                <w:color w:val="000000" w:themeColor="text1"/>
                <w:sz w:val="24"/>
                <w:highlight w:val="none"/>
                <w14:textFill>
                  <w14:solidFill>
                    <w14:schemeClr w14:val="tx1"/>
                  </w14:solidFill>
                </w14:textFill>
              </w:rPr>
              <w:t>5</w:t>
            </w:r>
            <w:r>
              <w:rPr>
                <w:rFonts w:ascii="宋体" w:hAnsi="宋体" w:eastAsia="宋体" w:cs="宋体"/>
                <w:bCs/>
                <w:color w:val="000000" w:themeColor="text1"/>
                <w:sz w:val="24"/>
                <w:highlight w:val="none"/>
                <w14:textFill>
                  <w14:solidFill>
                    <w14:schemeClr w14:val="tx1"/>
                  </w14:solidFill>
                </w14:textFill>
              </w:rPr>
              <w:t>%</w:t>
            </w:r>
          </w:p>
        </w:tc>
        <w:tc>
          <w:tcPr>
            <w:tcW w:w="1568" w:type="dxa"/>
            <w:tcBorders>
              <w:top w:val="single" w:color="auto" w:sz="4" w:space="0"/>
              <w:left w:val="single" w:color="auto" w:sz="4" w:space="0"/>
              <w:bottom w:val="single" w:color="auto" w:sz="4" w:space="0"/>
              <w:right w:val="single" w:color="auto" w:sz="4" w:space="0"/>
            </w:tcBorders>
            <w:vAlign w:val="center"/>
          </w:tcPr>
          <w:p w14:paraId="60F7BDD4">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w:t>
            </w:r>
            <w:r>
              <w:rPr>
                <w:rFonts w:hint="eastAsia" w:ascii="宋体" w:hAnsi="宋体" w:eastAsia="宋体" w:cs="宋体"/>
                <w:bCs/>
                <w:color w:val="000000" w:themeColor="text1"/>
                <w:sz w:val="24"/>
                <w:highlight w:val="none"/>
                <w14:textFill>
                  <w14:solidFill>
                    <w14:schemeClr w14:val="tx1"/>
                  </w14:solidFill>
                </w14:textFill>
              </w:rPr>
              <w:t>1</w:t>
            </w:r>
            <w:r>
              <w:rPr>
                <w:rFonts w:ascii="宋体" w:hAnsi="宋体" w:eastAsia="宋体" w:cs="宋体"/>
                <w:bCs/>
                <w:color w:val="000000" w:themeColor="text1"/>
                <w:sz w:val="24"/>
                <w:highlight w:val="none"/>
                <w14:textFill>
                  <w14:solidFill>
                    <w14:schemeClr w14:val="tx1"/>
                  </w14:solidFill>
                </w14:textFill>
              </w:rPr>
              <w:t>%</w:t>
            </w:r>
          </w:p>
        </w:tc>
        <w:tc>
          <w:tcPr>
            <w:tcW w:w="2337" w:type="dxa"/>
            <w:tcBorders>
              <w:top w:val="single" w:color="auto" w:sz="4" w:space="0"/>
              <w:left w:val="single" w:color="auto" w:sz="4" w:space="0"/>
              <w:bottom w:val="single" w:color="auto" w:sz="4" w:space="0"/>
            </w:tcBorders>
            <w:vAlign w:val="center"/>
          </w:tcPr>
          <w:p w14:paraId="1B3A6A66">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w:t>
            </w:r>
            <w:r>
              <w:rPr>
                <w:rFonts w:hint="eastAsia" w:ascii="宋体" w:hAnsi="宋体" w:eastAsia="宋体" w:cs="宋体"/>
                <w:bCs/>
                <w:color w:val="000000" w:themeColor="text1"/>
                <w:sz w:val="24"/>
                <w:highlight w:val="none"/>
                <w14:textFill>
                  <w14:solidFill>
                    <w14:schemeClr w14:val="tx1"/>
                  </w14:solidFill>
                </w14:textFill>
              </w:rPr>
              <w:t>2</w:t>
            </w:r>
            <w:r>
              <w:rPr>
                <w:rFonts w:ascii="宋体" w:hAnsi="宋体" w:eastAsia="宋体" w:cs="宋体"/>
                <w:bCs/>
                <w:color w:val="000000" w:themeColor="text1"/>
                <w:sz w:val="24"/>
                <w:highlight w:val="none"/>
                <w14:textFill>
                  <w14:solidFill>
                    <w14:schemeClr w14:val="tx1"/>
                  </w14:solidFill>
                </w14:textFill>
              </w:rPr>
              <w:t>%</w:t>
            </w:r>
          </w:p>
        </w:tc>
      </w:tr>
      <w:tr w14:paraId="2C0B03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03" w:type="dxa"/>
            <w:tcBorders>
              <w:top w:val="single" w:color="auto" w:sz="4" w:space="0"/>
              <w:bottom w:val="single" w:color="auto" w:sz="4" w:space="0"/>
              <w:right w:val="single" w:color="auto" w:sz="4" w:space="0"/>
            </w:tcBorders>
            <w:vAlign w:val="center"/>
          </w:tcPr>
          <w:p w14:paraId="35D5566B">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1</w:t>
            </w:r>
            <w:r>
              <w:rPr>
                <w:rFonts w:hint="eastAsia" w:ascii="宋体" w:hAnsi="宋体" w:eastAsia="宋体" w:cs="宋体"/>
                <w:bCs/>
                <w:color w:val="000000" w:themeColor="text1"/>
                <w:sz w:val="24"/>
                <w:highlight w:val="none"/>
                <w14:textFill>
                  <w14:solidFill>
                    <w14:schemeClr w14:val="tx1"/>
                  </w14:solidFill>
                </w14:textFill>
              </w:rPr>
              <w:t>亿元</w:t>
            </w:r>
            <w:r>
              <w:rPr>
                <w:rFonts w:ascii="宋体" w:hAnsi="宋体" w:eastAsia="宋体" w:cs="宋体"/>
                <w:bCs/>
                <w:color w:val="000000" w:themeColor="text1"/>
                <w:sz w:val="24"/>
                <w:highlight w:val="none"/>
                <w14:textFill>
                  <w14:solidFill>
                    <w14:schemeClr w14:val="tx1"/>
                  </w14:solidFill>
                </w14:textFill>
              </w:rPr>
              <w:t>-10</w:t>
            </w:r>
            <w:r>
              <w:rPr>
                <w:rFonts w:hint="eastAsia" w:ascii="宋体" w:hAnsi="宋体" w:eastAsia="宋体" w:cs="宋体"/>
                <w:bCs/>
                <w:color w:val="000000" w:themeColor="text1"/>
                <w:sz w:val="24"/>
                <w:highlight w:val="none"/>
                <w14:textFill>
                  <w14:solidFill>
                    <w14:schemeClr w14:val="tx1"/>
                  </w14:solidFill>
                </w14:textFill>
              </w:rPr>
              <w:t>亿元</w:t>
            </w:r>
          </w:p>
        </w:tc>
        <w:tc>
          <w:tcPr>
            <w:tcW w:w="1537" w:type="dxa"/>
            <w:tcBorders>
              <w:top w:val="single" w:color="auto" w:sz="4" w:space="0"/>
              <w:left w:val="single" w:color="auto" w:sz="4" w:space="0"/>
              <w:bottom w:val="single" w:color="auto" w:sz="4" w:space="0"/>
              <w:right w:val="single" w:color="auto" w:sz="4" w:space="0"/>
            </w:tcBorders>
            <w:vAlign w:val="center"/>
          </w:tcPr>
          <w:p w14:paraId="5461285A">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0.0</w:t>
            </w:r>
            <w:r>
              <w:rPr>
                <w:rFonts w:hint="eastAsia" w:ascii="宋体" w:hAnsi="宋体" w:eastAsia="宋体" w:cs="宋体"/>
                <w:bCs/>
                <w:color w:val="000000" w:themeColor="text1"/>
                <w:sz w:val="24"/>
                <w:highlight w:val="none"/>
                <w14:textFill>
                  <w14:solidFill>
                    <w14:schemeClr w14:val="tx1"/>
                  </w14:solidFill>
                </w14:textFill>
              </w:rPr>
              <w:t>5</w:t>
            </w:r>
            <w:r>
              <w:rPr>
                <w:rFonts w:ascii="宋体" w:hAnsi="宋体" w:eastAsia="宋体" w:cs="宋体"/>
                <w:bCs/>
                <w:color w:val="000000" w:themeColor="text1"/>
                <w:sz w:val="24"/>
                <w:highlight w:val="none"/>
                <w14:textFill>
                  <w14:solidFill>
                    <w14:schemeClr w14:val="tx1"/>
                  </w14:solidFill>
                </w14:textFill>
              </w:rPr>
              <w:t>%</w:t>
            </w:r>
          </w:p>
        </w:tc>
        <w:tc>
          <w:tcPr>
            <w:tcW w:w="1568" w:type="dxa"/>
            <w:tcBorders>
              <w:top w:val="single" w:color="auto" w:sz="4" w:space="0"/>
              <w:left w:val="single" w:color="auto" w:sz="4" w:space="0"/>
              <w:bottom w:val="single" w:color="auto" w:sz="4" w:space="0"/>
              <w:right w:val="single" w:color="auto" w:sz="4" w:space="0"/>
            </w:tcBorders>
            <w:vAlign w:val="center"/>
          </w:tcPr>
          <w:p w14:paraId="2E55EA99">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0.0</w:t>
            </w:r>
            <w:r>
              <w:rPr>
                <w:rFonts w:hint="eastAsia" w:ascii="宋体" w:hAnsi="宋体" w:eastAsia="宋体" w:cs="宋体"/>
                <w:bCs/>
                <w:color w:val="000000" w:themeColor="text1"/>
                <w:sz w:val="24"/>
                <w:highlight w:val="none"/>
                <w14:textFill>
                  <w14:solidFill>
                    <w14:schemeClr w14:val="tx1"/>
                  </w14:solidFill>
                </w14:textFill>
              </w:rPr>
              <w:t>5</w:t>
            </w:r>
            <w:r>
              <w:rPr>
                <w:rFonts w:ascii="宋体" w:hAnsi="宋体" w:eastAsia="宋体" w:cs="宋体"/>
                <w:bCs/>
                <w:color w:val="000000" w:themeColor="text1"/>
                <w:sz w:val="24"/>
                <w:highlight w:val="none"/>
                <w14:textFill>
                  <w14:solidFill>
                    <w14:schemeClr w14:val="tx1"/>
                  </w14:solidFill>
                </w14:textFill>
              </w:rPr>
              <w:t>%</w:t>
            </w:r>
          </w:p>
        </w:tc>
        <w:tc>
          <w:tcPr>
            <w:tcW w:w="2337" w:type="dxa"/>
            <w:tcBorders>
              <w:top w:val="single" w:color="auto" w:sz="4" w:space="0"/>
              <w:left w:val="single" w:color="auto" w:sz="4" w:space="0"/>
              <w:bottom w:val="single" w:color="auto" w:sz="4" w:space="0"/>
            </w:tcBorders>
            <w:vAlign w:val="center"/>
          </w:tcPr>
          <w:p w14:paraId="3115CA9F">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0.0</w:t>
            </w:r>
            <w:r>
              <w:rPr>
                <w:rFonts w:hint="eastAsia" w:ascii="宋体" w:hAnsi="宋体" w:eastAsia="宋体" w:cs="宋体"/>
                <w:bCs/>
                <w:color w:val="000000" w:themeColor="text1"/>
                <w:sz w:val="24"/>
                <w:highlight w:val="none"/>
                <w14:textFill>
                  <w14:solidFill>
                    <w14:schemeClr w14:val="tx1"/>
                  </w14:solidFill>
                </w14:textFill>
              </w:rPr>
              <w:t>5</w:t>
            </w:r>
            <w:r>
              <w:rPr>
                <w:rFonts w:ascii="宋体" w:hAnsi="宋体" w:eastAsia="宋体" w:cs="宋体"/>
                <w:bCs/>
                <w:color w:val="000000" w:themeColor="text1"/>
                <w:sz w:val="24"/>
                <w:highlight w:val="none"/>
                <w14:textFill>
                  <w14:solidFill>
                    <w14:schemeClr w14:val="tx1"/>
                  </w14:solidFill>
                </w14:textFill>
              </w:rPr>
              <w:t>%</w:t>
            </w:r>
          </w:p>
        </w:tc>
      </w:tr>
      <w:tr w14:paraId="110376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903" w:type="dxa"/>
            <w:tcBorders>
              <w:top w:val="single" w:color="auto" w:sz="4" w:space="0"/>
              <w:bottom w:val="single" w:color="auto" w:sz="4" w:space="0"/>
              <w:right w:val="single" w:color="auto" w:sz="4" w:space="0"/>
            </w:tcBorders>
            <w:vAlign w:val="center"/>
          </w:tcPr>
          <w:p w14:paraId="3D9F0CEC">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10</w:t>
            </w:r>
            <w:r>
              <w:rPr>
                <w:rFonts w:hint="eastAsia" w:ascii="宋体" w:hAnsi="宋体" w:eastAsia="宋体" w:cs="宋体"/>
                <w:bCs/>
                <w:color w:val="000000" w:themeColor="text1"/>
                <w:sz w:val="24"/>
                <w:highlight w:val="none"/>
                <w14:textFill>
                  <w14:solidFill>
                    <w14:schemeClr w14:val="tx1"/>
                  </w14:solidFill>
                </w14:textFill>
              </w:rPr>
              <w:t>亿以上</w:t>
            </w:r>
          </w:p>
        </w:tc>
        <w:tc>
          <w:tcPr>
            <w:tcW w:w="1537" w:type="dxa"/>
            <w:tcBorders>
              <w:top w:val="single" w:color="auto" w:sz="4" w:space="0"/>
              <w:left w:val="single" w:color="auto" w:sz="4" w:space="0"/>
              <w:bottom w:val="single" w:color="auto" w:sz="4" w:space="0"/>
              <w:right w:val="single" w:color="auto" w:sz="4" w:space="0"/>
            </w:tcBorders>
            <w:vAlign w:val="center"/>
          </w:tcPr>
          <w:p w14:paraId="19BF8DF5">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0.0</w:t>
            </w:r>
            <w:r>
              <w:rPr>
                <w:rFonts w:hint="eastAsia" w:ascii="宋体" w:hAnsi="宋体" w:eastAsia="宋体" w:cs="宋体"/>
                <w:bCs/>
                <w:color w:val="000000" w:themeColor="text1"/>
                <w:sz w:val="24"/>
                <w:highlight w:val="none"/>
                <w14:textFill>
                  <w14:solidFill>
                    <w14:schemeClr w14:val="tx1"/>
                  </w14:solidFill>
                </w14:textFill>
              </w:rPr>
              <w:t>1</w:t>
            </w:r>
            <w:r>
              <w:rPr>
                <w:rFonts w:ascii="宋体" w:hAnsi="宋体" w:eastAsia="宋体" w:cs="宋体"/>
                <w:bCs/>
                <w:color w:val="000000" w:themeColor="text1"/>
                <w:sz w:val="24"/>
                <w:highlight w:val="none"/>
                <w14:textFill>
                  <w14:solidFill>
                    <w14:schemeClr w14:val="tx1"/>
                  </w14:solidFill>
                </w14:textFill>
              </w:rPr>
              <w:t>%</w:t>
            </w:r>
          </w:p>
        </w:tc>
        <w:tc>
          <w:tcPr>
            <w:tcW w:w="1568" w:type="dxa"/>
            <w:tcBorders>
              <w:top w:val="single" w:color="auto" w:sz="4" w:space="0"/>
              <w:left w:val="single" w:color="auto" w:sz="4" w:space="0"/>
              <w:bottom w:val="single" w:color="auto" w:sz="4" w:space="0"/>
              <w:right w:val="single" w:color="auto" w:sz="4" w:space="0"/>
            </w:tcBorders>
            <w:vAlign w:val="center"/>
          </w:tcPr>
          <w:p w14:paraId="64B5A9C6">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0.0</w:t>
            </w:r>
            <w:r>
              <w:rPr>
                <w:rFonts w:hint="eastAsia" w:ascii="宋体" w:hAnsi="宋体" w:eastAsia="宋体" w:cs="宋体"/>
                <w:bCs/>
                <w:color w:val="000000" w:themeColor="text1"/>
                <w:sz w:val="24"/>
                <w:highlight w:val="none"/>
                <w14:textFill>
                  <w14:solidFill>
                    <w14:schemeClr w14:val="tx1"/>
                  </w14:solidFill>
                </w14:textFill>
              </w:rPr>
              <w:t>1</w:t>
            </w:r>
            <w:r>
              <w:rPr>
                <w:rFonts w:ascii="宋体" w:hAnsi="宋体" w:eastAsia="宋体" w:cs="宋体"/>
                <w:bCs/>
                <w:color w:val="000000" w:themeColor="text1"/>
                <w:sz w:val="24"/>
                <w:highlight w:val="none"/>
                <w14:textFill>
                  <w14:solidFill>
                    <w14:schemeClr w14:val="tx1"/>
                  </w14:solidFill>
                </w14:textFill>
              </w:rPr>
              <w:t>%</w:t>
            </w:r>
          </w:p>
        </w:tc>
        <w:tc>
          <w:tcPr>
            <w:tcW w:w="2337" w:type="dxa"/>
            <w:tcBorders>
              <w:top w:val="single" w:color="auto" w:sz="4" w:space="0"/>
              <w:left w:val="single" w:color="auto" w:sz="4" w:space="0"/>
              <w:bottom w:val="single" w:color="auto" w:sz="4" w:space="0"/>
            </w:tcBorders>
            <w:vAlign w:val="center"/>
          </w:tcPr>
          <w:p w14:paraId="283EEC7E">
            <w:pPr>
              <w:spacing w:line="360" w:lineRule="auto"/>
              <w:jc w:val="center"/>
              <w:rPr>
                <w:rFonts w:hint="eastAsia" w:ascii="宋体" w:hAnsi="宋体" w:eastAsia="宋体" w:cs="宋体"/>
                <w:bCs/>
                <w:color w:val="000000" w:themeColor="text1"/>
                <w:sz w:val="24"/>
                <w:highlight w:val="none"/>
                <w14:textFill>
                  <w14:solidFill>
                    <w14:schemeClr w14:val="tx1"/>
                  </w14:solidFill>
                </w14:textFill>
              </w:rPr>
            </w:pPr>
            <w:r>
              <w:rPr>
                <w:rFonts w:ascii="宋体" w:hAnsi="宋体" w:eastAsia="宋体" w:cs="宋体"/>
                <w:bCs/>
                <w:color w:val="000000" w:themeColor="text1"/>
                <w:sz w:val="24"/>
                <w:highlight w:val="none"/>
                <w14:textFill>
                  <w14:solidFill>
                    <w14:schemeClr w14:val="tx1"/>
                  </w14:solidFill>
                </w14:textFill>
              </w:rPr>
              <w:t>0.0</w:t>
            </w:r>
            <w:r>
              <w:rPr>
                <w:rFonts w:hint="eastAsia" w:ascii="宋体" w:hAnsi="宋体" w:eastAsia="宋体" w:cs="宋体"/>
                <w:bCs/>
                <w:color w:val="000000" w:themeColor="text1"/>
                <w:sz w:val="24"/>
                <w:highlight w:val="none"/>
                <w14:textFill>
                  <w14:solidFill>
                    <w14:schemeClr w14:val="tx1"/>
                  </w14:solidFill>
                </w14:textFill>
              </w:rPr>
              <w:t>1</w:t>
            </w:r>
            <w:r>
              <w:rPr>
                <w:rFonts w:ascii="宋体" w:hAnsi="宋体" w:eastAsia="宋体" w:cs="宋体"/>
                <w:bCs/>
                <w:color w:val="000000" w:themeColor="text1"/>
                <w:sz w:val="24"/>
                <w:highlight w:val="none"/>
                <w14:textFill>
                  <w14:solidFill>
                    <w14:schemeClr w14:val="tx1"/>
                  </w14:solidFill>
                </w14:textFill>
              </w:rPr>
              <w:t>%</w:t>
            </w:r>
          </w:p>
        </w:tc>
      </w:tr>
    </w:tbl>
    <w:p w14:paraId="4CDCD609">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39</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廉洁自律</w:t>
      </w:r>
      <w:r>
        <w:rPr>
          <w:rFonts w:asciiTheme="minorEastAsia" w:hAnsiTheme="minorEastAsia" w:eastAsiaTheme="minorEastAsia"/>
          <w:b/>
          <w:color w:val="000000" w:themeColor="text1"/>
          <w:sz w:val="24"/>
          <w:highlight w:val="none"/>
          <w14:textFill>
            <w14:solidFill>
              <w14:schemeClr w14:val="tx1"/>
            </w14:solidFill>
          </w14:textFill>
        </w:rPr>
        <w:t>规定</w:t>
      </w:r>
      <w:bookmarkEnd w:id="27"/>
      <w:bookmarkEnd w:id="28"/>
    </w:p>
    <w:p w14:paraId="4F0BEE1C">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39.1招标代理机构</w:t>
      </w:r>
      <w:r>
        <w:rPr>
          <w:rFonts w:ascii="宋体" w:hAnsi="宋体" w:eastAsia="宋体"/>
          <w:color w:val="000000" w:themeColor="text1"/>
          <w:sz w:val="24"/>
          <w:highlight w:val="none"/>
          <w14:textFill>
            <w14:solidFill>
              <w14:schemeClr w14:val="tx1"/>
            </w14:solidFill>
          </w14:textFill>
        </w:rPr>
        <w:t>工作人员</w:t>
      </w:r>
      <w:r>
        <w:rPr>
          <w:rFonts w:hint="eastAsia" w:ascii="宋体" w:hAnsi="宋体" w:eastAsia="宋体"/>
          <w:color w:val="000000" w:themeColor="text1"/>
          <w:sz w:val="24"/>
          <w:highlight w:val="none"/>
          <w14:textFill>
            <w14:solidFill>
              <w14:schemeClr w14:val="tx1"/>
            </w14:solidFill>
          </w14:textFill>
        </w:rPr>
        <w:t>不得以不正当手段获取代理业务，不得与招标人、</w:t>
      </w:r>
      <w:r>
        <w:rPr>
          <w:rFonts w:hint="eastAsia" w:ascii="宋体" w:hAnsi="宋体"/>
          <w:color w:val="000000" w:themeColor="text1"/>
          <w:sz w:val="24"/>
          <w:highlight w:val="none"/>
          <w:lang w:eastAsia="zh-CN"/>
          <w14:textFill>
            <w14:solidFill>
              <w14:schemeClr w14:val="tx1"/>
            </w14:solidFill>
          </w14:textFill>
        </w:rPr>
        <w:t>投标人</w:t>
      </w:r>
      <w:r>
        <w:rPr>
          <w:rFonts w:hint="eastAsia" w:ascii="宋体" w:hAnsi="宋体" w:eastAsia="宋体"/>
          <w:color w:val="000000" w:themeColor="text1"/>
          <w:sz w:val="24"/>
          <w:highlight w:val="none"/>
          <w14:textFill>
            <w14:solidFill>
              <w14:schemeClr w14:val="tx1"/>
            </w14:solidFill>
          </w14:textFill>
        </w:rPr>
        <w:t>恶意串通。</w:t>
      </w:r>
    </w:p>
    <w:p w14:paraId="17BA9605">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39</w:t>
      </w:r>
      <w:r>
        <w:rPr>
          <w:rFonts w:ascii="宋体" w:hAnsi="宋体" w:eastAsia="宋体"/>
          <w:color w:val="000000" w:themeColor="text1"/>
          <w:sz w:val="24"/>
          <w:highlight w:val="none"/>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招标代理机构工作人员不得接受招标人或者</w:t>
      </w:r>
      <w:r>
        <w:rPr>
          <w:rFonts w:hint="eastAsia" w:ascii="宋体" w:hAnsi="宋体"/>
          <w:color w:val="000000" w:themeColor="text1"/>
          <w:sz w:val="24"/>
          <w:highlight w:val="none"/>
          <w:lang w:eastAsia="zh-CN"/>
          <w14:textFill>
            <w14:solidFill>
              <w14:schemeClr w14:val="tx1"/>
            </w14:solidFill>
          </w14:textFill>
        </w:rPr>
        <w:t>投标人</w:t>
      </w:r>
      <w:r>
        <w:rPr>
          <w:rFonts w:hint="eastAsia" w:ascii="宋体" w:hAnsi="宋体" w:eastAsia="宋体"/>
          <w:color w:val="000000" w:themeColor="text1"/>
          <w:sz w:val="24"/>
          <w:highlight w:val="none"/>
          <w14:textFill>
            <w14:solidFill>
              <w14:schemeClr w14:val="tx1"/>
            </w14:solidFill>
          </w14:textFill>
        </w:rPr>
        <w:t>组织的宴请、旅游、娱乐，不得收受礼品、现金、有价证券等，不得向招标人或者</w:t>
      </w:r>
      <w:r>
        <w:rPr>
          <w:rFonts w:hint="eastAsia" w:ascii="宋体" w:hAnsi="宋体"/>
          <w:color w:val="000000" w:themeColor="text1"/>
          <w:sz w:val="24"/>
          <w:highlight w:val="none"/>
          <w:lang w:eastAsia="zh-CN"/>
          <w14:textFill>
            <w14:solidFill>
              <w14:schemeClr w14:val="tx1"/>
            </w14:solidFill>
          </w14:textFill>
        </w:rPr>
        <w:t>投标人</w:t>
      </w:r>
      <w:r>
        <w:rPr>
          <w:rFonts w:hint="eastAsia" w:ascii="宋体" w:hAnsi="宋体" w:eastAsia="宋体"/>
          <w:color w:val="000000" w:themeColor="text1"/>
          <w:sz w:val="24"/>
          <w:highlight w:val="none"/>
          <w14:textFill>
            <w14:solidFill>
              <w14:schemeClr w14:val="tx1"/>
            </w14:solidFill>
          </w14:textFill>
        </w:rPr>
        <w:t>报销应当由个人承担的费用。</w:t>
      </w:r>
    </w:p>
    <w:p w14:paraId="6C19FC3B">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bookmarkStart w:id="29" w:name="_Toc518923101"/>
      <w:bookmarkStart w:id="30" w:name="_Toc2583662"/>
      <w:r>
        <w:rPr>
          <w:rFonts w:hint="eastAsia" w:asciiTheme="minorEastAsia" w:hAnsiTheme="minorEastAsia" w:eastAsiaTheme="minorEastAsia"/>
          <w:b/>
          <w:color w:val="000000" w:themeColor="text1"/>
          <w:sz w:val="24"/>
          <w:highlight w:val="none"/>
          <w14:textFill>
            <w14:solidFill>
              <w14:schemeClr w14:val="tx1"/>
            </w14:solidFill>
          </w14:textFill>
        </w:rPr>
        <w:t>40.人员回避</w:t>
      </w:r>
      <w:bookmarkEnd w:id="29"/>
      <w:bookmarkEnd w:id="30"/>
    </w:p>
    <w:p w14:paraId="3BEE4909">
      <w:pPr>
        <w:spacing w:line="360" w:lineRule="auto"/>
        <w:ind w:firstLine="435"/>
        <w:rPr>
          <w:rFonts w:hint="eastAsia" w:ascii="仿宋_GB2312" w:hAnsi="宋体" w:eastAsia="仿宋_GB2312"/>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投标人</w:t>
      </w:r>
      <w:r>
        <w:rPr>
          <w:rFonts w:ascii="宋体" w:hAnsi="宋体" w:eastAsia="宋体"/>
          <w:color w:val="000000" w:themeColor="text1"/>
          <w:sz w:val="24"/>
          <w:highlight w:val="none"/>
          <w14:textFill>
            <w14:solidFill>
              <w14:schemeClr w14:val="tx1"/>
            </w14:solidFill>
          </w14:textFill>
        </w:rPr>
        <w:t>认为</w:t>
      </w:r>
      <w:r>
        <w:rPr>
          <w:rFonts w:hint="eastAsia" w:ascii="宋体" w:hAnsi="宋体" w:eastAsia="宋体"/>
          <w:color w:val="000000" w:themeColor="text1"/>
          <w:sz w:val="24"/>
          <w:highlight w:val="none"/>
          <w14:textFill>
            <w14:solidFill>
              <w14:schemeClr w14:val="tx1"/>
            </w14:solidFill>
          </w14:textFill>
        </w:rPr>
        <w:t>招标人</w:t>
      </w:r>
      <w:r>
        <w:rPr>
          <w:rFonts w:ascii="宋体" w:hAnsi="宋体" w:eastAsia="宋体"/>
          <w:color w:val="000000" w:themeColor="text1"/>
          <w:sz w:val="24"/>
          <w:highlight w:val="none"/>
          <w14:textFill>
            <w14:solidFill>
              <w14:schemeClr w14:val="tx1"/>
            </w14:solidFill>
          </w14:textFill>
        </w:rPr>
        <w:t>员</w:t>
      </w:r>
      <w:r>
        <w:rPr>
          <w:rFonts w:hint="eastAsia" w:ascii="宋体" w:hAnsi="宋体" w:eastAsia="宋体"/>
          <w:color w:val="000000" w:themeColor="text1"/>
          <w:sz w:val="24"/>
          <w:highlight w:val="none"/>
          <w14:textFill>
            <w14:solidFill>
              <w14:schemeClr w14:val="tx1"/>
            </w14:solidFill>
          </w14:textFill>
        </w:rPr>
        <w:t>及其</w:t>
      </w:r>
      <w:r>
        <w:rPr>
          <w:rFonts w:ascii="宋体" w:hAnsi="宋体" w:eastAsia="宋体"/>
          <w:color w:val="000000" w:themeColor="text1"/>
          <w:sz w:val="24"/>
          <w:highlight w:val="none"/>
          <w14:textFill>
            <w14:solidFill>
              <w14:schemeClr w14:val="tx1"/>
            </w14:solidFill>
          </w14:textFill>
        </w:rPr>
        <w:t>相关人员有</w:t>
      </w:r>
      <w:r>
        <w:rPr>
          <w:rFonts w:hint="eastAsia" w:ascii="宋体" w:hAnsi="宋体" w:eastAsia="宋体"/>
          <w:color w:val="000000" w:themeColor="text1"/>
          <w:sz w:val="24"/>
          <w:highlight w:val="none"/>
          <w14:textFill>
            <w14:solidFill>
              <w14:schemeClr w14:val="tx1"/>
            </w14:solidFill>
          </w14:textFill>
        </w:rPr>
        <w:t>法律</w:t>
      </w:r>
      <w:r>
        <w:rPr>
          <w:rFonts w:ascii="宋体" w:hAnsi="宋体" w:eastAsia="宋体"/>
          <w:color w:val="000000" w:themeColor="text1"/>
          <w:sz w:val="24"/>
          <w:highlight w:val="none"/>
          <w14:textFill>
            <w14:solidFill>
              <w14:schemeClr w14:val="tx1"/>
            </w14:solidFill>
          </w14:textFill>
        </w:rPr>
        <w:t>法规所列与其他</w:t>
      </w:r>
      <w:r>
        <w:rPr>
          <w:rFonts w:hint="eastAsia" w:ascii="宋体" w:hAnsi="宋体"/>
          <w:color w:val="000000" w:themeColor="text1"/>
          <w:sz w:val="24"/>
          <w:highlight w:val="none"/>
          <w:lang w:eastAsia="zh-CN"/>
          <w14:textFill>
            <w14:solidFill>
              <w14:schemeClr w14:val="tx1"/>
            </w14:solidFill>
          </w14:textFill>
        </w:rPr>
        <w:t>投标人</w:t>
      </w:r>
      <w:r>
        <w:rPr>
          <w:rFonts w:hint="eastAsia" w:ascii="宋体" w:hAnsi="宋体" w:eastAsia="宋体"/>
          <w:color w:val="000000" w:themeColor="text1"/>
          <w:sz w:val="24"/>
          <w:highlight w:val="none"/>
          <w14:textFill>
            <w14:solidFill>
              <w14:schemeClr w14:val="tx1"/>
            </w14:solidFill>
          </w14:textFill>
        </w:rPr>
        <w:t>有</w:t>
      </w:r>
      <w:r>
        <w:rPr>
          <w:rFonts w:ascii="宋体" w:hAnsi="宋体" w:eastAsia="宋体"/>
          <w:color w:val="000000" w:themeColor="text1"/>
          <w:sz w:val="24"/>
          <w:highlight w:val="none"/>
          <w14:textFill>
            <w14:solidFill>
              <w14:schemeClr w14:val="tx1"/>
            </w14:solidFill>
          </w14:textFill>
        </w:rPr>
        <w:t>利害关系的，可以向</w:t>
      </w:r>
      <w:r>
        <w:rPr>
          <w:rFonts w:hint="eastAsia" w:ascii="宋体" w:hAnsi="宋体" w:eastAsia="宋体"/>
          <w:color w:val="000000" w:themeColor="text1"/>
          <w:sz w:val="24"/>
          <w:highlight w:val="none"/>
          <w14:textFill>
            <w14:solidFill>
              <w14:schemeClr w14:val="tx1"/>
            </w14:solidFill>
          </w14:textFill>
        </w:rPr>
        <w:t>招标人或招标代理机构</w:t>
      </w:r>
      <w:r>
        <w:rPr>
          <w:rFonts w:ascii="宋体" w:hAnsi="宋体" w:eastAsia="宋体"/>
          <w:color w:val="000000" w:themeColor="text1"/>
          <w:sz w:val="24"/>
          <w:highlight w:val="none"/>
          <w14:textFill>
            <w14:solidFill>
              <w14:schemeClr w14:val="tx1"/>
            </w14:solidFill>
          </w14:textFill>
        </w:rPr>
        <w:t>书面提出回避申请，并说明理由。</w:t>
      </w:r>
    </w:p>
    <w:p w14:paraId="3F74C3CC">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41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异议</w:t>
      </w:r>
    </w:p>
    <w:p w14:paraId="7D8847AA">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w:t>
      </w: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bCs/>
          <w:color w:val="000000" w:themeColor="text1"/>
          <w:sz w:val="24"/>
          <w:highlight w:val="none"/>
          <w14:textFill>
            <w14:solidFill>
              <w14:schemeClr w14:val="tx1"/>
            </w14:solidFill>
          </w14:textFill>
        </w:rPr>
        <w:t>若投标人对评标结果有异议，可在中标候选人公示期内以书面形式在工作时间向</w:t>
      </w:r>
      <w:r>
        <w:rPr>
          <w:rFonts w:hint="eastAsia" w:ascii="宋体" w:hAnsi="宋体" w:eastAsia="宋体" w:cs="宋体"/>
          <w:bCs/>
          <w:color w:val="000000" w:themeColor="text1"/>
          <w:sz w:val="24"/>
          <w:highlight w:val="none"/>
          <w:lang w:val="en-US" w:eastAsia="zh-CN"/>
          <w14:textFill>
            <w14:solidFill>
              <w14:schemeClr w14:val="tx1"/>
            </w14:solidFill>
          </w14:textFill>
        </w:rPr>
        <w:t>县交易</w:t>
      </w:r>
      <w:r>
        <w:rPr>
          <w:rFonts w:hint="eastAsia" w:ascii="宋体" w:hAnsi="宋体" w:eastAsia="宋体" w:cs="宋体"/>
          <w:bCs/>
          <w:color w:val="000000" w:themeColor="text1"/>
          <w:sz w:val="24"/>
          <w:highlight w:val="none"/>
          <w14:textFill>
            <w14:solidFill>
              <w14:schemeClr w14:val="tx1"/>
            </w14:solidFill>
          </w14:textFill>
        </w:rPr>
        <w:t>公司提出。</w:t>
      </w:r>
    </w:p>
    <w:p w14:paraId="70324DCD">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bCs/>
          <w:color w:val="000000" w:themeColor="text1"/>
          <w:sz w:val="24"/>
          <w:highlight w:val="none"/>
          <w14:textFill>
            <w14:solidFill>
              <w14:schemeClr w14:val="tx1"/>
            </w14:solidFill>
          </w14:textFill>
        </w:rPr>
        <w:t>2异议应以书面形式实名提出，书面异议材料应当包括以下内容：</w:t>
      </w:r>
    </w:p>
    <w:p w14:paraId="54DF93DA">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w:t>
      </w:r>
      <w:r>
        <w:rPr>
          <w:rFonts w:hint="eastAsia" w:ascii="宋体" w:hAnsi="宋体" w:eastAsia="宋体" w:cs="宋体"/>
          <w:bCs/>
          <w:color w:val="000000" w:themeColor="text1"/>
          <w:sz w:val="24"/>
          <w:highlight w:val="none"/>
          <w14:textFill>
            <w14:solidFill>
              <w14:schemeClr w14:val="tx1"/>
            </w14:solidFill>
          </w14:textFill>
        </w:rPr>
        <w:t>.2.1异议人的名称、地址、有效联系方式；</w:t>
      </w:r>
    </w:p>
    <w:p w14:paraId="2037FF12">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w:t>
      </w:r>
      <w:r>
        <w:rPr>
          <w:rFonts w:hint="eastAsia" w:ascii="宋体" w:hAnsi="宋体" w:eastAsia="宋体" w:cs="宋体"/>
          <w:bCs/>
          <w:color w:val="000000" w:themeColor="text1"/>
          <w:sz w:val="24"/>
          <w:highlight w:val="none"/>
          <w14:textFill>
            <w14:solidFill>
              <w14:schemeClr w14:val="tx1"/>
            </w14:solidFill>
          </w14:textFill>
        </w:rPr>
        <w:t>.2.2项目名称、项目编号、标段号（如有）；</w:t>
      </w:r>
    </w:p>
    <w:p w14:paraId="1F410618">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w:t>
      </w:r>
      <w:r>
        <w:rPr>
          <w:rFonts w:hint="eastAsia" w:ascii="宋体" w:hAnsi="宋体" w:eastAsia="宋体" w:cs="宋体"/>
          <w:bCs/>
          <w:color w:val="000000" w:themeColor="text1"/>
          <w:sz w:val="24"/>
          <w:highlight w:val="none"/>
          <w14:textFill>
            <w14:solidFill>
              <w14:schemeClr w14:val="tx1"/>
            </w14:solidFill>
          </w14:textFill>
        </w:rPr>
        <w:t>.2.3被异议人名称；</w:t>
      </w:r>
    </w:p>
    <w:p w14:paraId="1C93952C">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w:t>
      </w:r>
      <w:r>
        <w:rPr>
          <w:rFonts w:hint="eastAsia" w:ascii="宋体" w:hAnsi="宋体" w:eastAsia="宋体" w:cs="宋体"/>
          <w:bCs/>
          <w:color w:val="000000" w:themeColor="text1"/>
          <w:sz w:val="24"/>
          <w:highlight w:val="none"/>
          <w14:textFill>
            <w14:solidFill>
              <w14:schemeClr w14:val="tx1"/>
            </w14:solidFill>
          </w14:textFill>
        </w:rPr>
        <w:t>.2.4具体的异议事项、基本事实及必要的证明材料；</w:t>
      </w:r>
    </w:p>
    <w:p w14:paraId="64CE7347">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w:t>
      </w:r>
      <w:r>
        <w:rPr>
          <w:rFonts w:hint="eastAsia" w:ascii="宋体" w:hAnsi="宋体" w:eastAsia="宋体" w:cs="宋体"/>
          <w:bCs/>
          <w:color w:val="000000" w:themeColor="text1"/>
          <w:sz w:val="24"/>
          <w:highlight w:val="none"/>
          <w14:textFill>
            <w14:solidFill>
              <w14:schemeClr w14:val="tx1"/>
            </w14:solidFill>
          </w14:textFill>
        </w:rPr>
        <w:t>.2.5明确的请求及主张；</w:t>
      </w:r>
    </w:p>
    <w:p w14:paraId="5F2950C5">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w:t>
      </w:r>
      <w:r>
        <w:rPr>
          <w:rFonts w:hint="eastAsia" w:ascii="宋体" w:hAnsi="宋体" w:eastAsia="宋体" w:cs="宋体"/>
          <w:bCs/>
          <w:color w:val="000000" w:themeColor="text1"/>
          <w:sz w:val="24"/>
          <w:highlight w:val="none"/>
          <w14:textFill>
            <w14:solidFill>
              <w14:schemeClr w14:val="tx1"/>
            </w14:solidFill>
          </w14:textFill>
        </w:rPr>
        <w:t>.2.6提起异议的日期。</w:t>
      </w:r>
    </w:p>
    <w:p w14:paraId="4F0C7792">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异议人为法人或者其他组织的，应当由法定代表人或其委托代理人（需有委托授权书）签字并加盖公章。</w:t>
      </w:r>
    </w:p>
    <w:p w14:paraId="2C540C5C">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异议人需要修改、补充异议材料的，应当在异议期内提交修改或补充材料。</w:t>
      </w:r>
    </w:p>
    <w:p w14:paraId="2F6AE39D">
      <w:pPr>
        <w:spacing w:line="360" w:lineRule="auto"/>
        <w:ind w:firstLine="437"/>
        <w:outlineLvl w:val="3"/>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42</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需要补充的其他内容</w:t>
      </w:r>
    </w:p>
    <w:p w14:paraId="32C43532">
      <w:pPr>
        <w:spacing w:line="360" w:lineRule="auto"/>
        <w:ind w:firstLine="549"/>
        <w:rPr>
          <w:rFonts w:hint="eastAsia" w:ascii="宋体" w:hAnsi="宋体"/>
          <w:bCs/>
          <w:color w:val="000000" w:themeColor="text1"/>
          <w:szCs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需要补充的其他内容，见</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39A274C8">
      <w:pPr>
        <w:pStyle w:val="2"/>
        <w:rPr>
          <w:rFonts w:hint="eastAsia" w:ascii="宋体" w:hAnsi="宋体" w:eastAsia="宋体"/>
          <w:color w:val="000000" w:themeColor="text1"/>
          <w:highlight w:val="none"/>
          <w14:textFill>
            <w14:solidFill>
              <w14:schemeClr w14:val="tx1"/>
            </w14:solidFill>
          </w14:textFill>
        </w:rPr>
      </w:pPr>
      <w:bookmarkStart w:id="31" w:name="_Toc220232390"/>
      <w:r>
        <w:rPr>
          <w:color w:val="000000" w:themeColor="text1"/>
          <w:sz w:val="24"/>
          <w:szCs w:val="24"/>
          <w:highlight w:val="none"/>
          <w14:textFill>
            <w14:solidFill>
              <w14:schemeClr w14:val="tx1"/>
            </w14:solidFill>
          </w14:textFill>
        </w:rPr>
        <w:br w:type="page"/>
      </w:r>
      <w:bookmarkStart w:id="32" w:name="_Toc21754"/>
      <w:bookmarkStart w:id="33" w:name="_Toc30937"/>
      <w:r>
        <w:rPr>
          <w:rFonts w:hint="eastAsia" w:ascii="宋体" w:hAnsi="宋体" w:eastAsia="宋体"/>
          <w:color w:val="000000" w:themeColor="text1"/>
          <w:highlight w:val="none"/>
          <w14:textFill>
            <w14:solidFill>
              <w14:schemeClr w14:val="tx1"/>
            </w14:solidFill>
          </w14:textFill>
        </w:rPr>
        <w:t>第四章</w:t>
      </w:r>
      <w:bookmarkEnd w:id="31"/>
      <w:r>
        <w:rPr>
          <w:rFonts w:hint="eastAsia" w:ascii="宋体" w:hAnsi="宋体" w:eastAsia="宋体"/>
          <w:color w:val="000000" w:themeColor="text1"/>
          <w:highlight w:val="none"/>
          <w14:textFill>
            <w14:solidFill>
              <w14:schemeClr w14:val="tx1"/>
            </w14:solidFill>
          </w14:textFill>
        </w:rPr>
        <w:t>招标需求</w:t>
      </w:r>
      <w:bookmarkEnd w:id="32"/>
      <w:bookmarkEnd w:id="33"/>
    </w:p>
    <w:p w14:paraId="2866E1AB">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color w:val="000000" w:themeColor="text1"/>
          <w:szCs w:val="24"/>
          <w:highlight w:val="none"/>
          <w14:textFill>
            <w14:solidFill>
              <w14:schemeClr w14:val="tx1"/>
            </w14:solidFill>
          </w14:textFill>
        </w:rPr>
      </w:pPr>
      <w:bookmarkStart w:id="34" w:name="_Hlt509716920"/>
      <w:bookmarkEnd w:id="34"/>
      <w:r>
        <w:rPr>
          <w:rFonts w:hint="eastAsia" w:ascii="宋体" w:hAnsi="宋体"/>
          <w:color w:val="000000" w:themeColor="text1"/>
          <w:szCs w:val="24"/>
          <w:highlight w:val="none"/>
          <w14:textFill>
            <w14:solidFill>
              <w14:schemeClr w14:val="tx1"/>
            </w14:solidFill>
          </w14:textFill>
        </w:rPr>
        <w:t>前注：</w:t>
      </w:r>
    </w:p>
    <w:p w14:paraId="0DEC1BC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1.投标人自行考虑“营改增”税收费用及风险，中标后须按国家相关规定</w:t>
      </w:r>
      <w:r>
        <w:rPr>
          <w:rFonts w:ascii="宋体" w:hAnsi="宋体" w:cs="宋体"/>
          <w:color w:val="000000" w:themeColor="text1"/>
          <w:szCs w:val="24"/>
          <w:highlight w:val="none"/>
          <w14:textFill>
            <w14:solidFill>
              <w14:schemeClr w14:val="tx1"/>
            </w14:solidFill>
          </w14:textFill>
        </w:rPr>
        <w:t>缴纳各种税费</w:t>
      </w:r>
      <w:r>
        <w:rPr>
          <w:rFonts w:hint="eastAsia" w:ascii="宋体" w:hAnsi="宋体" w:cs="宋体"/>
          <w:color w:val="000000" w:themeColor="text1"/>
          <w:szCs w:val="24"/>
          <w:highlight w:val="none"/>
          <w14:textFill>
            <w14:solidFill>
              <w14:schemeClr w14:val="tx1"/>
            </w14:solidFill>
          </w14:textFill>
        </w:rPr>
        <w:t>、</w:t>
      </w:r>
      <w:r>
        <w:rPr>
          <w:rFonts w:hint="eastAsia" w:ascii="宋体" w:hAnsi="宋体"/>
          <w:color w:val="000000" w:themeColor="text1"/>
          <w:szCs w:val="24"/>
          <w:highlight w:val="none"/>
          <w14:textFill>
            <w14:solidFill>
              <w14:schemeClr w14:val="tx1"/>
            </w14:solidFill>
          </w14:textFill>
        </w:rPr>
        <w:t>税金；</w:t>
      </w:r>
    </w:p>
    <w:p w14:paraId="35F1DBF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2.如对本招标文件有任何疑问或澄清要求，请按本招标文件“投标人须知前附表”中的约定方式联系</w:t>
      </w:r>
      <w:r>
        <w:rPr>
          <w:rFonts w:hint="eastAsia" w:ascii="宋体" w:hAnsi="宋体"/>
          <w:color w:val="000000" w:themeColor="text1"/>
          <w:szCs w:val="24"/>
          <w:highlight w:val="none"/>
          <w:lang w:eastAsia="zh-CN"/>
          <w14:textFill>
            <w14:solidFill>
              <w14:schemeClr w14:val="tx1"/>
            </w14:solidFill>
          </w14:textFill>
        </w:rPr>
        <w:t>肥西县公共资源交易有限责任公司</w:t>
      </w:r>
      <w:r>
        <w:rPr>
          <w:rFonts w:hint="eastAsia" w:ascii="宋体" w:hAnsi="宋体"/>
          <w:color w:val="000000" w:themeColor="text1"/>
          <w:szCs w:val="24"/>
          <w:highlight w:val="none"/>
          <w14:textFill>
            <w14:solidFill>
              <w14:schemeClr w14:val="tx1"/>
            </w14:solidFill>
          </w14:textFill>
        </w:rPr>
        <w:t>，或接受答疑截止时间前联系招标人。否则视同理解和接受。</w:t>
      </w:r>
    </w:p>
    <w:p w14:paraId="4FA98F8C">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color w:val="auto"/>
          <w:highlight w:val="none"/>
        </w:rPr>
      </w:pPr>
      <w:r>
        <w:rPr>
          <w:rFonts w:hint="eastAsia" w:cs="宋体"/>
          <w:b/>
          <w:bCs/>
          <w:color w:val="auto"/>
          <w:sz w:val="24"/>
          <w:highlight w:val="none"/>
        </w:rPr>
        <w:t>一、</w:t>
      </w:r>
      <w:r>
        <w:rPr>
          <w:rFonts w:hint="eastAsia" w:cs="宋体"/>
          <w:b/>
          <w:bCs/>
          <w:color w:val="auto"/>
          <w:sz w:val="24"/>
          <w:highlight w:val="none"/>
          <w:lang w:val="en-US" w:eastAsia="zh-CN"/>
        </w:rPr>
        <w:t>招标</w:t>
      </w:r>
      <w:r>
        <w:rPr>
          <w:rFonts w:hint="eastAsia" w:cs="宋体"/>
          <w:b/>
          <w:bCs/>
          <w:color w:val="auto"/>
          <w:sz w:val="24"/>
          <w:highlight w:val="none"/>
        </w:rPr>
        <w:t>需求前附表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831"/>
        <w:gridCol w:w="6844"/>
      </w:tblGrid>
      <w:tr w14:paraId="5107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5" w:type="dxa"/>
            <w:vAlign w:val="center"/>
          </w:tcPr>
          <w:p w14:paraId="2F103CA7">
            <w:pPr>
              <w:keepNext w:val="0"/>
              <w:keepLines w:val="0"/>
              <w:pageBreakBefore w:val="0"/>
              <w:widowControl w:val="0"/>
              <w:kinsoku/>
              <w:wordWrap w:val="0"/>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序号</w:t>
            </w:r>
          </w:p>
        </w:tc>
        <w:tc>
          <w:tcPr>
            <w:tcW w:w="1831" w:type="dxa"/>
            <w:vAlign w:val="center"/>
          </w:tcPr>
          <w:p w14:paraId="79161123">
            <w:pPr>
              <w:keepNext w:val="0"/>
              <w:keepLines w:val="0"/>
              <w:pageBreakBefore w:val="0"/>
              <w:widowControl w:val="0"/>
              <w:kinsoku/>
              <w:wordWrap w:val="0"/>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条款名称</w:t>
            </w:r>
          </w:p>
        </w:tc>
        <w:tc>
          <w:tcPr>
            <w:tcW w:w="6844" w:type="dxa"/>
            <w:vAlign w:val="center"/>
          </w:tcPr>
          <w:p w14:paraId="0863FDBE">
            <w:pPr>
              <w:keepNext w:val="0"/>
              <w:keepLines w:val="0"/>
              <w:pageBreakBefore w:val="0"/>
              <w:widowControl w:val="0"/>
              <w:kinsoku/>
              <w:wordWrap w:val="0"/>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内容、说明与要求</w:t>
            </w:r>
          </w:p>
        </w:tc>
      </w:tr>
      <w:tr w14:paraId="75B7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5" w:type="dxa"/>
            <w:vAlign w:val="center"/>
          </w:tcPr>
          <w:p w14:paraId="77D29C28">
            <w:pPr>
              <w:keepNext w:val="0"/>
              <w:keepLines w:val="0"/>
              <w:pageBreakBefore w:val="0"/>
              <w:widowControl w:val="0"/>
              <w:kinsoku/>
              <w:wordWrap w:val="0"/>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p>
        </w:tc>
        <w:tc>
          <w:tcPr>
            <w:tcW w:w="1831" w:type="dxa"/>
            <w:vAlign w:val="center"/>
          </w:tcPr>
          <w:p w14:paraId="66BCC58D">
            <w:pPr>
              <w:keepNext w:val="0"/>
              <w:keepLines w:val="0"/>
              <w:pageBreakBefore w:val="0"/>
              <w:widowControl w:val="0"/>
              <w:kinsoku/>
              <w:wordWrap w:val="0"/>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付款方式</w:t>
            </w:r>
          </w:p>
        </w:tc>
        <w:tc>
          <w:tcPr>
            <w:tcW w:w="6844" w:type="dxa"/>
            <w:vAlign w:val="center"/>
          </w:tcPr>
          <w:p w14:paraId="75D15A8A">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 xml:space="preserve">付款方式：月结。中标人提供对公账户，按月据实结算。 </w:t>
            </w:r>
          </w:p>
          <w:p w14:paraId="4948301A">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kern w:val="0"/>
                <w:sz w:val="24"/>
                <w:szCs w:val="24"/>
                <w:lang w:val="en-US" w:eastAsia="zh-CN" w:bidi="ar"/>
              </w:rPr>
              <w:t>结算时间：次月</w:t>
            </w:r>
            <w:r>
              <w:rPr>
                <w:rFonts w:hint="default" w:asciiTheme="minorEastAsia" w:hAnsiTheme="minorEastAsia" w:eastAsiaTheme="minorEastAsia" w:cstheme="minorEastAsia"/>
                <w:color w:val="auto"/>
                <w:kern w:val="0"/>
                <w:sz w:val="24"/>
                <w:szCs w:val="24"/>
                <w:lang w:val="en-US" w:eastAsia="zh-CN" w:bidi="ar"/>
              </w:rPr>
              <w:t>(</w:t>
            </w:r>
            <w:r>
              <w:rPr>
                <w:rFonts w:hint="eastAsia" w:asciiTheme="minorEastAsia" w:hAnsiTheme="minorEastAsia" w:eastAsiaTheme="minorEastAsia" w:cstheme="minorEastAsia"/>
                <w:color w:val="auto"/>
                <w:kern w:val="0"/>
                <w:sz w:val="24"/>
                <w:szCs w:val="24"/>
                <w:lang w:val="en-US" w:eastAsia="zh-CN" w:bidi="ar"/>
              </w:rPr>
              <w:t>结算时间以发票实际开出为准</w:t>
            </w:r>
            <w:r>
              <w:rPr>
                <w:rFonts w:hint="default" w:asciiTheme="minorEastAsia" w:hAnsiTheme="minorEastAsia" w:eastAsiaTheme="minorEastAsia" w:cstheme="minorEastAsia"/>
                <w:color w:val="auto"/>
                <w:kern w:val="0"/>
                <w:sz w:val="24"/>
                <w:szCs w:val="24"/>
                <w:lang w:val="en-US" w:eastAsia="zh-CN" w:bidi="ar"/>
              </w:rPr>
              <w:t xml:space="preserve">) </w:t>
            </w:r>
          </w:p>
        </w:tc>
      </w:tr>
      <w:tr w14:paraId="6D03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5" w:type="dxa"/>
            <w:vAlign w:val="center"/>
          </w:tcPr>
          <w:p w14:paraId="5A9E552C">
            <w:pPr>
              <w:keepNext w:val="0"/>
              <w:keepLines w:val="0"/>
              <w:pageBreakBefore w:val="0"/>
              <w:widowControl w:val="0"/>
              <w:kinsoku/>
              <w:wordWrap w:val="0"/>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auto"/>
                <w:sz w:val="24"/>
                <w:szCs w:val="24"/>
                <w:highlight w:val="none"/>
              </w:rPr>
            </w:pPr>
            <w:bookmarkStart w:id="125" w:name="_GoBack"/>
            <w:r>
              <w:rPr>
                <w:rFonts w:hint="eastAsia" w:asciiTheme="minorEastAsia" w:hAnsiTheme="minorEastAsia" w:eastAsiaTheme="minorEastAsia" w:cstheme="minorEastAsia"/>
                <w:bCs/>
                <w:color w:val="auto"/>
                <w:sz w:val="24"/>
                <w:szCs w:val="24"/>
                <w:highlight w:val="none"/>
              </w:rPr>
              <w:t>2</w:t>
            </w:r>
          </w:p>
        </w:tc>
        <w:tc>
          <w:tcPr>
            <w:tcW w:w="1831" w:type="dxa"/>
            <w:vAlign w:val="center"/>
          </w:tcPr>
          <w:p w14:paraId="6DD4ABD6">
            <w:pPr>
              <w:keepNext w:val="0"/>
              <w:keepLines w:val="0"/>
              <w:pageBreakBefore w:val="0"/>
              <w:widowControl w:val="0"/>
              <w:kinsoku/>
              <w:wordWrap w:val="0"/>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服务地点</w:t>
            </w:r>
          </w:p>
        </w:tc>
        <w:tc>
          <w:tcPr>
            <w:tcW w:w="6844" w:type="dxa"/>
            <w:vAlign w:val="center"/>
          </w:tcPr>
          <w:p w14:paraId="42489E14">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 xml:space="preserve">肥西县直属机关幼儿园各分园 </w:t>
            </w:r>
          </w:p>
          <w:p w14:paraId="459A1317">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（A组:滨河分园、绿地分园、翡翠蓝湾分园、云谷路分园；</w:t>
            </w:r>
          </w:p>
          <w:p w14:paraId="07AE0FCA">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kern w:val="0"/>
                <w:sz w:val="24"/>
                <w:szCs w:val="24"/>
                <w:lang w:val="en-US" w:eastAsia="zh-CN" w:bidi="ar"/>
              </w:rPr>
              <w:t>B组：派河分园、旺郢分园、颜湾分园、望水路分园、总园）业主按照区域相对</w:t>
            </w:r>
            <w:r>
              <w:rPr>
                <w:rFonts w:hint="eastAsia" w:asciiTheme="minorEastAsia" w:hAnsiTheme="minorEastAsia" w:eastAsiaTheme="minorEastAsia" w:cstheme="minorEastAsia"/>
                <w:color w:val="auto"/>
                <w:kern w:val="0"/>
                <w:sz w:val="24"/>
                <w:szCs w:val="24"/>
                <w:lang w:val="en-US" w:eastAsia="zh-CN" w:bidi="ar"/>
              </w:rPr>
              <w:t>平均分配，最终以业主实际划分的为准）。</w:t>
            </w:r>
          </w:p>
        </w:tc>
      </w:tr>
      <w:tr w14:paraId="4465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5" w:type="dxa"/>
            <w:vAlign w:val="center"/>
          </w:tcPr>
          <w:p w14:paraId="0A662461">
            <w:pPr>
              <w:keepNext w:val="0"/>
              <w:keepLines w:val="0"/>
              <w:pageBreakBefore w:val="0"/>
              <w:widowControl w:val="0"/>
              <w:kinsoku/>
              <w:wordWrap w:val="0"/>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w:t>
            </w:r>
          </w:p>
        </w:tc>
        <w:tc>
          <w:tcPr>
            <w:tcW w:w="1831" w:type="dxa"/>
            <w:vAlign w:val="center"/>
          </w:tcPr>
          <w:p w14:paraId="25DA32B7">
            <w:pPr>
              <w:keepNext w:val="0"/>
              <w:keepLines w:val="0"/>
              <w:pageBreakBefore w:val="0"/>
              <w:widowControl w:val="0"/>
              <w:kinsoku/>
              <w:wordWrap w:val="0"/>
              <w:overflowPunct/>
              <w:topLinePunct w:val="0"/>
              <w:autoSpaceDE/>
              <w:autoSpaceDN/>
              <w:bidi w:val="0"/>
              <w:snapToGrid/>
              <w:spacing w:line="360" w:lineRule="auto"/>
              <w:jc w:val="center"/>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服务期限</w:t>
            </w:r>
          </w:p>
        </w:tc>
        <w:tc>
          <w:tcPr>
            <w:tcW w:w="6844" w:type="dxa"/>
            <w:vAlign w:val="center"/>
          </w:tcPr>
          <w:p w14:paraId="50CD08FD">
            <w:pPr>
              <w:keepNext w:val="0"/>
              <w:keepLines w:val="0"/>
              <w:pageBreakBefore w:val="0"/>
              <w:widowControl w:val="0"/>
              <w:suppressLineNumbers w:val="0"/>
              <w:kinsoku/>
              <w:wordWrap w:val="0"/>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kern w:val="0"/>
                <w:sz w:val="24"/>
                <w:szCs w:val="24"/>
                <w:lang w:val="en-US" w:eastAsia="zh-CN" w:bidi="ar"/>
              </w:rPr>
              <w:t>一年</w:t>
            </w:r>
          </w:p>
        </w:tc>
      </w:tr>
    </w:tbl>
    <w:p w14:paraId="251FD0DE">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cs="Times New Roman"/>
          <w:b/>
          <w:bCs/>
          <w:color w:val="auto"/>
          <w:szCs w:val="24"/>
          <w:highlight w:val="none"/>
          <w:lang w:val="en-US" w:eastAsia="zh-CN"/>
        </w:rPr>
      </w:pPr>
      <w:r>
        <w:rPr>
          <w:rFonts w:hint="eastAsia" w:ascii="宋体" w:hAnsi="宋体" w:cs="Times New Roman"/>
          <w:b/>
          <w:bCs/>
          <w:color w:val="auto"/>
          <w:szCs w:val="24"/>
          <w:highlight w:val="none"/>
          <w:lang w:val="en-US" w:eastAsia="zh-CN"/>
        </w:rPr>
        <w:t>二、项目概况</w:t>
      </w:r>
    </w:p>
    <w:p w14:paraId="7F3C8F8F">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hint="eastAsia" w:asciiTheme="minorEastAsia" w:hAnsiTheme="minorEastAsia" w:eastAsiaTheme="minorEastAsia" w:cstheme="minorEastAsia"/>
          <w:color w:val="auto"/>
          <w:kern w:val="0"/>
          <w:sz w:val="24"/>
          <w:szCs w:val="24"/>
          <w:lang w:val="en-US" w:eastAsia="zh-CN" w:bidi="ar"/>
        </w:rPr>
      </w:pP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Theme="minorEastAsia" w:hAnsiTheme="minorEastAsia" w:eastAsiaTheme="minorEastAsia" w:cstheme="minorEastAsia"/>
          <w:color w:val="auto"/>
          <w:kern w:val="0"/>
          <w:sz w:val="24"/>
          <w:szCs w:val="24"/>
          <w:lang w:val="en-US" w:eastAsia="zh-CN" w:bidi="ar"/>
        </w:rPr>
        <w:t>肥西县直属机关幼儿园（含分园）开设食堂的9所园共有在园就餐幼儿约2400人，在园就餐教职工约300人。所需粮、油、肉类、蔬菜、家禽、鸡蛋、调味品、牛奶等食材供应。集团所辖分园提供中餐、下午点。中餐：提供主食、两菜（一荤一素）、一汤。下午点：提供制作汤羹类的食材、</w:t>
      </w:r>
      <w:r>
        <w:rPr>
          <w:rFonts w:hint="eastAsia" w:ascii="宋体" w:hAnsi="宋体" w:cs="宋体"/>
          <w:color w:val="auto"/>
          <w:sz w:val="24"/>
          <w:szCs w:val="24"/>
          <w:lang w:val="en-US" w:eastAsia="zh-CN"/>
        </w:rPr>
        <w:t>面食类食材、</w:t>
      </w:r>
      <w:r>
        <w:rPr>
          <w:rFonts w:hint="eastAsia" w:asciiTheme="minorEastAsia" w:hAnsiTheme="minorEastAsia" w:eastAsiaTheme="minorEastAsia" w:cstheme="minorEastAsia"/>
          <w:color w:val="auto"/>
          <w:kern w:val="0"/>
          <w:sz w:val="24"/>
          <w:szCs w:val="24"/>
          <w:lang w:val="en-US" w:eastAsia="zh-CN" w:bidi="ar"/>
        </w:rPr>
        <w:t>半成品面点、牛奶等。配送食材的时间根据园所需要时间而定，一般约为7:30前。本项目拟招两家</w:t>
      </w:r>
      <w:bookmarkEnd w:id="125"/>
      <w:r>
        <w:rPr>
          <w:rFonts w:hint="eastAsia" w:asciiTheme="minorEastAsia" w:hAnsiTheme="minorEastAsia" w:eastAsiaTheme="minorEastAsia" w:cstheme="minorEastAsia"/>
          <w:color w:val="auto"/>
          <w:kern w:val="0"/>
          <w:sz w:val="24"/>
          <w:szCs w:val="24"/>
          <w:lang w:val="en-US" w:eastAsia="zh-CN" w:bidi="ar"/>
        </w:rPr>
        <w:t>单位配送，排名第一、第二的为成交候选人，排名第一的具有优先选择区域的权利。合同成交，供应商进场时间以业主单位实际通知时间为准。</w:t>
      </w:r>
    </w:p>
    <w:p w14:paraId="78CE190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kern w:val="21"/>
          <w:lang w:val="en-US" w:eastAsia="zh-CN"/>
        </w:rPr>
      </w:pPr>
      <w:r>
        <w:rPr>
          <w:rFonts w:hint="eastAsia" w:ascii="宋体" w:hAnsi="宋体" w:cs="宋体"/>
          <w:b/>
          <w:bCs/>
          <w:kern w:val="21"/>
          <w:lang w:val="en-US" w:eastAsia="zh-CN"/>
        </w:rPr>
        <w:t>服务需求</w:t>
      </w:r>
    </w:p>
    <w:p w14:paraId="7100AECC">
      <w:pPr>
        <w:numPr>
          <w:ilvl w:val="0"/>
          <w:numId w:val="0"/>
        </w:numPr>
        <w:autoSpaceDE w:val="0"/>
        <w:autoSpaceDN w:val="0"/>
        <w:adjustRightInd w:val="0"/>
        <w:spacing w:line="440" w:lineRule="exact"/>
        <w:ind w:firstLine="482" w:firstLineChars="200"/>
        <w:jc w:val="left"/>
        <w:rPr>
          <w:rFonts w:hint="eastAsia" w:cs="宋体"/>
          <w:b/>
          <w:bCs/>
          <w:color w:val="auto"/>
          <w:sz w:val="24"/>
          <w:szCs w:val="24"/>
          <w:highlight w:val="none"/>
        </w:rPr>
      </w:pPr>
      <w:r>
        <w:rPr>
          <w:rFonts w:hint="eastAsia" w:ascii="宋体" w:hAnsi="宋体" w:cs="宋体"/>
          <w:b/>
          <w:bCs/>
          <w:kern w:val="21"/>
          <w:lang w:val="en-US" w:eastAsia="zh-CN"/>
        </w:rPr>
        <w:t xml:space="preserve">   </w:t>
      </w:r>
      <w:r>
        <w:rPr>
          <w:rFonts w:hint="eastAsia" w:cs="宋体"/>
          <w:b/>
          <w:bCs/>
          <w:color w:val="auto"/>
          <w:sz w:val="24"/>
          <w:szCs w:val="24"/>
          <w:highlight w:val="none"/>
        </w:rPr>
        <w:t>（一）食材</w:t>
      </w:r>
    </w:p>
    <w:p w14:paraId="26A8E881">
      <w:pPr>
        <w:spacing w:line="69" w:lineRule="exact"/>
        <w:rPr>
          <w:rFonts w:cs="宋体"/>
          <w:color w:val="auto"/>
          <w:sz w:val="24"/>
          <w:szCs w:val="24"/>
          <w:highlight w:val="none"/>
        </w:rPr>
      </w:pPr>
    </w:p>
    <w:tbl>
      <w:tblPr>
        <w:tblStyle w:val="26"/>
        <w:tblW w:w="9427"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0"/>
        <w:gridCol w:w="6415"/>
        <w:gridCol w:w="1922"/>
      </w:tblGrid>
      <w:tr w14:paraId="19C4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trPr>
        <w:tc>
          <w:tcPr>
            <w:tcW w:w="9427" w:type="dxa"/>
            <w:gridSpan w:val="3"/>
          </w:tcPr>
          <w:p w14:paraId="6ECEA97E">
            <w:pPr>
              <w:pStyle w:val="25"/>
              <w:spacing w:before="47" w:line="219" w:lineRule="auto"/>
              <w:ind w:left="3317"/>
              <w:rPr>
                <w:color w:val="auto"/>
                <w:highlight w:val="none"/>
                <w:lang w:eastAsia="zh-CN"/>
              </w:rPr>
            </w:pPr>
            <w:r>
              <w:rPr>
                <w:rFonts w:hint="eastAsia"/>
                <w:b/>
                <w:bCs/>
                <w:color w:val="auto"/>
                <w:spacing w:val="-3"/>
                <w:highlight w:val="none"/>
                <w:lang w:eastAsia="zh-CN"/>
              </w:rPr>
              <w:t>食堂食材配送项目需求</w:t>
            </w:r>
          </w:p>
        </w:tc>
      </w:tr>
      <w:tr w14:paraId="441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1090" w:type="dxa"/>
          </w:tcPr>
          <w:p w14:paraId="5D811785">
            <w:pPr>
              <w:pStyle w:val="25"/>
              <w:spacing w:before="35" w:line="219" w:lineRule="auto"/>
              <w:ind w:left="311"/>
              <w:rPr>
                <w:color w:val="auto"/>
                <w:highlight w:val="none"/>
              </w:rPr>
            </w:pPr>
            <w:r>
              <w:rPr>
                <w:rFonts w:hint="eastAsia"/>
                <w:b/>
                <w:bCs/>
                <w:color w:val="auto"/>
                <w:spacing w:val="-8"/>
                <w:highlight w:val="none"/>
              </w:rPr>
              <w:t>类别</w:t>
            </w:r>
          </w:p>
        </w:tc>
        <w:tc>
          <w:tcPr>
            <w:tcW w:w="6415" w:type="dxa"/>
          </w:tcPr>
          <w:p w14:paraId="5BE323DB">
            <w:pPr>
              <w:pStyle w:val="25"/>
              <w:spacing w:before="34" w:line="219" w:lineRule="auto"/>
              <w:ind w:left="2740"/>
              <w:rPr>
                <w:color w:val="auto"/>
                <w:highlight w:val="none"/>
              </w:rPr>
            </w:pPr>
            <w:r>
              <w:rPr>
                <w:rFonts w:hint="eastAsia"/>
                <w:b/>
                <w:bCs/>
                <w:color w:val="auto"/>
                <w:spacing w:val="-6"/>
                <w:highlight w:val="none"/>
              </w:rPr>
              <w:t>货物名称</w:t>
            </w:r>
          </w:p>
        </w:tc>
        <w:tc>
          <w:tcPr>
            <w:tcW w:w="1922" w:type="dxa"/>
          </w:tcPr>
          <w:p w14:paraId="42E746D3">
            <w:pPr>
              <w:pStyle w:val="25"/>
              <w:spacing w:before="34" w:line="221" w:lineRule="auto"/>
              <w:ind w:left="491"/>
              <w:rPr>
                <w:color w:val="auto"/>
                <w:highlight w:val="none"/>
              </w:rPr>
            </w:pPr>
            <w:r>
              <w:rPr>
                <w:rFonts w:hint="eastAsia"/>
                <w:b/>
                <w:bCs/>
                <w:color w:val="auto"/>
                <w:spacing w:val="-5"/>
                <w:highlight w:val="none"/>
              </w:rPr>
              <w:t>备注要求</w:t>
            </w:r>
          </w:p>
        </w:tc>
      </w:tr>
      <w:tr w14:paraId="7E51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7" w:hRule="atLeast"/>
        </w:trPr>
        <w:tc>
          <w:tcPr>
            <w:tcW w:w="1090" w:type="dxa"/>
            <w:vMerge w:val="restart"/>
          </w:tcPr>
          <w:p w14:paraId="21969A8D">
            <w:pPr>
              <w:spacing w:line="424" w:lineRule="auto"/>
              <w:jc w:val="center"/>
              <w:rPr>
                <w:rFonts w:cs="宋体"/>
                <w:color w:val="auto"/>
                <w:sz w:val="24"/>
                <w:szCs w:val="24"/>
                <w:highlight w:val="none"/>
              </w:rPr>
            </w:pPr>
          </w:p>
          <w:p w14:paraId="301F6B4F">
            <w:pPr>
              <w:pStyle w:val="25"/>
              <w:spacing w:before="78" w:line="219" w:lineRule="auto"/>
              <w:ind w:left="311"/>
              <w:jc w:val="center"/>
              <w:rPr>
                <w:color w:val="auto"/>
                <w:highlight w:val="none"/>
              </w:rPr>
            </w:pPr>
            <w:r>
              <w:rPr>
                <w:rFonts w:hint="eastAsia"/>
                <w:color w:val="auto"/>
                <w:spacing w:val="-5"/>
                <w:highlight w:val="none"/>
              </w:rPr>
              <w:t>粮油</w:t>
            </w:r>
          </w:p>
        </w:tc>
        <w:tc>
          <w:tcPr>
            <w:tcW w:w="6415" w:type="dxa"/>
          </w:tcPr>
          <w:p w14:paraId="6CCA19D8">
            <w:pPr>
              <w:pStyle w:val="25"/>
              <w:spacing w:before="35" w:line="343" w:lineRule="auto"/>
              <w:ind w:left="136" w:right="225" w:hanging="19"/>
              <w:rPr>
                <w:color w:val="auto"/>
                <w:highlight w:val="none"/>
                <w:lang w:eastAsia="zh-CN"/>
              </w:rPr>
            </w:pPr>
            <w:r>
              <w:rPr>
                <w:rFonts w:hint="eastAsia"/>
                <w:color w:val="auto"/>
                <w:spacing w:val="-7"/>
                <w:highlight w:val="none"/>
                <w:lang w:eastAsia="zh-CN"/>
              </w:rPr>
              <w:t>大米（优质米、籼米、粳米、糯米等）、面粉（高筋面粉、</w:t>
            </w:r>
            <w:r>
              <w:rPr>
                <w:rFonts w:hint="eastAsia"/>
                <w:color w:val="auto"/>
                <w:spacing w:val="8"/>
                <w:highlight w:val="none"/>
                <w:lang w:eastAsia="zh-CN"/>
              </w:rPr>
              <w:t xml:space="preserve"> </w:t>
            </w:r>
            <w:r>
              <w:rPr>
                <w:rFonts w:hint="eastAsia"/>
                <w:color w:val="auto"/>
                <w:spacing w:val="-8"/>
                <w:highlight w:val="none"/>
                <w:lang w:eastAsia="zh-CN"/>
              </w:rPr>
              <w:t>中筋面粉、低筋面粉、无筋面粉等）、面条等</w:t>
            </w:r>
          </w:p>
        </w:tc>
        <w:tc>
          <w:tcPr>
            <w:tcW w:w="1922" w:type="dxa"/>
            <w:vMerge w:val="restart"/>
          </w:tcPr>
          <w:p w14:paraId="20A916CF">
            <w:pPr>
              <w:pStyle w:val="25"/>
              <w:spacing w:before="78" w:line="219" w:lineRule="auto"/>
              <w:rPr>
                <w:color w:val="auto"/>
                <w:spacing w:val="-3"/>
                <w:highlight w:val="none"/>
                <w:lang w:eastAsia="zh-CN"/>
              </w:rPr>
            </w:pPr>
            <w:r>
              <w:rPr>
                <w:rFonts w:hint="eastAsia"/>
                <w:color w:val="auto"/>
                <w:spacing w:val="-2"/>
                <w:highlight w:val="none"/>
                <w:lang w:eastAsia="zh-CN"/>
              </w:rPr>
              <w:t>所有食材必须保持新鲜，不得采购转基因食材和产品，不得采购</w:t>
            </w:r>
            <w:r>
              <w:rPr>
                <w:rFonts w:hint="eastAsia"/>
                <w:color w:val="auto"/>
                <w:spacing w:val="-3"/>
                <w:highlight w:val="none"/>
                <w:lang w:eastAsia="zh-CN"/>
              </w:rPr>
              <w:t>冷冻食材。</w:t>
            </w:r>
          </w:p>
          <w:p w14:paraId="490F2AD3">
            <w:pPr>
              <w:pStyle w:val="25"/>
              <w:spacing w:before="183" w:line="219" w:lineRule="auto"/>
              <w:rPr>
                <w:color w:val="auto"/>
                <w:highlight w:val="none"/>
                <w:lang w:eastAsia="zh-CN"/>
              </w:rPr>
            </w:pPr>
          </w:p>
        </w:tc>
      </w:tr>
      <w:tr w14:paraId="7A54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1090" w:type="dxa"/>
            <w:vMerge w:val="continue"/>
          </w:tcPr>
          <w:p w14:paraId="70D262DB">
            <w:pPr>
              <w:jc w:val="center"/>
              <w:rPr>
                <w:rFonts w:cs="宋体"/>
                <w:color w:val="auto"/>
                <w:sz w:val="24"/>
                <w:szCs w:val="24"/>
                <w:highlight w:val="none"/>
              </w:rPr>
            </w:pPr>
          </w:p>
        </w:tc>
        <w:tc>
          <w:tcPr>
            <w:tcW w:w="6415" w:type="dxa"/>
          </w:tcPr>
          <w:p w14:paraId="5CCC08DB">
            <w:pPr>
              <w:pStyle w:val="25"/>
              <w:spacing w:before="37" w:line="219" w:lineRule="auto"/>
              <w:ind w:left="114"/>
              <w:rPr>
                <w:color w:val="auto"/>
                <w:highlight w:val="none"/>
              </w:rPr>
            </w:pPr>
            <w:r>
              <w:rPr>
                <w:rFonts w:hint="eastAsia"/>
                <w:color w:val="auto"/>
                <w:spacing w:val="-1"/>
                <w:highlight w:val="none"/>
              </w:rPr>
              <w:t>食用油（花生油、菜籽油</w:t>
            </w:r>
            <w:r>
              <w:rPr>
                <w:rFonts w:hint="eastAsia"/>
                <w:color w:val="auto"/>
                <w:spacing w:val="-1"/>
                <w:highlight w:val="none"/>
                <w:lang w:eastAsia="zh-CN"/>
              </w:rPr>
              <w:t>、玉米油、</w:t>
            </w:r>
            <w:r>
              <w:rPr>
                <w:rFonts w:hint="eastAsia"/>
                <w:color w:val="auto"/>
                <w:spacing w:val="-1"/>
                <w:highlight w:val="none"/>
                <w:lang w:val="en-US" w:eastAsia="zh-CN"/>
              </w:rPr>
              <w:t>橄榄油、亚麻籽油</w:t>
            </w:r>
            <w:r>
              <w:rPr>
                <w:rFonts w:hint="eastAsia"/>
                <w:color w:val="auto"/>
                <w:spacing w:val="-1"/>
                <w:highlight w:val="none"/>
              </w:rPr>
              <w:t>等）</w:t>
            </w:r>
          </w:p>
        </w:tc>
        <w:tc>
          <w:tcPr>
            <w:tcW w:w="1922" w:type="dxa"/>
            <w:vMerge w:val="continue"/>
          </w:tcPr>
          <w:p w14:paraId="3FEB957B">
            <w:pPr>
              <w:rPr>
                <w:rFonts w:cs="宋体"/>
                <w:color w:val="auto"/>
                <w:sz w:val="24"/>
                <w:szCs w:val="24"/>
                <w:highlight w:val="none"/>
              </w:rPr>
            </w:pPr>
          </w:p>
        </w:tc>
      </w:tr>
      <w:tr w14:paraId="45E6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rPr>
        <w:tc>
          <w:tcPr>
            <w:tcW w:w="1090" w:type="dxa"/>
          </w:tcPr>
          <w:p w14:paraId="2961C418">
            <w:pPr>
              <w:pStyle w:val="25"/>
              <w:spacing w:before="121" w:line="219" w:lineRule="auto"/>
              <w:ind w:left="334"/>
              <w:jc w:val="center"/>
              <w:rPr>
                <w:color w:val="auto"/>
                <w:highlight w:val="none"/>
              </w:rPr>
            </w:pPr>
            <w:r>
              <w:rPr>
                <w:rFonts w:hint="eastAsia"/>
                <w:color w:val="auto"/>
                <w:spacing w:val="-17"/>
                <w:highlight w:val="none"/>
              </w:rPr>
              <w:t>肉类</w:t>
            </w:r>
          </w:p>
        </w:tc>
        <w:tc>
          <w:tcPr>
            <w:tcW w:w="6415" w:type="dxa"/>
          </w:tcPr>
          <w:p w14:paraId="3301FD59">
            <w:pPr>
              <w:pStyle w:val="25"/>
              <w:spacing w:before="121" w:line="219" w:lineRule="auto"/>
              <w:ind w:left="115"/>
              <w:rPr>
                <w:color w:val="auto"/>
                <w:highlight w:val="none"/>
                <w:lang w:eastAsia="zh-CN"/>
              </w:rPr>
            </w:pPr>
            <w:r>
              <w:rPr>
                <w:rFonts w:hint="eastAsia"/>
                <w:color w:val="auto"/>
                <w:spacing w:val="-1"/>
                <w:highlight w:val="none"/>
                <w:lang w:eastAsia="zh-CN"/>
              </w:rPr>
              <w:t>新鲜猪肉、牛肉、羊肉、肉丸等</w:t>
            </w:r>
          </w:p>
        </w:tc>
        <w:tc>
          <w:tcPr>
            <w:tcW w:w="1922" w:type="dxa"/>
            <w:vMerge w:val="continue"/>
          </w:tcPr>
          <w:p w14:paraId="5A67A561">
            <w:pPr>
              <w:rPr>
                <w:rFonts w:cs="宋体"/>
                <w:color w:val="auto"/>
                <w:sz w:val="24"/>
                <w:szCs w:val="24"/>
                <w:highlight w:val="none"/>
              </w:rPr>
            </w:pPr>
          </w:p>
        </w:tc>
      </w:tr>
      <w:tr w14:paraId="4E79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1090" w:type="dxa"/>
          </w:tcPr>
          <w:p w14:paraId="3806945F">
            <w:pPr>
              <w:pStyle w:val="25"/>
              <w:spacing w:before="154" w:line="219" w:lineRule="auto"/>
              <w:ind w:left="313"/>
              <w:jc w:val="center"/>
              <w:rPr>
                <w:color w:val="auto"/>
                <w:highlight w:val="none"/>
              </w:rPr>
            </w:pPr>
            <w:r>
              <w:rPr>
                <w:rFonts w:hint="eastAsia"/>
                <w:color w:val="auto"/>
                <w:spacing w:val="-6"/>
                <w:highlight w:val="none"/>
              </w:rPr>
              <w:t>家禽</w:t>
            </w:r>
          </w:p>
        </w:tc>
        <w:tc>
          <w:tcPr>
            <w:tcW w:w="6415" w:type="dxa"/>
          </w:tcPr>
          <w:p w14:paraId="5F73CADC">
            <w:pPr>
              <w:pStyle w:val="25"/>
              <w:spacing w:before="154" w:line="219" w:lineRule="auto"/>
              <w:ind w:left="113"/>
              <w:rPr>
                <w:color w:val="auto"/>
                <w:highlight w:val="none"/>
              </w:rPr>
            </w:pPr>
            <w:r>
              <w:rPr>
                <w:rFonts w:hint="eastAsia"/>
                <w:color w:val="auto"/>
                <w:spacing w:val="-2"/>
                <w:highlight w:val="none"/>
              </w:rPr>
              <w:t>鸡、鸭、鹅等</w:t>
            </w:r>
          </w:p>
        </w:tc>
        <w:tc>
          <w:tcPr>
            <w:tcW w:w="1922" w:type="dxa"/>
            <w:vMerge w:val="continue"/>
          </w:tcPr>
          <w:p w14:paraId="6C66C7C5">
            <w:pPr>
              <w:rPr>
                <w:rFonts w:cs="宋体"/>
                <w:color w:val="auto"/>
                <w:sz w:val="24"/>
                <w:szCs w:val="24"/>
                <w:highlight w:val="none"/>
              </w:rPr>
            </w:pPr>
          </w:p>
        </w:tc>
      </w:tr>
      <w:tr w14:paraId="56D7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trPr>
        <w:tc>
          <w:tcPr>
            <w:tcW w:w="1090" w:type="dxa"/>
          </w:tcPr>
          <w:p w14:paraId="76DBB1D6">
            <w:pPr>
              <w:pStyle w:val="25"/>
              <w:spacing w:before="270" w:line="219" w:lineRule="auto"/>
              <w:jc w:val="center"/>
              <w:rPr>
                <w:rFonts w:hint="default" w:eastAsia="宋体"/>
                <w:color w:val="auto"/>
                <w:highlight w:val="none"/>
                <w:lang w:val="en-US" w:eastAsia="zh-CN"/>
              </w:rPr>
            </w:pPr>
            <w:r>
              <w:rPr>
                <w:rFonts w:hint="eastAsia"/>
                <w:color w:val="auto"/>
                <w:highlight w:val="none"/>
                <w:lang w:val="en-US" w:eastAsia="zh-CN"/>
              </w:rPr>
              <w:t>蔬菜类</w:t>
            </w:r>
          </w:p>
        </w:tc>
        <w:tc>
          <w:tcPr>
            <w:tcW w:w="6415" w:type="dxa"/>
          </w:tcPr>
          <w:p w14:paraId="6273052B">
            <w:pPr>
              <w:pStyle w:val="25"/>
              <w:spacing w:before="36" w:line="343" w:lineRule="auto"/>
              <w:ind w:right="103"/>
              <w:rPr>
                <w:color w:val="auto"/>
                <w:highlight w:val="none"/>
                <w:lang w:eastAsia="zh-CN"/>
              </w:rPr>
            </w:pPr>
            <w:r>
              <w:rPr>
                <w:rFonts w:hint="eastAsia"/>
                <w:color w:val="auto"/>
                <w:spacing w:val="-2"/>
                <w:highlight w:val="none"/>
                <w:lang w:eastAsia="zh-CN"/>
              </w:rPr>
              <w:t>蔬菜包含根菜类、茎菜类、叶菜类、花菜类、果菜类、</w:t>
            </w:r>
            <w:r>
              <w:rPr>
                <w:rFonts w:hint="eastAsia"/>
                <w:color w:val="auto"/>
                <w:spacing w:val="-2"/>
                <w:highlight w:val="none"/>
                <w:lang w:val="en-US" w:eastAsia="zh-CN"/>
              </w:rPr>
              <w:t>新鲜菇类</w:t>
            </w:r>
            <w:r>
              <w:rPr>
                <w:rFonts w:hint="eastAsia"/>
                <w:color w:val="auto"/>
                <w:spacing w:val="-2"/>
                <w:highlight w:val="none"/>
                <w:lang w:eastAsia="zh-CN"/>
              </w:rPr>
              <w:t>等</w:t>
            </w:r>
          </w:p>
        </w:tc>
        <w:tc>
          <w:tcPr>
            <w:tcW w:w="1922" w:type="dxa"/>
          </w:tcPr>
          <w:p w14:paraId="3949ACEC">
            <w:pPr>
              <w:pStyle w:val="25"/>
              <w:spacing w:before="78" w:line="219" w:lineRule="auto"/>
              <w:rPr>
                <w:rFonts w:hint="eastAsia" w:ascii="Times New Roman" w:hAnsi="Times New Roman" w:eastAsia="宋体" w:cs="Times New Roman"/>
                <w:color w:val="auto"/>
                <w:spacing w:val="-3"/>
                <w:kern w:val="2"/>
                <w:sz w:val="24"/>
                <w:szCs w:val="20"/>
                <w:highlight w:val="none"/>
                <w:lang w:val="en-US" w:eastAsia="zh-CN" w:bidi="ar-SA"/>
              </w:rPr>
            </w:pPr>
            <w:r>
              <w:rPr>
                <w:rFonts w:hint="eastAsia" w:ascii="Times New Roman" w:hAnsi="Times New Roman" w:eastAsia="宋体" w:cs="Times New Roman"/>
                <w:color w:val="auto"/>
                <w:spacing w:val="-3"/>
                <w:kern w:val="2"/>
                <w:sz w:val="24"/>
                <w:szCs w:val="20"/>
                <w:highlight w:val="none"/>
                <w:lang w:val="en-US" w:eastAsia="zh-CN" w:bidi="ar-SA"/>
              </w:rPr>
              <w:t>安全、新鲜、可追溯。经过分拣、清理，品相较好，规格适中，可使用率达 90%以上。</w:t>
            </w:r>
          </w:p>
        </w:tc>
      </w:tr>
      <w:tr w14:paraId="100C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1090" w:type="dxa"/>
          </w:tcPr>
          <w:p w14:paraId="454F0F39">
            <w:pPr>
              <w:pStyle w:val="25"/>
              <w:spacing w:before="37" w:line="219" w:lineRule="auto"/>
              <w:ind w:left="318"/>
              <w:jc w:val="center"/>
              <w:rPr>
                <w:color w:val="auto"/>
                <w:highlight w:val="none"/>
              </w:rPr>
            </w:pPr>
            <w:r>
              <w:rPr>
                <w:rFonts w:hint="eastAsia"/>
                <w:color w:val="auto"/>
                <w:spacing w:val="-9"/>
                <w:highlight w:val="none"/>
              </w:rPr>
              <w:t>蛋类</w:t>
            </w:r>
          </w:p>
        </w:tc>
        <w:tc>
          <w:tcPr>
            <w:tcW w:w="6415" w:type="dxa"/>
          </w:tcPr>
          <w:p w14:paraId="7C95B53D">
            <w:pPr>
              <w:pStyle w:val="25"/>
              <w:spacing w:before="37" w:line="219" w:lineRule="auto"/>
              <w:ind w:left="114"/>
              <w:rPr>
                <w:color w:val="auto"/>
                <w:highlight w:val="none"/>
              </w:rPr>
            </w:pPr>
            <w:r>
              <w:rPr>
                <w:rFonts w:hint="eastAsia"/>
                <w:color w:val="auto"/>
                <w:spacing w:val="-1"/>
                <w:highlight w:val="none"/>
              </w:rPr>
              <w:t>鲜鸡蛋</w:t>
            </w:r>
          </w:p>
        </w:tc>
        <w:tc>
          <w:tcPr>
            <w:tcW w:w="1922" w:type="dxa"/>
          </w:tcPr>
          <w:p w14:paraId="553C0BA4">
            <w:pPr>
              <w:rPr>
                <w:rFonts w:hint="default"/>
                <w:color w:val="auto"/>
                <w:spacing w:val="-3"/>
                <w:highlight w:val="none"/>
                <w:lang w:val="en-US" w:eastAsia="zh-CN"/>
              </w:rPr>
            </w:pPr>
            <w:r>
              <w:rPr>
                <w:rFonts w:hint="eastAsia"/>
                <w:color w:val="auto"/>
                <w:spacing w:val="-3"/>
                <w:highlight w:val="none"/>
                <w:lang w:val="en-US" w:eastAsia="zh-CN"/>
              </w:rPr>
              <w:t>证照全、蛋壳净、报告齐、无受精、打开后蛋黄凸起完整有韧性、蛋白澄清透明。</w:t>
            </w:r>
          </w:p>
        </w:tc>
      </w:tr>
      <w:tr w14:paraId="7567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1090" w:type="dxa"/>
          </w:tcPr>
          <w:p w14:paraId="6FE61132">
            <w:pPr>
              <w:pStyle w:val="25"/>
              <w:spacing w:before="37" w:line="220" w:lineRule="auto"/>
              <w:ind w:left="193"/>
              <w:jc w:val="center"/>
              <w:rPr>
                <w:color w:val="auto"/>
                <w:highlight w:val="none"/>
                <w:lang w:eastAsia="zh-CN"/>
              </w:rPr>
            </w:pPr>
            <w:r>
              <w:rPr>
                <w:rFonts w:hint="eastAsia"/>
                <w:color w:val="auto"/>
                <w:spacing w:val="-4"/>
                <w:highlight w:val="none"/>
                <w:lang w:val="en-US" w:eastAsia="zh-CN"/>
              </w:rPr>
              <w:t>牛奶</w:t>
            </w:r>
          </w:p>
        </w:tc>
        <w:tc>
          <w:tcPr>
            <w:tcW w:w="6415" w:type="dxa"/>
          </w:tcPr>
          <w:p w14:paraId="10BDB58C">
            <w:pPr>
              <w:pStyle w:val="25"/>
              <w:spacing w:before="37" w:line="220" w:lineRule="auto"/>
              <w:ind w:left="116"/>
              <w:rPr>
                <w:rFonts w:hint="default"/>
                <w:color w:val="auto"/>
                <w:highlight w:val="none"/>
                <w:lang w:val="en-US" w:eastAsia="zh-CN"/>
              </w:rPr>
            </w:pPr>
            <w:r>
              <w:rPr>
                <w:rFonts w:hint="eastAsia"/>
                <w:color w:val="auto"/>
                <w:highlight w:val="none"/>
                <w:lang w:val="en-US" w:eastAsia="zh-CN"/>
              </w:rPr>
              <w:t>纯牛奶、酸奶</w:t>
            </w:r>
          </w:p>
        </w:tc>
        <w:tc>
          <w:tcPr>
            <w:tcW w:w="1922" w:type="dxa"/>
          </w:tcPr>
          <w:p w14:paraId="0D92B4B9">
            <w:pPr>
              <w:rPr>
                <w:rFonts w:cs="宋体"/>
                <w:color w:val="auto"/>
                <w:sz w:val="24"/>
                <w:szCs w:val="24"/>
                <w:highlight w:val="none"/>
              </w:rPr>
            </w:pPr>
            <w:r>
              <w:rPr>
                <w:rFonts w:hint="eastAsia"/>
                <w:color w:val="auto"/>
                <w:spacing w:val="-3"/>
                <w:highlight w:val="none"/>
                <w:lang w:val="en-US" w:eastAsia="zh-CN"/>
              </w:rPr>
              <w:t>纯牛奶</w:t>
            </w:r>
            <w:r>
              <w:rPr>
                <w:rFonts w:hint="eastAsia"/>
                <w:color w:val="auto"/>
                <w:spacing w:val="-3"/>
                <w:highlight w:val="none"/>
                <w:lang w:eastAsia="zh-CN"/>
              </w:rPr>
              <w:t>提供生产日期</w:t>
            </w:r>
            <w:r>
              <w:rPr>
                <w:rFonts w:hint="eastAsia"/>
                <w:color w:val="auto"/>
                <w:spacing w:val="-3"/>
                <w:highlight w:val="none"/>
                <w:lang w:val="en-US" w:eastAsia="zh-CN"/>
              </w:rPr>
              <w:t>为近期（10天内）</w:t>
            </w:r>
            <w:r>
              <w:rPr>
                <w:rFonts w:hint="eastAsia"/>
                <w:color w:val="auto"/>
                <w:spacing w:val="-3"/>
                <w:highlight w:val="none"/>
                <w:lang w:eastAsia="zh-CN"/>
              </w:rPr>
              <w:t>提供同批次质检报告。如果提供的</w:t>
            </w:r>
            <w:r>
              <w:rPr>
                <w:rFonts w:hint="eastAsia"/>
                <w:color w:val="auto"/>
                <w:spacing w:val="-3"/>
                <w:highlight w:val="none"/>
                <w:lang w:val="en-US" w:eastAsia="zh-CN"/>
              </w:rPr>
              <w:t>牛奶日期较长</w:t>
            </w:r>
            <w:r>
              <w:rPr>
                <w:rFonts w:hint="eastAsia"/>
                <w:color w:val="auto"/>
                <w:spacing w:val="-3"/>
                <w:highlight w:val="none"/>
                <w:lang w:eastAsia="zh-CN"/>
              </w:rPr>
              <w:t>，采购人有权利要求在规定的时间重新配送。超过三次及以上的采购人有权依据具体情况进行扣款并进行警告，警告后仍提供不符合要求的，采购人有权解除合同。</w:t>
            </w:r>
          </w:p>
        </w:tc>
      </w:tr>
      <w:tr w14:paraId="0412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 w:hRule="atLeast"/>
        </w:trPr>
        <w:tc>
          <w:tcPr>
            <w:tcW w:w="1090" w:type="dxa"/>
          </w:tcPr>
          <w:p w14:paraId="30333BBC">
            <w:pPr>
              <w:pStyle w:val="25"/>
              <w:spacing w:before="38" w:line="219" w:lineRule="auto"/>
              <w:jc w:val="both"/>
              <w:rPr>
                <w:color w:val="auto"/>
                <w:highlight w:val="none"/>
              </w:rPr>
            </w:pPr>
            <w:r>
              <w:rPr>
                <w:rFonts w:hint="eastAsia"/>
                <w:color w:val="auto"/>
                <w:spacing w:val="-5"/>
                <w:highlight w:val="none"/>
              </w:rPr>
              <w:t>水产类</w:t>
            </w:r>
          </w:p>
        </w:tc>
        <w:tc>
          <w:tcPr>
            <w:tcW w:w="6415" w:type="dxa"/>
          </w:tcPr>
          <w:p w14:paraId="67442200">
            <w:pPr>
              <w:pStyle w:val="25"/>
              <w:spacing w:before="38" w:line="219" w:lineRule="auto"/>
              <w:ind w:left="114"/>
              <w:rPr>
                <w:rFonts w:hint="default" w:eastAsia="宋体"/>
                <w:color w:val="auto"/>
                <w:highlight w:val="none"/>
                <w:lang w:val="en-US" w:eastAsia="zh-CN"/>
              </w:rPr>
            </w:pPr>
            <w:r>
              <w:rPr>
                <w:rFonts w:hint="eastAsia"/>
                <w:color w:val="auto"/>
                <w:spacing w:val="-1"/>
                <w:highlight w:val="none"/>
                <w:lang w:val="en-US" w:eastAsia="zh-CN"/>
              </w:rPr>
              <w:t>鲜鱼、虾、贝、藻类等</w:t>
            </w:r>
          </w:p>
        </w:tc>
        <w:tc>
          <w:tcPr>
            <w:tcW w:w="1922" w:type="dxa"/>
          </w:tcPr>
          <w:p w14:paraId="31656F6B">
            <w:pPr>
              <w:rPr>
                <w:rFonts w:cs="宋体"/>
                <w:color w:val="auto"/>
                <w:sz w:val="24"/>
                <w:szCs w:val="24"/>
                <w:highlight w:val="none"/>
              </w:rPr>
            </w:pPr>
          </w:p>
        </w:tc>
      </w:tr>
      <w:tr w14:paraId="65F1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8" w:hRule="atLeast"/>
        </w:trPr>
        <w:tc>
          <w:tcPr>
            <w:tcW w:w="1090" w:type="dxa"/>
          </w:tcPr>
          <w:p w14:paraId="42F47DD8">
            <w:pPr>
              <w:spacing w:line="327" w:lineRule="auto"/>
              <w:rPr>
                <w:rFonts w:cs="宋体"/>
                <w:color w:val="auto"/>
                <w:sz w:val="24"/>
                <w:szCs w:val="24"/>
                <w:highlight w:val="none"/>
              </w:rPr>
            </w:pPr>
          </w:p>
          <w:p w14:paraId="0341FF7D">
            <w:pPr>
              <w:spacing w:line="327" w:lineRule="auto"/>
              <w:rPr>
                <w:rFonts w:cs="宋体"/>
                <w:color w:val="auto"/>
                <w:sz w:val="24"/>
                <w:szCs w:val="24"/>
                <w:highlight w:val="none"/>
              </w:rPr>
            </w:pPr>
          </w:p>
          <w:p w14:paraId="21B4E9A6">
            <w:pPr>
              <w:pStyle w:val="25"/>
              <w:spacing w:before="78" w:line="361" w:lineRule="auto"/>
              <w:ind w:left="431" w:right="183" w:hanging="235"/>
              <w:rPr>
                <w:color w:val="auto"/>
                <w:highlight w:val="none"/>
              </w:rPr>
            </w:pPr>
            <w:r>
              <w:rPr>
                <w:rFonts w:hint="eastAsia"/>
                <w:color w:val="auto"/>
                <w:spacing w:val="-5"/>
                <w:highlight w:val="none"/>
              </w:rPr>
              <w:t>副食调</w:t>
            </w:r>
            <w:r>
              <w:rPr>
                <w:rFonts w:hint="eastAsia"/>
                <w:color w:val="auto"/>
                <w:highlight w:val="none"/>
              </w:rPr>
              <w:t xml:space="preserve"> 料</w:t>
            </w:r>
          </w:p>
        </w:tc>
        <w:tc>
          <w:tcPr>
            <w:tcW w:w="6415" w:type="dxa"/>
          </w:tcPr>
          <w:p w14:paraId="110D0199">
            <w:pPr>
              <w:pStyle w:val="25"/>
              <w:spacing w:before="39" w:line="352" w:lineRule="auto"/>
              <w:ind w:left="113" w:right="23"/>
              <w:rPr>
                <w:color w:val="auto"/>
                <w:highlight w:val="none"/>
                <w:lang w:eastAsia="zh-CN"/>
              </w:rPr>
            </w:pPr>
            <w:r>
              <w:rPr>
                <w:rFonts w:hint="eastAsia"/>
                <w:color w:val="auto"/>
                <w:spacing w:val="-2"/>
                <w:highlight w:val="none"/>
                <w:lang w:eastAsia="zh-CN"/>
              </w:rPr>
              <w:t>干货类：木耳、香菇、黄豆、绿豆、红豆、八角、桂皮、干</w:t>
            </w:r>
            <w:r>
              <w:rPr>
                <w:rFonts w:hint="eastAsia"/>
                <w:color w:val="auto"/>
                <w:spacing w:val="4"/>
                <w:highlight w:val="none"/>
                <w:lang w:eastAsia="zh-CN"/>
              </w:rPr>
              <w:t xml:space="preserve"> </w:t>
            </w:r>
            <w:r>
              <w:rPr>
                <w:rFonts w:hint="eastAsia"/>
                <w:color w:val="auto"/>
                <w:spacing w:val="-2"/>
                <w:highlight w:val="none"/>
                <w:lang w:eastAsia="zh-CN"/>
              </w:rPr>
              <w:t>辣椒、榨菜、梅干菜、干笋、海带、紫菜</w:t>
            </w:r>
            <w:r>
              <w:rPr>
                <w:rFonts w:hint="eastAsia"/>
                <w:color w:val="auto"/>
                <w:spacing w:val="3"/>
                <w:highlight w:val="none"/>
                <w:lang w:eastAsia="zh-CN"/>
              </w:rPr>
              <w:t xml:space="preserve"> </w:t>
            </w:r>
            <w:r>
              <w:rPr>
                <w:rFonts w:hint="eastAsia"/>
                <w:color w:val="auto"/>
                <w:highlight w:val="none"/>
                <w:lang w:eastAsia="zh-CN"/>
              </w:rPr>
              <w:t>等；调味类：盐、老抽、生抽、豆瓣酱、</w:t>
            </w:r>
            <w:r>
              <w:rPr>
                <w:rFonts w:hint="eastAsia"/>
                <w:color w:val="auto"/>
                <w:spacing w:val="15"/>
                <w:highlight w:val="none"/>
                <w:lang w:eastAsia="zh-CN"/>
              </w:rPr>
              <w:t xml:space="preserve"> </w:t>
            </w:r>
            <w:r>
              <w:rPr>
                <w:rFonts w:hint="eastAsia"/>
                <w:color w:val="auto"/>
                <w:spacing w:val="-8"/>
                <w:highlight w:val="none"/>
                <w:lang w:eastAsia="zh-CN"/>
              </w:rPr>
              <w:t>胡椒粉、麻油、豆豉、料酒、醋、味精、鸡精、卤料、白糖、</w:t>
            </w:r>
            <w:r>
              <w:rPr>
                <w:rFonts w:hint="eastAsia"/>
                <w:color w:val="auto"/>
                <w:spacing w:val="7"/>
                <w:highlight w:val="none"/>
                <w:lang w:eastAsia="zh-CN"/>
              </w:rPr>
              <w:t xml:space="preserve"> </w:t>
            </w:r>
            <w:r>
              <w:rPr>
                <w:rFonts w:hint="eastAsia"/>
                <w:color w:val="auto"/>
                <w:spacing w:val="-1"/>
                <w:highlight w:val="none"/>
                <w:lang w:eastAsia="zh-CN"/>
              </w:rPr>
              <w:t>虾皮等；豆制品：豆腐、豆干、豆腐果等。</w:t>
            </w:r>
          </w:p>
        </w:tc>
        <w:tc>
          <w:tcPr>
            <w:tcW w:w="1922" w:type="dxa"/>
          </w:tcPr>
          <w:p w14:paraId="08D74D52">
            <w:pPr>
              <w:spacing w:line="327" w:lineRule="auto"/>
              <w:rPr>
                <w:rFonts w:cs="宋体"/>
                <w:color w:val="auto"/>
                <w:sz w:val="24"/>
                <w:szCs w:val="24"/>
                <w:highlight w:val="none"/>
              </w:rPr>
            </w:pPr>
          </w:p>
          <w:p w14:paraId="2A25B77A">
            <w:pPr>
              <w:spacing w:line="327" w:lineRule="auto"/>
              <w:rPr>
                <w:rFonts w:cs="宋体"/>
                <w:color w:val="auto"/>
                <w:sz w:val="24"/>
                <w:szCs w:val="24"/>
                <w:highlight w:val="none"/>
              </w:rPr>
            </w:pPr>
          </w:p>
          <w:p w14:paraId="2247E8AA">
            <w:pPr>
              <w:pStyle w:val="25"/>
              <w:spacing w:before="78" w:line="219" w:lineRule="auto"/>
              <w:rPr>
                <w:color w:val="auto"/>
                <w:highlight w:val="none"/>
                <w:lang w:eastAsia="zh-CN"/>
              </w:rPr>
            </w:pPr>
            <w:r>
              <w:rPr>
                <w:rFonts w:hint="eastAsia"/>
                <w:color w:val="auto"/>
                <w:spacing w:val="-2"/>
                <w:highlight w:val="none"/>
                <w:lang w:eastAsia="zh-CN"/>
              </w:rPr>
              <w:t>符合国家食品质 量安全标准</w:t>
            </w:r>
          </w:p>
        </w:tc>
      </w:tr>
      <w:tr w14:paraId="5214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1090" w:type="dxa"/>
            <w:shd w:val="clear" w:color="auto" w:fill="auto"/>
            <w:vAlign w:val="top"/>
          </w:tcPr>
          <w:p w14:paraId="307C432F">
            <w:pPr>
              <w:pStyle w:val="25"/>
              <w:spacing w:before="78" w:line="361" w:lineRule="auto"/>
              <w:ind w:left="431" w:leftChars="0" w:right="183" w:rightChars="0" w:hanging="235" w:firstLineChars="0"/>
              <w:rPr>
                <w:rFonts w:hint="default" w:ascii="宋体" w:hAnsi="宋体" w:eastAsia="宋体" w:cs="宋体"/>
                <w:color w:val="auto"/>
                <w:spacing w:val="-5"/>
                <w:sz w:val="24"/>
                <w:szCs w:val="24"/>
                <w:highlight w:val="none"/>
                <w:lang w:val="en-US" w:eastAsia="zh-CN" w:bidi="ar-SA"/>
              </w:rPr>
            </w:pPr>
            <w:r>
              <w:rPr>
                <w:rFonts w:hint="eastAsia"/>
                <w:color w:val="auto"/>
                <w:spacing w:val="-5"/>
                <w:highlight w:val="none"/>
                <w:lang w:val="en-US" w:eastAsia="zh-CN"/>
              </w:rPr>
              <w:t>粗粮类</w:t>
            </w:r>
          </w:p>
        </w:tc>
        <w:tc>
          <w:tcPr>
            <w:tcW w:w="6415" w:type="dxa"/>
            <w:shd w:val="clear" w:color="auto" w:fill="auto"/>
            <w:vAlign w:val="top"/>
          </w:tcPr>
          <w:p w14:paraId="161C1EAE">
            <w:pPr>
              <w:pStyle w:val="25"/>
              <w:spacing w:before="39" w:line="352" w:lineRule="auto"/>
              <w:ind w:left="113" w:leftChars="0" w:right="23" w:rightChars="0"/>
              <w:rPr>
                <w:rFonts w:hint="eastAsia" w:ascii="宋体" w:hAnsi="宋体" w:eastAsia="宋体" w:cs="宋体"/>
                <w:color w:val="auto"/>
                <w:spacing w:val="-2"/>
                <w:sz w:val="24"/>
                <w:szCs w:val="24"/>
                <w:highlight w:val="none"/>
                <w:lang w:val="en-US" w:eastAsia="zh-CN" w:bidi="ar-SA"/>
              </w:rPr>
            </w:pPr>
            <w:r>
              <w:rPr>
                <w:rFonts w:hint="eastAsia"/>
                <w:color w:val="auto"/>
                <w:spacing w:val="-2"/>
                <w:highlight w:val="none"/>
                <w:lang w:val="en-US" w:eastAsia="zh-CN"/>
              </w:rPr>
              <w:t>南瓜、玉米、山芋、山药等</w:t>
            </w:r>
          </w:p>
        </w:tc>
        <w:tc>
          <w:tcPr>
            <w:tcW w:w="1922" w:type="dxa"/>
          </w:tcPr>
          <w:p w14:paraId="4F6D0A81">
            <w:pPr>
              <w:pStyle w:val="25"/>
              <w:spacing w:before="78" w:line="219" w:lineRule="auto"/>
              <w:rPr>
                <w:rFonts w:hint="eastAsia"/>
                <w:color w:val="auto"/>
                <w:spacing w:val="-2"/>
                <w:highlight w:val="none"/>
                <w:lang w:eastAsia="zh-CN"/>
              </w:rPr>
            </w:pPr>
            <w:r>
              <w:rPr>
                <w:rFonts w:hint="eastAsia"/>
                <w:color w:val="auto"/>
                <w:spacing w:val="-2"/>
                <w:highlight w:val="none"/>
                <w:lang w:eastAsia="zh-CN"/>
              </w:rPr>
              <w:t>经过分拣、清理</w:t>
            </w:r>
          </w:p>
          <w:p w14:paraId="7D40073B">
            <w:pPr>
              <w:pStyle w:val="25"/>
              <w:spacing w:before="78" w:line="219" w:lineRule="auto"/>
              <w:rPr>
                <w:rFonts w:hint="eastAsia"/>
                <w:color w:val="auto"/>
                <w:spacing w:val="-2"/>
                <w:highlight w:val="none"/>
                <w:lang w:eastAsia="zh-CN"/>
              </w:rPr>
            </w:pPr>
            <w:r>
              <w:rPr>
                <w:rFonts w:hint="eastAsia"/>
                <w:color w:val="auto"/>
                <w:spacing w:val="-2"/>
                <w:highlight w:val="none"/>
                <w:lang w:eastAsia="zh-CN"/>
              </w:rPr>
              <w:t>保持新鲜，品相</w:t>
            </w:r>
          </w:p>
          <w:p w14:paraId="4C03AB8E">
            <w:pPr>
              <w:pStyle w:val="25"/>
              <w:spacing w:before="78" w:line="219" w:lineRule="auto"/>
              <w:rPr>
                <w:rFonts w:hint="eastAsia"/>
                <w:color w:val="auto"/>
                <w:spacing w:val="-2"/>
                <w:highlight w:val="none"/>
                <w:lang w:eastAsia="zh-CN"/>
              </w:rPr>
            </w:pPr>
            <w:r>
              <w:rPr>
                <w:rFonts w:hint="eastAsia"/>
                <w:color w:val="auto"/>
                <w:spacing w:val="-2"/>
                <w:highlight w:val="none"/>
                <w:lang w:eastAsia="zh-CN"/>
              </w:rPr>
              <w:t>较好，规格适中，</w:t>
            </w:r>
          </w:p>
          <w:p w14:paraId="2C9FF880">
            <w:pPr>
              <w:pStyle w:val="25"/>
              <w:spacing w:before="78" w:line="219" w:lineRule="auto"/>
              <w:rPr>
                <w:rFonts w:hint="eastAsia"/>
                <w:color w:val="auto"/>
                <w:spacing w:val="-2"/>
                <w:highlight w:val="none"/>
                <w:lang w:eastAsia="zh-CN"/>
              </w:rPr>
            </w:pPr>
            <w:r>
              <w:rPr>
                <w:rFonts w:hint="eastAsia"/>
                <w:color w:val="auto"/>
                <w:spacing w:val="-2"/>
                <w:highlight w:val="none"/>
                <w:lang w:eastAsia="zh-CN"/>
              </w:rPr>
              <w:t>可使用率达 9</w:t>
            </w:r>
            <w:r>
              <w:rPr>
                <w:rFonts w:hint="eastAsia"/>
                <w:color w:val="auto"/>
                <w:spacing w:val="-2"/>
                <w:highlight w:val="none"/>
                <w:lang w:val="en-US" w:eastAsia="zh-CN"/>
              </w:rPr>
              <w:t>8</w:t>
            </w:r>
            <w:r>
              <w:rPr>
                <w:rFonts w:hint="eastAsia"/>
                <w:color w:val="auto"/>
                <w:spacing w:val="-2"/>
                <w:highlight w:val="none"/>
                <w:lang w:eastAsia="zh-CN"/>
              </w:rPr>
              <w:t>%</w:t>
            </w:r>
          </w:p>
          <w:p w14:paraId="1525B218">
            <w:pPr>
              <w:pStyle w:val="25"/>
              <w:spacing w:before="78" w:line="219" w:lineRule="auto"/>
              <w:rPr>
                <w:rFonts w:hint="eastAsia"/>
                <w:color w:val="auto"/>
                <w:spacing w:val="-2"/>
                <w:highlight w:val="none"/>
                <w:lang w:eastAsia="zh-CN"/>
              </w:rPr>
            </w:pPr>
            <w:r>
              <w:rPr>
                <w:rFonts w:hint="eastAsia"/>
                <w:color w:val="auto"/>
                <w:spacing w:val="-2"/>
                <w:highlight w:val="none"/>
                <w:lang w:eastAsia="zh-CN"/>
              </w:rPr>
              <w:t>以上。</w:t>
            </w:r>
          </w:p>
        </w:tc>
      </w:tr>
      <w:tr w14:paraId="5E35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0" w:hRule="atLeast"/>
        </w:trPr>
        <w:tc>
          <w:tcPr>
            <w:tcW w:w="9427" w:type="dxa"/>
            <w:gridSpan w:val="3"/>
          </w:tcPr>
          <w:p w14:paraId="668C4A1C">
            <w:pPr>
              <w:pStyle w:val="25"/>
              <w:spacing w:before="40" w:line="219" w:lineRule="auto"/>
              <w:ind w:left="116"/>
              <w:rPr>
                <w:color w:val="auto"/>
                <w:spacing w:val="-1"/>
                <w:highlight w:val="none"/>
                <w:lang w:eastAsia="zh-CN"/>
              </w:rPr>
            </w:pPr>
            <w:r>
              <w:rPr>
                <w:rFonts w:hint="eastAsia"/>
                <w:color w:val="auto"/>
                <w:spacing w:val="-1"/>
                <w:highlight w:val="none"/>
                <w:lang w:eastAsia="zh-CN"/>
              </w:rPr>
              <w:t>所有货物按国家食品卫生标准要求执行，其中：</w:t>
            </w:r>
          </w:p>
          <w:p w14:paraId="53D1B94B">
            <w:pPr>
              <w:pStyle w:val="25"/>
              <w:spacing w:before="42" w:line="289" w:lineRule="auto"/>
              <w:ind w:left="115" w:right="108" w:firstLine="19"/>
              <w:rPr>
                <w:color w:val="auto"/>
                <w:highlight w:val="none"/>
                <w:lang w:eastAsia="zh-CN"/>
              </w:rPr>
            </w:pPr>
            <w:r>
              <w:rPr>
                <w:rFonts w:hint="eastAsia"/>
                <w:color w:val="auto"/>
                <w:spacing w:val="-2"/>
                <w:highlight w:val="none"/>
                <w:lang w:eastAsia="zh-CN"/>
              </w:rPr>
              <w:t>1.粮油类、副食调料等应符合国家相关标准，并拥有食品质量安全认证，在供货时提供源头供货商资质、与产品匹配的同批次质检报告，供采购人查验。</w:t>
            </w:r>
          </w:p>
          <w:p w14:paraId="77F3AD34">
            <w:pPr>
              <w:pStyle w:val="25"/>
              <w:spacing w:before="180" w:line="289" w:lineRule="auto"/>
              <w:ind w:left="116" w:right="108" w:firstLine="2"/>
              <w:rPr>
                <w:color w:val="auto"/>
                <w:highlight w:val="none"/>
                <w:lang w:eastAsia="zh-CN"/>
              </w:rPr>
            </w:pPr>
            <w:r>
              <w:rPr>
                <w:rFonts w:hint="eastAsia"/>
                <w:color w:val="auto"/>
                <w:spacing w:val="-1"/>
                <w:highlight w:val="none"/>
                <w:lang w:eastAsia="zh-CN"/>
              </w:rPr>
              <w:t>2.肉类、家禽、蛋类、水产类、奶制品必须具有相对应的动物检验检</w:t>
            </w:r>
            <w:r>
              <w:rPr>
                <w:rFonts w:hint="eastAsia"/>
                <w:color w:val="auto"/>
                <w:spacing w:val="-2"/>
                <w:highlight w:val="none"/>
                <w:lang w:eastAsia="zh-CN"/>
              </w:rPr>
              <w:t>疫证明，肉类产品</w:t>
            </w:r>
            <w:r>
              <w:rPr>
                <w:rFonts w:hint="eastAsia"/>
                <w:color w:val="auto"/>
                <w:spacing w:val="-1"/>
                <w:highlight w:val="none"/>
                <w:lang w:eastAsia="zh-CN"/>
              </w:rPr>
              <w:t>应具有屠宰证明等相关产品证明，在供货时供采购人查验。</w:t>
            </w:r>
          </w:p>
          <w:p w14:paraId="4601D708">
            <w:pPr>
              <w:pStyle w:val="25"/>
              <w:spacing w:before="40" w:line="219" w:lineRule="auto"/>
              <w:ind w:left="116"/>
              <w:rPr>
                <w:rFonts w:hint="eastAsia"/>
                <w:color w:val="auto"/>
                <w:spacing w:val="-2"/>
                <w:highlight w:val="none"/>
                <w:lang w:eastAsia="zh-CN"/>
              </w:rPr>
            </w:pPr>
            <w:r>
              <w:rPr>
                <w:rFonts w:hint="eastAsia"/>
                <w:color w:val="auto"/>
                <w:spacing w:val="-3"/>
                <w:highlight w:val="none"/>
                <w:lang w:eastAsia="zh-CN"/>
              </w:rPr>
              <w:t>3.所供应食材中，水产、家禽类为净菜，蔬菜类可使用率应达</w:t>
            </w:r>
            <w:r>
              <w:rPr>
                <w:rFonts w:hint="eastAsia"/>
                <w:color w:val="auto"/>
                <w:spacing w:val="-46"/>
                <w:highlight w:val="none"/>
                <w:lang w:eastAsia="zh-CN"/>
              </w:rPr>
              <w:t xml:space="preserve"> </w:t>
            </w:r>
            <w:r>
              <w:rPr>
                <w:rFonts w:hint="eastAsia"/>
                <w:color w:val="auto"/>
                <w:spacing w:val="-3"/>
                <w:highlight w:val="none"/>
                <w:lang w:eastAsia="zh-CN"/>
              </w:rPr>
              <w:t>90%以上,提供农残检验报告，如达不到该要求</w:t>
            </w:r>
            <w:r>
              <w:rPr>
                <w:rFonts w:hint="eastAsia"/>
                <w:color w:val="auto"/>
                <w:spacing w:val="-2"/>
                <w:highlight w:val="none"/>
                <w:lang w:eastAsia="zh-CN"/>
              </w:rPr>
              <w:t>则全额扣除当日全部菜金。</w:t>
            </w:r>
          </w:p>
          <w:p w14:paraId="482A5D36">
            <w:pPr>
              <w:pStyle w:val="25"/>
              <w:spacing w:before="40" w:line="219" w:lineRule="auto"/>
              <w:ind w:left="116"/>
              <w:rPr>
                <w:color w:val="auto"/>
                <w:spacing w:val="-1"/>
                <w:highlight w:val="none"/>
                <w:lang w:eastAsia="zh-CN"/>
              </w:rPr>
            </w:pPr>
            <w:r>
              <w:rPr>
                <w:rFonts w:hint="eastAsia"/>
                <w:color w:val="auto"/>
                <w:spacing w:val="-2"/>
                <w:highlight w:val="none"/>
                <w:lang w:eastAsia="zh-CN"/>
              </w:rPr>
              <w:t>4.总之，所提供的一切食材均要有齐全的质量证明材料，不限于以上要求。</w:t>
            </w:r>
          </w:p>
        </w:tc>
      </w:tr>
    </w:tbl>
    <w:p w14:paraId="0171635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kern w:val="21"/>
          <w:lang w:val="en-US" w:eastAsia="zh-CN"/>
        </w:rPr>
      </w:pPr>
    </w:p>
    <w:p w14:paraId="4DEC5584">
      <w:pPr>
        <w:pStyle w:val="6"/>
        <w:spacing w:before="115" w:line="220" w:lineRule="auto"/>
        <w:ind w:firstLine="458" w:firstLineChars="200"/>
        <w:rPr>
          <w:rFonts w:ascii="宋体" w:hAnsi="宋体" w:eastAsia="宋体" w:cs="宋体"/>
          <w:color w:val="auto"/>
          <w:sz w:val="24"/>
          <w:highlight w:val="none"/>
        </w:rPr>
      </w:pPr>
      <w:r>
        <w:rPr>
          <w:rFonts w:hint="eastAsia" w:ascii="宋体" w:hAnsi="宋体" w:eastAsia="宋体" w:cs="宋体"/>
          <w:b/>
          <w:bCs/>
          <w:color w:val="auto"/>
          <w:spacing w:val="-6"/>
          <w:sz w:val="24"/>
          <w:highlight w:val="none"/>
        </w:rPr>
        <w:t>（二）质量</w:t>
      </w:r>
    </w:p>
    <w:p w14:paraId="76241D69">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成交供应商应严格遵守《中华人民共和国食品安全法》相关规定，确保食品质量符合国家相关产品质量标准，符合国家强制性规范要求，所供产品质量为同类产品中一类以上产品，必须确保每日或每批次提供的食材经过相关检验、检疫。如出现因食用其提供的食材导致食品安全事故发生，成交供应商承担一切经济、 法律责任。</w:t>
      </w:r>
    </w:p>
    <w:p w14:paraId="45A737FE">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一经发现供应以下食品，采购人除全部退货外，有权立即停止成交供应商供货，成交供应商承担由此造成的经济责任和法律责任。</w:t>
      </w:r>
    </w:p>
    <w:p w14:paraId="7FD358F7">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1.腐败变质、油脂酸败、霉变、生虫、污秽不洁、混有异物或者其他感官性状异常，对人体健康有害的。</w:t>
      </w:r>
    </w:p>
    <w:p w14:paraId="1775802B">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2.含有毒、有害物质或者被有害物质污染，对人体健康有害的。</w:t>
      </w:r>
    </w:p>
    <w:p w14:paraId="736A17F9">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3.含有致病性寄生虫、微生物或者微生物含量超过国家限定标准的。</w:t>
      </w:r>
    </w:p>
    <w:p w14:paraId="1710A8C1">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4.无定点屠宰证明、无卫生检验检疫或者检验不合格的肉类及其制品。</w:t>
      </w:r>
    </w:p>
    <w:p w14:paraId="3517CEE4">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5.掺假、掺杂、伪造、影响营养、卫生的含有未经卫生行政部门批准使用的添加剂，农药（残留）的。</w:t>
      </w:r>
    </w:p>
    <w:p w14:paraId="40896749">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6.用非食品原料加工的，加入非食品用化学物质或者将非食品当作食品的。</w:t>
      </w:r>
    </w:p>
    <w:p w14:paraId="363FB8D6">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7.病死、毒死或死因不明的禽、畜、兽、水产动物及其制品。</w:t>
      </w:r>
    </w:p>
    <w:p w14:paraId="2F170BA5">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8.超过保质期限的食材。</w:t>
      </w:r>
    </w:p>
    <w:p w14:paraId="44E7E57B">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9.其他可能存在导致出现食品安全隐患的食材。</w:t>
      </w:r>
    </w:p>
    <w:p w14:paraId="153FA892">
      <w:pPr>
        <w:pStyle w:val="6"/>
        <w:spacing w:line="360" w:lineRule="auto"/>
        <w:ind w:firstLine="458" w:firstLineChars="200"/>
        <w:rPr>
          <w:rFonts w:ascii="宋体" w:hAnsi="宋体" w:eastAsia="宋体" w:cs="宋体"/>
          <w:b/>
          <w:bCs w:val="0"/>
          <w:color w:val="auto"/>
          <w:spacing w:val="-6"/>
          <w:sz w:val="24"/>
          <w:highlight w:val="none"/>
        </w:rPr>
      </w:pPr>
      <w:r>
        <w:rPr>
          <w:rFonts w:hint="eastAsia" w:ascii="宋体" w:hAnsi="宋体" w:eastAsia="宋体" w:cs="宋体"/>
          <w:b/>
          <w:bCs w:val="0"/>
          <w:color w:val="auto"/>
          <w:spacing w:val="-6"/>
          <w:sz w:val="24"/>
          <w:highlight w:val="none"/>
        </w:rPr>
        <w:t>（三）配送</w:t>
      </w:r>
    </w:p>
    <w:p w14:paraId="2C03B51A">
      <w:pPr>
        <w:pStyle w:val="6"/>
        <w:spacing w:line="360" w:lineRule="auto"/>
        <w:ind w:firstLine="456" w:firstLineChars="200"/>
        <w:rPr>
          <w:rFonts w:hint="eastAsia" w:ascii="宋体" w:hAnsi="宋体" w:eastAsia="宋体" w:cs="宋体"/>
          <w:bCs/>
          <w:color w:val="auto"/>
          <w:spacing w:val="-6"/>
          <w:sz w:val="24"/>
          <w:highlight w:val="none"/>
          <w:lang w:eastAsia="zh-CN"/>
        </w:rPr>
      </w:pPr>
      <w:r>
        <w:rPr>
          <w:rFonts w:hint="eastAsia" w:ascii="宋体" w:hAnsi="宋体" w:eastAsia="宋体" w:cs="宋体"/>
          <w:bCs/>
          <w:color w:val="auto"/>
          <w:spacing w:val="-6"/>
          <w:sz w:val="24"/>
          <w:highlight w:val="none"/>
        </w:rPr>
        <w:t>1.正常情况下每周配送5次（一天一次）。采购人提前以电话或网络通讯等形式向成交供应商发出第二天的订单，成交供应商在接到订单后 2 小时内回复确认。如遇放假，采购人亦会提前通知成交供应商暂停供货。成交供应商应安全准时将所需食材送至</w:t>
      </w:r>
      <w:r>
        <w:rPr>
          <w:rFonts w:hint="eastAsia" w:ascii="宋体" w:hAnsi="宋体" w:eastAsia="宋体" w:cs="宋体"/>
          <w:bCs/>
          <w:color w:val="auto"/>
          <w:spacing w:val="-6"/>
          <w:sz w:val="24"/>
          <w:highlight w:val="none"/>
          <w:lang w:val="en-US" w:eastAsia="zh-CN"/>
        </w:rPr>
        <w:t>肥西县直属机关幼儿园各分园食堂</w:t>
      </w:r>
      <w:r>
        <w:rPr>
          <w:rFonts w:hint="eastAsia" w:ascii="宋体" w:hAnsi="宋体" w:eastAsia="宋体" w:cs="宋体"/>
          <w:bCs/>
          <w:color w:val="auto"/>
          <w:spacing w:val="-6"/>
          <w:sz w:val="24"/>
          <w:highlight w:val="none"/>
        </w:rPr>
        <w:t>等，配送食材的时间根据园所需要时间而定，一般约为7:30前</w:t>
      </w:r>
      <w:r>
        <w:rPr>
          <w:rFonts w:hint="eastAsia" w:ascii="宋体" w:hAnsi="宋体" w:eastAsia="宋体" w:cs="宋体"/>
          <w:bCs/>
          <w:color w:val="auto"/>
          <w:spacing w:val="-6"/>
          <w:sz w:val="24"/>
          <w:highlight w:val="none"/>
          <w:lang w:eastAsia="zh-CN"/>
        </w:rPr>
        <w:t>。</w:t>
      </w:r>
    </w:p>
    <w:p w14:paraId="0299BAFB">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lang w:val="en-US" w:eastAsia="zh-CN"/>
        </w:rPr>
        <w:t>配送时需随货</w:t>
      </w:r>
      <w:r>
        <w:rPr>
          <w:rFonts w:hint="eastAsia" w:ascii="宋体" w:hAnsi="宋体" w:eastAsia="宋体" w:cs="宋体"/>
          <w:bCs/>
          <w:color w:val="auto"/>
          <w:spacing w:val="-6"/>
          <w:sz w:val="24"/>
          <w:highlight w:val="none"/>
        </w:rPr>
        <w:t>附食材价格清单</w:t>
      </w:r>
      <w:r>
        <w:rPr>
          <w:rFonts w:hint="eastAsia" w:ascii="宋体" w:hAnsi="宋体" w:eastAsia="宋体" w:cs="宋体"/>
          <w:bCs/>
          <w:color w:val="auto"/>
          <w:spacing w:val="-6"/>
          <w:sz w:val="24"/>
          <w:highlight w:val="none"/>
          <w:lang w:eastAsia="zh-CN"/>
        </w:rPr>
        <w:t>（</w:t>
      </w:r>
      <w:r>
        <w:rPr>
          <w:rFonts w:hint="eastAsia" w:ascii="宋体" w:hAnsi="宋体" w:eastAsia="宋体" w:cs="宋体"/>
          <w:bCs/>
          <w:color w:val="auto"/>
          <w:spacing w:val="-6"/>
          <w:sz w:val="24"/>
          <w:highlight w:val="none"/>
          <w:lang w:val="en-US" w:eastAsia="zh-CN"/>
        </w:rPr>
        <w:t>一式四份）</w:t>
      </w:r>
      <w:r>
        <w:rPr>
          <w:rFonts w:hint="eastAsia" w:ascii="宋体" w:hAnsi="宋体" w:eastAsia="宋体" w:cs="宋体"/>
          <w:bCs/>
          <w:color w:val="auto"/>
          <w:spacing w:val="-6"/>
          <w:sz w:val="24"/>
          <w:highlight w:val="none"/>
        </w:rPr>
        <w:t>、各类票、据、报告等，由配送人员、幼儿园食品安全负责人员、食堂工作人</w:t>
      </w:r>
      <w:r>
        <w:rPr>
          <w:rFonts w:hint="eastAsia" w:hAnsi="宋体" w:cs="宋体"/>
          <w:bCs/>
          <w:color w:val="auto"/>
          <w:spacing w:val="-6"/>
          <w:sz w:val="24"/>
          <w:highlight w:val="none"/>
          <w:lang w:val="en-US" w:eastAsia="zh-CN"/>
        </w:rPr>
        <w:t xml:space="preserve"> </w:t>
      </w:r>
      <w:r>
        <w:rPr>
          <w:rFonts w:hint="eastAsia" w:ascii="宋体" w:hAnsi="宋体" w:eastAsia="宋体" w:cs="宋体"/>
          <w:bCs/>
          <w:color w:val="auto"/>
          <w:spacing w:val="-6"/>
          <w:sz w:val="24"/>
          <w:highlight w:val="none"/>
        </w:rPr>
        <w:t>员和家长代表共同验收并签字确认。</w:t>
      </w:r>
    </w:p>
    <w:p w14:paraId="25171393">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2.若遇有特殊情况，或因食材质量不过关需要临时补、退、调换的，必须根据幼儿园要求，在半小时内配送到位。退换货票据、报告等手续当日必须完善，做到配送清单日清。</w:t>
      </w:r>
    </w:p>
    <w:p w14:paraId="512FACAC">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3.食材的运输工具、车辆、篮筐等必须专用，冷链配送、清洁卫生，不与有毒、有害物品混运，配送所有费用及安全均由成交供应商负责。</w:t>
      </w:r>
    </w:p>
    <w:p w14:paraId="36BC88A2">
      <w:pPr>
        <w:pStyle w:val="6"/>
        <w:spacing w:line="360" w:lineRule="auto"/>
        <w:ind w:firstLine="456" w:firstLineChars="200"/>
        <w:rPr>
          <w:rFonts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4.成交供应商擅自推迟送货，采购人有权拒绝验收签单，成交供应商应负因此带来的一切后果责任。</w:t>
      </w:r>
    </w:p>
    <w:p w14:paraId="6D4652AA">
      <w:pPr>
        <w:pStyle w:val="6"/>
        <w:spacing w:line="219" w:lineRule="auto"/>
        <w:ind w:firstLine="458" w:firstLineChars="200"/>
        <w:rPr>
          <w:rFonts w:ascii="宋体" w:hAnsi="宋体" w:eastAsia="宋体" w:cs="宋体"/>
          <w:b/>
          <w:bCs/>
          <w:color w:val="auto"/>
          <w:sz w:val="24"/>
          <w:highlight w:val="none"/>
        </w:rPr>
      </w:pPr>
      <w:r>
        <w:rPr>
          <w:rFonts w:hint="eastAsia" w:ascii="宋体" w:hAnsi="宋体" w:eastAsia="宋体" w:cs="宋体"/>
          <w:b/>
          <w:bCs/>
          <w:color w:val="auto"/>
          <w:spacing w:val="-6"/>
          <w:sz w:val="24"/>
          <w:highlight w:val="none"/>
        </w:rPr>
        <w:t>（四）验收</w:t>
      </w:r>
    </w:p>
    <w:p w14:paraId="026446ED">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1.成交供应商每日送货时，提供送货清单（含货物名称、规格、数量）、 每日或每批次所供食材的相关检验检疫证明等证明材料。货到后，成交供应商配合采购人对货物进行验收，发现货物不符合要求的，采购人有权拒绝验收签单，要求立即退货或在指定时间内换货。未经采购人验收签单的货物，视为无效供货。采购人在使用过程中有权不定期对货物进行复检，复检发现货物不符合要求的，采购人有权立即退货或在指定时间内换货。如因成交供应商货物配送问题，对采购人造成其他损失的，成交供应商应予以相应赔偿，情节严重的，采购人有权追究成交供应商违约责任。</w:t>
      </w:r>
    </w:p>
    <w:p w14:paraId="601FF1CE">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成交供应商供货量与采购人订单误差10%以内的，按实际数量验收。超过10%的部分，采购人有权予以退回；不足90%的，由采购人决定是否需要即时补足，需即时补足的成交供应商必须在一小时内补足。如成交供应商已在货物包装外明示标准数量，经采购人检验实际数量低于该明示数量的，采购人可扣除差异数量的3倍以上的货款。</w:t>
      </w:r>
    </w:p>
    <w:p w14:paraId="0983638B">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3.大米验收标准</w:t>
      </w:r>
    </w:p>
    <w:p w14:paraId="28B2491A">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w:t>
      </w:r>
      <w:r>
        <w:rPr>
          <w:rFonts w:hint="eastAsia" w:ascii="宋体" w:hAnsi="宋体" w:eastAsia="宋体" w:cs="宋体"/>
          <w:bCs/>
          <w:color w:val="auto"/>
          <w:spacing w:val="-6"/>
          <w:sz w:val="24"/>
          <w:highlight w:val="none"/>
          <w:lang w:val="en-US" w:eastAsia="zh-CN"/>
        </w:rPr>
        <w:t>1</w:t>
      </w:r>
      <w:r>
        <w:rPr>
          <w:rFonts w:hint="eastAsia" w:ascii="宋体" w:hAnsi="宋体" w:eastAsia="宋体" w:cs="宋体"/>
          <w:bCs/>
          <w:color w:val="auto"/>
          <w:spacing w:val="-6"/>
          <w:sz w:val="24"/>
          <w:highlight w:val="none"/>
        </w:rPr>
        <w:t>）有标明产品名称、净含量、生产者名称和地址、生产日期、保质期或保存期、质量等级、产品标准号、生产许可证号、产品批号等内容，</w:t>
      </w:r>
      <w:r>
        <w:rPr>
          <w:rFonts w:hint="eastAsia" w:ascii="宋体" w:hAnsi="宋体" w:eastAsia="宋体" w:cs="宋体"/>
          <w:b/>
          <w:bCs w:val="0"/>
          <w:color w:val="auto"/>
          <w:spacing w:val="-6"/>
          <w:sz w:val="24"/>
          <w:highlight w:val="none"/>
        </w:rPr>
        <w:t>有产品合格证，大米应具备镉、黄曲霉毒素等指标的检测报告</w:t>
      </w:r>
      <w:r>
        <w:rPr>
          <w:rFonts w:hint="eastAsia" w:ascii="宋体" w:hAnsi="宋体" w:eastAsia="宋体" w:cs="宋体"/>
          <w:b/>
          <w:bCs w:val="0"/>
          <w:color w:val="auto"/>
          <w:spacing w:val="-6"/>
          <w:sz w:val="24"/>
          <w:highlight w:val="none"/>
          <w:lang w:eastAsia="zh-CN"/>
        </w:rPr>
        <w:t>，</w:t>
      </w:r>
      <w:r>
        <w:rPr>
          <w:rFonts w:hint="eastAsia" w:ascii="宋体" w:hAnsi="宋体" w:eastAsia="宋体" w:cs="宋体"/>
          <w:bCs/>
          <w:color w:val="auto"/>
          <w:spacing w:val="-6"/>
          <w:sz w:val="24"/>
          <w:highlight w:val="none"/>
        </w:rPr>
        <w:t>供货时的剩余保存期不少于保质期的二分之一，质量符合大米国家标准与国家粮食卫生标准。</w:t>
      </w:r>
    </w:p>
    <w:p w14:paraId="23B7FB49">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（2）包装方式和包装质量符合国家规定，外包装完好，包装破损率为零， 不允许有糟糠、碎米、发霉、结块、砂子及黄色、黑色。</w:t>
      </w:r>
    </w:p>
    <w:p w14:paraId="43FDBFB9">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（3）具有固有色泽和香味，无污染、无虫害，色泽、气味、口味正常，无异味或霉味（霉变），无虫蛀结块挂丝或杂质异等。</w:t>
      </w:r>
    </w:p>
    <w:p w14:paraId="58D38645">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（4）蒸后可口有粘性、有香味，不允许蒸后有酸味、霉味、异味、无粘性等及其他质量问题。</w:t>
      </w:r>
    </w:p>
    <w:p w14:paraId="25870CF7">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（5）各项指标符合国家标准要求。</w:t>
      </w:r>
    </w:p>
    <w:p w14:paraId="6194979A">
      <w:pPr>
        <w:pStyle w:val="6"/>
        <w:spacing w:before="184" w:line="219" w:lineRule="auto"/>
        <w:ind w:left="394"/>
        <w:rPr>
          <w:rFonts w:hint="eastAsia" w:ascii="宋体" w:hAnsi="宋体" w:eastAsia="宋体" w:cs="宋体"/>
          <w:color w:val="auto"/>
          <w:sz w:val="24"/>
          <w:highlight w:val="none"/>
        </w:rPr>
      </w:pPr>
      <w:r>
        <w:rPr>
          <w:rFonts w:hint="eastAsia" w:ascii="宋体" w:hAnsi="宋体" w:eastAsia="宋体" w:cs="宋体"/>
          <w:color w:val="auto"/>
          <w:sz w:val="24"/>
          <w:highlight w:val="none"/>
        </w:rPr>
        <w:t>4.面粉、面条验收标准</w:t>
      </w:r>
    </w:p>
    <w:p w14:paraId="124E2AEC">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（1）有标明品名、厂名、重量、生产日期、保质期或保存期、执行标准等内容，具有《产品质量检验报告》和《出厂检验报告》，剩余保存期不少于保质期的二分之一。</w:t>
      </w:r>
    </w:p>
    <w:p w14:paraId="452595B2">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（2）外包装完好，卫生无破漏。</w:t>
      </w:r>
    </w:p>
    <w:p w14:paraId="0010BD48">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（3）面粉新鲜、色泽呈现乳白或微黄色、手感细腻、颗粒均匀、有自然浓郁的麦香味、手抓后自然流出、松开手后不成团、用它制成的成品如馒头有麦香味、香甜入口不粘牙、符合国家食品卫生标准。</w:t>
      </w:r>
    </w:p>
    <w:p w14:paraId="709824BE">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（4）面条色泽均匀一致，气味、口感正常，无肉眼可见异物，无异味，质量达到国家粮食局规定的挂面标准。</w:t>
      </w:r>
    </w:p>
    <w:p w14:paraId="321BC208">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（5）各项指标符合国家标准要求。</w:t>
      </w:r>
    </w:p>
    <w:p w14:paraId="57B1A27A">
      <w:pPr>
        <w:pStyle w:val="6"/>
        <w:spacing w:before="184" w:line="219" w:lineRule="auto"/>
        <w:ind w:left="394"/>
        <w:rPr>
          <w:rFonts w:hint="eastAsia" w:ascii="宋体" w:hAnsi="宋体" w:eastAsia="宋体" w:cs="宋体"/>
          <w:color w:val="auto"/>
          <w:sz w:val="24"/>
          <w:highlight w:val="none"/>
        </w:rPr>
      </w:pPr>
      <w:r>
        <w:rPr>
          <w:rFonts w:hint="eastAsia" w:ascii="宋体" w:hAnsi="宋体" w:eastAsia="宋体" w:cs="宋体"/>
          <w:color w:val="auto"/>
          <w:sz w:val="24"/>
          <w:highlight w:val="none"/>
        </w:rPr>
        <w:t>5.食用油验收标准</w:t>
      </w:r>
    </w:p>
    <w:p w14:paraId="413D1B83">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（1）标明品名、厂名、重量、生产日期、保质期或保存期、执行标准等内容，有产品合格证，供货时的剩余保存期不少于保质期的二分之一，外包装完好。</w:t>
      </w:r>
    </w:p>
    <w:p w14:paraId="33B42FEF">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（2）具有正常植物油的色泽、透明度、气味和滋味，无焦臭、酸败及其他</w:t>
      </w:r>
    </w:p>
    <w:p w14:paraId="22E7B2FC">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异味。不得混有其他食用油或非食用油。加热试验（280℃) 油色不得变深，无析出物。</w:t>
      </w:r>
    </w:p>
    <w:p w14:paraId="25D8B610">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（3）各项指标符合国家标准要求。</w:t>
      </w:r>
    </w:p>
    <w:p w14:paraId="22B89F5B">
      <w:pPr>
        <w:pStyle w:val="6"/>
        <w:spacing w:before="184" w:line="219" w:lineRule="auto"/>
        <w:ind w:left="394"/>
        <w:rPr>
          <w:rFonts w:hint="eastAsia" w:ascii="宋体" w:hAnsi="宋体" w:eastAsia="宋体" w:cs="宋体"/>
          <w:color w:val="auto"/>
          <w:sz w:val="24"/>
          <w:highlight w:val="none"/>
        </w:rPr>
      </w:pPr>
      <w:r>
        <w:rPr>
          <w:rFonts w:hint="eastAsia" w:ascii="宋体" w:hAnsi="宋体" w:eastAsia="宋体" w:cs="宋体"/>
          <w:color w:val="auto"/>
          <w:sz w:val="24"/>
          <w:highlight w:val="none"/>
        </w:rPr>
        <w:t>6.肉类、家禽类验收标准</w:t>
      </w:r>
    </w:p>
    <w:p w14:paraId="34573C74">
      <w:pPr>
        <w:pStyle w:val="6"/>
        <w:spacing w:before="184" w:line="219" w:lineRule="auto"/>
        <w:ind w:left="394"/>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 </w:t>
      </w:r>
      <w:r>
        <w:rPr>
          <w:rFonts w:hint="eastAsia" w:ascii="宋体" w:hAnsi="宋体" w:eastAsia="宋体" w:cs="宋体"/>
          <w:b/>
          <w:bCs/>
          <w:color w:val="auto"/>
          <w:sz w:val="24"/>
          <w:highlight w:val="none"/>
        </w:rPr>
        <w:t xml:space="preserve"> 肉类验收须同时提供：动物检疫合格证明（产地/屠宰）； 肉品品质检验合格证； 追溯二维码（扫码显示养殖场、饲料来源、检疫信息）；运输车辆GPS轨迹（证明未中途调货）。猪肉还需附有非洲猪瘟检测证明</w:t>
      </w:r>
      <w:r>
        <w:rPr>
          <w:rFonts w:hint="eastAsia" w:ascii="宋体" w:hAnsi="宋体" w:eastAsia="宋体" w:cs="宋体"/>
          <w:b/>
          <w:bCs/>
          <w:color w:val="auto"/>
          <w:sz w:val="24"/>
          <w:highlight w:val="none"/>
          <w:lang w:eastAsia="zh-CN"/>
        </w:rPr>
        <w:t>。</w:t>
      </w:r>
    </w:p>
    <w:p w14:paraId="4097F6C1">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鲜瘦肉。肌肉红色均匀，有光泽，脂肪洁白。外表微干或微湿润，放血状况良好，肉边整齐，无破碎肉，无黏液渗出或很干的表皮，无点状、虫状等小颗粒灰白色寄生虫。弹性良好，压后凹陷立即恢复。具有鲜猪肉正常气味，无泥污、血污、肉边整齐、无碎肉、碎骨，按标准部位分割、精肉无多余脂肪，无注水。</w:t>
      </w:r>
    </w:p>
    <w:p w14:paraId="152A4FB4">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（2）五花肉。带皮的肥瘦肉，肌肉与脂肪相间多层。</w:t>
      </w:r>
    </w:p>
    <w:p w14:paraId="57A7F0E3">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（3）排骨。带肉的排骨，排骨带少量肉，不带肥油，厚实，完整，不得剔 降，骨肉不分离。</w:t>
      </w:r>
    </w:p>
    <w:p w14:paraId="5DEA1548">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（4）猪肝、猪心。肝叶完整、暗红、质地柔软、湿润、有光泽、边缘薄。 心冠脂肪洁白、组织结实有弹性、用手可挤出鲜红的血液和血凝结块。</w:t>
      </w:r>
    </w:p>
    <w:p w14:paraId="2C587834">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（5）猪腰。表面有一层光亮的薄膜、呈浅红色，柔软有光泽、有弹性。</w:t>
      </w:r>
    </w:p>
    <w:p w14:paraId="77C75575">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（6）猪肚。呈浅白、色泽光润、不带肥油、内部干净、无异物、极小味道。</w:t>
      </w:r>
    </w:p>
    <w:p w14:paraId="67C2B11B">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（7）猪手。腿骨，圆管形、浅黄骨髓充满全部管状骨腔，带部分肌肉、干净、完整、无毛、无黑斑、无指甲、表皮光滑、肉质有弹性。</w:t>
      </w:r>
    </w:p>
    <w:p w14:paraId="1A986F4F">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（8）鲜牛肉。肉色深红、肉质有弹性、指压陷部分立刻恢复，切面有光泽及微湿润，极小渗出物；具有浓郁的牛肉气味，脂肪白色或乳白色，无寄生虫，无注水。</w:t>
      </w:r>
    </w:p>
    <w:p w14:paraId="688D7329">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（9）鲜羊肉。肉色为均匀的红色、有光泽、肉质紧密而细腻、有弹性、外表微干、不粘手、肉皮为白至浅灰白色、无注水。</w:t>
      </w:r>
    </w:p>
    <w:p w14:paraId="30E060B5">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（10）牛腩。肉色为均匀的红色、有光泽、肉质紧密面细腻，有弹性、外表 微干、不粘手、肉皮为白至浅灰白色、无注水。</w:t>
      </w:r>
    </w:p>
    <w:p w14:paraId="2B0E2617">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（11）鲜鸭。表皮光滑而有光泽、肉质弹性好且丰满、表皮无毛或少毛、无 破皮、无花皮、无显眼淤块；无注水、肚内无一切内脏、无血水、无异味。</w:t>
      </w:r>
    </w:p>
    <w:p w14:paraId="75EA94F7">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（12）鲜鸡。具有该品种应有的外形特征、大小符合要求、鸡肚内无一切 内 脏、眼球饱满、皮肤有光泽、因品种不同而呈淡黄、淡红、灰白或灰黑等色、外 表微干或微湿润、不粘手、指压后的凹陷立即恢复，具有鲜鸡肉正常气味，淤血 斑无或极少，无打水症状、无破皮、鸡的翼部或鸡关节，不能有骨折和因骨折破 皮而使骨头外露。</w:t>
      </w:r>
    </w:p>
    <w:p w14:paraId="3A13DCCE">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（13）鱼类。游水生猛，对外界刺激敏感，无翻肚；无嘴烂及其它外表损伤。 鱼鳞完整有光泽，不易脱落，眼隔膜有光泽、透明，眼球突出；腹部坚实不膨胀， 肛门内部洁净无异常红尾。大小均匀。</w:t>
      </w:r>
    </w:p>
    <w:p w14:paraId="6117DC99">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（14）虾类。游水快，对外界刺激敏感；头尾完整，有一定弯曲度；虾眼突 起，虾身较挺，肉质坚实；虾壳发亮、发硬，呈青绿色或青白色。</w:t>
      </w:r>
    </w:p>
    <w:p w14:paraId="4814BB36">
      <w:pPr>
        <w:pStyle w:val="6"/>
        <w:spacing w:before="184" w:line="219" w:lineRule="auto"/>
        <w:ind w:left="394"/>
        <w:rPr>
          <w:rFonts w:hint="eastAsia" w:ascii="宋体" w:hAnsi="宋体" w:eastAsia="宋体" w:cs="宋体"/>
          <w:color w:val="auto"/>
          <w:sz w:val="24"/>
          <w:highlight w:val="none"/>
        </w:rPr>
      </w:pPr>
      <w:r>
        <w:rPr>
          <w:rFonts w:hint="eastAsia" w:ascii="宋体" w:hAnsi="宋体" w:eastAsia="宋体" w:cs="宋体"/>
          <w:color w:val="auto"/>
          <w:sz w:val="24"/>
          <w:highlight w:val="none"/>
        </w:rPr>
        <w:t>7.禽蛋类验收标准</w:t>
      </w:r>
    </w:p>
    <w:p w14:paraId="797BB92D">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（1）符合国家食品安全标准关于蛋与蛋制品相关要求。</w:t>
      </w:r>
    </w:p>
    <w:p w14:paraId="3759D226">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（2）色泽：灯光透视时整个蛋呈微红色，蛋内无黑点及异物；去壳后蛋黄呈橘黄色至橙色，蛋白澄清，蛋黄凸起完整并带有韧性，蛋白稀稠分明，无正常视力可见外来异物。</w:t>
      </w:r>
    </w:p>
    <w:p w14:paraId="361C6D0D">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（3）气味：蛋液具有固有的蛋腥味，无异味。</w:t>
      </w:r>
    </w:p>
    <w:p w14:paraId="3CB09E80">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（4）状态：蛋壳清洁完整、无光泽、无裂纹、无霉斑、摇动无声、大小均匀。</w:t>
      </w:r>
    </w:p>
    <w:p w14:paraId="3F0FF8D3">
      <w:pPr>
        <w:pStyle w:val="6"/>
        <w:spacing w:before="184" w:line="219" w:lineRule="auto"/>
        <w:ind w:left="394"/>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sz w:val="24"/>
          <w:highlight w:val="none"/>
          <w:lang w:val="en-US" w:eastAsia="zh-CN"/>
        </w:rPr>
        <w:t>半成品面点</w:t>
      </w:r>
      <w:r>
        <w:rPr>
          <w:rFonts w:hint="eastAsia" w:ascii="宋体" w:hAnsi="宋体" w:eastAsia="宋体" w:cs="宋体"/>
          <w:color w:val="auto"/>
          <w:sz w:val="24"/>
          <w:highlight w:val="none"/>
        </w:rPr>
        <w:t>类验收标准</w:t>
      </w:r>
    </w:p>
    <w:p w14:paraId="00417085">
      <w:pPr>
        <w:pStyle w:val="6"/>
        <w:spacing w:line="360" w:lineRule="auto"/>
        <w:ind w:firstLine="480" w:firstLineChars="200"/>
        <w:rPr>
          <w:rFonts w:hint="eastAsia" w:ascii="宋体" w:hAnsi="宋体" w:eastAsia="宋体" w:cs="宋体"/>
          <w:bCs/>
          <w:color w:val="auto"/>
          <w:spacing w:val="-6"/>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spacing w:val="-6"/>
          <w:sz w:val="24"/>
          <w:highlight w:val="none"/>
        </w:rPr>
        <w:t xml:space="preserve"> 外包装必须清洁、完好、无破损、无泄漏、无胀包/罐、无严重变形。配料表特别注意过敏源信息：如含麸质的谷物、蛋类、鱼类、花生、大豆、乳制品、坚果等。“三无”产品严禁验收：无生产厂家、无生产日期、无保质期的点心。避免高糖、高盐、高脂肪的“三高”产品，避免不健康成分，如人工合成色素，胭脂红、柠檬黄、日落黄、亮蓝等，过量的防腐剂、人工甜味剂（糖精钠、甜蜜素、阿斯巴甜等）的产品。优先选择钠含量、添加糖含量、脂肪含量（特别是饱和脂肪和反式脂肪）相对较低以及无添加剂的产品。</w:t>
      </w:r>
    </w:p>
    <w:p w14:paraId="34EE23F6">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9.蔬</w:t>
      </w:r>
      <w:r>
        <w:rPr>
          <w:rFonts w:hint="eastAsia" w:ascii="宋体" w:hAnsi="宋体" w:eastAsia="宋体" w:cs="宋体"/>
          <w:bCs/>
          <w:color w:val="auto"/>
          <w:spacing w:val="-6"/>
          <w:sz w:val="24"/>
          <w:highlight w:val="none"/>
          <w:lang w:val="en-US" w:eastAsia="zh-CN"/>
        </w:rPr>
        <w:t>菜</w:t>
      </w:r>
      <w:r>
        <w:rPr>
          <w:rFonts w:hint="eastAsia" w:ascii="宋体" w:hAnsi="宋体" w:eastAsia="宋体" w:cs="宋体"/>
          <w:bCs/>
          <w:color w:val="auto"/>
          <w:spacing w:val="-6"/>
          <w:sz w:val="24"/>
          <w:highlight w:val="none"/>
        </w:rPr>
        <w:t>类验收标准</w:t>
      </w:r>
    </w:p>
    <w:p w14:paraId="301BCFF4">
      <w:pPr>
        <w:pStyle w:val="6"/>
        <w:spacing w:line="360" w:lineRule="auto"/>
        <w:ind w:firstLine="456" w:firstLineChars="200"/>
        <w:rPr>
          <w:rFonts w:hint="eastAsia" w:ascii="宋体" w:hAnsi="宋体" w:eastAsia="宋体" w:cs="宋体"/>
          <w:bCs/>
          <w:color w:val="auto"/>
          <w:spacing w:val="-6"/>
          <w:sz w:val="24"/>
          <w:highlight w:val="none"/>
          <w:lang w:eastAsia="zh-CN"/>
        </w:rPr>
      </w:pPr>
      <w:r>
        <w:rPr>
          <w:rFonts w:hint="eastAsia" w:ascii="宋体" w:hAnsi="宋体" w:eastAsia="宋体" w:cs="宋体"/>
          <w:bCs/>
          <w:color w:val="auto"/>
          <w:spacing w:val="-6"/>
          <w:sz w:val="24"/>
          <w:highlight w:val="none"/>
          <w:lang w:val="en-US" w:eastAsia="zh-CN"/>
        </w:rPr>
        <w:t>蔬菜</w:t>
      </w:r>
      <w:r>
        <w:rPr>
          <w:rFonts w:hint="eastAsia" w:ascii="宋体" w:hAnsi="宋体" w:eastAsia="宋体" w:cs="宋体"/>
          <w:bCs/>
          <w:color w:val="auto"/>
          <w:spacing w:val="-6"/>
          <w:sz w:val="24"/>
          <w:highlight w:val="none"/>
        </w:rPr>
        <w:t>新鲜、青嫩、干净、无破损、无发黄、无腐烂、无杂质、无杂 草、无黄叶、无老叶、无浸水泡水或注水、无异味、无冻害、无病虫害、无污染， 色泽正常、无变色、光泽、色亮鲜艳，水量充足、但无过分萎蔫、皱皮，枝叶丰 满、大小适中、曲线谐调，叶菜挺立、爪菜饱满、结实、无空心、根菜略硬，根部干净、无多泥根、无生芽现象，成熟度适中、未过熟、腐烂，相同新鲜 条件下无外力条件造成的伤害（如挤伤、压伤、碰伤、切口、裂伤等），机械伤不超过 2%，无污染、无残留农药、无运输造成的污染，农药残留不超标，提供农药残留检测报告，尽量采用当地时令蔬菜。同时，蔬菜每日批次农残快检报告须随货同行</w:t>
      </w:r>
      <w:r>
        <w:rPr>
          <w:rFonts w:hint="eastAsia" w:ascii="宋体" w:hAnsi="宋体" w:eastAsia="宋体" w:cs="宋体"/>
          <w:bCs/>
          <w:color w:val="auto"/>
          <w:spacing w:val="-6"/>
          <w:sz w:val="24"/>
          <w:highlight w:val="none"/>
          <w:lang w:eastAsia="zh-CN"/>
        </w:rPr>
        <w:t>。</w:t>
      </w:r>
    </w:p>
    <w:p w14:paraId="6F9254EA">
      <w:pPr>
        <w:pStyle w:val="6"/>
        <w:spacing w:before="184" w:line="219" w:lineRule="auto"/>
        <w:ind w:left="394"/>
        <w:rPr>
          <w:rFonts w:hint="eastAsia" w:ascii="宋体" w:hAnsi="宋体" w:eastAsia="宋体" w:cs="宋体"/>
          <w:color w:val="auto"/>
          <w:sz w:val="24"/>
          <w:highlight w:val="none"/>
        </w:rPr>
      </w:pPr>
      <w:r>
        <w:rPr>
          <w:rFonts w:hint="eastAsia" w:ascii="宋体" w:hAnsi="宋体" w:eastAsia="宋体" w:cs="宋体"/>
          <w:color w:val="auto"/>
          <w:sz w:val="24"/>
          <w:highlight w:val="none"/>
        </w:rPr>
        <w:t>10.干货、调味品验收标准</w:t>
      </w:r>
    </w:p>
    <w:p w14:paraId="207CBD43">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（1）符合国家标准要求并可追溯来源。</w:t>
      </w:r>
    </w:p>
    <w:p w14:paraId="2F343BB8">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（2）产品生产厂家应持有卫生许可证或食品流通许可证。</w:t>
      </w:r>
    </w:p>
    <w:p w14:paraId="4B4F78DD">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（3）产品有产品质量合格证明，包装上有产品名称、厂名、厂址或出产地 等。</w:t>
      </w:r>
    </w:p>
    <w:p w14:paraId="2CE02EBC">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（4）产品无发霉、无变质、无变味、不掺杂、不掺假、不掺水、干货无受 潮。</w:t>
      </w:r>
    </w:p>
    <w:p w14:paraId="2C418F64">
      <w:pPr>
        <w:pStyle w:val="6"/>
        <w:spacing w:before="184" w:line="219" w:lineRule="auto"/>
        <w:ind w:left="394"/>
        <w:rPr>
          <w:rFonts w:hint="eastAsia" w:ascii="宋体" w:hAnsi="宋体" w:eastAsia="宋体" w:cs="宋体"/>
          <w:color w:val="auto"/>
          <w:sz w:val="24"/>
          <w:highlight w:val="none"/>
        </w:rPr>
      </w:pPr>
      <w:r>
        <w:rPr>
          <w:rFonts w:hint="eastAsia" w:ascii="宋体" w:hAnsi="宋体" w:eastAsia="宋体" w:cs="宋体"/>
          <w:color w:val="auto"/>
          <w:sz w:val="24"/>
          <w:highlight w:val="none"/>
        </w:rPr>
        <w:t>11.海鲜冻品类验收标准</w:t>
      </w:r>
    </w:p>
    <w:p w14:paraId="4A5D75A4">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（1）货品来源渠道正规，食品安全各项指标符合国家要求，符合国家规定 的海鲜冻品类质量要求和卫生检疫标准。</w:t>
      </w:r>
    </w:p>
    <w:p w14:paraId="692080D1">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（2）外包装完好，包装上印有生产厂家、生产厂址、生产日期和保质期， 剩余保存期不得少于保质期的三分之二。</w:t>
      </w:r>
    </w:p>
    <w:p w14:paraId="061888D4">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（3）内透明塑料袋封闭包装，袋内无杂物、无破损、无漏气。</w:t>
      </w:r>
    </w:p>
    <w:p w14:paraId="323ED713">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（4）质量符合验收标准（如新鲜度等），货品未解冻，规格均匀，有产品 检验合格证明。</w:t>
      </w:r>
    </w:p>
    <w:p w14:paraId="245D1A49">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（5）产品中间不能有过多冰块，产品重量必须和包装箱上标明的重量一致。 验货时，拆箱检查，如含水量太多称重时适当按比例除冰块的重量。称重时要扣 除纸箱、以货品净重为准。如果外包装箱有标有净重，按净重入库；如果没有净 重标识，按 5%扣除含冰量。</w:t>
      </w:r>
    </w:p>
    <w:p w14:paraId="2AB64A53">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（6）肉眼辨认验收品质，如出现肉制品风干、变色之冻品不能收货。</w:t>
      </w:r>
    </w:p>
    <w:p w14:paraId="4E8AB76E">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（7）必须全程冷链运输。</w:t>
      </w:r>
    </w:p>
    <w:p w14:paraId="53DCB254">
      <w:pPr>
        <w:pStyle w:val="6"/>
        <w:spacing w:before="184" w:line="219" w:lineRule="auto"/>
        <w:ind w:left="394"/>
        <w:rPr>
          <w:rFonts w:ascii="宋体" w:hAnsi="宋体" w:eastAsia="宋体" w:cs="宋体"/>
          <w:color w:val="auto"/>
          <w:sz w:val="24"/>
          <w:highlight w:val="none"/>
        </w:rPr>
      </w:pPr>
      <w:r>
        <w:rPr>
          <w:rFonts w:hint="eastAsia" w:ascii="宋体" w:hAnsi="宋体" w:eastAsia="宋体" w:cs="宋体"/>
          <w:b/>
          <w:bCs/>
          <w:color w:val="auto"/>
          <w:spacing w:val="-6"/>
          <w:sz w:val="24"/>
          <w:highlight w:val="none"/>
        </w:rPr>
        <w:t>（五）数量</w:t>
      </w:r>
    </w:p>
    <w:p w14:paraId="5FE47FB0">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1.供货数量以采购人订单为准，具体结算以采购人实际收到的经验收合格的货物数量为准。</w:t>
      </w:r>
    </w:p>
    <w:p w14:paraId="04A081E7">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2.如成交供应商提供食材的标准数量，经采购人检验实际数量明显低于送货单列单数量的，采购人可扣除差异数量的 3 倍以下的货款。</w:t>
      </w:r>
    </w:p>
    <w:p w14:paraId="36E84F81">
      <w:pPr>
        <w:pStyle w:val="6"/>
        <w:spacing w:line="221" w:lineRule="auto"/>
        <w:ind w:left="497"/>
        <w:rPr>
          <w:rFonts w:ascii="宋体" w:hAnsi="宋体" w:eastAsia="宋体" w:cs="宋体"/>
          <w:color w:val="auto"/>
          <w:sz w:val="24"/>
          <w:highlight w:val="none"/>
        </w:rPr>
      </w:pPr>
      <w:r>
        <w:rPr>
          <w:rFonts w:hint="eastAsia" w:ascii="宋体" w:hAnsi="宋体" w:eastAsia="宋体" w:cs="宋体"/>
          <w:b/>
          <w:bCs/>
          <w:color w:val="auto"/>
          <w:spacing w:val="-4"/>
          <w:sz w:val="24"/>
          <w:highlight w:val="none"/>
          <w:lang w:val="en-US" w:eastAsia="zh-CN"/>
        </w:rPr>
        <w:t>2</w:t>
      </w:r>
      <w:r>
        <w:rPr>
          <w:rFonts w:hint="eastAsia" w:ascii="宋体" w:hAnsi="宋体" w:eastAsia="宋体" w:cs="宋体"/>
          <w:b/>
          <w:bCs/>
          <w:color w:val="auto"/>
          <w:spacing w:val="-4"/>
          <w:sz w:val="24"/>
          <w:highlight w:val="none"/>
        </w:rPr>
        <w:t>、履约及违约</w:t>
      </w:r>
    </w:p>
    <w:p w14:paraId="3C9CB51D">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1.成交供应商应保证所提供材料的真实性，若成交供应商承诺不属实，一 经查实，采购人有权立即停止成交供应商供货，成交供应商承担一切责任。</w:t>
      </w:r>
    </w:p>
    <w:p w14:paraId="2BB1F885">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2.成交供应商应具备持续供货能力，不得以任何借口拒绝向采购人供货（不 可抗原因除外），成交供应商不能保证及时供货，应当在收到订单后 2 小时内通知采购人，承担采购人造成的实际经济损失，并从当月货款中扣除 10%金额作为成交供应商向采购人支付的赔偿金。</w:t>
      </w:r>
    </w:p>
    <w:p w14:paraId="12DE1C6F">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3.因成交供应商配送不及时导致伙食供应延时且经成交供应商采取补救措 施未造成影响的，每次从当月货款中扣除10%金额作为成交供应商向采购人支付 的赔偿金，超过三次的，成交供应商承担一切责任。</w:t>
      </w:r>
    </w:p>
    <w:p w14:paraId="7DE30A0A">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4.采购人临时增加用餐人员,需临时补充原料的，成交供应商应在约定时间内无条件把指定的原料送至采购人指定的地点,否则按上述第 2 条处理。</w:t>
      </w:r>
    </w:p>
    <w:p w14:paraId="5D6CCE0C">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5.凡经相关部门认定，如因成交供应商所提供的原料原因造成采购人食堂岀现食物中毒等卫生事故的，成交供应商除必须承担全部的法律责任外，还要全额承担因食物中毒发生造成后果的一切费用。采购人有权立即停止成交供应商供货，暂扣当月所有供应原料的货款作为成交供应商的赔偿预付款，成交供应商承担一切责任。</w:t>
      </w:r>
    </w:p>
    <w:p w14:paraId="5279561D">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6.凡成交供应商提供产品发生质量问题，影响食用但未造成不良后果的， 经三方确认，扣除当月货款的50%金额，并承担采购人因此造成的实际经济损失。</w:t>
      </w:r>
    </w:p>
    <w:p w14:paraId="1E0EBE4B">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7.凡成交供应货物故意串规、定量包装批量误差超过相关规定误差之短缺，一 经查实，成交供应商需按当日釆购量的 3 倍误差值向采购人赔偿。</w:t>
      </w:r>
    </w:p>
    <w:p w14:paraId="420A94C0">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8.若因成交供应商提供的发票不合法，导致采购人无法转账及引起其他经 济损失的，成交供应商承担一切责任。</w:t>
      </w:r>
    </w:p>
    <w:p w14:paraId="0DF9AE9B">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9.采购人将不定期地对成交供应商所供货物的质量进行抽检，若发现货物 质量检测结果不符和标准要求，超过 2 次以上的，采购人有权酌情追究违约责任，</w:t>
      </w:r>
      <w:r>
        <w:rPr>
          <w:rFonts w:hint="eastAsia" w:ascii="宋体" w:hAnsi="宋体" w:eastAsia="宋体" w:cs="宋体"/>
          <w:bCs/>
          <w:color w:val="auto"/>
          <w:spacing w:val="-6"/>
          <w:sz w:val="24"/>
          <w:highlight w:val="none"/>
          <w:lang w:val="en-US"/>
        </w:rPr>
        <mc:AlternateContent>
          <mc:Choice Requires="wps">
            <w:drawing>
              <wp:anchor distT="0" distB="0" distL="114300" distR="114300" simplePos="0" relativeHeight="251664384" behindDoc="0" locked="0" layoutInCell="0" allowOverlap="1">
                <wp:simplePos x="0" y="0"/>
                <wp:positionH relativeFrom="page">
                  <wp:posOffset>1143000</wp:posOffset>
                </wp:positionH>
                <wp:positionV relativeFrom="page">
                  <wp:posOffset>701040</wp:posOffset>
                </wp:positionV>
                <wp:extent cx="5274310" cy="9525"/>
                <wp:effectExtent l="0" t="0" r="0" b="0"/>
                <wp:wrapNone/>
                <wp:docPr id="8" name="Freeform 28"/>
                <wp:cNvGraphicFramePr/>
                <a:graphic xmlns:a="http://schemas.openxmlformats.org/drawingml/2006/main">
                  <a:graphicData uri="http://schemas.microsoft.com/office/word/2010/wordprocessingShape">
                    <wps:wsp>
                      <wps:cNvSpPr>
                        <a:spLocks noChangeArrowheads="1"/>
                      </wps:cNvSpPr>
                      <wps:spPr bwMode="auto">
                        <a:xfrm>
                          <a:off x="0" y="0"/>
                          <a:ext cx="5274310" cy="9525"/>
                        </a:xfrm>
                        <a:custGeom>
                          <a:avLst/>
                          <a:gdLst>
                            <a:gd name="T0" fmla="*/ 0 w 8305"/>
                            <a:gd name="T1" fmla="*/ 0 h 15"/>
                            <a:gd name="T2" fmla="*/ 8305 w 8305"/>
                            <a:gd name="T3" fmla="*/ 0 h 15"/>
                            <a:gd name="T4" fmla="*/ 8305 w 8305"/>
                            <a:gd name="T5" fmla="*/ 14 h 15"/>
                            <a:gd name="T6" fmla="*/ 0 w 8305"/>
                            <a:gd name="T7" fmla="*/ 14 h 15"/>
                            <a:gd name="T8" fmla="*/ 0 w 8305"/>
                            <a:gd name="T9" fmla="*/ 0 h 15"/>
                          </a:gdLst>
                          <a:ahLst/>
                          <a:cxnLst>
                            <a:cxn ang="0">
                              <a:pos x="T0" y="T1"/>
                            </a:cxn>
                            <a:cxn ang="0">
                              <a:pos x="T2" y="T3"/>
                            </a:cxn>
                            <a:cxn ang="0">
                              <a:pos x="T4" y="T5"/>
                            </a:cxn>
                            <a:cxn ang="0">
                              <a:pos x="T6" y="T7"/>
                            </a:cxn>
                            <a:cxn ang="0">
                              <a:pos x="T8" y="T9"/>
                            </a:cxn>
                          </a:cxnLst>
                          <a:rect l="0" t="0" r="r" b="b"/>
                          <a:pathLst>
                            <a:path w="8305" h="15">
                              <a:moveTo>
                                <a:pt x="0" y="0"/>
                              </a:moveTo>
                              <a:lnTo>
                                <a:pt x="8305" y="0"/>
                              </a:lnTo>
                              <a:lnTo>
                                <a:pt x="8305" y="14"/>
                              </a:lnTo>
                              <a:lnTo>
                                <a:pt x="0" y="14"/>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Freeform 28" o:spid="_x0000_s1026" o:spt="100" style="position:absolute;left:0pt;margin-left:90pt;margin-top:55.2pt;height:0.75pt;width:415.3pt;mso-position-horizontal-relative:page;mso-position-vertical-relative:page;z-index:251664384;mso-width-relative:page;mso-height-relative:page;" fillcolor="#000000" filled="t" stroked="f" coordsize="8305,15" o:allowincell="f" o:gfxdata="UEsDBAoAAAAAAIdO4kAAAAAAAAAAAAAAAAAEAAAAZHJzL1BLAwQUAAAACACHTuJAjzy6RdkAAAAM&#10;AQAADwAAAGRycy9kb3ducmV2LnhtbE2PQU/DMAyF70j8h8hI3FgSBNNamu6ABBKTQGIgtmPaeG1F&#10;41RN1o1/j3uCm5/99Py9Yn32vZhwjF0gA3qhQCDVwXXUGPj8eLpZgYjJkrN9IDTwgxHW5eVFYXMX&#10;TvSO0zY1gkMo5tZAm9KQSxnrFr2NizAg8e0QRm8Ty7GRbrQnDve9vFVqKb3tiD+0dsDHFuvv7dEb&#10;2KRNdu/2u+xVTQf5Jqfnl8p/GXN9pdUDiITn9GeGGZ/RoWSmKhzJRdGzXinuknjQ6g7E7FBaLUFU&#10;80pnIMtC/i9R/gJQSwMEFAAAAAgAh07iQKiOx70AAwAAtwcAAA4AAABkcnMvZTJvRG9jLnhtbK1V&#10;XW/bIBR9n7T/gHictDrOR9NEdaqqVadJ3Vap2Q8gGMfWMNcDEqf79bsX26mbNl0elgcHzOHAOQdf&#10;Lq92pWZbZV0BJuHx2YAzZSSkhVkn/Ofy7vMFZ84LkwoNRiX8STl+tfj44bKu5moIOehUWYYkxs3r&#10;KuG599U8ipzMVSncGVTK4GAGthQeu3YdpVbUyF7qaDgYnEc12LSyIJVz+Pa2GeQtoz2FELKskOoW&#10;5KZUxjesVmnhUZLLi8rxRdhtlinpf2SZU57phKNSH564CLZX9IwWl2K+tqLKC9luQZyyhQNNpSgM&#10;LrqnuhVesI0tXlGVhbTgIPNnEsqoERIcQRXx4MCbx1xUKmhBq121N939P1r5fftgWZEmHGM3osTA&#10;76xSFB8bXpA9deXmiHqsHiwJdNU9yF+OGbjJhVmra2uhzpVIcVMx4aMXE6jjcCpb1d8gRXax8RCc&#10;2mW2JEL0gO1CIE/7QNTOM4kvJ8PpeBRjVhLHZpPhJCwg5t1cuXH+i4LAI7b3zjdxptgKYaStpCVS&#10;ZKXGZD9FbMBqdjEaBC4MbI+JX2ByFr9CDHsIYjhCNOrBBuwtonEP8Q7RpAeLx28ynfcgx4RNe5gj&#10;NBj+P/2ZvcB0siKysPVb5F0Ecmfad9hieE4oWoqkAkdpUyAY6bI5MWKOKBo9AkbfCTxq038fjN4S&#10;uDsq74PRPgJPT2JGkwg864NRPq7QarVYbg4LjQ2FZkVzUL3wZFHXZDV+dnQSWY4fzyQYVMJWLSEg&#10;/MF3gWs9j2rTRzUsuLtQ0RDYDXf/VSDbw+JxK6Ib7/4bXJPOSaDDBaUGp6gMNGr3jSCb3Op9sg50&#10;kd4VWpNcZ9erG23ZVlCpDr92jy9gOhwUAzStWYbehKJDdaapVytIn7DmWGjqPd522MjB/uGsxlqf&#10;cPd7I6ziTH81WLdm8XiMkn3ojCfTIXZsf2TVHxFGIlXCPceDTc0b31wom8oW6xxXikOSBq6x1mUF&#10;FaWwv2ZXbQfrefCmvXvowuj3A+r5vl38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I88ukXZAAAA&#10;DAEAAA8AAAAAAAAAAQAgAAAAIgAAAGRycy9kb3ducmV2LnhtbFBLAQIUABQAAAAIAIdO4kCojse9&#10;AAMAALcHAAAOAAAAAAAAAAEAIAAAACgBAABkcnMvZTJvRG9jLnhtbFBLBQYAAAAABgAGAFkBAACa&#10;BgAAAAA=&#10;" path="m0,0l8305,0,8305,14,0,14,0,0xe">
                <v:path o:connectlocs="0,0;5274310,0;5274310,8890;0,8890;0,0" o:connectangles="0,0,0,0,0"/>
                <v:fill on="t" focussize="0,0"/>
                <v:stroke on="f"/>
                <v:imagedata o:title=""/>
                <o:lock v:ext="edit" aspectratio="f"/>
              </v:shape>
            </w:pict>
          </mc:Fallback>
        </mc:AlternateContent>
      </w:r>
      <w:r>
        <w:rPr>
          <w:rFonts w:hint="eastAsia" w:ascii="宋体" w:hAnsi="宋体" w:eastAsia="宋体" w:cs="宋体"/>
          <w:bCs/>
          <w:color w:val="auto"/>
          <w:spacing w:val="-6"/>
          <w:sz w:val="24"/>
          <w:highlight w:val="none"/>
        </w:rPr>
        <w:t>成交供应商承担一切责任。</w:t>
      </w:r>
    </w:p>
    <w:p w14:paraId="4ED28E30">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rPr>
        <w:t>10.成交供应商在合同期内若单方面解除合同，当月菜金不予支付。</w:t>
      </w:r>
    </w:p>
    <w:p w14:paraId="59853D92">
      <w:pPr>
        <w:pStyle w:val="6"/>
        <w:spacing w:line="360" w:lineRule="auto"/>
        <w:ind w:firstLine="456" w:firstLineChars="200"/>
        <w:rPr>
          <w:rFonts w:hint="eastAsia" w:ascii="宋体" w:hAnsi="宋体" w:eastAsia="宋体" w:cs="宋体"/>
          <w:bCs/>
          <w:color w:val="auto"/>
          <w:spacing w:val="-6"/>
          <w:sz w:val="24"/>
          <w:highlight w:val="none"/>
          <w:lang w:val="en-US" w:eastAsia="zh-CN"/>
        </w:rPr>
      </w:pPr>
      <w:r>
        <w:rPr>
          <w:rFonts w:hint="eastAsia" w:ascii="宋体" w:hAnsi="宋体" w:eastAsia="宋体" w:cs="宋体"/>
          <w:bCs/>
          <w:color w:val="auto"/>
          <w:spacing w:val="-6"/>
          <w:sz w:val="24"/>
          <w:highlight w:val="none"/>
          <w:lang w:val="en-US" w:eastAsia="zh-CN"/>
        </w:rPr>
        <w:t>11.如</w:t>
      </w:r>
      <w:r>
        <w:rPr>
          <w:rFonts w:hint="eastAsia" w:ascii="宋体" w:hAnsi="宋体" w:eastAsia="宋体" w:cs="宋体"/>
          <w:bCs/>
          <w:color w:val="auto"/>
          <w:spacing w:val="-6"/>
          <w:sz w:val="24"/>
          <w:highlight w:val="none"/>
        </w:rPr>
        <w:t>成交</w:t>
      </w:r>
      <w:r>
        <w:rPr>
          <w:rFonts w:hint="eastAsia" w:ascii="宋体" w:hAnsi="宋体" w:eastAsia="宋体" w:cs="宋体"/>
          <w:bCs/>
          <w:color w:val="auto"/>
          <w:spacing w:val="-6"/>
          <w:sz w:val="24"/>
          <w:highlight w:val="none"/>
          <w:lang w:val="en-US" w:eastAsia="zh-CN"/>
        </w:rPr>
        <w:t>供应商服务的定期满意度评价结果低于60分（或百分制60%），我单位有权在该评价结果正式通知</w:t>
      </w:r>
      <w:r>
        <w:rPr>
          <w:rFonts w:hint="eastAsia" w:ascii="宋体" w:hAnsi="宋体" w:eastAsia="宋体" w:cs="宋体"/>
          <w:bCs/>
          <w:color w:val="auto"/>
          <w:spacing w:val="-6"/>
          <w:sz w:val="24"/>
          <w:highlight w:val="none"/>
        </w:rPr>
        <w:t>成交</w:t>
      </w:r>
      <w:r>
        <w:rPr>
          <w:rFonts w:hint="eastAsia" w:ascii="宋体" w:hAnsi="宋体" w:eastAsia="宋体" w:cs="宋体"/>
          <w:bCs/>
          <w:color w:val="auto"/>
          <w:spacing w:val="-6"/>
          <w:sz w:val="24"/>
          <w:highlight w:val="none"/>
          <w:lang w:val="en-US" w:eastAsia="zh-CN"/>
        </w:rPr>
        <w:t>供应商后，解除本合同。</w:t>
      </w:r>
    </w:p>
    <w:p w14:paraId="6810F942">
      <w:pPr>
        <w:pStyle w:val="6"/>
        <w:spacing w:line="360" w:lineRule="auto"/>
        <w:ind w:firstLine="456" w:firstLineChars="200"/>
        <w:rPr>
          <w:rFonts w:hint="eastAsia" w:ascii="宋体" w:hAnsi="宋体" w:eastAsia="宋体" w:cs="宋体"/>
          <w:bCs/>
          <w:color w:val="auto"/>
          <w:spacing w:val="-6"/>
          <w:sz w:val="24"/>
          <w:highlight w:val="none"/>
          <w:lang w:val="en-US" w:eastAsia="zh-CN"/>
        </w:rPr>
      </w:pPr>
      <w:r>
        <w:rPr>
          <w:rFonts w:hint="eastAsia" w:ascii="宋体" w:hAnsi="宋体" w:eastAsia="宋体" w:cs="宋体"/>
          <w:bCs/>
          <w:color w:val="auto"/>
          <w:spacing w:val="-6"/>
          <w:sz w:val="24"/>
          <w:highlight w:val="none"/>
          <w:lang w:val="en-US" w:eastAsia="zh-CN"/>
        </w:rPr>
        <w:t>12.任一方在解除合同需提前20个工作日告知。</w:t>
      </w:r>
    </w:p>
    <w:p w14:paraId="2F6EE9CF">
      <w:pPr>
        <w:pStyle w:val="6"/>
        <w:spacing w:line="360" w:lineRule="auto"/>
        <w:ind w:firstLine="456" w:firstLineChars="200"/>
        <w:rPr>
          <w:rFonts w:hint="eastAsia" w:ascii="宋体" w:hAnsi="宋体" w:eastAsia="宋体" w:cs="宋体"/>
          <w:bCs/>
          <w:color w:val="auto"/>
          <w:spacing w:val="-6"/>
          <w:sz w:val="24"/>
          <w:highlight w:val="none"/>
          <w:lang w:eastAsia="zh-CN"/>
        </w:rPr>
      </w:pPr>
      <w:r>
        <w:rPr>
          <w:rFonts w:hint="eastAsia" w:ascii="宋体" w:hAnsi="宋体" w:eastAsia="宋体" w:cs="宋体"/>
          <w:bCs/>
          <w:color w:val="auto"/>
          <w:spacing w:val="-6"/>
          <w:sz w:val="24"/>
          <w:highlight w:val="none"/>
          <w:lang w:val="en-US" w:eastAsia="zh-CN"/>
        </w:rPr>
        <w:t>13.</w:t>
      </w:r>
      <w:r>
        <w:rPr>
          <w:rFonts w:hint="eastAsia" w:ascii="宋体" w:hAnsi="宋体" w:eastAsia="宋体" w:cs="宋体"/>
          <w:bCs/>
          <w:color w:val="auto"/>
          <w:spacing w:val="-6"/>
          <w:sz w:val="24"/>
          <w:highlight w:val="none"/>
        </w:rPr>
        <w:t>如成交供应商</w:t>
      </w:r>
      <w:r>
        <w:rPr>
          <w:rFonts w:hint="eastAsia" w:ascii="宋体" w:hAnsi="宋体" w:eastAsia="宋体" w:cs="宋体"/>
          <w:bCs/>
          <w:color w:val="auto"/>
          <w:spacing w:val="-6"/>
          <w:sz w:val="24"/>
          <w:highlight w:val="none"/>
          <w:lang w:val="en-US" w:eastAsia="zh-CN"/>
        </w:rPr>
        <w:t>因</w:t>
      </w:r>
      <w:r>
        <w:rPr>
          <w:rFonts w:hint="eastAsia" w:ascii="宋体" w:hAnsi="宋体" w:eastAsia="宋体" w:cs="宋体"/>
          <w:bCs/>
          <w:color w:val="auto"/>
          <w:spacing w:val="-6"/>
          <w:sz w:val="24"/>
          <w:highlight w:val="none"/>
        </w:rPr>
        <w:t>提供</w:t>
      </w:r>
      <w:r>
        <w:rPr>
          <w:rFonts w:hint="eastAsia" w:ascii="宋体" w:hAnsi="宋体" w:eastAsia="宋体" w:cs="宋体"/>
          <w:bCs/>
          <w:color w:val="auto"/>
          <w:spacing w:val="-6"/>
          <w:sz w:val="24"/>
          <w:highlight w:val="none"/>
          <w:lang w:val="en-US" w:eastAsia="zh-CN"/>
        </w:rPr>
        <w:t>的</w:t>
      </w:r>
      <w:r>
        <w:rPr>
          <w:rFonts w:hint="eastAsia" w:ascii="宋体" w:hAnsi="宋体" w:eastAsia="宋体" w:cs="宋体"/>
          <w:bCs/>
          <w:color w:val="auto"/>
          <w:spacing w:val="-6"/>
          <w:sz w:val="24"/>
          <w:highlight w:val="none"/>
        </w:rPr>
        <w:t>商品有质量问题产生较大舆情，成交供应商必须无条件主动配合</w:t>
      </w:r>
      <w:r>
        <w:rPr>
          <w:rFonts w:hint="eastAsia" w:ascii="宋体" w:hAnsi="宋体" w:eastAsia="宋体" w:cs="宋体"/>
          <w:bCs/>
          <w:color w:val="auto"/>
          <w:spacing w:val="-6"/>
          <w:sz w:val="24"/>
          <w:highlight w:val="none"/>
          <w:lang w:val="en-US" w:eastAsia="zh-CN"/>
        </w:rPr>
        <w:t>我单位</w:t>
      </w:r>
      <w:r>
        <w:rPr>
          <w:rFonts w:hint="eastAsia" w:ascii="宋体" w:hAnsi="宋体" w:eastAsia="宋体" w:cs="宋体"/>
          <w:bCs/>
          <w:color w:val="auto"/>
          <w:spacing w:val="-6"/>
          <w:sz w:val="24"/>
          <w:highlight w:val="none"/>
        </w:rPr>
        <w:t>解决处理所出现的任何问题</w:t>
      </w:r>
      <w:r>
        <w:rPr>
          <w:rFonts w:hint="eastAsia" w:ascii="宋体" w:hAnsi="宋体" w:eastAsia="宋体" w:cs="宋体"/>
          <w:bCs/>
          <w:color w:val="auto"/>
          <w:spacing w:val="-6"/>
          <w:sz w:val="24"/>
          <w:highlight w:val="none"/>
          <w:lang w:eastAsia="zh-CN"/>
        </w:rPr>
        <w:t>。</w:t>
      </w:r>
      <w:r>
        <w:rPr>
          <w:rFonts w:hint="eastAsia" w:ascii="宋体" w:hAnsi="宋体" w:eastAsia="宋体" w:cs="宋体"/>
          <w:bCs/>
          <w:color w:val="auto"/>
          <w:spacing w:val="-6"/>
          <w:sz w:val="24"/>
          <w:highlight w:val="none"/>
          <w:lang w:val="en-US" w:eastAsia="zh-CN"/>
        </w:rPr>
        <w:t>我单位</w:t>
      </w:r>
      <w:r>
        <w:rPr>
          <w:rFonts w:hint="eastAsia" w:ascii="宋体" w:hAnsi="宋体" w:eastAsia="宋体" w:cs="宋体"/>
          <w:bCs/>
          <w:color w:val="auto"/>
          <w:spacing w:val="-6"/>
          <w:sz w:val="24"/>
          <w:highlight w:val="none"/>
        </w:rPr>
        <w:t>有权立即停止与成交供应商的合作，（无需通知期解除</w:t>
      </w:r>
      <w:r>
        <w:rPr>
          <w:rFonts w:hint="eastAsia" w:ascii="宋体" w:hAnsi="宋体" w:eastAsia="宋体" w:cs="宋体"/>
          <w:bCs/>
          <w:color w:val="auto"/>
          <w:spacing w:val="-6"/>
          <w:sz w:val="24"/>
          <w:highlight w:val="none"/>
          <w:lang w:val="en-US" w:eastAsia="zh-CN"/>
        </w:rPr>
        <w:t>合同</w:t>
      </w:r>
      <w:r>
        <w:rPr>
          <w:rFonts w:hint="eastAsia" w:ascii="宋体" w:hAnsi="宋体" w:eastAsia="宋体" w:cs="宋体"/>
          <w:bCs/>
          <w:color w:val="auto"/>
          <w:spacing w:val="-6"/>
          <w:sz w:val="24"/>
          <w:highlight w:val="none"/>
        </w:rPr>
        <w:t>），</w:t>
      </w:r>
      <w:r>
        <w:rPr>
          <w:rFonts w:hint="eastAsia" w:ascii="宋体" w:hAnsi="宋体" w:eastAsia="宋体" w:cs="宋体"/>
          <w:bCs/>
          <w:color w:val="auto"/>
          <w:spacing w:val="-6"/>
          <w:sz w:val="24"/>
          <w:highlight w:val="none"/>
          <w:lang w:val="en-US" w:eastAsia="zh-CN"/>
        </w:rPr>
        <w:t>且</w:t>
      </w:r>
      <w:r>
        <w:rPr>
          <w:rFonts w:hint="eastAsia" w:ascii="宋体" w:hAnsi="宋体" w:eastAsia="宋体" w:cs="宋体"/>
          <w:bCs/>
          <w:color w:val="auto"/>
          <w:spacing w:val="-6"/>
          <w:sz w:val="24"/>
          <w:highlight w:val="none"/>
        </w:rPr>
        <w:t>该约定优先。</w:t>
      </w:r>
    </w:p>
    <w:p w14:paraId="4726993A">
      <w:pPr>
        <w:pStyle w:val="6"/>
        <w:spacing w:line="220" w:lineRule="auto"/>
        <w:ind w:left="492"/>
        <w:rPr>
          <w:rFonts w:ascii="宋体" w:hAnsi="宋体" w:eastAsia="宋体" w:cs="宋体"/>
          <w:color w:val="auto"/>
          <w:sz w:val="24"/>
          <w:highlight w:val="none"/>
        </w:rPr>
      </w:pPr>
      <w:r>
        <w:rPr>
          <w:rFonts w:hint="eastAsia" w:ascii="宋体" w:hAnsi="宋体" w:eastAsia="宋体" w:cs="宋体"/>
          <w:b/>
          <w:bCs/>
          <w:color w:val="auto"/>
          <w:spacing w:val="-4"/>
          <w:sz w:val="24"/>
          <w:highlight w:val="none"/>
          <w:lang w:val="en-US" w:eastAsia="zh-CN"/>
        </w:rPr>
        <w:t>3</w:t>
      </w:r>
      <w:r>
        <w:rPr>
          <w:rFonts w:hint="eastAsia" w:ascii="宋体" w:hAnsi="宋体" w:eastAsia="宋体" w:cs="宋体"/>
          <w:b/>
          <w:bCs/>
          <w:color w:val="auto"/>
          <w:spacing w:val="-4"/>
          <w:sz w:val="24"/>
          <w:highlight w:val="none"/>
        </w:rPr>
        <w:t>、其他要求</w:t>
      </w:r>
    </w:p>
    <w:p w14:paraId="5B3D5623">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lang w:val="en-US"/>
        </w:rPr>
        <w:t>1</w:t>
      </w:r>
      <w:r>
        <w:rPr>
          <w:rFonts w:hint="eastAsia" w:ascii="宋体" w:hAnsi="宋体" w:eastAsia="宋体" w:cs="宋体"/>
          <w:bCs/>
          <w:color w:val="auto"/>
          <w:spacing w:val="-6"/>
          <w:sz w:val="24"/>
          <w:highlight w:val="none"/>
        </w:rPr>
        <w:t>.服务期间成交供应商所属员工发生人身事故、财产损失，均由成交供应 商自行负责。</w:t>
      </w:r>
    </w:p>
    <w:p w14:paraId="5A180E48">
      <w:pPr>
        <w:pStyle w:val="6"/>
        <w:spacing w:line="360" w:lineRule="auto"/>
        <w:ind w:firstLine="456" w:firstLineChars="200"/>
        <w:rPr>
          <w:rFonts w:hint="eastAsia" w:ascii="宋体" w:hAnsi="宋体" w:eastAsia="宋体" w:cs="宋体"/>
          <w:bCs/>
          <w:color w:val="auto"/>
          <w:spacing w:val="-6"/>
          <w:sz w:val="24"/>
          <w:highlight w:val="none"/>
        </w:rPr>
      </w:pPr>
      <w:r>
        <w:rPr>
          <w:rFonts w:hint="eastAsia" w:ascii="宋体" w:hAnsi="宋体" w:eastAsia="宋体" w:cs="宋体"/>
          <w:bCs/>
          <w:color w:val="auto"/>
          <w:spacing w:val="-6"/>
          <w:sz w:val="24"/>
          <w:highlight w:val="none"/>
          <w:lang w:val="en-US"/>
        </w:rPr>
        <w:t>2</w:t>
      </w:r>
      <w:r>
        <w:rPr>
          <w:rFonts w:hint="eastAsia" w:ascii="宋体" w:hAnsi="宋体" w:eastAsia="宋体" w:cs="宋体"/>
          <w:bCs/>
          <w:color w:val="auto"/>
          <w:spacing w:val="-6"/>
          <w:sz w:val="24"/>
          <w:highlight w:val="none"/>
        </w:rPr>
        <w:t>.以上未尽事宜由成交供应商与采购人共同协商解决。</w:t>
      </w:r>
    </w:p>
    <w:p w14:paraId="187AFF0B">
      <w:pPr>
        <w:pStyle w:val="6"/>
        <w:spacing w:line="360" w:lineRule="auto"/>
        <w:ind w:firstLine="456" w:firstLineChars="200"/>
        <w:rPr>
          <w:rFonts w:hint="eastAsia" w:ascii="宋体" w:hAnsi="宋体" w:eastAsia="宋体" w:cs="宋体"/>
          <w:bCs/>
          <w:color w:val="auto"/>
          <w:spacing w:val="-6"/>
          <w:sz w:val="24"/>
          <w:highlight w:val="none"/>
          <w:lang w:eastAsia="zh-CN"/>
        </w:rPr>
      </w:pPr>
      <w:r>
        <w:rPr>
          <w:rFonts w:hint="eastAsia" w:ascii="宋体" w:hAnsi="宋体" w:eastAsia="宋体" w:cs="宋体"/>
          <w:bCs/>
          <w:color w:val="auto"/>
          <w:spacing w:val="-6"/>
          <w:sz w:val="24"/>
          <w:highlight w:val="none"/>
          <w:lang w:val="en-US"/>
        </w:rPr>
        <w:t>3.如因成交供应商的原因被采购人解除合同，采购人可让排名第</w:t>
      </w:r>
      <w:r>
        <w:rPr>
          <w:rFonts w:hint="eastAsia" w:ascii="宋体" w:hAnsi="宋体" w:eastAsia="宋体" w:cs="宋体"/>
          <w:bCs/>
          <w:color w:val="auto"/>
          <w:spacing w:val="-6"/>
          <w:sz w:val="24"/>
          <w:highlight w:val="none"/>
          <w:lang w:val="en-US" w:eastAsia="zh-CN"/>
        </w:rPr>
        <w:t>三、第四</w:t>
      </w:r>
      <w:r>
        <w:rPr>
          <w:rFonts w:hint="eastAsia" w:ascii="宋体" w:hAnsi="宋体" w:eastAsia="宋体" w:cs="宋体"/>
          <w:bCs/>
          <w:color w:val="auto"/>
          <w:spacing w:val="-6"/>
          <w:sz w:val="24"/>
          <w:highlight w:val="none"/>
          <w:lang w:val="en-US"/>
        </w:rPr>
        <w:t>的候选人顺延为新的成交候选人继续履行合同（只顺延一次），也可以重新组织公开程序。</w:t>
      </w:r>
    </w:p>
    <w:p w14:paraId="75D78D40">
      <w:pPr>
        <w:pStyle w:val="6"/>
        <w:spacing w:before="182" w:line="360" w:lineRule="auto"/>
        <w:ind w:left="22" w:firstLine="482"/>
        <w:rPr>
          <w:rFonts w:hint="default" w:hAnsi="宋体" w:cs="宋体"/>
          <w:b/>
          <w:bCs w:val="0"/>
          <w:color w:val="auto"/>
          <w:spacing w:val="-6"/>
          <w:sz w:val="24"/>
          <w:highlight w:val="none"/>
          <w:lang w:val="en-US" w:eastAsia="zh-CN"/>
        </w:rPr>
      </w:pPr>
      <w:r>
        <w:rPr>
          <w:rFonts w:hint="eastAsia" w:hAnsi="宋体" w:cs="宋体"/>
          <w:b/>
          <w:bCs w:val="0"/>
          <w:color w:val="auto"/>
          <w:spacing w:val="-6"/>
          <w:sz w:val="24"/>
          <w:highlight w:val="none"/>
          <w:lang w:eastAsia="zh-CN"/>
        </w:rPr>
        <w:t>（</w:t>
      </w:r>
      <w:r>
        <w:rPr>
          <w:rFonts w:hint="eastAsia" w:hAnsi="宋体" w:cs="宋体"/>
          <w:b/>
          <w:bCs w:val="0"/>
          <w:color w:val="auto"/>
          <w:spacing w:val="-6"/>
          <w:sz w:val="24"/>
          <w:highlight w:val="none"/>
          <w:lang w:val="en-US" w:eastAsia="zh-CN"/>
        </w:rPr>
        <w:t>六</w:t>
      </w:r>
      <w:r>
        <w:rPr>
          <w:rFonts w:hint="eastAsia" w:hAnsi="宋体" w:cs="宋体"/>
          <w:b/>
          <w:bCs w:val="0"/>
          <w:color w:val="auto"/>
          <w:spacing w:val="-6"/>
          <w:sz w:val="24"/>
          <w:highlight w:val="none"/>
          <w:lang w:eastAsia="zh-CN"/>
        </w:rPr>
        <w:t>）</w:t>
      </w:r>
      <w:r>
        <w:rPr>
          <w:rFonts w:hint="eastAsia" w:hAnsi="宋体" w:cs="宋体"/>
          <w:b/>
          <w:bCs w:val="0"/>
          <w:color w:val="auto"/>
          <w:spacing w:val="-6"/>
          <w:sz w:val="24"/>
          <w:highlight w:val="none"/>
          <w:lang w:val="en-US" w:eastAsia="zh-CN"/>
        </w:rPr>
        <w:t>报价要求</w:t>
      </w:r>
    </w:p>
    <w:p w14:paraId="6BC4B121">
      <w:pPr>
        <w:pStyle w:val="6"/>
        <w:spacing w:before="182" w:line="360" w:lineRule="auto"/>
        <w:ind w:left="22" w:firstLine="482"/>
        <w:rPr>
          <w:rFonts w:hint="eastAsia" w:ascii="宋体" w:hAnsi="宋体" w:eastAsia="宋体" w:cs="宋体"/>
          <w:b/>
          <w:bCs/>
          <w:color w:val="auto"/>
          <w:spacing w:val="-4"/>
          <w:sz w:val="24"/>
          <w:highlight w:val="none"/>
          <w:lang w:eastAsia="zh-CN"/>
        </w:rPr>
      </w:pPr>
      <w:r>
        <w:rPr>
          <w:rFonts w:hint="eastAsia" w:ascii="宋体" w:hAnsi="宋体" w:eastAsia="宋体" w:cs="宋体"/>
          <w:b/>
          <w:bCs/>
          <w:color w:val="auto"/>
          <w:spacing w:val="-4"/>
          <w:sz w:val="24"/>
          <w:highlight w:val="none"/>
          <w:lang w:eastAsia="zh-CN"/>
        </w:rPr>
        <w:t>1.本项目采用费率报价，费率报价须≤100%，否则响应无效。费率报价最多保留至小数点后两位，超出部分舍去，（如报价费率为83.656%，小数点后第三位直接舍去，评审费率即为83.65%，后期按照83.65%结算）。</w:t>
      </w:r>
    </w:p>
    <w:p w14:paraId="2F51076A">
      <w:pPr>
        <w:pStyle w:val="6"/>
        <w:spacing w:before="182" w:line="360" w:lineRule="auto"/>
        <w:ind w:left="22" w:firstLine="482"/>
        <w:rPr>
          <w:rFonts w:hint="eastAsia" w:ascii="宋体" w:hAnsi="宋体" w:eastAsia="宋体" w:cs="宋体"/>
          <w:color w:val="auto"/>
          <w:spacing w:val="-4"/>
          <w:sz w:val="24"/>
          <w:highlight w:val="none"/>
          <w:lang w:eastAsia="zh-CN"/>
        </w:rPr>
      </w:pPr>
      <w:r>
        <w:rPr>
          <w:rFonts w:hint="eastAsia" w:ascii="宋体" w:hAnsi="宋体" w:eastAsia="宋体" w:cs="宋体"/>
          <w:color w:val="auto"/>
          <w:spacing w:val="-4"/>
          <w:sz w:val="24"/>
          <w:highlight w:val="none"/>
          <w:lang w:eastAsia="zh-CN"/>
        </w:rPr>
        <w:t>2.以合肥市发展和改革委员会官网公布的重要民生价格、供货日当天合肥周谷堆农产品批发市场官网公布的信息价（农、产品批发均价）为基准价（较低者为准），结算单价=基准价*成交费率。例如：某类物品周谷堆农产品批发市场官网公布的价格为10元/公斤，中标人成交费率报价为93%，则中标人当日的该类物品配送价为：10*93％＝9.3元/公斤。</w:t>
      </w:r>
    </w:p>
    <w:p w14:paraId="5738F441">
      <w:pPr>
        <w:pStyle w:val="6"/>
        <w:spacing w:before="182" w:line="360" w:lineRule="auto"/>
        <w:ind w:left="22" w:firstLine="482"/>
        <w:rPr>
          <w:rFonts w:hint="eastAsia" w:ascii="宋体" w:hAnsi="宋体" w:eastAsia="宋体" w:cs="宋体"/>
          <w:color w:val="auto"/>
          <w:spacing w:val="-4"/>
          <w:sz w:val="24"/>
          <w:highlight w:val="none"/>
          <w:lang w:eastAsia="zh-CN"/>
        </w:rPr>
      </w:pPr>
      <w:r>
        <w:rPr>
          <w:rFonts w:hint="eastAsia" w:ascii="宋体" w:hAnsi="宋体" w:eastAsia="宋体" w:cs="宋体"/>
          <w:color w:val="auto"/>
          <w:spacing w:val="-4"/>
          <w:sz w:val="24"/>
          <w:highlight w:val="none"/>
          <w:lang w:eastAsia="zh-CN"/>
        </w:rPr>
        <w:t>注：中标人自行打印出送货当日的每种商品均价（并加盖单位公章）。</w:t>
      </w:r>
    </w:p>
    <w:p w14:paraId="7F091F02">
      <w:pPr>
        <w:pStyle w:val="6"/>
        <w:spacing w:before="182" w:line="360" w:lineRule="auto"/>
        <w:ind w:left="22" w:firstLine="482"/>
        <w:rPr>
          <w:rFonts w:hint="eastAsia" w:ascii="宋体" w:hAnsi="宋体" w:eastAsia="宋体" w:cs="宋体"/>
          <w:color w:val="auto"/>
          <w:spacing w:val="-4"/>
          <w:sz w:val="24"/>
          <w:highlight w:val="none"/>
          <w:lang w:eastAsia="zh-CN"/>
        </w:rPr>
      </w:pPr>
      <w:r>
        <w:rPr>
          <w:rFonts w:hint="eastAsia" w:ascii="宋体" w:hAnsi="宋体" w:eastAsia="宋体" w:cs="宋体"/>
          <w:color w:val="auto"/>
          <w:spacing w:val="-4"/>
          <w:sz w:val="24"/>
          <w:highlight w:val="none"/>
          <w:lang w:eastAsia="zh-CN"/>
        </w:rPr>
        <w:t>3.如果周谷堆农产品批发市场官网公布的信息价里面没有采购的食材或该官网未公布信息价，则参照三家大型商超（</w:t>
      </w:r>
      <w:r>
        <w:rPr>
          <w:rFonts w:hint="eastAsia" w:ascii="宋体" w:hAnsi="宋体" w:eastAsia="宋体" w:cs="宋体"/>
          <w:color w:val="auto"/>
          <w:spacing w:val="-4"/>
          <w:sz w:val="24"/>
          <w:highlight w:val="none"/>
          <w:lang w:val="en-US" w:eastAsia="zh-CN"/>
        </w:rPr>
        <w:t>大润发</w:t>
      </w:r>
      <w:r>
        <w:rPr>
          <w:rFonts w:hint="eastAsia" w:ascii="宋体" w:hAnsi="宋体" w:eastAsia="宋体" w:cs="宋体"/>
          <w:color w:val="auto"/>
          <w:spacing w:val="-4"/>
          <w:sz w:val="24"/>
          <w:highlight w:val="none"/>
          <w:lang w:eastAsia="zh-CN"/>
        </w:rPr>
        <w:t>、联家、合家福）中较低的物品零售价（促销、特价、惠民价商品除外），则结算单价=物品零售价*成交费率。若三家大型商超（</w:t>
      </w:r>
      <w:r>
        <w:rPr>
          <w:rFonts w:hint="eastAsia" w:ascii="宋体" w:hAnsi="宋体" w:eastAsia="宋体" w:cs="宋体"/>
          <w:color w:val="auto"/>
          <w:spacing w:val="-4"/>
          <w:sz w:val="24"/>
          <w:highlight w:val="none"/>
          <w:lang w:val="en-US" w:eastAsia="zh-CN"/>
        </w:rPr>
        <w:t>大润发</w:t>
      </w:r>
      <w:r>
        <w:rPr>
          <w:rFonts w:hint="eastAsia" w:ascii="宋体" w:hAnsi="宋体" w:eastAsia="宋体" w:cs="宋体"/>
          <w:color w:val="auto"/>
          <w:spacing w:val="-4"/>
          <w:sz w:val="24"/>
          <w:highlight w:val="none"/>
          <w:lang w:eastAsia="zh-CN"/>
        </w:rPr>
        <w:t>、联家、合家福）没有信息价，则按照中标人与采购人经市场调研后共同认可的市场价作为基准价及所报费率进行结算。</w:t>
      </w:r>
    </w:p>
    <w:p w14:paraId="7E19D21A">
      <w:pPr>
        <w:pStyle w:val="6"/>
        <w:spacing w:before="182" w:line="360" w:lineRule="auto"/>
        <w:ind w:left="22" w:firstLine="482"/>
        <w:rPr>
          <w:rFonts w:hint="eastAsia" w:ascii="宋体" w:hAnsi="宋体" w:eastAsia="宋体" w:cs="宋体"/>
          <w:color w:val="auto"/>
          <w:spacing w:val="-4"/>
          <w:sz w:val="24"/>
          <w:highlight w:val="none"/>
          <w:lang w:eastAsia="zh-CN"/>
        </w:rPr>
      </w:pPr>
      <w:r>
        <w:rPr>
          <w:rFonts w:hint="eastAsia" w:ascii="宋体" w:hAnsi="宋体" w:eastAsia="宋体" w:cs="宋体"/>
          <w:color w:val="auto"/>
          <w:spacing w:val="-4"/>
          <w:sz w:val="24"/>
          <w:highlight w:val="none"/>
          <w:lang w:eastAsia="zh-CN"/>
        </w:rPr>
        <w:t>4.采购人有权定期或不定期对价格进行核查，实际结算以采购人确认价格为准。</w:t>
      </w:r>
    </w:p>
    <w:p w14:paraId="25365D59">
      <w:pPr>
        <w:pStyle w:val="6"/>
        <w:spacing w:before="182" w:line="360" w:lineRule="auto"/>
        <w:ind w:left="22" w:firstLine="482"/>
        <w:rPr>
          <w:rFonts w:hint="eastAsia" w:ascii="宋体" w:hAnsi="宋体" w:eastAsia="宋体" w:cs="宋体"/>
          <w:color w:val="auto"/>
          <w:spacing w:val="-4"/>
          <w:sz w:val="24"/>
          <w:highlight w:val="none"/>
          <w:lang w:eastAsia="zh-CN"/>
        </w:rPr>
      </w:pPr>
      <w:r>
        <w:rPr>
          <w:rFonts w:hint="eastAsia" w:ascii="宋体" w:hAnsi="宋体" w:eastAsia="宋体" w:cs="宋体"/>
          <w:color w:val="auto"/>
          <w:spacing w:val="-4"/>
          <w:sz w:val="24"/>
          <w:highlight w:val="none"/>
          <w:lang w:eastAsia="zh-CN"/>
        </w:rPr>
        <w:t>5.中标人所报的费率在合同实施期间保持不变，即不因市场价格或政策性价格的调整而增减。</w:t>
      </w:r>
    </w:p>
    <w:p w14:paraId="3D4528D6">
      <w:pPr>
        <w:pStyle w:val="6"/>
        <w:spacing w:before="182" w:line="360" w:lineRule="auto"/>
        <w:ind w:left="22" w:firstLine="482"/>
        <w:rPr>
          <w:rFonts w:hint="eastAsia" w:ascii="宋体" w:hAnsi="宋体" w:eastAsia="宋体" w:cs="宋体"/>
          <w:color w:val="auto"/>
          <w:spacing w:val="-4"/>
          <w:sz w:val="24"/>
          <w:highlight w:val="none"/>
          <w:lang w:eastAsia="zh-CN"/>
        </w:rPr>
      </w:pPr>
      <w:r>
        <w:rPr>
          <w:rFonts w:hint="eastAsia" w:ascii="宋体" w:hAnsi="宋体" w:eastAsia="宋体" w:cs="宋体"/>
          <w:color w:val="auto"/>
          <w:spacing w:val="-4"/>
          <w:sz w:val="24"/>
          <w:highlight w:val="none"/>
          <w:lang w:eastAsia="zh-CN"/>
        </w:rPr>
        <w:t>6.报价包含配送、运输、人工、搬运等产生的一切费用，在合同期间成交中标人不得另行收取费用。</w:t>
      </w:r>
    </w:p>
    <w:p w14:paraId="29EEC1C3">
      <w:pPr>
        <w:pStyle w:val="6"/>
        <w:spacing w:before="182" w:line="360" w:lineRule="auto"/>
        <w:ind w:left="22" w:firstLine="482"/>
        <w:rPr>
          <w:rFonts w:hint="eastAsia" w:ascii="宋体" w:hAnsi="宋体"/>
          <w:color w:val="000000" w:themeColor="text1"/>
          <w:highlight w:val="none"/>
          <w14:textFill>
            <w14:solidFill>
              <w14:schemeClr w14:val="tx1"/>
            </w14:solidFill>
          </w14:textFill>
        </w:rPr>
      </w:pPr>
      <w:r>
        <w:rPr>
          <w:rFonts w:hint="eastAsia" w:ascii="宋体" w:hAnsi="宋体" w:eastAsia="宋体" w:cs="宋体"/>
          <w:color w:val="auto"/>
          <w:spacing w:val="-4"/>
          <w:sz w:val="24"/>
          <w:highlight w:val="none"/>
          <w:lang w:eastAsia="zh-CN"/>
        </w:rPr>
        <w:t>7.如遇自然灾害等不可预见的因素造成的个别品种价格需临时做调整的，中标人应遵循当时的市场价格标准，事先与招标人协商并在招标人书面同意后方可调整。</w:t>
      </w:r>
      <w:r>
        <w:rPr>
          <w:rFonts w:hint="eastAsia" w:ascii="宋体" w:hAnsi="宋体" w:eastAsia="宋体" w:cs="宋体"/>
          <w:color w:val="auto"/>
          <w:spacing w:val="-4"/>
          <w:sz w:val="24"/>
          <w:highlight w:val="none"/>
          <w:lang w:val="en-US" w:eastAsia="zh-CN"/>
        </w:rPr>
        <w:t xml:space="preserve"> </w:t>
      </w:r>
    </w:p>
    <w:p w14:paraId="22EE8B62">
      <w:pPr>
        <w:widowControl/>
        <w:jc w:val="left"/>
        <w:rPr>
          <w:rFonts w:hint="eastAsia" w:ascii="宋体" w:hAnsi="宋体"/>
          <w:color w:val="000000" w:themeColor="text1"/>
          <w:highlight w:val="none"/>
          <w14:textFill>
            <w14:solidFill>
              <w14:schemeClr w14:val="tx1"/>
            </w14:solidFill>
          </w14:textFill>
        </w:rPr>
      </w:pPr>
    </w:p>
    <w:p w14:paraId="75191FB5">
      <w:pPr>
        <w:widowControl/>
        <w:jc w:val="left"/>
        <w:rPr>
          <w:rFonts w:hint="eastAsia" w:ascii="宋体" w:hAnsi="宋体"/>
          <w:color w:val="000000" w:themeColor="text1"/>
          <w:highlight w:val="none"/>
          <w14:textFill>
            <w14:solidFill>
              <w14:schemeClr w14:val="tx1"/>
            </w14:solidFill>
          </w14:textFill>
        </w:rPr>
      </w:pPr>
    </w:p>
    <w:p w14:paraId="407D9729">
      <w:pPr>
        <w:pStyle w:val="2"/>
        <w:spacing w:before="0" w:after="0" w:line="240" w:lineRule="auto"/>
        <w:ind w:firstLine="0"/>
        <w:rPr>
          <w:rFonts w:hint="eastAsia" w:ascii="宋体" w:hAnsi="宋体" w:eastAsia="宋体"/>
          <w:color w:val="000000" w:themeColor="text1"/>
          <w:highlight w:val="none"/>
          <w14:textFill>
            <w14:solidFill>
              <w14:schemeClr w14:val="tx1"/>
            </w14:solidFill>
          </w14:textFill>
        </w:rPr>
      </w:pPr>
      <w:bookmarkStart w:id="35" w:name="_Toc24266"/>
      <w:bookmarkStart w:id="36" w:name="_Toc5402"/>
      <w:r>
        <w:rPr>
          <w:rFonts w:hint="eastAsia" w:ascii="宋体" w:hAnsi="宋体" w:eastAsia="宋体"/>
          <w:color w:val="000000" w:themeColor="text1"/>
          <w:highlight w:val="none"/>
          <w14:textFill>
            <w14:solidFill>
              <w14:schemeClr w14:val="tx1"/>
            </w14:solidFill>
          </w14:textFill>
        </w:rPr>
        <w:t>第</w:t>
      </w:r>
      <w:bookmarkStart w:id="37" w:name="_Hlt240110027"/>
      <w:bookmarkEnd w:id="37"/>
      <w:r>
        <w:rPr>
          <w:rFonts w:hint="eastAsia" w:ascii="宋体" w:hAnsi="宋体" w:eastAsia="宋体"/>
          <w:color w:val="000000" w:themeColor="text1"/>
          <w:highlight w:val="none"/>
          <w14:textFill>
            <w14:solidFill>
              <w14:schemeClr w14:val="tx1"/>
            </w14:solidFill>
          </w14:textFill>
        </w:rPr>
        <w:t>五章评标办法</w:t>
      </w:r>
      <w:bookmarkEnd w:id="35"/>
      <w:bookmarkEnd w:id="36"/>
    </w:p>
    <w:p w14:paraId="2D1CDE61">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1.为了做好招标评标工作，保证项目评审工作的正常有序进行，维护招标人、投标人的合法权益，依据《中华人民共和国招标投标法》、《中华人民共和国招标投标法实施条例》及其它相关法律法规，本着公开、公平、公正的原则，制定评标办法。</w:t>
      </w:r>
    </w:p>
    <w:p w14:paraId="478C0AF3">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2.本次项目评标采用综合评分法作为对投标人标书的比较方法。</w:t>
      </w:r>
    </w:p>
    <w:p w14:paraId="628CF2B4">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3.本项目将依法组建不少于5人的评标委员会，负责本项目的评标工作。</w:t>
      </w:r>
    </w:p>
    <w:p w14:paraId="5447C8D8">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4．评标委员会按照“客观公正，实事求是”的原则，评价参加本次招标的投标人所提供的产品或服务价格、性能、质量、服务及对招标文件的符合性及</w:t>
      </w:r>
      <w:r>
        <w:rPr>
          <w:rFonts w:hint="eastAsia" w:ascii="宋体" w:hAnsi="宋体"/>
          <w:bCs/>
          <w:color w:val="000000" w:themeColor="text1"/>
          <w:szCs w:val="24"/>
          <w:highlight w:val="none"/>
          <w:lang w:eastAsia="zh-CN"/>
          <w14:textFill>
            <w14:solidFill>
              <w14:schemeClr w14:val="tx1"/>
            </w14:solidFill>
          </w14:textFill>
        </w:rPr>
        <w:t>投标</w:t>
      </w:r>
      <w:r>
        <w:rPr>
          <w:rFonts w:hint="eastAsia" w:ascii="宋体" w:hAnsi="宋体"/>
          <w:bCs/>
          <w:color w:val="000000" w:themeColor="text1"/>
          <w:szCs w:val="24"/>
          <w:highlight w:val="none"/>
          <w14:textFill>
            <w14:solidFill>
              <w14:schemeClr w14:val="tx1"/>
            </w14:solidFill>
          </w14:textFill>
        </w:rPr>
        <w:t>性。</w:t>
      </w:r>
    </w:p>
    <w:p w14:paraId="60F0DE0F">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5.评标工作于开标后进行。评标委员会应认真研究招标文件，至少应了解和熟悉以下内容：</w:t>
      </w:r>
    </w:p>
    <w:p w14:paraId="1383CC41">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5.1招标的目标；</w:t>
      </w:r>
    </w:p>
    <w:p w14:paraId="423F952E">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5.2招标项目的范围和性质；</w:t>
      </w:r>
    </w:p>
    <w:p w14:paraId="1C4AEF10">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5.3招标文件中规定的主要技术要求、标准和商务条款；</w:t>
      </w:r>
    </w:p>
    <w:p w14:paraId="01C1FB21">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5.4招标文件规定的评标标准、评标方法和在评标过程中考虑的相关因素。</w:t>
      </w:r>
    </w:p>
    <w:p w14:paraId="09CBCAF4">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6有效投标应符合以下原则：</w:t>
      </w:r>
    </w:p>
    <w:p w14:paraId="6A359B54">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6.1满足招标文件的实质性要求；</w:t>
      </w:r>
    </w:p>
    <w:p w14:paraId="2594C830">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6.2无重大偏离、保留或招标人不能接受的附加条件；</w:t>
      </w:r>
    </w:p>
    <w:p w14:paraId="57D0AC75">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6.3通过初审；</w:t>
      </w:r>
    </w:p>
    <w:p w14:paraId="7B74E83B">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6.4评标委员会依据招标文件认定的其他原则。</w:t>
      </w:r>
    </w:p>
    <w:p w14:paraId="4EFE1692">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7.评标委员会遵循公开、公平、公正和科学诚信的原则，对所有投标文件均采用相同程序和标准，进行评定。</w:t>
      </w:r>
    </w:p>
    <w:p w14:paraId="04B4B1B0">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8.评审程序</w:t>
      </w:r>
    </w:p>
    <w:p w14:paraId="23116DD4">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8.1本项目采用综合评分法进行评审，在最大限度地满足招标文件实质性要求前提下，按照招标文件中规定的各项因素进行综合评审。综合评分法的主要因素是：技术部分、商务部分以及相应的比重。</w:t>
      </w:r>
    </w:p>
    <w:p w14:paraId="6EAF1D07">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8.2评标委员会首先对所有投标人进行初审，初审中，评标委员会发现投标人的投标文件中对同类问题表述不一致、前后矛盾、有明显文字和计算错误的内容、有可能不符合招标文件规定等情况需要澄清时，评标委员会将以询标的方式告知并要求投标人以书面方式进行必要的澄清、说明或补正。对于询标后判定为不符合招标文件的投标文件，评委要提出充足的否定理由，并予以书面记录。最终对投标人初审结论分为通过和未通过。</w:t>
      </w:r>
    </w:p>
    <w:p w14:paraId="4EF98C87">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8.3评委独立评审后，评标委员会对投标人某项指标如有不同意见，按照少数服从多数的原则，确定该项指标是否通过。符合初审指标通过标准的，为有效投标。评标委员会按下表内容进行初审。</w:t>
      </w:r>
    </w:p>
    <w:p w14:paraId="569101F7">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8.4初审</w:t>
      </w:r>
    </w:p>
    <w:tbl>
      <w:tblPr>
        <w:tblStyle w:val="17"/>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95"/>
        <w:gridCol w:w="2720"/>
        <w:gridCol w:w="3826"/>
      </w:tblGrid>
      <w:tr w14:paraId="28CC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61" w:type="dxa"/>
            <w:gridSpan w:val="4"/>
            <w:vAlign w:val="center"/>
          </w:tcPr>
          <w:p w14:paraId="1405424A">
            <w:pPr>
              <w:pStyle w:val="24"/>
              <w:keepNext w:val="0"/>
              <w:keepLines w:val="0"/>
              <w:pageBreakBefore w:val="0"/>
              <w:widowControl w:val="0"/>
              <w:pBdr>
                <w:bottom w:val="none" w:color="auto" w:sz="0" w:space="0"/>
              </w:pBdr>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初审表（废标指标一览表）</w:t>
            </w:r>
          </w:p>
        </w:tc>
      </w:tr>
      <w:tr w14:paraId="4213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61" w:type="dxa"/>
            <w:gridSpan w:val="4"/>
            <w:vAlign w:val="center"/>
          </w:tcPr>
          <w:p w14:paraId="556FEE3E">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初审指标</w:t>
            </w:r>
          </w:p>
        </w:tc>
      </w:tr>
      <w:tr w14:paraId="70A7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tcBorders>
              <w:bottom w:val="single" w:color="auto" w:sz="4" w:space="0"/>
            </w:tcBorders>
            <w:vAlign w:val="center"/>
          </w:tcPr>
          <w:p w14:paraId="092084E7">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序号</w:t>
            </w:r>
          </w:p>
        </w:tc>
        <w:tc>
          <w:tcPr>
            <w:tcW w:w="1895" w:type="dxa"/>
            <w:tcBorders>
              <w:bottom w:val="single" w:color="auto" w:sz="4" w:space="0"/>
            </w:tcBorders>
            <w:vAlign w:val="center"/>
          </w:tcPr>
          <w:p w14:paraId="3F975188">
            <w:pPr>
              <w:pStyle w:val="24"/>
              <w:keepNext w:val="0"/>
              <w:keepLines w:val="0"/>
              <w:pageBreakBefore w:val="0"/>
              <w:widowControl w:val="0"/>
              <w:pBdr>
                <w:bottom w:val="none" w:color="auto" w:sz="0" w:space="0"/>
              </w:pBdr>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指标名称</w:t>
            </w:r>
          </w:p>
        </w:tc>
        <w:tc>
          <w:tcPr>
            <w:tcW w:w="2720" w:type="dxa"/>
            <w:tcBorders>
              <w:bottom w:val="single" w:color="auto" w:sz="4" w:space="0"/>
            </w:tcBorders>
            <w:vAlign w:val="center"/>
          </w:tcPr>
          <w:p w14:paraId="2B1FB06A">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指标要求</w:t>
            </w:r>
          </w:p>
        </w:tc>
        <w:tc>
          <w:tcPr>
            <w:tcW w:w="3826" w:type="dxa"/>
            <w:tcBorders>
              <w:bottom w:val="single" w:color="auto" w:sz="4" w:space="0"/>
            </w:tcBorders>
            <w:vAlign w:val="center"/>
          </w:tcPr>
          <w:p w14:paraId="46E23F6C">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投标文件格式及提交资料要求</w:t>
            </w:r>
          </w:p>
        </w:tc>
      </w:tr>
      <w:tr w14:paraId="44BB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73BF7617">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p>
        </w:tc>
        <w:tc>
          <w:tcPr>
            <w:tcW w:w="1895" w:type="dxa"/>
            <w:vAlign w:val="center"/>
          </w:tcPr>
          <w:p w14:paraId="13224C11">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营业执照或事业单位法人证书</w:t>
            </w:r>
          </w:p>
        </w:tc>
        <w:tc>
          <w:tcPr>
            <w:tcW w:w="2720" w:type="dxa"/>
            <w:vAlign w:val="center"/>
          </w:tcPr>
          <w:p w14:paraId="25CCD775">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合法有效</w:t>
            </w:r>
          </w:p>
        </w:tc>
        <w:tc>
          <w:tcPr>
            <w:tcW w:w="3826" w:type="dxa"/>
            <w:vAlign w:val="center"/>
          </w:tcPr>
          <w:p w14:paraId="4709241E">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提供有效的营业执照（或事业单位法人证书）的复印件或影印件</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，应完整的体现出营业执照</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（或事业单位法人证书）</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的全部内容</w:t>
            </w:r>
          </w:p>
        </w:tc>
      </w:tr>
      <w:tr w14:paraId="49E9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6624B65F">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w:t>
            </w:r>
          </w:p>
        </w:tc>
        <w:tc>
          <w:tcPr>
            <w:tcW w:w="1895" w:type="dxa"/>
            <w:vAlign w:val="center"/>
          </w:tcPr>
          <w:p w14:paraId="29754FDA">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投标函</w:t>
            </w:r>
          </w:p>
        </w:tc>
        <w:tc>
          <w:tcPr>
            <w:tcW w:w="2720" w:type="dxa"/>
            <w:vAlign w:val="center"/>
          </w:tcPr>
          <w:p w14:paraId="148522E8">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符合招标文件要求</w:t>
            </w:r>
          </w:p>
        </w:tc>
        <w:tc>
          <w:tcPr>
            <w:tcW w:w="3826" w:type="dxa"/>
            <w:vAlign w:val="center"/>
          </w:tcPr>
          <w:p w14:paraId="4EF28BC6">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r>
      <w:tr w14:paraId="3C73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0B156EFE">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w:t>
            </w:r>
          </w:p>
        </w:tc>
        <w:tc>
          <w:tcPr>
            <w:tcW w:w="1895" w:type="dxa"/>
            <w:vAlign w:val="center"/>
          </w:tcPr>
          <w:p w14:paraId="504FBDB8">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投标授权书</w:t>
            </w:r>
          </w:p>
        </w:tc>
        <w:tc>
          <w:tcPr>
            <w:tcW w:w="2720" w:type="dxa"/>
            <w:vAlign w:val="center"/>
          </w:tcPr>
          <w:p w14:paraId="1E2E2592">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符合招标文件要求</w:t>
            </w:r>
          </w:p>
        </w:tc>
        <w:tc>
          <w:tcPr>
            <w:tcW w:w="3826" w:type="dxa"/>
            <w:vAlign w:val="center"/>
          </w:tcPr>
          <w:p w14:paraId="78E67718">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要求详见第七章投标文件格式“投标授权书”</w:t>
            </w:r>
          </w:p>
        </w:tc>
      </w:tr>
      <w:tr w14:paraId="65C4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4142A5BE">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w:t>
            </w:r>
          </w:p>
        </w:tc>
        <w:tc>
          <w:tcPr>
            <w:tcW w:w="1895" w:type="dxa"/>
            <w:vAlign w:val="center"/>
          </w:tcPr>
          <w:p w14:paraId="34DD3DF2">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投标保证金及电子交易服务费</w:t>
            </w:r>
          </w:p>
        </w:tc>
        <w:tc>
          <w:tcPr>
            <w:tcW w:w="2720" w:type="dxa"/>
            <w:vAlign w:val="center"/>
          </w:tcPr>
          <w:p w14:paraId="269E312D">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符合招标文件要求</w:t>
            </w:r>
          </w:p>
        </w:tc>
        <w:tc>
          <w:tcPr>
            <w:tcW w:w="3826" w:type="dxa"/>
            <w:vAlign w:val="center"/>
          </w:tcPr>
          <w:p w14:paraId="021E76E7">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第二章投标人须知前附表11条</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（以代理机构财务查询为准）</w:t>
            </w:r>
          </w:p>
        </w:tc>
      </w:tr>
      <w:tr w14:paraId="3310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31B16EFF">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w:t>
            </w:r>
          </w:p>
        </w:tc>
        <w:tc>
          <w:tcPr>
            <w:tcW w:w="1895" w:type="dxa"/>
            <w:vAlign w:val="center"/>
          </w:tcPr>
          <w:p w14:paraId="7EFC03A0">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投标人信用承诺</w:t>
            </w:r>
          </w:p>
        </w:tc>
        <w:tc>
          <w:tcPr>
            <w:tcW w:w="2720" w:type="dxa"/>
            <w:vAlign w:val="center"/>
          </w:tcPr>
          <w:p w14:paraId="25240CE9">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符合招标文件要求</w:t>
            </w:r>
          </w:p>
        </w:tc>
        <w:tc>
          <w:tcPr>
            <w:tcW w:w="3826" w:type="dxa"/>
            <w:vAlign w:val="center"/>
          </w:tcPr>
          <w:p w14:paraId="4762C447">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详见第七章投标文件格式“投标人信用承诺”</w:t>
            </w:r>
          </w:p>
        </w:tc>
      </w:tr>
      <w:tr w14:paraId="5F22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23335D40">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w:t>
            </w:r>
          </w:p>
        </w:tc>
        <w:tc>
          <w:tcPr>
            <w:tcW w:w="1895" w:type="dxa"/>
            <w:vAlign w:val="center"/>
          </w:tcPr>
          <w:p w14:paraId="048D1813">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开标一览表</w:t>
            </w:r>
          </w:p>
        </w:tc>
        <w:tc>
          <w:tcPr>
            <w:tcW w:w="2720" w:type="dxa"/>
            <w:vAlign w:val="center"/>
          </w:tcPr>
          <w:p w14:paraId="33E150BE">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符合招标文件要求</w:t>
            </w:r>
          </w:p>
        </w:tc>
        <w:tc>
          <w:tcPr>
            <w:tcW w:w="3826" w:type="dxa"/>
            <w:vAlign w:val="center"/>
          </w:tcPr>
          <w:p w14:paraId="5DF019FE">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第七章投标文件格式一</w:t>
            </w:r>
          </w:p>
        </w:tc>
      </w:tr>
      <w:tr w14:paraId="324E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380AF8C6">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w:t>
            </w:r>
          </w:p>
        </w:tc>
        <w:tc>
          <w:tcPr>
            <w:tcW w:w="1895" w:type="dxa"/>
            <w:vAlign w:val="center"/>
          </w:tcPr>
          <w:p w14:paraId="17F69E5F">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z w:val="24"/>
                <w:szCs w:val="24"/>
              </w:rPr>
              <w:t>食品经营许可证或食品生产许可证</w:t>
            </w:r>
          </w:p>
        </w:tc>
        <w:tc>
          <w:tcPr>
            <w:tcW w:w="2720" w:type="dxa"/>
            <w:vAlign w:val="center"/>
          </w:tcPr>
          <w:p w14:paraId="6B265F34">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符合招标公告要求</w:t>
            </w:r>
          </w:p>
        </w:tc>
        <w:tc>
          <w:tcPr>
            <w:tcW w:w="3826" w:type="dxa"/>
            <w:vAlign w:val="center"/>
          </w:tcPr>
          <w:p w14:paraId="5901BA25">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提供复印件或影印件</w:t>
            </w:r>
          </w:p>
        </w:tc>
      </w:tr>
      <w:tr w14:paraId="4D2E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0" w:type="dxa"/>
            <w:vAlign w:val="center"/>
          </w:tcPr>
          <w:p w14:paraId="1AE73187">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w:t>
            </w:r>
          </w:p>
        </w:tc>
        <w:tc>
          <w:tcPr>
            <w:tcW w:w="1895" w:type="dxa"/>
            <w:vAlign w:val="center"/>
          </w:tcPr>
          <w:p w14:paraId="3263D1EC">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其他要求</w:t>
            </w:r>
          </w:p>
        </w:tc>
        <w:tc>
          <w:tcPr>
            <w:tcW w:w="2720" w:type="dxa"/>
            <w:vAlign w:val="center"/>
          </w:tcPr>
          <w:p w14:paraId="3A792852">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上述指标中未列出，但国家相关法律法规或招标文件有明确规定的</w:t>
            </w:r>
          </w:p>
        </w:tc>
        <w:tc>
          <w:tcPr>
            <w:tcW w:w="3826" w:type="dxa"/>
            <w:vAlign w:val="center"/>
          </w:tcPr>
          <w:p w14:paraId="616079D3">
            <w:pPr>
              <w:keepNext w:val="0"/>
              <w:keepLines w:val="0"/>
              <w:pageBreakBefore w:val="0"/>
              <w:widowControl w:val="0"/>
              <w:kinsoku/>
              <w:wordWrap w:val="0"/>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r>
      <w:tr w14:paraId="7DCB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61" w:type="dxa"/>
            <w:gridSpan w:val="4"/>
            <w:vAlign w:val="center"/>
          </w:tcPr>
          <w:p w14:paraId="0A3C602A">
            <w:pPr>
              <w:keepNext w:val="0"/>
              <w:keepLines w:val="0"/>
              <w:pageBreakBefore w:val="0"/>
              <w:widowControl w:val="0"/>
              <w:kinsoku/>
              <w:wordWrap w:val="0"/>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初审指标通过标准：投标人必须通过上述全部指标。</w:t>
            </w:r>
          </w:p>
          <w:p w14:paraId="4941D66B">
            <w:pPr>
              <w:keepNext w:val="0"/>
              <w:keepLines w:val="0"/>
              <w:pageBreakBefore w:val="0"/>
              <w:widowControl w:val="0"/>
              <w:kinsoku/>
              <w:wordWrap w:val="0"/>
              <w:overflowPunct/>
              <w:topLinePunct w:val="0"/>
              <w:autoSpaceDE/>
              <w:autoSpaceDN/>
              <w:bidi w:val="0"/>
              <w:adjustRightInd/>
              <w:snapToGrid/>
              <w:spacing w:line="360" w:lineRule="auto"/>
              <w:ind w:right="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评标委员会根据表中所列各项指标对投标人是否为有效标进行评审，未列入上表中的指标不得作为废标依据。</w:t>
            </w:r>
          </w:p>
        </w:tc>
      </w:tr>
    </w:tbl>
    <w:p w14:paraId="05B950A0">
      <w:pPr>
        <w:adjustRightInd w:val="0"/>
        <w:snapToGrid w:val="0"/>
        <w:spacing w:line="360" w:lineRule="auto"/>
        <w:ind w:right="-10" w:firstLine="420" w:firstLineChars="175"/>
        <w:rPr>
          <w:rFonts w:hint="eastAsia" w:ascii="宋体" w:hAnsi="宋体" w:cs="Times New Roman"/>
          <w:bCs/>
          <w:color w:val="000000" w:themeColor="text1"/>
          <w:szCs w:val="24"/>
          <w:highlight w:val="none"/>
          <w14:textFill>
            <w14:solidFill>
              <w14:schemeClr w14:val="tx1"/>
            </w14:solidFill>
          </w14:textFill>
        </w:rPr>
      </w:pPr>
      <w:r>
        <w:rPr>
          <w:rFonts w:hint="eastAsia" w:ascii="宋体" w:hAnsi="宋体" w:cs="Times New Roman"/>
          <w:bCs/>
          <w:color w:val="000000" w:themeColor="text1"/>
          <w:szCs w:val="24"/>
          <w:highlight w:val="none"/>
          <w14:textFill>
            <w14:solidFill>
              <w14:schemeClr w14:val="tx1"/>
            </w14:solidFill>
          </w14:textFill>
        </w:rPr>
        <w:t>8.5评标委员会将对所有通过初审的投标文件进行详细评审，具体如下：</w:t>
      </w:r>
    </w:p>
    <w:p w14:paraId="0365FAB8">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cs="Times New Roman"/>
          <w:bCs/>
          <w:color w:val="000000" w:themeColor="text1"/>
          <w:szCs w:val="24"/>
          <w:highlight w:val="none"/>
          <w14:textFill>
            <w14:solidFill>
              <w14:schemeClr w14:val="tx1"/>
            </w14:solidFill>
          </w14:textFill>
        </w:rPr>
        <w:t>根据评分的细则，评委应对进入详细评审的所有投标文件进行评分，并分别填写打分表。</w:t>
      </w:r>
    </w:p>
    <w:p w14:paraId="60AF681B">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8.6详细评审指标如下：</w:t>
      </w:r>
    </w:p>
    <w:tbl>
      <w:tblPr>
        <w:tblStyle w:val="26"/>
        <w:tblW w:w="98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0"/>
        <w:gridCol w:w="914"/>
        <w:gridCol w:w="7553"/>
        <w:gridCol w:w="832"/>
      </w:tblGrid>
      <w:tr w14:paraId="475AD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4201A5A9">
            <w:pPr>
              <w:pStyle w:val="25"/>
              <w:spacing w:before="81"/>
              <w:jc w:val="center"/>
              <w:rPr>
                <w:rFonts w:cs="方正仿宋_GB2312"/>
                <w:color w:val="auto"/>
                <w:highlight w:val="none"/>
              </w:rPr>
            </w:pPr>
            <w:r>
              <w:rPr>
                <w:rFonts w:hint="eastAsia" w:cs="方正仿宋_GB2312"/>
                <w:color w:val="auto"/>
                <w:spacing w:val="-1"/>
                <w:highlight w:val="none"/>
              </w:rPr>
              <w:t>序号</w:t>
            </w:r>
          </w:p>
        </w:tc>
        <w:tc>
          <w:tcPr>
            <w:tcW w:w="914" w:type="dxa"/>
            <w:vAlign w:val="center"/>
          </w:tcPr>
          <w:p w14:paraId="41D486FD">
            <w:pPr>
              <w:pStyle w:val="25"/>
              <w:spacing w:before="78"/>
              <w:jc w:val="center"/>
              <w:rPr>
                <w:rFonts w:cs="方正仿宋_GB2312"/>
                <w:color w:val="auto"/>
                <w:highlight w:val="none"/>
              </w:rPr>
            </w:pPr>
            <w:r>
              <w:rPr>
                <w:rFonts w:hint="eastAsia" w:cs="方正仿宋_GB2312"/>
                <w:color w:val="auto"/>
                <w:spacing w:val="-3"/>
                <w:highlight w:val="none"/>
              </w:rPr>
              <w:t>内容</w:t>
            </w:r>
          </w:p>
        </w:tc>
        <w:tc>
          <w:tcPr>
            <w:tcW w:w="7553" w:type="dxa"/>
            <w:vAlign w:val="center"/>
          </w:tcPr>
          <w:p w14:paraId="2D65A7EC">
            <w:pPr>
              <w:pStyle w:val="25"/>
              <w:spacing w:before="78"/>
              <w:jc w:val="center"/>
              <w:rPr>
                <w:rFonts w:cs="方正仿宋_GB2312"/>
                <w:color w:val="auto"/>
                <w:highlight w:val="none"/>
                <w:lang w:eastAsia="zh-CN"/>
              </w:rPr>
            </w:pPr>
            <w:r>
              <w:rPr>
                <w:rFonts w:hint="eastAsia" w:cs="方正仿宋_GB2312"/>
                <w:color w:val="auto"/>
                <w:spacing w:val="-7"/>
                <w:highlight w:val="none"/>
                <w:lang w:eastAsia="zh-CN"/>
              </w:rPr>
              <w:t>评分标准</w:t>
            </w:r>
          </w:p>
        </w:tc>
        <w:tc>
          <w:tcPr>
            <w:tcW w:w="832" w:type="dxa"/>
            <w:vAlign w:val="center"/>
          </w:tcPr>
          <w:p w14:paraId="52BEAA1C">
            <w:pPr>
              <w:pStyle w:val="25"/>
              <w:spacing w:before="78"/>
              <w:jc w:val="center"/>
              <w:rPr>
                <w:rFonts w:cs="方正仿宋_GB2312"/>
                <w:color w:val="auto"/>
                <w:spacing w:val="-7"/>
                <w:highlight w:val="none"/>
                <w:lang w:eastAsia="zh-CN"/>
              </w:rPr>
            </w:pPr>
            <w:r>
              <w:rPr>
                <w:rFonts w:hint="eastAsia" w:cs="方正仿宋_GB2312"/>
                <w:color w:val="auto"/>
                <w:spacing w:val="-3"/>
                <w:highlight w:val="none"/>
                <w:lang w:eastAsia="zh-CN"/>
              </w:rPr>
              <w:t>分值</w:t>
            </w:r>
          </w:p>
        </w:tc>
      </w:tr>
      <w:tr w14:paraId="25677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26F3C665">
            <w:pPr>
              <w:pStyle w:val="25"/>
              <w:spacing w:before="78" w:line="440" w:lineRule="exact"/>
              <w:ind w:right="4"/>
              <w:jc w:val="center"/>
              <w:rPr>
                <w:rFonts w:cs="方正仿宋_GB2312"/>
                <w:color w:val="auto"/>
                <w:highlight w:val="none"/>
              </w:rPr>
            </w:pPr>
            <w:r>
              <w:rPr>
                <w:rFonts w:hint="eastAsia" w:cs="方正仿宋_GB2312"/>
                <w:color w:val="auto"/>
                <w:highlight w:val="none"/>
              </w:rPr>
              <w:t>1</w:t>
            </w:r>
          </w:p>
        </w:tc>
        <w:tc>
          <w:tcPr>
            <w:tcW w:w="914" w:type="dxa"/>
            <w:vAlign w:val="center"/>
          </w:tcPr>
          <w:p w14:paraId="42A8610F">
            <w:pPr>
              <w:pStyle w:val="25"/>
              <w:spacing w:before="78" w:line="440" w:lineRule="exact"/>
              <w:jc w:val="center"/>
              <w:rPr>
                <w:rFonts w:cs="方正仿宋_GB2312"/>
                <w:color w:val="auto"/>
                <w:highlight w:val="none"/>
                <w:lang w:eastAsia="zh-CN"/>
              </w:rPr>
            </w:pPr>
            <w:r>
              <w:rPr>
                <w:rFonts w:hint="eastAsia" w:cs="方正仿宋_GB2312"/>
                <w:color w:val="auto"/>
                <w:highlight w:val="none"/>
                <w:lang w:eastAsia="zh-CN"/>
              </w:rPr>
              <w:t>投标人业绩</w:t>
            </w:r>
          </w:p>
        </w:tc>
        <w:tc>
          <w:tcPr>
            <w:tcW w:w="7553" w:type="dxa"/>
          </w:tcPr>
          <w:p w14:paraId="2262F01A">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lang w:eastAsia="zh-CN"/>
              </w:rPr>
            </w:pPr>
            <w:r>
              <w:rPr>
                <w:color w:val="auto"/>
                <w:highlight w:val="none"/>
                <w:lang w:eastAsia="zh-CN"/>
              </w:rPr>
              <w:t>自202</w:t>
            </w:r>
            <w:r>
              <w:rPr>
                <w:rFonts w:hint="eastAsia"/>
                <w:color w:val="auto"/>
                <w:highlight w:val="none"/>
                <w:lang w:val="en-US" w:eastAsia="zh-CN"/>
              </w:rPr>
              <w:t>1</w:t>
            </w:r>
            <w:r>
              <w:rPr>
                <w:color w:val="auto"/>
                <w:highlight w:val="none"/>
                <w:lang w:eastAsia="zh-CN"/>
              </w:rPr>
              <w:t>年1月1日以来（以合同签订时间为准），</w:t>
            </w:r>
            <w:r>
              <w:rPr>
                <w:rFonts w:hint="eastAsia"/>
                <w:color w:val="auto"/>
                <w:highlight w:val="none"/>
                <w:lang w:eastAsia="zh-CN"/>
              </w:rPr>
              <w:t>投标人</w:t>
            </w:r>
            <w:r>
              <w:rPr>
                <w:color w:val="auto"/>
                <w:highlight w:val="none"/>
                <w:lang w:eastAsia="zh-CN"/>
              </w:rPr>
              <w:t>具有党政机关或事业单位</w:t>
            </w:r>
            <w:r>
              <w:rPr>
                <w:rFonts w:hint="eastAsia"/>
                <w:color w:val="auto"/>
                <w:highlight w:val="none"/>
                <w:lang w:val="en-US" w:eastAsia="zh-CN"/>
              </w:rPr>
              <w:t>或幼儿园</w:t>
            </w:r>
            <w:r>
              <w:rPr>
                <w:color w:val="auto"/>
                <w:highlight w:val="none"/>
                <w:lang w:eastAsia="zh-CN"/>
              </w:rPr>
              <w:t>委托的食材配送项目服务业绩（含在管或已履约完毕），每提供一个得</w:t>
            </w:r>
            <w:r>
              <w:rPr>
                <w:rFonts w:hint="eastAsia"/>
                <w:color w:val="auto"/>
                <w:highlight w:val="none"/>
                <w:lang w:eastAsia="zh-CN"/>
              </w:rPr>
              <w:t>2</w:t>
            </w:r>
            <w:r>
              <w:rPr>
                <w:color w:val="auto"/>
                <w:highlight w:val="none"/>
                <w:lang w:eastAsia="zh-CN"/>
              </w:rPr>
              <w:t>分，最高得1</w:t>
            </w:r>
            <w:r>
              <w:rPr>
                <w:rFonts w:hint="eastAsia"/>
                <w:color w:val="auto"/>
                <w:highlight w:val="none"/>
                <w:lang w:eastAsia="zh-CN"/>
              </w:rPr>
              <w:t>0</w:t>
            </w:r>
            <w:r>
              <w:rPr>
                <w:color w:val="auto"/>
                <w:highlight w:val="none"/>
                <w:lang w:eastAsia="zh-CN"/>
              </w:rPr>
              <w:t>分；</w:t>
            </w:r>
          </w:p>
          <w:p w14:paraId="75C4B651">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lang w:eastAsia="zh-CN"/>
              </w:rPr>
            </w:pPr>
            <w:r>
              <w:rPr>
                <w:color w:val="auto"/>
                <w:highlight w:val="none"/>
                <w:lang w:eastAsia="zh-CN"/>
              </w:rPr>
              <w:t>注：（1）</w:t>
            </w:r>
            <w:r>
              <w:rPr>
                <w:rFonts w:hint="eastAsia"/>
                <w:color w:val="auto"/>
                <w:highlight w:val="none"/>
                <w:lang w:val="en-US" w:eastAsia="zh-CN"/>
              </w:rPr>
              <w:t>投标</w:t>
            </w:r>
            <w:r>
              <w:rPr>
                <w:color w:val="auto"/>
                <w:highlight w:val="none"/>
                <w:lang w:eastAsia="zh-CN"/>
              </w:rPr>
              <w:t>文件中提供业绩合同扫描件，若合同中无法体现签订时间、服务内容等关键评审因素的，须同时提供业主 （合同甲方）证明材料，否则不得分。</w:t>
            </w:r>
            <w:r>
              <w:rPr>
                <w:rFonts w:hint="eastAsia" w:asciiTheme="minorEastAsia" w:hAnsiTheme="minorEastAsia" w:eastAsiaTheme="minorEastAsia" w:cstheme="minorEastAsia"/>
                <w:b w:val="0"/>
                <w:bCs w:val="0"/>
                <w:color w:val="auto"/>
                <w:spacing w:val="0"/>
                <w:kern w:val="21"/>
                <w:sz w:val="24"/>
                <w:szCs w:val="24"/>
                <w:highlight w:val="none"/>
                <w:lang w:eastAsia="zh-CN"/>
              </w:rPr>
              <w:t>同一业主单位不同年限的多份合同不累计计分（</w:t>
            </w:r>
            <w:r>
              <w:rPr>
                <w:rFonts w:hint="eastAsia" w:asciiTheme="minorEastAsia" w:hAnsiTheme="minorEastAsia" w:eastAsiaTheme="minorEastAsia" w:cstheme="minorEastAsia"/>
                <w:b w:val="0"/>
                <w:bCs w:val="0"/>
                <w:color w:val="auto"/>
                <w:spacing w:val="0"/>
                <w:kern w:val="21"/>
                <w:sz w:val="24"/>
                <w:szCs w:val="24"/>
                <w:highlight w:val="none"/>
                <w:lang w:val="en-US" w:eastAsia="zh-CN"/>
              </w:rPr>
              <w:t>此项不包含业主单位一年一招的，投标人多次中标的，此时需多一项证明材料中标或成交通知书</w:t>
            </w:r>
            <w:r>
              <w:rPr>
                <w:rFonts w:hint="eastAsia" w:asciiTheme="minorEastAsia" w:hAnsiTheme="minorEastAsia" w:eastAsiaTheme="minorEastAsia" w:cstheme="minorEastAsia"/>
                <w:b w:val="0"/>
                <w:bCs w:val="0"/>
                <w:color w:val="auto"/>
                <w:spacing w:val="0"/>
                <w:kern w:val="21"/>
                <w:sz w:val="24"/>
                <w:szCs w:val="24"/>
                <w:highlight w:val="none"/>
                <w:lang w:eastAsia="zh-CN"/>
              </w:rPr>
              <w:t>）。</w:t>
            </w:r>
            <w:r>
              <w:rPr>
                <w:color w:val="auto"/>
                <w:highlight w:val="none"/>
                <w:lang w:eastAsia="zh-CN"/>
              </w:rPr>
              <w:t xml:space="preserve"> </w:t>
            </w:r>
          </w:p>
          <w:p w14:paraId="26E701A1">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方正仿宋_GB2312"/>
                <w:color w:val="auto"/>
                <w:spacing w:val="-2"/>
                <w:highlight w:val="none"/>
                <w:lang w:eastAsia="zh-CN"/>
              </w:rPr>
            </w:pPr>
            <w:r>
              <w:rPr>
                <w:color w:val="auto"/>
                <w:highlight w:val="none"/>
                <w:lang w:eastAsia="zh-CN"/>
              </w:rPr>
              <w:t>（2）党政机关是指党的机关、人大机关、 行政机关、政协机关、审判机关、各级直属事业单位及工会、共青团、妇联等人民团体。</w:t>
            </w:r>
          </w:p>
        </w:tc>
        <w:tc>
          <w:tcPr>
            <w:tcW w:w="832" w:type="dxa"/>
            <w:vAlign w:val="center"/>
          </w:tcPr>
          <w:p w14:paraId="0CD7B927">
            <w:pPr>
              <w:pStyle w:val="25"/>
              <w:spacing w:before="33" w:line="440" w:lineRule="exact"/>
              <w:ind w:left="112" w:right="101"/>
              <w:jc w:val="left"/>
              <w:rPr>
                <w:rFonts w:cs="方正仿宋_GB2312"/>
                <w:color w:val="auto"/>
                <w:spacing w:val="-2"/>
                <w:highlight w:val="none"/>
                <w:lang w:eastAsia="zh-CN"/>
              </w:rPr>
            </w:pPr>
            <w:r>
              <w:rPr>
                <w:rFonts w:hint="eastAsia" w:cs="方正仿宋_GB2312"/>
                <w:color w:val="auto"/>
                <w:spacing w:val="-13"/>
                <w:highlight w:val="none"/>
                <w:lang w:eastAsia="zh-CN"/>
              </w:rPr>
              <w:t>0-10分</w:t>
            </w:r>
          </w:p>
        </w:tc>
      </w:tr>
      <w:tr w14:paraId="75630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016CFD6E">
            <w:pPr>
              <w:pStyle w:val="25"/>
              <w:spacing w:before="78" w:line="440" w:lineRule="exact"/>
              <w:ind w:right="19"/>
              <w:jc w:val="center"/>
              <w:rPr>
                <w:rFonts w:cs="方正仿宋_GB2312"/>
                <w:color w:val="auto"/>
                <w:highlight w:val="none"/>
              </w:rPr>
            </w:pPr>
            <w:r>
              <w:rPr>
                <w:rFonts w:hint="eastAsia" w:cs="方正仿宋_GB2312"/>
                <w:color w:val="auto"/>
                <w:highlight w:val="none"/>
              </w:rPr>
              <w:t>2</w:t>
            </w:r>
          </w:p>
        </w:tc>
        <w:tc>
          <w:tcPr>
            <w:tcW w:w="914" w:type="dxa"/>
            <w:vAlign w:val="center"/>
          </w:tcPr>
          <w:p w14:paraId="7F35D7C3">
            <w:pPr>
              <w:pStyle w:val="25"/>
              <w:spacing w:before="78" w:line="440" w:lineRule="exact"/>
              <w:jc w:val="center"/>
              <w:rPr>
                <w:rFonts w:hint="eastAsia" w:cs="方正仿宋_GB2312"/>
                <w:color w:val="auto"/>
                <w:spacing w:val="-3"/>
                <w:highlight w:val="none"/>
                <w:lang w:eastAsia="zh-CN"/>
              </w:rPr>
            </w:pPr>
            <w:r>
              <w:rPr>
                <w:rFonts w:hint="eastAsia" w:cs="方正仿宋_GB2312"/>
                <w:color w:val="auto"/>
                <w:spacing w:val="-3"/>
                <w:highlight w:val="none"/>
                <w:lang w:eastAsia="zh-CN"/>
              </w:rPr>
              <w:t>履约</w:t>
            </w:r>
          </w:p>
          <w:p w14:paraId="23E24EE0">
            <w:pPr>
              <w:pStyle w:val="25"/>
              <w:spacing w:before="78" w:line="440" w:lineRule="exact"/>
              <w:jc w:val="center"/>
              <w:rPr>
                <w:rFonts w:cs="方正仿宋_GB2312"/>
                <w:color w:val="auto"/>
                <w:spacing w:val="-3"/>
                <w:highlight w:val="none"/>
                <w:lang w:eastAsia="zh-CN"/>
              </w:rPr>
            </w:pPr>
            <w:r>
              <w:rPr>
                <w:rFonts w:hint="eastAsia" w:cs="方正仿宋_GB2312"/>
                <w:color w:val="auto"/>
                <w:spacing w:val="-3"/>
                <w:highlight w:val="none"/>
                <w:lang w:eastAsia="zh-CN"/>
              </w:rPr>
              <w:t>评价</w:t>
            </w:r>
          </w:p>
        </w:tc>
        <w:tc>
          <w:tcPr>
            <w:tcW w:w="7553" w:type="dxa"/>
          </w:tcPr>
          <w:p w14:paraId="3231E462">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lang w:eastAsia="zh-CN"/>
              </w:rPr>
            </w:pPr>
            <w:r>
              <w:rPr>
                <w:color w:val="auto"/>
                <w:highlight w:val="none"/>
                <w:lang w:eastAsia="zh-CN"/>
              </w:rPr>
              <w:t>以上经</w:t>
            </w:r>
            <w:r>
              <w:rPr>
                <w:rFonts w:hint="eastAsia"/>
                <w:color w:val="auto"/>
                <w:highlight w:val="none"/>
                <w:lang w:eastAsia="zh-CN"/>
              </w:rPr>
              <w:t>评审小组</w:t>
            </w:r>
            <w:r>
              <w:rPr>
                <w:color w:val="auto"/>
                <w:highlight w:val="none"/>
                <w:lang w:eastAsia="zh-CN"/>
              </w:rPr>
              <w:t>评审认可的业绩中，获得业主正向评价（优秀或满意或先进等）的，每提1个得</w:t>
            </w:r>
            <w:r>
              <w:rPr>
                <w:rFonts w:hint="eastAsia"/>
                <w:color w:val="auto"/>
                <w:highlight w:val="none"/>
                <w:lang w:val="en-US" w:eastAsia="zh-CN"/>
              </w:rPr>
              <w:t>2</w:t>
            </w:r>
            <w:r>
              <w:rPr>
                <w:color w:val="auto"/>
                <w:highlight w:val="none"/>
                <w:lang w:eastAsia="zh-CN"/>
              </w:rPr>
              <w:t>分，最高得</w:t>
            </w:r>
            <w:r>
              <w:rPr>
                <w:rFonts w:hint="eastAsia"/>
                <w:color w:val="auto"/>
                <w:highlight w:val="none"/>
                <w:lang w:val="en-US" w:eastAsia="zh-CN"/>
              </w:rPr>
              <w:t>4</w:t>
            </w:r>
            <w:r>
              <w:rPr>
                <w:color w:val="auto"/>
                <w:highlight w:val="none"/>
                <w:lang w:eastAsia="zh-CN"/>
              </w:rPr>
              <w:t xml:space="preserve">分。 </w:t>
            </w:r>
          </w:p>
          <w:p w14:paraId="78C1DF96">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方正仿宋_GB2312"/>
                <w:color w:val="auto"/>
                <w:highlight w:val="none"/>
                <w:lang w:eastAsia="zh-CN"/>
              </w:rPr>
            </w:pPr>
            <w:r>
              <w:rPr>
                <w:b/>
                <w:bCs/>
                <w:color w:val="auto"/>
                <w:highlight w:val="none"/>
                <w:lang w:eastAsia="zh-CN"/>
              </w:rPr>
              <w:t>注：</w:t>
            </w:r>
            <w:r>
              <w:rPr>
                <w:rFonts w:hint="eastAsia"/>
                <w:b/>
                <w:bCs/>
                <w:color w:val="auto"/>
                <w:highlight w:val="none"/>
                <w:lang w:val="en-US" w:eastAsia="zh-CN"/>
              </w:rPr>
              <w:t>投标</w:t>
            </w:r>
            <w:r>
              <w:rPr>
                <w:b/>
                <w:bCs/>
                <w:color w:val="auto"/>
                <w:highlight w:val="none"/>
                <w:lang w:eastAsia="zh-CN"/>
              </w:rPr>
              <w:t>文件中提供业主（合同甲方）出具的评价证明材料扫描件。</w:t>
            </w:r>
          </w:p>
        </w:tc>
        <w:tc>
          <w:tcPr>
            <w:tcW w:w="832" w:type="dxa"/>
            <w:vAlign w:val="center"/>
          </w:tcPr>
          <w:p w14:paraId="096FD29C">
            <w:pPr>
              <w:pStyle w:val="25"/>
              <w:spacing w:before="33" w:line="440" w:lineRule="exact"/>
              <w:ind w:left="112" w:right="101"/>
              <w:jc w:val="left"/>
              <w:rPr>
                <w:rFonts w:cs="方正仿宋_GB2312"/>
                <w:color w:val="auto"/>
                <w:spacing w:val="-2"/>
                <w:highlight w:val="none"/>
                <w:lang w:eastAsia="zh-CN"/>
              </w:rPr>
            </w:pPr>
            <w:r>
              <w:rPr>
                <w:rFonts w:hint="eastAsia" w:cs="方正仿宋_GB2312"/>
                <w:color w:val="auto"/>
                <w:spacing w:val="-13"/>
                <w:highlight w:val="none"/>
                <w:lang w:eastAsia="zh-CN"/>
              </w:rPr>
              <w:t>0-</w:t>
            </w:r>
            <w:r>
              <w:rPr>
                <w:rFonts w:hint="eastAsia" w:cs="方正仿宋_GB2312"/>
                <w:color w:val="auto"/>
                <w:spacing w:val="-13"/>
                <w:highlight w:val="none"/>
                <w:lang w:val="en-US" w:eastAsia="zh-CN"/>
              </w:rPr>
              <w:t>4</w:t>
            </w:r>
            <w:r>
              <w:rPr>
                <w:rFonts w:hint="eastAsia" w:cs="方正仿宋_GB2312"/>
                <w:color w:val="auto"/>
                <w:spacing w:val="-13"/>
                <w:highlight w:val="none"/>
                <w:lang w:eastAsia="zh-CN"/>
              </w:rPr>
              <w:t>分</w:t>
            </w:r>
          </w:p>
        </w:tc>
      </w:tr>
      <w:tr w14:paraId="0574D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2D029DC1">
            <w:pPr>
              <w:pStyle w:val="25"/>
              <w:spacing w:before="78" w:line="440" w:lineRule="exact"/>
              <w:ind w:right="23"/>
              <w:jc w:val="center"/>
              <w:rPr>
                <w:rFonts w:cs="方正仿宋_GB2312"/>
                <w:color w:val="auto"/>
                <w:highlight w:val="none"/>
                <w:lang w:eastAsia="zh-CN"/>
              </w:rPr>
            </w:pPr>
            <w:r>
              <w:rPr>
                <w:rFonts w:hint="eastAsia" w:cs="方正仿宋_GB2312"/>
                <w:color w:val="auto"/>
                <w:highlight w:val="none"/>
                <w:lang w:eastAsia="zh-CN"/>
              </w:rPr>
              <w:t>3</w:t>
            </w:r>
          </w:p>
        </w:tc>
        <w:tc>
          <w:tcPr>
            <w:tcW w:w="914" w:type="dxa"/>
            <w:vAlign w:val="center"/>
          </w:tcPr>
          <w:p w14:paraId="323FB417">
            <w:pPr>
              <w:pStyle w:val="25"/>
              <w:spacing w:before="78" w:line="440" w:lineRule="exact"/>
              <w:jc w:val="center"/>
              <w:rPr>
                <w:color w:val="auto"/>
                <w:highlight w:val="none"/>
              </w:rPr>
            </w:pPr>
            <w:r>
              <w:rPr>
                <w:color w:val="auto"/>
                <w:highlight w:val="none"/>
              </w:rPr>
              <w:t>人员</w:t>
            </w:r>
          </w:p>
          <w:p w14:paraId="5EE71662">
            <w:pPr>
              <w:pStyle w:val="25"/>
              <w:spacing w:before="78" w:line="440" w:lineRule="exact"/>
              <w:jc w:val="center"/>
              <w:rPr>
                <w:rFonts w:cs="方正仿宋_GB2312"/>
                <w:color w:val="auto"/>
                <w:spacing w:val="-4"/>
                <w:highlight w:val="none"/>
                <w:lang w:eastAsia="zh-CN"/>
              </w:rPr>
            </w:pPr>
            <w:r>
              <w:rPr>
                <w:color w:val="auto"/>
                <w:highlight w:val="none"/>
              </w:rPr>
              <w:t>配备</w:t>
            </w:r>
          </w:p>
        </w:tc>
        <w:tc>
          <w:tcPr>
            <w:tcW w:w="7553" w:type="dxa"/>
          </w:tcPr>
          <w:p w14:paraId="67135F0C">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lang w:eastAsia="zh-CN"/>
              </w:rPr>
            </w:pPr>
            <w:r>
              <w:rPr>
                <w:rFonts w:hint="eastAsia"/>
                <w:color w:val="auto"/>
                <w:highlight w:val="none"/>
                <w:lang w:eastAsia="zh-CN"/>
              </w:rPr>
              <w:t>投标人</w:t>
            </w:r>
            <w:r>
              <w:rPr>
                <w:color w:val="auto"/>
                <w:highlight w:val="none"/>
                <w:lang w:eastAsia="zh-CN"/>
              </w:rPr>
              <w:t xml:space="preserve">拟为本项目配备的人员： </w:t>
            </w:r>
          </w:p>
          <w:p w14:paraId="2F5C8F0A">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lang w:eastAsia="zh-CN"/>
              </w:rPr>
            </w:pPr>
            <w:r>
              <w:rPr>
                <w:rFonts w:hint="eastAsia"/>
                <w:color w:val="auto"/>
                <w:highlight w:val="none"/>
                <w:lang w:eastAsia="zh-CN"/>
              </w:rPr>
              <w:t>1.</w:t>
            </w:r>
            <w:r>
              <w:rPr>
                <w:color w:val="auto"/>
                <w:highlight w:val="none"/>
                <w:lang w:eastAsia="zh-CN"/>
              </w:rPr>
              <w:t>具有食品检验工或</w:t>
            </w:r>
            <w:r>
              <w:rPr>
                <w:rFonts w:hint="eastAsia"/>
                <w:color w:val="auto"/>
                <w:highlight w:val="none"/>
                <w:lang w:eastAsia="zh-CN"/>
              </w:rPr>
              <w:t>农产品</w:t>
            </w:r>
            <w:r>
              <w:rPr>
                <w:color w:val="auto"/>
                <w:highlight w:val="none"/>
                <w:lang w:eastAsia="zh-CN"/>
              </w:rPr>
              <w:t>食品检验员证的，每提供1人得</w:t>
            </w:r>
            <w:r>
              <w:rPr>
                <w:rFonts w:hint="eastAsia"/>
                <w:color w:val="auto"/>
                <w:highlight w:val="none"/>
                <w:lang w:eastAsia="zh-CN"/>
              </w:rPr>
              <w:t>2</w:t>
            </w:r>
            <w:r>
              <w:rPr>
                <w:color w:val="auto"/>
                <w:highlight w:val="none"/>
                <w:lang w:eastAsia="zh-CN"/>
              </w:rPr>
              <w:t>分，最高得</w:t>
            </w:r>
            <w:r>
              <w:rPr>
                <w:rFonts w:hint="eastAsia"/>
                <w:color w:val="auto"/>
                <w:highlight w:val="none"/>
                <w:lang w:eastAsia="zh-CN"/>
              </w:rPr>
              <w:t>2</w:t>
            </w:r>
            <w:r>
              <w:rPr>
                <w:color w:val="auto"/>
                <w:highlight w:val="none"/>
                <w:lang w:eastAsia="zh-CN"/>
              </w:rPr>
              <w:t xml:space="preserve">分； </w:t>
            </w:r>
          </w:p>
          <w:p w14:paraId="6610FD65">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lang w:eastAsia="zh-CN"/>
              </w:rPr>
            </w:pPr>
            <w:r>
              <w:rPr>
                <w:rFonts w:hint="eastAsia"/>
                <w:color w:val="auto"/>
                <w:highlight w:val="none"/>
                <w:lang w:eastAsia="zh-CN"/>
              </w:rPr>
              <w:t>2</w:t>
            </w:r>
            <w:r>
              <w:rPr>
                <w:color w:val="auto"/>
                <w:highlight w:val="none"/>
                <w:lang w:eastAsia="zh-CN"/>
              </w:rPr>
              <w:t>.具有食品安全员证的，每提供1人得</w:t>
            </w:r>
            <w:r>
              <w:rPr>
                <w:rFonts w:hint="eastAsia"/>
                <w:color w:val="auto"/>
                <w:highlight w:val="none"/>
                <w:lang w:eastAsia="zh-CN"/>
              </w:rPr>
              <w:t>2</w:t>
            </w:r>
            <w:r>
              <w:rPr>
                <w:color w:val="auto"/>
                <w:highlight w:val="none"/>
                <w:lang w:eastAsia="zh-CN"/>
              </w:rPr>
              <w:t>分，最高得</w:t>
            </w:r>
            <w:r>
              <w:rPr>
                <w:rFonts w:hint="eastAsia"/>
                <w:color w:val="auto"/>
                <w:highlight w:val="none"/>
                <w:lang w:eastAsia="zh-CN"/>
              </w:rPr>
              <w:t>2</w:t>
            </w:r>
            <w:r>
              <w:rPr>
                <w:color w:val="auto"/>
                <w:highlight w:val="none"/>
                <w:lang w:eastAsia="zh-CN"/>
              </w:rPr>
              <w:t>分。</w:t>
            </w:r>
          </w:p>
          <w:p w14:paraId="714F8F0C">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highlight w:val="none"/>
                <w:lang w:eastAsia="zh-CN"/>
              </w:rPr>
            </w:pPr>
            <w:r>
              <w:rPr>
                <w:rFonts w:hint="eastAsia"/>
                <w:color w:val="auto"/>
                <w:highlight w:val="none"/>
                <w:lang w:eastAsia="zh-CN"/>
              </w:rPr>
              <w:t>3.具备健康证的，</w:t>
            </w:r>
            <w:r>
              <w:rPr>
                <w:color w:val="auto"/>
                <w:highlight w:val="none"/>
                <w:lang w:eastAsia="zh-CN"/>
              </w:rPr>
              <w:t>每提供1人得</w:t>
            </w:r>
            <w:r>
              <w:rPr>
                <w:rFonts w:hint="eastAsia"/>
                <w:color w:val="auto"/>
                <w:highlight w:val="none"/>
                <w:lang w:eastAsia="zh-CN"/>
              </w:rPr>
              <w:t>2</w:t>
            </w:r>
            <w:r>
              <w:rPr>
                <w:color w:val="auto"/>
                <w:highlight w:val="none"/>
                <w:lang w:eastAsia="zh-CN"/>
              </w:rPr>
              <w:t>分</w:t>
            </w:r>
            <w:r>
              <w:rPr>
                <w:rFonts w:hint="eastAsia"/>
                <w:color w:val="auto"/>
                <w:highlight w:val="none"/>
                <w:lang w:eastAsia="zh-CN"/>
              </w:rPr>
              <w:t>，</w:t>
            </w:r>
            <w:r>
              <w:rPr>
                <w:color w:val="auto"/>
                <w:highlight w:val="none"/>
                <w:lang w:eastAsia="zh-CN"/>
              </w:rPr>
              <w:t>最高得</w:t>
            </w:r>
            <w:r>
              <w:rPr>
                <w:rFonts w:hint="eastAsia"/>
                <w:color w:val="auto"/>
                <w:highlight w:val="none"/>
                <w:lang w:eastAsia="zh-CN"/>
              </w:rPr>
              <w:t>2</w:t>
            </w:r>
            <w:r>
              <w:rPr>
                <w:color w:val="auto"/>
                <w:highlight w:val="none"/>
                <w:lang w:eastAsia="zh-CN"/>
              </w:rPr>
              <w:t>分。</w:t>
            </w:r>
          </w:p>
          <w:p w14:paraId="1DBE5317">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b/>
                <w:bCs/>
                <w:color w:val="auto"/>
                <w:highlight w:val="none"/>
                <w:lang w:eastAsia="zh-CN"/>
              </w:rPr>
            </w:pPr>
            <w:r>
              <w:rPr>
                <w:b/>
                <w:bCs/>
                <w:color w:val="auto"/>
                <w:highlight w:val="none"/>
                <w:lang w:eastAsia="zh-CN"/>
              </w:rPr>
              <w:t>注：上述人员不得兼任，</w:t>
            </w:r>
            <w:r>
              <w:rPr>
                <w:rFonts w:hint="eastAsia"/>
                <w:b/>
                <w:bCs/>
                <w:color w:val="auto"/>
                <w:highlight w:val="none"/>
                <w:lang w:eastAsia="zh-CN"/>
              </w:rPr>
              <w:t>投标</w:t>
            </w:r>
            <w:r>
              <w:rPr>
                <w:b/>
                <w:bCs/>
                <w:color w:val="auto"/>
                <w:highlight w:val="none"/>
                <w:lang w:eastAsia="zh-CN"/>
              </w:rPr>
              <w:t xml:space="preserve">文件中同时提供以下证明材料： </w:t>
            </w:r>
          </w:p>
          <w:p w14:paraId="6E674E09">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b/>
                <w:bCs/>
                <w:color w:val="auto"/>
                <w:highlight w:val="none"/>
                <w:lang w:eastAsia="zh-CN"/>
              </w:rPr>
            </w:pPr>
            <w:r>
              <w:rPr>
                <w:b/>
                <w:bCs/>
                <w:color w:val="auto"/>
                <w:highlight w:val="none"/>
                <w:lang w:eastAsia="zh-CN"/>
              </w:rPr>
              <w:t xml:space="preserve">（1）人员名单（格式自拟）； </w:t>
            </w:r>
          </w:p>
          <w:p w14:paraId="384E0403">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b/>
                <w:bCs/>
                <w:color w:val="auto"/>
                <w:highlight w:val="none"/>
                <w:lang w:eastAsia="zh-CN"/>
              </w:rPr>
            </w:pPr>
            <w:r>
              <w:rPr>
                <w:rFonts w:ascii="宋体" w:hAnsi="宋体" w:eastAsia="宋体" w:cs="宋体"/>
                <w:b/>
                <w:bCs/>
                <w:color w:val="auto"/>
                <w:sz w:val="24"/>
                <w:szCs w:val="24"/>
                <w:lang w:val="en-US" w:eastAsia="zh-CN" w:bidi="ar-SA"/>
              </w:rPr>
              <w:t>（2）</w:t>
            </w:r>
            <w:r>
              <w:rPr>
                <w:b/>
                <w:bCs/>
                <w:color w:val="auto"/>
                <w:highlight w:val="none"/>
                <w:lang w:eastAsia="zh-CN"/>
              </w:rPr>
              <w:t xml:space="preserve">上述人员证书扫描件； </w:t>
            </w:r>
          </w:p>
          <w:p w14:paraId="7E42EAFC">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b/>
                <w:bCs/>
                <w:color w:val="auto"/>
                <w:highlight w:val="none"/>
                <w:lang w:eastAsia="zh-CN"/>
              </w:rPr>
            </w:pPr>
            <w:r>
              <w:rPr>
                <w:rFonts w:ascii="宋体" w:hAnsi="宋体" w:eastAsia="宋体" w:cs="宋体"/>
                <w:b/>
                <w:bCs/>
                <w:color w:val="auto"/>
                <w:sz w:val="24"/>
                <w:szCs w:val="24"/>
                <w:lang w:val="en-US" w:eastAsia="zh-CN" w:bidi="ar-SA"/>
              </w:rPr>
              <w:t>（3）</w:t>
            </w:r>
            <w:r>
              <w:rPr>
                <w:rFonts w:hint="eastAsia"/>
                <w:b/>
                <w:bCs/>
                <w:color w:val="auto"/>
                <w:highlight w:val="none"/>
                <w:lang w:eastAsia="zh-CN"/>
              </w:rPr>
              <w:t>投标人</w:t>
            </w:r>
            <w:r>
              <w:rPr>
                <w:b/>
                <w:bCs/>
                <w:color w:val="auto"/>
                <w:highlight w:val="none"/>
                <w:lang w:eastAsia="zh-CN"/>
              </w:rPr>
              <w:t xml:space="preserve">为上述人员缴纳的近3个月内（任意一个月即可）社保证明材料扫描件或影印件。未提供或提供不全的不得分；（提供养老、医疗、工伤、失业四险之一即可）。 </w:t>
            </w:r>
          </w:p>
          <w:p w14:paraId="67D40032">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color w:val="auto"/>
                <w:highlight w:val="none"/>
                <w:lang w:eastAsia="zh-CN"/>
              </w:rPr>
            </w:pPr>
            <w:r>
              <w:rPr>
                <w:rFonts w:hint="eastAsia"/>
                <w:b/>
                <w:bCs/>
                <w:color w:val="auto"/>
                <w:highlight w:val="none"/>
                <w:lang w:eastAsia="zh-CN"/>
              </w:rPr>
              <w:t>（</w:t>
            </w:r>
            <w:r>
              <w:rPr>
                <w:rFonts w:hint="eastAsia"/>
                <w:b/>
                <w:bCs/>
                <w:color w:val="auto"/>
                <w:highlight w:val="none"/>
                <w:lang w:val="en-US" w:eastAsia="zh-CN"/>
              </w:rPr>
              <w:t>4</w:t>
            </w:r>
            <w:r>
              <w:rPr>
                <w:rFonts w:hint="eastAsia"/>
                <w:b/>
                <w:bCs/>
                <w:color w:val="auto"/>
                <w:highlight w:val="none"/>
                <w:lang w:eastAsia="zh-CN"/>
              </w:rPr>
              <w:t>）食品检验工证书、农产品食品检验员证书下列查询方式均可：</w:t>
            </w:r>
          </w:p>
          <w:p w14:paraId="7C25ED0F">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color w:val="auto"/>
                <w:highlight w:val="none"/>
                <w:lang w:eastAsia="zh-CN"/>
              </w:rPr>
            </w:pPr>
            <w:r>
              <w:rPr>
                <w:rFonts w:hint="eastAsia"/>
                <w:b/>
                <w:bCs/>
                <w:color w:val="auto"/>
                <w:highlight w:val="none"/>
                <w:lang w:val="en-US" w:eastAsia="zh-CN"/>
              </w:rPr>
              <w:t>①</w:t>
            </w:r>
            <w:r>
              <w:rPr>
                <w:rFonts w:hint="eastAsia"/>
                <w:b/>
                <w:bCs/>
                <w:color w:val="auto"/>
                <w:highlight w:val="none"/>
                <w:lang w:eastAsia="zh-CN"/>
              </w:rPr>
              <w:t>在技能人才评价证书全国联网查询系统（www://zscx.osta.org.cn）中的查询截图</w:t>
            </w:r>
          </w:p>
          <w:p w14:paraId="05537880">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color w:val="auto"/>
                <w:highlight w:val="none"/>
                <w:lang w:eastAsia="zh-CN"/>
              </w:rPr>
            </w:pPr>
            <w:r>
              <w:rPr>
                <w:rFonts w:hint="eastAsia"/>
                <w:b/>
                <w:bCs/>
                <w:color w:val="auto"/>
                <w:highlight w:val="none"/>
                <w:lang w:val="en-US" w:eastAsia="zh-CN"/>
              </w:rPr>
              <w:t>②</w:t>
            </w:r>
            <w:r>
              <w:rPr>
                <w:rFonts w:hint="eastAsia"/>
                <w:b/>
                <w:bCs/>
                <w:color w:val="auto"/>
                <w:highlight w:val="none"/>
                <w:lang w:eastAsia="zh-CN"/>
              </w:rPr>
              <w:t>在国内依法登记注册的协会（或学会）颁发的（需提供该协会或学会官网的证书查询截图），“国内依法登记注册”以中国社会组织政务服务平台中“全国社会组织信用信息公示平台（试运行）”查询结果为准。针对国内依法登记注册的行业协会（或学会）颁发的奖项、荣誉，投标文件中须提供该协会在中国社会组织政务服务平台中“全国社会组织信用信息公示平台（试运行）”查询结果截图。民政部公布的“离岸社团”、“山寨社团”或中国社会组织政务服务平台中“全国社会组织信用信息公示平台（试运行）”公示的“涉嫌非法社会组织”颁发的荣誉、奖励均无效。</w:t>
            </w:r>
          </w:p>
          <w:p w14:paraId="4466478A">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方正仿宋_GB2312"/>
                <w:b/>
                <w:bCs/>
                <w:color w:val="auto"/>
                <w:spacing w:val="-4"/>
                <w:highlight w:val="none"/>
                <w:lang w:eastAsia="zh-CN"/>
              </w:rPr>
            </w:pPr>
            <w:r>
              <w:rPr>
                <w:b/>
                <w:bCs/>
                <w:color w:val="auto"/>
                <w:highlight w:val="none"/>
                <w:lang w:eastAsia="zh-CN"/>
              </w:rPr>
              <w:t>（</w:t>
            </w:r>
            <w:r>
              <w:rPr>
                <w:rFonts w:hint="eastAsia"/>
                <w:b/>
                <w:bCs/>
                <w:color w:val="auto"/>
                <w:highlight w:val="none"/>
                <w:lang w:eastAsia="zh-CN"/>
              </w:rPr>
              <w:t>5</w:t>
            </w:r>
            <w:r>
              <w:rPr>
                <w:b/>
                <w:bCs/>
                <w:color w:val="auto"/>
                <w:highlight w:val="none"/>
                <w:lang w:eastAsia="zh-CN"/>
              </w:rPr>
              <w:t>）同一人员具有多个证书不累计计分， 仅以最高分计分。</w:t>
            </w:r>
          </w:p>
        </w:tc>
        <w:tc>
          <w:tcPr>
            <w:tcW w:w="832" w:type="dxa"/>
            <w:vAlign w:val="center"/>
          </w:tcPr>
          <w:p w14:paraId="06589368">
            <w:pPr>
              <w:pStyle w:val="25"/>
              <w:spacing w:before="33" w:line="440" w:lineRule="exact"/>
              <w:ind w:left="112" w:right="101"/>
              <w:jc w:val="left"/>
              <w:rPr>
                <w:rFonts w:cs="方正仿宋_GB2312"/>
                <w:color w:val="auto"/>
                <w:spacing w:val="-13"/>
                <w:highlight w:val="none"/>
                <w:lang w:eastAsia="zh-CN"/>
              </w:rPr>
            </w:pPr>
            <w:r>
              <w:rPr>
                <w:rFonts w:hint="eastAsia" w:cs="方正仿宋_GB2312"/>
                <w:color w:val="auto"/>
                <w:spacing w:val="-13"/>
                <w:highlight w:val="none"/>
                <w:lang w:eastAsia="zh-CN"/>
              </w:rPr>
              <w:t>0-6分</w:t>
            </w:r>
          </w:p>
        </w:tc>
      </w:tr>
      <w:tr w14:paraId="302AC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7457EB13">
            <w:pPr>
              <w:pStyle w:val="25"/>
              <w:spacing w:before="78" w:line="440" w:lineRule="exact"/>
              <w:ind w:right="17"/>
              <w:jc w:val="center"/>
              <w:rPr>
                <w:rFonts w:cs="方正仿宋_GB2312"/>
                <w:color w:val="auto"/>
                <w:highlight w:val="none"/>
                <w:lang w:eastAsia="zh-CN"/>
              </w:rPr>
            </w:pPr>
            <w:r>
              <w:rPr>
                <w:rFonts w:hint="eastAsia" w:cs="方正仿宋_GB2312"/>
                <w:color w:val="auto"/>
                <w:highlight w:val="none"/>
                <w:lang w:eastAsia="zh-CN"/>
              </w:rPr>
              <w:t>4</w:t>
            </w:r>
          </w:p>
        </w:tc>
        <w:tc>
          <w:tcPr>
            <w:tcW w:w="914" w:type="dxa"/>
            <w:vAlign w:val="center"/>
          </w:tcPr>
          <w:p w14:paraId="2FE4137C">
            <w:pPr>
              <w:pStyle w:val="25"/>
              <w:spacing w:before="78" w:line="440" w:lineRule="exact"/>
              <w:jc w:val="center"/>
              <w:rPr>
                <w:rFonts w:cs="方正仿宋_GB2312"/>
                <w:color w:val="auto"/>
                <w:spacing w:val="-4"/>
                <w:highlight w:val="none"/>
                <w:lang w:eastAsia="zh-CN"/>
              </w:rPr>
            </w:pPr>
            <w:r>
              <w:rPr>
                <w:color w:val="auto"/>
                <w:highlight w:val="none"/>
              </w:rPr>
              <w:t>供货及配送能 力</w:t>
            </w:r>
          </w:p>
        </w:tc>
        <w:tc>
          <w:tcPr>
            <w:tcW w:w="7553" w:type="dxa"/>
          </w:tcPr>
          <w:p w14:paraId="549336B8">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ascii="宋体" w:hAnsi="宋体" w:eastAsia="宋体" w:cs="宋体"/>
                <w:sz w:val="24"/>
                <w:szCs w:val="24"/>
              </w:rPr>
              <w:t>为满足本项目食材配送服务，</w:t>
            </w:r>
            <w:r>
              <w:rPr>
                <w:rFonts w:hint="eastAsia" w:ascii="宋体" w:hAnsi="宋体" w:eastAsia="宋体" w:cs="宋体"/>
                <w:sz w:val="24"/>
                <w:szCs w:val="24"/>
                <w:lang w:eastAsia="zh-CN"/>
              </w:rPr>
              <w:t>投标人</w:t>
            </w:r>
            <w:r>
              <w:rPr>
                <w:rFonts w:ascii="宋体" w:hAnsi="宋体" w:eastAsia="宋体" w:cs="宋体"/>
                <w:sz w:val="24"/>
                <w:szCs w:val="24"/>
              </w:rPr>
              <w:t xml:space="preserve">需要具有以下专用车辆 ： </w:t>
            </w:r>
          </w:p>
          <w:p w14:paraId="66DC60E2">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ascii="宋体" w:hAnsi="宋体" w:eastAsia="宋体" w:cs="宋体"/>
                <w:sz w:val="24"/>
                <w:szCs w:val="24"/>
                <w:lang w:val="en-US" w:eastAsia="en-US" w:bidi="ar-SA"/>
              </w:rPr>
              <w:t>1.</w:t>
            </w:r>
            <w:r>
              <w:rPr>
                <w:rFonts w:ascii="宋体" w:hAnsi="宋体" w:eastAsia="宋体" w:cs="宋体"/>
                <w:sz w:val="24"/>
                <w:szCs w:val="24"/>
              </w:rPr>
              <w:t xml:space="preserve">冷链运输车，每提供1辆得2分，最多得4分； </w:t>
            </w:r>
          </w:p>
          <w:p w14:paraId="4769ECFD">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color w:val="auto"/>
                <w:highlight w:val="none"/>
                <w:lang w:eastAsia="zh-CN"/>
              </w:rPr>
            </w:pPr>
            <w:r>
              <w:rPr>
                <w:rFonts w:ascii="宋体" w:hAnsi="宋体" w:eastAsia="宋体" w:cs="宋体"/>
                <w:sz w:val="24"/>
                <w:szCs w:val="24"/>
              </w:rPr>
              <w:t xml:space="preserve">2.运输货车，每提供1辆得1分，最多得3分； </w:t>
            </w:r>
          </w:p>
          <w:p w14:paraId="2CCB4DD6">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ascii="宋体" w:hAnsi="宋体" w:eastAsia="宋体" w:cs="宋体"/>
                <w:sz w:val="24"/>
                <w:szCs w:val="24"/>
              </w:rPr>
              <w:t xml:space="preserve">3.未提供相关内容的，本项不得分 </w:t>
            </w:r>
          </w:p>
          <w:p w14:paraId="33A3C4C9">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ascii="宋体" w:hAnsi="宋体" w:eastAsia="宋体" w:cs="宋体"/>
                <w:sz w:val="24"/>
                <w:szCs w:val="24"/>
              </w:rPr>
              <w:t xml:space="preserve">注：（1）自有或租赁的车辆均予以认可； </w:t>
            </w:r>
          </w:p>
          <w:p w14:paraId="2F3B5AD3">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color w:val="auto"/>
                <w:highlight w:val="none"/>
                <w:lang w:eastAsia="zh-CN"/>
              </w:rPr>
            </w:pPr>
            <w:r>
              <w:rPr>
                <w:rFonts w:ascii="宋体" w:hAnsi="宋体" w:eastAsia="宋体" w:cs="宋体"/>
                <w:sz w:val="24"/>
                <w:szCs w:val="24"/>
              </w:rPr>
              <w:t>（2）如车辆为自有，</w:t>
            </w:r>
            <w:r>
              <w:rPr>
                <w:rFonts w:hint="eastAsia" w:cs="宋体"/>
                <w:sz w:val="24"/>
                <w:szCs w:val="24"/>
                <w:lang w:eastAsia="zh-CN"/>
              </w:rPr>
              <w:t>投标</w:t>
            </w:r>
            <w:r>
              <w:rPr>
                <w:rFonts w:ascii="宋体" w:hAnsi="宋体" w:eastAsia="宋体" w:cs="宋体"/>
                <w:sz w:val="24"/>
                <w:szCs w:val="24"/>
              </w:rPr>
              <w:t>文件中提供车辆实物照片及行驶证扫 描件（车辆所有人须为</w:t>
            </w:r>
            <w:r>
              <w:rPr>
                <w:rFonts w:hint="eastAsia" w:ascii="宋体" w:hAnsi="宋体" w:eastAsia="宋体" w:cs="宋体"/>
                <w:sz w:val="24"/>
                <w:szCs w:val="24"/>
                <w:lang w:eastAsia="zh-CN"/>
              </w:rPr>
              <w:t>投标人</w:t>
            </w:r>
            <w:r>
              <w:rPr>
                <w:rFonts w:ascii="宋体" w:hAnsi="宋体" w:eastAsia="宋体" w:cs="宋体"/>
                <w:sz w:val="24"/>
                <w:szCs w:val="24"/>
              </w:rPr>
              <w:t>或</w:t>
            </w:r>
            <w:r>
              <w:rPr>
                <w:rFonts w:hint="eastAsia" w:ascii="宋体" w:hAnsi="宋体" w:eastAsia="宋体" w:cs="宋体"/>
                <w:sz w:val="24"/>
                <w:szCs w:val="24"/>
                <w:lang w:eastAsia="zh-CN"/>
              </w:rPr>
              <w:t>投标人</w:t>
            </w:r>
            <w:r>
              <w:rPr>
                <w:rFonts w:ascii="宋体" w:hAnsi="宋体" w:eastAsia="宋体" w:cs="宋体"/>
                <w:sz w:val="24"/>
                <w:szCs w:val="24"/>
              </w:rPr>
              <w:t>不具有独立法人资格的分支机构）；如车辆为租赁，</w:t>
            </w:r>
            <w:r>
              <w:rPr>
                <w:rFonts w:hint="eastAsia" w:cs="宋体"/>
                <w:sz w:val="24"/>
                <w:szCs w:val="24"/>
                <w:lang w:eastAsia="zh-CN"/>
              </w:rPr>
              <w:t>投标</w:t>
            </w:r>
            <w:r>
              <w:rPr>
                <w:rFonts w:ascii="宋体" w:hAnsi="宋体" w:eastAsia="宋体" w:cs="宋体"/>
                <w:sz w:val="24"/>
                <w:szCs w:val="24"/>
              </w:rPr>
              <w:t>文件中提供车辆实物照片、行驶证及车辆租赁合同扫描件（行驶证车辆所有人须为租赁合同的甲方（即出租人））。</w:t>
            </w:r>
          </w:p>
        </w:tc>
        <w:tc>
          <w:tcPr>
            <w:tcW w:w="832" w:type="dxa"/>
            <w:vAlign w:val="center"/>
          </w:tcPr>
          <w:p w14:paraId="6DFA68E7">
            <w:pPr>
              <w:pStyle w:val="25"/>
              <w:spacing w:before="118" w:line="440" w:lineRule="exact"/>
              <w:ind w:left="112" w:right="101"/>
              <w:jc w:val="left"/>
              <w:rPr>
                <w:rFonts w:cs="方正仿宋_GB2312"/>
                <w:color w:val="auto"/>
                <w:spacing w:val="-4"/>
                <w:highlight w:val="none"/>
                <w:lang w:eastAsia="zh-CN"/>
              </w:rPr>
            </w:pPr>
            <w:r>
              <w:rPr>
                <w:rFonts w:hint="eastAsia" w:cs="方正仿宋_GB2312"/>
                <w:color w:val="auto"/>
                <w:spacing w:val="-3"/>
                <w:highlight w:val="none"/>
                <w:lang w:eastAsia="zh-CN"/>
              </w:rPr>
              <w:t>0-</w:t>
            </w:r>
            <w:r>
              <w:rPr>
                <w:rFonts w:hint="eastAsia" w:cs="方正仿宋_GB2312"/>
                <w:color w:val="auto"/>
                <w:spacing w:val="-3"/>
                <w:highlight w:val="none"/>
                <w:lang w:val="en-US" w:eastAsia="zh-CN"/>
              </w:rPr>
              <w:t>7</w:t>
            </w:r>
            <w:r>
              <w:rPr>
                <w:rFonts w:hint="eastAsia" w:cs="方正仿宋_GB2312"/>
                <w:color w:val="auto"/>
                <w:spacing w:val="-3"/>
                <w:highlight w:val="none"/>
                <w:lang w:eastAsia="zh-CN"/>
              </w:rPr>
              <w:t>分</w:t>
            </w:r>
          </w:p>
        </w:tc>
      </w:tr>
      <w:tr w14:paraId="36B63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1401CCA8">
            <w:pPr>
              <w:pStyle w:val="25"/>
              <w:tabs>
                <w:tab w:val="left" w:pos="407"/>
              </w:tabs>
              <w:spacing w:before="78" w:line="440" w:lineRule="exact"/>
              <w:ind w:right="17"/>
              <w:jc w:val="center"/>
              <w:rPr>
                <w:rFonts w:cs="方正仿宋_GB2312"/>
                <w:color w:val="auto"/>
                <w:highlight w:val="none"/>
                <w:lang w:eastAsia="zh-CN"/>
              </w:rPr>
            </w:pPr>
            <w:r>
              <w:rPr>
                <w:rFonts w:hint="eastAsia" w:cs="方正仿宋_GB2312"/>
                <w:color w:val="auto"/>
                <w:highlight w:val="none"/>
                <w:lang w:val="en-US" w:eastAsia="zh-CN"/>
              </w:rPr>
              <w:t>5</w:t>
            </w:r>
          </w:p>
        </w:tc>
        <w:tc>
          <w:tcPr>
            <w:tcW w:w="914" w:type="dxa"/>
            <w:vAlign w:val="center"/>
          </w:tcPr>
          <w:p w14:paraId="269C2B4F">
            <w:pPr>
              <w:pStyle w:val="25"/>
              <w:spacing w:before="78" w:line="440" w:lineRule="exact"/>
              <w:jc w:val="center"/>
              <w:rPr>
                <w:color w:val="auto"/>
                <w:highlight w:val="none"/>
              </w:rPr>
            </w:pPr>
            <w:r>
              <w:rPr>
                <w:color w:val="auto"/>
                <w:highlight w:val="none"/>
              </w:rPr>
              <w:t>仓储配备</w:t>
            </w:r>
          </w:p>
        </w:tc>
        <w:tc>
          <w:tcPr>
            <w:tcW w:w="7553" w:type="dxa"/>
          </w:tcPr>
          <w:p w14:paraId="2A28CA19">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rFonts w:hint="eastAsia"/>
                <w:color w:val="auto"/>
                <w:highlight w:val="none"/>
                <w:lang w:eastAsia="zh-CN"/>
              </w:rPr>
              <w:t>1.投标人</w:t>
            </w:r>
            <w:r>
              <w:rPr>
                <w:color w:val="auto"/>
                <w:highlight w:val="none"/>
                <w:lang w:eastAsia="zh-CN"/>
              </w:rPr>
              <w:t>拟为本项目配备的自有（或租赁）仓库的，得</w:t>
            </w:r>
            <w:r>
              <w:rPr>
                <w:rFonts w:hint="eastAsia"/>
                <w:color w:val="auto"/>
                <w:highlight w:val="none"/>
                <w:lang w:eastAsia="zh-CN"/>
              </w:rPr>
              <w:t>5</w:t>
            </w:r>
            <w:r>
              <w:rPr>
                <w:color w:val="auto"/>
                <w:highlight w:val="none"/>
                <w:lang w:eastAsia="zh-CN"/>
              </w:rPr>
              <w:t xml:space="preserve">分。 </w:t>
            </w:r>
          </w:p>
          <w:p w14:paraId="285A6AB5">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color w:val="auto"/>
                <w:highlight w:val="none"/>
                <w:lang w:eastAsia="zh-CN"/>
              </w:rPr>
              <w:t>注：（1）</w:t>
            </w:r>
            <w:r>
              <w:rPr>
                <w:rFonts w:hint="eastAsia"/>
                <w:color w:val="auto"/>
                <w:highlight w:val="none"/>
                <w:lang w:val="en-US" w:eastAsia="zh-CN"/>
              </w:rPr>
              <w:t>投标</w:t>
            </w:r>
            <w:r>
              <w:rPr>
                <w:color w:val="auto"/>
                <w:highlight w:val="none"/>
                <w:lang w:eastAsia="zh-CN"/>
              </w:rPr>
              <w:t xml:space="preserve">文件中提供仓储及分拣中心的图片、保鲜库的图片、冻库的图片； </w:t>
            </w:r>
          </w:p>
          <w:p w14:paraId="5759C7BA">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color w:val="auto"/>
                <w:highlight w:val="none"/>
                <w:lang w:eastAsia="zh-CN"/>
              </w:rPr>
            </w:pPr>
            <w:r>
              <w:rPr>
                <w:rFonts w:ascii="宋体" w:hAnsi="宋体" w:eastAsia="宋体" w:cs="宋体"/>
                <w:color w:val="auto"/>
                <w:sz w:val="24"/>
                <w:szCs w:val="24"/>
                <w:lang w:val="en-US" w:eastAsia="zh-CN" w:bidi="ar-SA"/>
              </w:rPr>
              <w:t>（2）</w:t>
            </w:r>
            <w:r>
              <w:rPr>
                <w:color w:val="auto"/>
                <w:highlight w:val="none"/>
                <w:lang w:eastAsia="zh-CN"/>
              </w:rPr>
              <w:t>自有场所须提供房产证明扫描件及现场照片；如房产属于租赁性质，需要提供租赁合同、房产证明材料，并且提供近房租支付记录凭证及现场照片。</w:t>
            </w:r>
          </w:p>
        </w:tc>
        <w:tc>
          <w:tcPr>
            <w:tcW w:w="832" w:type="dxa"/>
            <w:vAlign w:val="center"/>
          </w:tcPr>
          <w:p w14:paraId="6195B3C6">
            <w:pPr>
              <w:pStyle w:val="25"/>
              <w:spacing w:before="118" w:line="440" w:lineRule="exact"/>
              <w:ind w:left="112" w:right="101"/>
              <w:jc w:val="left"/>
              <w:rPr>
                <w:rFonts w:cs="方正仿宋_GB2312"/>
                <w:color w:val="auto"/>
                <w:spacing w:val="-3"/>
                <w:highlight w:val="none"/>
                <w:lang w:eastAsia="zh-CN"/>
              </w:rPr>
            </w:pPr>
            <w:r>
              <w:rPr>
                <w:rFonts w:hint="eastAsia" w:cs="方正仿宋_GB2312"/>
                <w:color w:val="auto"/>
                <w:spacing w:val="-3"/>
                <w:highlight w:val="none"/>
                <w:lang w:eastAsia="zh-CN"/>
              </w:rPr>
              <w:t>0-</w:t>
            </w:r>
            <w:r>
              <w:rPr>
                <w:rFonts w:hint="eastAsia" w:cs="方正仿宋_GB2312"/>
                <w:color w:val="auto"/>
                <w:spacing w:val="-3"/>
                <w:highlight w:val="none"/>
                <w:lang w:val="en-US" w:eastAsia="zh-CN"/>
              </w:rPr>
              <w:t>5</w:t>
            </w:r>
            <w:r>
              <w:rPr>
                <w:rFonts w:hint="eastAsia" w:cs="方正仿宋_GB2312"/>
                <w:color w:val="auto"/>
                <w:spacing w:val="-3"/>
                <w:highlight w:val="none"/>
                <w:lang w:eastAsia="zh-CN"/>
              </w:rPr>
              <w:t>分</w:t>
            </w:r>
          </w:p>
        </w:tc>
      </w:tr>
      <w:tr w14:paraId="752F1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7213EBAB">
            <w:pPr>
              <w:pStyle w:val="25"/>
              <w:tabs>
                <w:tab w:val="left" w:pos="407"/>
              </w:tabs>
              <w:spacing w:before="78" w:line="440" w:lineRule="exact"/>
              <w:ind w:right="17"/>
              <w:jc w:val="center"/>
              <w:rPr>
                <w:rFonts w:hint="default" w:cs="方正仿宋_GB2312"/>
                <w:color w:val="auto"/>
                <w:highlight w:val="none"/>
                <w:lang w:val="en-US" w:eastAsia="zh-CN"/>
              </w:rPr>
            </w:pPr>
            <w:r>
              <w:rPr>
                <w:rFonts w:hint="eastAsia" w:cs="方正仿宋_GB2312"/>
                <w:color w:val="auto"/>
                <w:highlight w:val="none"/>
                <w:lang w:val="en-US" w:eastAsia="zh-CN"/>
              </w:rPr>
              <w:t>6</w:t>
            </w:r>
          </w:p>
        </w:tc>
        <w:tc>
          <w:tcPr>
            <w:tcW w:w="914" w:type="dxa"/>
            <w:vAlign w:val="center"/>
          </w:tcPr>
          <w:p w14:paraId="49519041">
            <w:pPr>
              <w:pStyle w:val="25"/>
              <w:spacing w:before="78" w:line="440" w:lineRule="exact"/>
              <w:jc w:val="center"/>
              <w:rPr>
                <w:rFonts w:hint="default" w:eastAsia="宋体"/>
                <w:color w:val="auto"/>
                <w:highlight w:val="none"/>
                <w:lang w:val="en-US" w:eastAsia="zh-CN"/>
              </w:rPr>
            </w:pPr>
            <w:r>
              <w:rPr>
                <w:rFonts w:hint="eastAsia"/>
                <w:color w:val="auto"/>
                <w:highlight w:val="none"/>
                <w:lang w:val="en-US" w:eastAsia="zh-CN"/>
              </w:rPr>
              <w:t>食品安全检测能力</w:t>
            </w:r>
          </w:p>
        </w:tc>
        <w:tc>
          <w:tcPr>
            <w:tcW w:w="7553" w:type="dxa"/>
          </w:tcPr>
          <w:p w14:paraId="6C4B5AF1">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rFonts w:hint="eastAsia"/>
                <w:color w:val="auto"/>
                <w:highlight w:val="none"/>
                <w:lang w:eastAsia="zh-CN"/>
              </w:rPr>
            </w:pPr>
            <w:r>
              <w:rPr>
                <w:rFonts w:hint="eastAsia"/>
                <w:color w:val="auto"/>
                <w:highlight w:val="none"/>
                <w:lang w:val="en-US" w:eastAsia="zh-CN"/>
              </w:rPr>
              <w:t>投标人</w:t>
            </w:r>
            <w:r>
              <w:rPr>
                <w:rFonts w:hint="eastAsia"/>
                <w:color w:val="auto"/>
                <w:highlight w:val="none"/>
                <w:lang w:eastAsia="zh-CN"/>
              </w:rPr>
              <w:t>具有食品安全检测能力的，得</w:t>
            </w:r>
            <w:r>
              <w:rPr>
                <w:rFonts w:hint="eastAsia"/>
                <w:color w:val="auto"/>
                <w:highlight w:val="none"/>
                <w:lang w:val="en-US" w:eastAsia="zh-CN"/>
              </w:rPr>
              <w:t>4</w:t>
            </w:r>
            <w:r>
              <w:rPr>
                <w:rFonts w:hint="eastAsia"/>
                <w:color w:val="auto"/>
                <w:highlight w:val="none"/>
                <w:lang w:eastAsia="zh-CN"/>
              </w:rPr>
              <w:t>分。</w:t>
            </w:r>
          </w:p>
          <w:p w14:paraId="1ED3547F">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rFonts w:hint="eastAsia"/>
                <w:b/>
                <w:bCs/>
                <w:color w:val="auto"/>
                <w:highlight w:val="none"/>
                <w:lang w:eastAsia="zh-CN"/>
              </w:rPr>
            </w:pPr>
            <w:r>
              <w:rPr>
                <w:rFonts w:hint="eastAsia"/>
                <w:b/>
                <w:bCs/>
                <w:color w:val="auto"/>
                <w:highlight w:val="none"/>
                <w:lang w:eastAsia="zh-CN"/>
              </w:rPr>
              <w:t>注:1、如检测室为自有，</w:t>
            </w:r>
            <w:r>
              <w:rPr>
                <w:rFonts w:hint="eastAsia"/>
                <w:b/>
                <w:bCs/>
                <w:color w:val="auto"/>
                <w:highlight w:val="none"/>
                <w:lang w:val="en-US" w:eastAsia="zh-CN"/>
              </w:rPr>
              <w:t>磋商</w:t>
            </w:r>
            <w:r>
              <w:rPr>
                <w:rFonts w:hint="eastAsia"/>
                <w:b/>
                <w:bCs/>
                <w:color w:val="auto"/>
                <w:highlight w:val="none"/>
                <w:lang w:eastAsia="zh-CN"/>
              </w:rPr>
              <w:t>文件中需提供</w:t>
            </w:r>
            <w:r>
              <w:rPr>
                <w:rFonts w:hint="eastAsia"/>
                <w:b/>
                <w:bCs/>
                <w:color w:val="auto"/>
                <w:highlight w:val="none"/>
                <w:lang w:val="en-US" w:eastAsia="zh-CN"/>
              </w:rPr>
              <w:t>投标人</w:t>
            </w:r>
            <w:r>
              <w:rPr>
                <w:rFonts w:hint="eastAsia"/>
                <w:b/>
                <w:bCs/>
                <w:color w:val="auto"/>
                <w:highlight w:val="none"/>
                <w:lang w:eastAsia="zh-CN"/>
              </w:rPr>
              <w:t>的CMA计量认证证书;</w:t>
            </w:r>
          </w:p>
          <w:p w14:paraId="4AE5474D">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rFonts w:hint="eastAsia"/>
                <w:b/>
                <w:bCs/>
                <w:color w:val="auto"/>
                <w:highlight w:val="none"/>
                <w:lang w:eastAsia="zh-CN"/>
              </w:rPr>
              <w:t>2、若检测室为第三方，</w:t>
            </w:r>
            <w:r>
              <w:rPr>
                <w:rFonts w:hint="eastAsia"/>
                <w:b/>
                <w:bCs/>
                <w:color w:val="auto"/>
                <w:highlight w:val="none"/>
                <w:lang w:val="en-US" w:eastAsia="zh-CN"/>
              </w:rPr>
              <w:t>磋商</w:t>
            </w:r>
            <w:r>
              <w:rPr>
                <w:rFonts w:hint="eastAsia"/>
                <w:b/>
                <w:bCs/>
                <w:color w:val="auto"/>
                <w:highlight w:val="none"/>
                <w:lang w:eastAsia="zh-CN"/>
              </w:rPr>
              <w:t>文件中需提供委托服务合同和检测费用发票和检验机构的 CMA 计量认证证书。</w:t>
            </w:r>
          </w:p>
        </w:tc>
        <w:tc>
          <w:tcPr>
            <w:tcW w:w="832" w:type="dxa"/>
            <w:vAlign w:val="center"/>
          </w:tcPr>
          <w:p w14:paraId="4C75DEC9">
            <w:pPr>
              <w:pStyle w:val="25"/>
              <w:spacing w:before="118" w:line="440" w:lineRule="exact"/>
              <w:ind w:left="112" w:right="101"/>
              <w:jc w:val="left"/>
              <w:rPr>
                <w:rFonts w:hint="default" w:cs="方正仿宋_GB2312"/>
                <w:color w:val="auto"/>
                <w:spacing w:val="-3"/>
                <w:highlight w:val="none"/>
                <w:lang w:val="en-US" w:eastAsia="zh-CN"/>
              </w:rPr>
            </w:pPr>
            <w:r>
              <w:rPr>
                <w:rFonts w:hint="eastAsia" w:cs="方正仿宋_GB2312"/>
                <w:color w:val="auto"/>
                <w:spacing w:val="-3"/>
                <w:highlight w:val="none"/>
                <w:lang w:val="en-US" w:eastAsia="zh-CN"/>
              </w:rPr>
              <w:t>0-4分</w:t>
            </w:r>
          </w:p>
        </w:tc>
      </w:tr>
      <w:tr w14:paraId="5ED42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054054D4">
            <w:pPr>
              <w:pStyle w:val="25"/>
              <w:tabs>
                <w:tab w:val="left" w:pos="407"/>
              </w:tabs>
              <w:spacing w:before="78" w:line="440" w:lineRule="exact"/>
              <w:ind w:right="17"/>
              <w:jc w:val="center"/>
              <w:rPr>
                <w:rFonts w:hint="default" w:cs="方正仿宋_GB2312"/>
                <w:color w:val="auto"/>
                <w:highlight w:val="none"/>
                <w:lang w:val="en-US" w:eastAsia="zh-CN"/>
              </w:rPr>
            </w:pPr>
            <w:r>
              <w:rPr>
                <w:rFonts w:hint="eastAsia" w:cs="方正仿宋_GB2312"/>
                <w:color w:val="auto"/>
                <w:highlight w:val="none"/>
                <w:lang w:val="en-US" w:eastAsia="zh-CN"/>
              </w:rPr>
              <w:t>7</w:t>
            </w:r>
          </w:p>
        </w:tc>
        <w:tc>
          <w:tcPr>
            <w:tcW w:w="914" w:type="dxa"/>
            <w:vAlign w:val="center"/>
          </w:tcPr>
          <w:p w14:paraId="6B393EFA">
            <w:pPr>
              <w:pStyle w:val="25"/>
              <w:spacing w:before="78" w:line="440" w:lineRule="exact"/>
              <w:jc w:val="center"/>
              <w:rPr>
                <w:rFonts w:hint="eastAsia"/>
                <w:color w:val="auto"/>
                <w:highlight w:val="none"/>
                <w:lang w:val="en-US" w:eastAsia="zh-CN"/>
              </w:rPr>
            </w:pPr>
            <w:r>
              <w:rPr>
                <w:rFonts w:ascii="宋体" w:hAnsi="宋体" w:eastAsia="宋体" w:cs="宋体"/>
                <w:b w:val="0"/>
                <w:bCs w:val="0"/>
                <w:color w:val="000000"/>
                <w:sz w:val="24"/>
                <w:szCs w:val="24"/>
              </w:rPr>
              <w:t>认证体 系</w:t>
            </w:r>
          </w:p>
        </w:tc>
        <w:tc>
          <w:tcPr>
            <w:tcW w:w="7553" w:type="dxa"/>
          </w:tcPr>
          <w:p w14:paraId="262AE400">
            <w:pPr>
              <w:pStyle w:val="25"/>
              <w:spacing w:before="118" w:line="440" w:lineRule="exact"/>
              <w:ind w:right="101"/>
              <w:jc w:val="left"/>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投标人</w:t>
            </w:r>
            <w:r>
              <w:rPr>
                <w:rFonts w:ascii="宋体" w:hAnsi="宋体" w:eastAsia="宋体" w:cs="宋体"/>
                <w:b w:val="0"/>
                <w:bCs w:val="0"/>
                <w:color w:val="000000"/>
                <w:sz w:val="24"/>
                <w:szCs w:val="24"/>
              </w:rPr>
              <w:t xml:space="preserve">具有经中国国家认证认可监督管理委员会认可的认证机构颁发的有效期内的下列认证： </w:t>
            </w:r>
          </w:p>
          <w:p w14:paraId="14326E10">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rFonts w:ascii="宋体" w:hAnsi="宋体" w:eastAsia="宋体" w:cs="宋体"/>
                <w:b w:val="0"/>
                <w:bCs w:val="0"/>
                <w:color w:val="000000"/>
                <w:sz w:val="24"/>
                <w:szCs w:val="24"/>
              </w:rPr>
            </w:pPr>
            <w:r>
              <w:rPr>
                <w:rFonts w:ascii="宋体" w:hAnsi="宋体" w:eastAsia="宋体" w:cs="宋体"/>
                <w:b w:val="0"/>
                <w:bCs w:val="0"/>
                <w:color w:val="000000"/>
                <w:sz w:val="24"/>
                <w:szCs w:val="24"/>
                <w:lang w:val="en-US" w:eastAsia="en-US" w:bidi="ar-SA"/>
              </w:rPr>
              <w:t>1.</w:t>
            </w:r>
            <w:r>
              <w:rPr>
                <w:rFonts w:ascii="宋体" w:hAnsi="宋体" w:eastAsia="宋体" w:cs="宋体"/>
                <w:b w:val="0"/>
                <w:bCs w:val="0"/>
                <w:color w:val="000000"/>
                <w:sz w:val="24"/>
                <w:szCs w:val="24"/>
              </w:rPr>
              <w:t xml:space="preserve">质量管理体系认证； </w:t>
            </w:r>
          </w:p>
          <w:p w14:paraId="2DDA297D">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rFonts w:ascii="宋体" w:hAnsi="宋体" w:eastAsia="宋体" w:cs="宋体"/>
                <w:b w:val="0"/>
                <w:bCs w:val="0"/>
                <w:color w:val="000000"/>
                <w:sz w:val="24"/>
                <w:szCs w:val="24"/>
              </w:rPr>
            </w:pPr>
            <w:r>
              <w:rPr>
                <w:rFonts w:ascii="宋体" w:hAnsi="宋体" w:eastAsia="宋体" w:cs="宋体"/>
                <w:b w:val="0"/>
                <w:bCs w:val="0"/>
                <w:color w:val="000000"/>
                <w:sz w:val="24"/>
                <w:szCs w:val="24"/>
                <w:lang w:val="en-US" w:eastAsia="en-US" w:bidi="ar-SA"/>
              </w:rPr>
              <w:t>2.</w:t>
            </w:r>
            <w:r>
              <w:rPr>
                <w:rFonts w:ascii="宋体" w:hAnsi="宋体" w:eastAsia="宋体" w:cs="宋体"/>
                <w:b w:val="0"/>
                <w:bCs w:val="0"/>
                <w:color w:val="000000"/>
                <w:sz w:val="24"/>
                <w:szCs w:val="24"/>
              </w:rPr>
              <w:t xml:space="preserve">职业健康安全管理体系认证； </w:t>
            </w:r>
          </w:p>
          <w:p w14:paraId="79DC2222">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3.食品安全管理体系认证； </w:t>
            </w:r>
          </w:p>
          <w:p w14:paraId="113C0276">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4.售后服务相关体系认证（或服务相关体系认证）； </w:t>
            </w:r>
          </w:p>
          <w:p w14:paraId="64DF0366">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5.HACCP 体系认证（危险分析与关键控制点体系认证）； </w:t>
            </w:r>
          </w:p>
          <w:p w14:paraId="3455D8EC">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6.供应链安全管理体系认证； </w:t>
            </w:r>
          </w:p>
          <w:p w14:paraId="54C999D7">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7.诚信管理体系认证； </w:t>
            </w:r>
          </w:p>
          <w:p w14:paraId="54D4630D">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8.环境管理体系认证。 </w:t>
            </w:r>
          </w:p>
          <w:p w14:paraId="06767C67">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rFonts w:hint="eastAsia"/>
                <w:color w:val="auto"/>
                <w:highlight w:val="none"/>
                <w:lang w:eastAsia="zh-CN"/>
              </w:rPr>
            </w:pPr>
            <w:r>
              <w:rPr>
                <w:rFonts w:ascii="宋体" w:hAnsi="宋体" w:eastAsia="宋体" w:cs="宋体"/>
                <w:b/>
                <w:bCs/>
                <w:color w:val="000000"/>
                <w:sz w:val="24"/>
                <w:szCs w:val="24"/>
              </w:rPr>
              <w:t xml:space="preserve">每提供一项认证证书得 </w:t>
            </w:r>
            <w:r>
              <w:rPr>
                <w:rFonts w:hint="eastAsia" w:ascii="宋体" w:hAnsi="宋体" w:eastAsia="宋体" w:cs="宋体"/>
                <w:b/>
                <w:bCs/>
                <w:color w:val="000000"/>
                <w:sz w:val="24"/>
                <w:szCs w:val="24"/>
                <w:lang w:val="en-US" w:eastAsia="zh-CN"/>
              </w:rPr>
              <w:t>0.5</w:t>
            </w:r>
            <w:r>
              <w:rPr>
                <w:rFonts w:ascii="宋体" w:hAnsi="宋体" w:eastAsia="宋体" w:cs="宋体"/>
                <w:b/>
                <w:bCs/>
                <w:color w:val="000000"/>
                <w:sz w:val="24"/>
                <w:szCs w:val="24"/>
              </w:rPr>
              <w:t xml:space="preserve"> 分，最高得 </w:t>
            </w:r>
            <w:r>
              <w:rPr>
                <w:rFonts w:hint="eastAsia" w:ascii="宋体" w:hAnsi="宋体" w:eastAsia="宋体" w:cs="宋体"/>
                <w:b/>
                <w:bCs/>
                <w:color w:val="000000"/>
                <w:sz w:val="24"/>
                <w:szCs w:val="24"/>
                <w:lang w:val="en-US" w:eastAsia="zh-CN"/>
              </w:rPr>
              <w:t>4</w:t>
            </w:r>
            <w:r>
              <w:rPr>
                <w:rFonts w:ascii="宋体" w:hAnsi="宋体" w:eastAsia="宋体" w:cs="宋体"/>
                <w:b/>
                <w:bCs/>
                <w:color w:val="000000"/>
                <w:sz w:val="24"/>
                <w:szCs w:val="24"/>
              </w:rPr>
              <w:t xml:space="preserve"> 分；未提供或提供不全 的不得分。注：投标文件中提供全国认证认可信息公共服务平台 官网证书信息查询截图，且证书认证状态为“有效 ”。</w:t>
            </w:r>
          </w:p>
        </w:tc>
        <w:tc>
          <w:tcPr>
            <w:tcW w:w="832" w:type="dxa"/>
            <w:vAlign w:val="center"/>
          </w:tcPr>
          <w:p w14:paraId="23BA2C56">
            <w:pPr>
              <w:pStyle w:val="25"/>
              <w:spacing w:before="118" w:line="440" w:lineRule="exact"/>
              <w:ind w:left="112" w:right="101"/>
              <w:jc w:val="left"/>
              <w:rPr>
                <w:rFonts w:hint="eastAsia" w:cs="方正仿宋_GB2312"/>
                <w:color w:val="auto"/>
                <w:spacing w:val="-3"/>
                <w:highlight w:val="none"/>
                <w:lang w:val="en-US" w:eastAsia="zh-CN"/>
              </w:rPr>
            </w:pPr>
            <w:r>
              <w:rPr>
                <w:rFonts w:hint="eastAsia" w:cs="方正仿宋_GB2312"/>
                <w:color w:val="auto"/>
                <w:spacing w:val="-3"/>
                <w:highlight w:val="none"/>
                <w:lang w:val="en-US" w:eastAsia="zh-CN"/>
              </w:rPr>
              <w:t>0-4分</w:t>
            </w:r>
          </w:p>
        </w:tc>
      </w:tr>
      <w:tr w14:paraId="3944B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07DA8DC5">
            <w:pPr>
              <w:pStyle w:val="25"/>
              <w:tabs>
                <w:tab w:val="left" w:pos="407"/>
              </w:tabs>
              <w:spacing w:before="78" w:line="440" w:lineRule="exact"/>
              <w:ind w:right="17"/>
              <w:jc w:val="center"/>
              <w:rPr>
                <w:rFonts w:hint="default" w:cs="方正仿宋_GB2312"/>
                <w:color w:val="auto"/>
                <w:highlight w:val="none"/>
                <w:lang w:val="en-US" w:eastAsia="zh-CN"/>
              </w:rPr>
            </w:pPr>
            <w:r>
              <w:rPr>
                <w:rFonts w:hint="eastAsia" w:cs="方正仿宋_GB2312"/>
                <w:color w:val="auto"/>
                <w:highlight w:val="none"/>
                <w:lang w:val="en-US" w:eastAsia="zh-CN"/>
              </w:rPr>
              <w:t>8</w:t>
            </w:r>
          </w:p>
        </w:tc>
        <w:tc>
          <w:tcPr>
            <w:tcW w:w="914" w:type="dxa"/>
            <w:vAlign w:val="center"/>
          </w:tcPr>
          <w:p w14:paraId="62E34899">
            <w:pPr>
              <w:pStyle w:val="25"/>
              <w:spacing w:before="78" w:line="440" w:lineRule="exact"/>
              <w:jc w:val="center"/>
              <w:rPr>
                <w:color w:val="auto"/>
                <w:highlight w:val="none"/>
              </w:rPr>
            </w:pPr>
            <w:r>
              <w:rPr>
                <w:color w:val="auto"/>
                <w:highlight w:val="none"/>
              </w:rPr>
              <w:t>配送服务能力</w:t>
            </w:r>
          </w:p>
        </w:tc>
        <w:tc>
          <w:tcPr>
            <w:tcW w:w="7553" w:type="dxa"/>
          </w:tcPr>
          <w:p w14:paraId="318FCD3F">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rFonts w:hint="eastAsia"/>
                <w:color w:val="auto"/>
                <w:highlight w:val="none"/>
                <w:lang w:eastAsia="zh-CN"/>
              </w:rPr>
              <w:t>投标人</w:t>
            </w:r>
            <w:r>
              <w:rPr>
                <w:color w:val="auto"/>
                <w:highlight w:val="none"/>
                <w:lang w:eastAsia="zh-CN"/>
              </w:rPr>
              <w:t>根据本项目特点和实际需求，提出相应的日常配送服务方案，包括但不限于：食材配送方案及计划、食材配送管理流程、食材质量管控方案、服务标准及质量、售后服务等方面。</w:t>
            </w:r>
            <w:r>
              <w:rPr>
                <w:rFonts w:hint="eastAsia"/>
                <w:color w:val="auto"/>
                <w:highlight w:val="none"/>
                <w:lang w:eastAsia="zh-CN"/>
              </w:rPr>
              <w:t>评审小组</w:t>
            </w:r>
            <w:r>
              <w:rPr>
                <w:color w:val="auto"/>
                <w:highlight w:val="none"/>
                <w:lang w:eastAsia="zh-CN"/>
              </w:rPr>
              <w:t>根据</w:t>
            </w:r>
            <w:r>
              <w:rPr>
                <w:rFonts w:hint="eastAsia"/>
                <w:color w:val="auto"/>
                <w:highlight w:val="none"/>
                <w:lang w:eastAsia="zh-CN"/>
              </w:rPr>
              <w:t>投标人</w:t>
            </w:r>
            <w:r>
              <w:rPr>
                <w:color w:val="auto"/>
                <w:highlight w:val="none"/>
                <w:lang w:eastAsia="zh-CN"/>
              </w:rPr>
              <w:t xml:space="preserve">提供的日常配送服务方案进行综合评审： </w:t>
            </w:r>
          </w:p>
          <w:p w14:paraId="1BD0E5DF">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color w:val="auto"/>
                <w:kern w:val="2"/>
                <w:highlight w:val="none"/>
                <w:lang w:eastAsia="zh-CN"/>
              </w:rPr>
              <w:t>1.</w:t>
            </w:r>
            <w:r>
              <w:rPr>
                <w:color w:val="auto"/>
                <w:highlight w:val="none"/>
                <w:lang w:eastAsia="zh-CN"/>
              </w:rPr>
              <w:t>方案全面性、合理性、可行性、可操作性强的，得</w:t>
            </w:r>
            <w:r>
              <w:rPr>
                <w:rFonts w:hint="eastAsia"/>
                <w:color w:val="auto"/>
                <w:highlight w:val="none"/>
                <w:lang w:eastAsia="zh-CN"/>
              </w:rPr>
              <w:t>10</w:t>
            </w:r>
            <w:r>
              <w:rPr>
                <w:color w:val="auto"/>
                <w:highlight w:val="none"/>
                <w:lang w:eastAsia="zh-CN"/>
              </w:rPr>
              <w:t>＜F≤1</w:t>
            </w:r>
            <w:r>
              <w:rPr>
                <w:rFonts w:hint="eastAsia"/>
                <w:color w:val="auto"/>
                <w:highlight w:val="none"/>
                <w:lang w:eastAsia="zh-CN"/>
              </w:rPr>
              <w:t>5</w:t>
            </w:r>
            <w:r>
              <w:rPr>
                <w:color w:val="auto"/>
                <w:highlight w:val="none"/>
                <w:lang w:eastAsia="zh-CN"/>
              </w:rPr>
              <w:t>分；</w:t>
            </w:r>
          </w:p>
          <w:p w14:paraId="6EFB2995">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color w:val="auto"/>
                <w:kern w:val="2"/>
                <w:highlight w:val="none"/>
                <w:lang w:eastAsia="zh-CN"/>
              </w:rPr>
              <w:t>2.</w:t>
            </w:r>
            <w:r>
              <w:rPr>
                <w:color w:val="auto"/>
                <w:highlight w:val="none"/>
                <w:lang w:eastAsia="zh-CN"/>
              </w:rPr>
              <w:t>方案全面性、合理性、可行性、可操作性较强的，得</w:t>
            </w:r>
            <w:r>
              <w:rPr>
                <w:rFonts w:hint="eastAsia"/>
                <w:color w:val="auto"/>
                <w:highlight w:val="none"/>
                <w:lang w:eastAsia="zh-CN"/>
              </w:rPr>
              <w:t>5</w:t>
            </w:r>
            <w:r>
              <w:rPr>
                <w:color w:val="auto"/>
                <w:highlight w:val="none"/>
                <w:lang w:eastAsia="zh-CN"/>
              </w:rPr>
              <w:t>＜F≤</w:t>
            </w:r>
            <w:r>
              <w:rPr>
                <w:rFonts w:hint="eastAsia"/>
                <w:color w:val="auto"/>
                <w:highlight w:val="none"/>
                <w:lang w:eastAsia="zh-CN"/>
              </w:rPr>
              <w:t>10</w:t>
            </w:r>
            <w:r>
              <w:rPr>
                <w:color w:val="auto"/>
                <w:highlight w:val="none"/>
                <w:lang w:eastAsia="zh-CN"/>
              </w:rPr>
              <w:t xml:space="preserve">分； </w:t>
            </w:r>
          </w:p>
          <w:p w14:paraId="017D3FF2">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rPr>
            </w:pPr>
            <w:r>
              <w:rPr>
                <w:color w:val="auto"/>
                <w:kern w:val="2"/>
                <w:highlight w:val="none"/>
              </w:rPr>
              <w:t>3.</w:t>
            </w:r>
            <w:r>
              <w:rPr>
                <w:color w:val="auto"/>
                <w:highlight w:val="none"/>
              </w:rPr>
              <w:t>方案全面性、合理性、可行性、可操作性一般的，得0＜F≤</w:t>
            </w:r>
            <w:r>
              <w:rPr>
                <w:rFonts w:hint="eastAsia"/>
                <w:color w:val="auto"/>
                <w:highlight w:val="none"/>
                <w:lang w:eastAsia="zh-CN"/>
              </w:rPr>
              <w:t>5</w:t>
            </w:r>
            <w:r>
              <w:rPr>
                <w:color w:val="auto"/>
                <w:highlight w:val="none"/>
              </w:rPr>
              <w:t xml:space="preserve">分； </w:t>
            </w:r>
          </w:p>
          <w:p w14:paraId="4DBB81CC">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color w:val="auto"/>
                <w:highlight w:val="none"/>
                <w:lang w:eastAsia="zh-CN"/>
              </w:rPr>
              <w:t>4.未提供相关内容的，本项不得分。</w:t>
            </w:r>
          </w:p>
        </w:tc>
        <w:tc>
          <w:tcPr>
            <w:tcW w:w="832" w:type="dxa"/>
            <w:vAlign w:val="center"/>
          </w:tcPr>
          <w:p w14:paraId="2B4C5FE6">
            <w:pPr>
              <w:pStyle w:val="25"/>
              <w:spacing w:before="118" w:line="440" w:lineRule="exact"/>
              <w:ind w:left="112" w:right="101"/>
              <w:jc w:val="left"/>
              <w:rPr>
                <w:rFonts w:cs="方正仿宋_GB2312"/>
                <w:color w:val="auto"/>
                <w:spacing w:val="-3"/>
                <w:highlight w:val="none"/>
                <w:lang w:eastAsia="zh-CN"/>
              </w:rPr>
            </w:pPr>
            <w:r>
              <w:rPr>
                <w:rFonts w:hint="eastAsia" w:cs="方正仿宋_GB2312"/>
                <w:color w:val="auto"/>
                <w:spacing w:val="-3"/>
                <w:highlight w:val="none"/>
                <w:lang w:eastAsia="zh-CN"/>
              </w:rPr>
              <w:t>0-15分</w:t>
            </w:r>
          </w:p>
        </w:tc>
      </w:tr>
      <w:tr w14:paraId="2744B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1C200979">
            <w:pPr>
              <w:pStyle w:val="25"/>
              <w:tabs>
                <w:tab w:val="left" w:pos="407"/>
              </w:tabs>
              <w:spacing w:before="78" w:line="440" w:lineRule="exact"/>
              <w:ind w:right="17"/>
              <w:jc w:val="center"/>
              <w:rPr>
                <w:rFonts w:hint="default" w:cs="方正仿宋_GB2312"/>
                <w:color w:val="auto"/>
                <w:highlight w:val="none"/>
                <w:lang w:val="en-US" w:eastAsia="zh-CN"/>
              </w:rPr>
            </w:pPr>
            <w:r>
              <w:rPr>
                <w:rFonts w:hint="eastAsia" w:cs="方正仿宋_GB2312"/>
                <w:color w:val="auto"/>
                <w:highlight w:val="none"/>
                <w:lang w:val="en-US" w:eastAsia="zh-CN"/>
              </w:rPr>
              <w:t>9</w:t>
            </w:r>
          </w:p>
        </w:tc>
        <w:tc>
          <w:tcPr>
            <w:tcW w:w="914" w:type="dxa"/>
            <w:vAlign w:val="center"/>
          </w:tcPr>
          <w:p w14:paraId="352D778C">
            <w:pPr>
              <w:pStyle w:val="25"/>
              <w:spacing w:before="78" w:line="440" w:lineRule="exact"/>
              <w:jc w:val="center"/>
              <w:rPr>
                <w:color w:val="auto"/>
                <w:highlight w:val="none"/>
              </w:rPr>
            </w:pPr>
            <w:r>
              <w:rPr>
                <w:color w:val="auto"/>
                <w:highlight w:val="none"/>
              </w:rPr>
              <w:t>应急处理方案</w:t>
            </w:r>
          </w:p>
        </w:tc>
        <w:tc>
          <w:tcPr>
            <w:tcW w:w="7553" w:type="dxa"/>
          </w:tcPr>
          <w:p w14:paraId="14D815D4">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rFonts w:hint="eastAsia"/>
                <w:color w:val="auto"/>
                <w:highlight w:val="none"/>
                <w:lang w:eastAsia="zh-CN"/>
              </w:rPr>
              <w:t>投标人</w:t>
            </w:r>
            <w:r>
              <w:rPr>
                <w:color w:val="auto"/>
                <w:highlight w:val="none"/>
                <w:lang w:eastAsia="zh-CN"/>
              </w:rPr>
              <w:t>为服务本项目制定的应急实施方案， 包括：临时突发性特殊采购、急件采购、大宗采购、食品安全事故解决方案等，由</w:t>
            </w:r>
            <w:r>
              <w:rPr>
                <w:rFonts w:hint="eastAsia"/>
                <w:color w:val="auto"/>
                <w:highlight w:val="none"/>
                <w:lang w:eastAsia="zh-CN"/>
              </w:rPr>
              <w:t>评审小组</w:t>
            </w:r>
            <w:r>
              <w:rPr>
                <w:color w:val="auto"/>
                <w:highlight w:val="none"/>
                <w:lang w:eastAsia="zh-CN"/>
              </w:rPr>
              <w:t>综合评分：</w:t>
            </w:r>
          </w:p>
          <w:p w14:paraId="76580E4F">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rFonts w:hint="eastAsia"/>
                <w:color w:val="auto"/>
                <w:kern w:val="2"/>
                <w:highlight w:val="none"/>
                <w:lang w:eastAsia="zh-CN"/>
              </w:rPr>
              <w:t>1</w:t>
            </w:r>
            <w:r>
              <w:rPr>
                <w:color w:val="auto"/>
                <w:kern w:val="2"/>
                <w:highlight w:val="none"/>
                <w:lang w:eastAsia="zh-CN"/>
              </w:rPr>
              <w:t>.</w:t>
            </w:r>
            <w:r>
              <w:rPr>
                <w:color w:val="auto"/>
                <w:highlight w:val="none"/>
                <w:lang w:eastAsia="zh-CN"/>
              </w:rPr>
              <w:t>方案全面性、合理性、可行性、可操作性强的，得</w:t>
            </w:r>
            <w:r>
              <w:rPr>
                <w:rFonts w:hint="eastAsia"/>
                <w:color w:val="auto"/>
                <w:highlight w:val="none"/>
                <w:lang w:val="en-US" w:eastAsia="zh-CN"/>
              </w:rPr>
              <w:t>10</w:t>
            </w:r>
            <w:r>
              <w:rPr>
                <w:color w:val="auto"/>
                <w:highlight w:val="none"/>
                <w:lang w:eastAsia="zh-CN"/>
              </w:rPr>
              <w:t>＜F≤1</w:t>
            </w:r>
            <w:r>
              <w:rPr>
                <w:rFonts w:hint="eastAsia"/>
                <w:color w:val="auto"/>
                <w:highlight w:val="none"/>
                <w:lang w:val="en-US" w:eastAsia="zh-CN"/>
              </w:rPr>
              <w:t>5</w:t>
            </w:r>
            <w:r>
              <w:rPr>
                <w:color w:val="auto"/>
                <w:highlight w:val="none"/>
                <w:lang w:eastAsia="zh-CN"/>
              </w:rPr>
              <w:t>分；</w:t>
            </w:r>
          </w:p>
          <w:p w14:paraId="1BB9CF70">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rFonts w:hint="eastAsia"/>
                <w:color w:val="auto"/>
                <w:kern w:val="2"/>
                <w:highlight w:val="none"/>
                <w:lang w:eastAsia="zh-CN"/>
              </w:rPr>
              <w:t>2</w:t>
            </w:r>
            <w:r>
              <w:rPr>
                <w:color w:val="auto"/>
                <w:kern w:val="2"/>
                <w:highlight w:val="none"/>
                <w:lang w:eastAsia="zh-CN"/>
              </w:rPr>
              <w:t>.</w:t>
            </w:r>
            <w:r>
              <w:rPr>
                <w:color w:val="auto"/>
                <w:highlight w:val="none"/>
                <w:lang w:eastAsia="zh-CN"/>
              </w:rPr>
              <w:t>方案全面性、合理性、可行性、可操作性较强的，得</w:t>
            </w:r>
            <w:r>
              <w:rPr>
                <w:rFonts w:hint="eastAsia"/>
                <w:color w:val="auto"/>
                <w:highlight w:val="none"/>
                <w:lang w:val="en-US" w:eastAsia="zh-CN"/>
              </w:rPr>
              <w:t>5</w:t>
            </w:r>
            <w:r>
              <w:rPr>
                <w:color w:val="auto"/>
                <w:highlight w:val="none"/>
                <w:lang w:eastAsia="zh-CN"/>
              </w:rPr>
              <w:t>＜F≤</w:t>
            </w:r>
            <w:r>
              <w:rPr>
                <w:rFonts w:hint="eastAsia"/>
                <w:color w:val="auto"/>
                <w:highlight w:val="none"/>
                <w:lang w:val="en-US" w:eastAsia="zh-CN"/>
              </w:rPr>
              <w:t>10</w:t>
            </w:r>
            <w:r>
              <w:rPr>
                <w:color w:val="auto"/>
                <w:highlight w:val="none"/>
                <w:lang w:eastAsia="zh-CN"/>
              </w:rPr>
              <w:t xml:space="preserve">分； </w:t>
            </w:r>
          </w:p>
          <w:p w14:paraId="54E7261F">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rPr>
            </w:pPr>
            <w:r>
              <w:rPr>
                <w:rFonts w:hint="eastAsia"/>
                <w:color w:val="auto"/>
                <w:kern w:val="2"/>
                <w:highlight w:val="none"/>
                <w:lang w:eastAsia="zh-CN"/>
              </w:rPr>
              <w:t>3</w:t>
            </w:r>
            <w:r>
              <w:rPr>
                <w:color w:val="auto"/>
                <w:kern w:val="2"/>
                <w:highlight w:val="none"/>
              </w:rPr>
              <w:t>.</w:t>
            </w:r>
            <w:r>
              <w:rPr>
                <w:color w:val="auto"/>
                <w:highlight w:val="none"/>
              </w:rPr>
              <w:t>方案全面性、合理性、可行性、可操作性一般的，得0＜F≤</w:t>
            </w:r>
            <w:r>
              <w:rPr>
                <w:rFonts w:hint="eastAsia"/>
                <w:color w:val="auto"/>
                <w:highlight w:val="none"/>
                <w:lang w:val="en-US" w:eastAsia="zh-CN"/>
              </w:rPr>
              <w:t>5</w:t>
            </w:r>
            <w:r>
              <w:rPr>
                <w:color w:val="auto"/>
                <w:highlight w:val="none"/>
              </w:rPr>
              <w:t xml:space="preserve">分； </w:t>
            </w:r>
          </w:p>
          <w:p w14:paraId="6336FB3A">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color w:val="auto"/>
                <w:highlight w:val="none"/>
                <w:lang w:eastAsia="zh-CN"/>
              </w:rPr>
              <w:t>4.未提供相关内容的，本项不得分。</w:t>
            </w:r>
          </w:p>
        </w:tc>
        <w:tc>
          <w:tcPr>
            <w:tcW w:w="832" w:type="dxa"/>
            <w:vAlign w:val="center"/>
          </w:tcPr>
          <w:p w14:paraId="700DFB81">
            <w:pPr>
              <w:pStyle w:val="25"/>
              <w:spacing w:before="118" w:line="440" w:lineRule="exact"/>
              <w:ind w:left="112" w:right="101"/>
              <w:jc w:val="left"/>
              <w:rPr>
                <w:rFonts w:cs="方正仿宋_GB2312"/>
                <w:color w:val="auto"/>
                <w:spacing w:val="-3"/>
                <w:highlight w:val="none"/>
                <w:lang w:eastAsia="zh-CN"/>
              </w:rPr>
            </w:pPr>
            <w:r>
              <w:rPr>
                <w:rFonts w:hint="eastAsia" w:cs="方正仿宋_GB2312"/>
                <w:color w:val="auto"/>
                <w:spacing w:val="-3"/>
                <w:highlight w:val="none"/>
                <w:lang w:eastAsia="zh-CN"/>
              </w:rPr>
              <w:t>0-</w:t>
            </w:r>
            <w:r>
              <w:rPr>
                <w:rFonts w:hint="eastAsia" w:cs="方正仿宋_GB2312"/>
                <w:color w:val="auto"/>
                <w:spacing w:val="-3"/>
                <w:highlight w:val="none"/>
                <w:lang w:val="en-US" w:eastAsia="zh-CN"/>
              </w:rPr>
              <w:t>15</w:t>
            </w:r>
            <w:r>
              <w:rPr>
                <w:rFonts w:hint="eastAsia" w:cs="方正仿宋_GB2312"/>
                <w:color w:val="auto"/>
                <w:spacing w:val="-3"/>
                <w:highlight w:val="none"/>
                <w:lang w:eastAsia="zh-CN"/>
              </w:rPr>
              <w:t>分</w:t>
            </w:r>
          </w:p>
        </w:tc>
      </w:tr>
      <w:tr w14:paraId="52D0D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59A76BD6">
            <w:pPr>
              <w:pStyle w:val="25"/>
              <w:tabs>
                <w:tab w:val="left" w:pos="407"/>
              </w:tabs>
              <w:spacing w:before="78" w:line="440" w:lineRule="exact"/>
              <w:ind w:right="17"/>
              <w:jc w:val="center"/>
              <w:rPr>
                <w:rFonts w:hint="default" w:cs="方正仿宋_GB2312"/>
                <w:color w:val="auto"/>
                <w:highlight w:val="none"/>
                <w:lang w:val="en-US" w:eastAsia="zh-CN"/>
              </w:rPr>
            </w:pPr>
            <w:r>
              <w:rPr>
                <w:rFonts w:hint="eastAsia" w:cs="方正仿宋_GB2312"/>
                <w:color w:val="auto"/>
                <w:highlight w:val="none"/>
                <w:lang w:val="en-US" w:eastAsia="zh-CN"/>
              </w:rPr>
              <w:t>10</w:t>
            </w:r>
          </w:p>
        </w:tc>
        <w:tc>
          <w:tcPr>
            <w:tcW w:w="914" w:type="dxa"/>
            <w:vAlign w:val="center"/>
          </w:tcPr>
          <w:p w14:paraId="48071091">
            <w:pPr>
              <w:pStyle w:val="25"/>
              <w:spacing w:before="78" w:line="440" w:lineRule="exact"/>
              <w:jc w:val="center"/>
              <w:rPr>
                <w:color w:val="auto"/>
                <w:highlight w:val="none"/>
              </w:rPr>
            </w:pPr>
            <w:r>
              <w:rPr>
                <w:color w:val="auto"/>
                <w:highlight w:val="none"/>
              </w:rPr>
              <w:t>质量保障方案</w:t>
            </w:r>
          </w:p>
        </w:tc>
        <w:tc>
          <w:tcPr>
            <w:tcW w:w="7553" w:type="dxa"/>
          </w:tcPr>
          <w:p w14:paraId="65F1E6E4">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rFonts w:hint="eastAsia"/>
                <w:color w:val="auto"/>
                <w:highlight w:val="none"/>
                <w:lang w:eastAsia="zh-CN"/>
              </w:rPr>
              <w:t>投标人</w:t>
            </w:r>
            <w:r>
              <w:rPr>
                <w:color w:val="auto"/>
                <w:highlight w:val="none"/>
                <w:lang w:eastAsia="zh-CN"/>
              </w:rPr>
              <w:t>针对本项目制定质量保障方案，内容包含但不限于质量保障措施、验收计划、退换货措施等，由</w:t>
            </w:r>
            <w:r>
              <w:rPr>
                <w:rFonts w:hint="eastAsia"/>
                <w:color w:val="auto"/>
                <w:highlight w:val="none"/>
                <w:lang w:eastAsia="zh-CN"/>
              </w:rPr>
              <w:t>评审小组</w:t>
            </w:r>
            <w:r>
              <w:rPr>
                <w:color w:val="auto"/>
                <w:highlight w:val="none"/>
                <w:lang w:eastAsia="zh-CN"/>
              </w:rPr>
              <w:t>综合评分：</w:t>
            </w:r>
          </w:p>
          <w:p w14:paraId="60E66C2D">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color w:val="auto"/>
                <w:highlight w:val="none"/>
              </w:rPr>
            </w:pPr>
            <w:r>
              <w:rPr>
                <w:rFonts w:ascii="宋体" w:hAnsi="宋体" w:eastAsia="宋体" w:cs="宋体"/>
                <w:color w:val="auto"/>
                <w:sz w:val="24"/>
                <w:szCs w:val="24"/>
                <w:lang w:val="en-US" w:eastAsia="en-US" w:bidi="ar-SA"/>
              </w:rPr>
              <w:t>1.</w:t>
            </w:r>
            <w:r>
              <w:rPr>
                <w:color w:val="auto"/>
                <w:highlight w:val="none"/>
              </w:rPr>
              <w:t>优秀的，得</w:t>
            </w:r>
            <w:r>
              <w:rPr>
                <w:rFonts w:hint="eastAsia"/>
                <w:color w:val="auto"/>
                <w:highlight w:val="none"/>
                <w:lang w:val="en-US" w:eastAsia="zh-CN"/>
              </w:rPr>
              <w:t>8</w:t>
            </w:r>
            <w:r>
              <w:rPr>
                <w:color w:val="auto"/>
                <w:highlight w:val="none"/>
              </w:rPr>
              <w:t>＜F≤</w:t>
            </w:r>
            <w:r>
              <w:rPr>
                <w:rFonts w:hint="eastAsia"/>
                <w:color w:val="auto"/>
                <w:highlight w:val="none"/>
                <w:lang w:eastAsia="zh-CN"/>
              </w:rPr>
              <w:t>1</w:t>
            </w:r>
            <w:r>
              <w:rPr>
                <w:rFonts w:hint="eastAsia"/>
                <w:color w:val="auto"/>
                <w:highlight w:val="none"/>
                <w:lang w:val="en-US" w:eastAsia="zh-CN"/>
              </w:rPr>
              <w:t>0</w:t>
            </w:r>
            <w:r>
              <w:rPr>
                <w:color w:val="auto"/>
                <w:highlight w:val="none"/>
              </w:rPr>
              <w:t xml:space="preserve">分； </w:t>
            </w:r>
          </w:p>
          <w:p w14:paraId="25B295DE">
            <w:pPr>
              <w:pStyle w:val="25"/>
              <w:keepNext w:val="0"/>
              <w:keepLines w:val="0"/>
              <w:pageBreakBefore w:val="0"/>
              <w:widowControl w:val="0"/>
              <w:numPr>
                <w:ilvl w:val="0"/>
                <w:numId w:val="0"/>
              </w:numPr>
              <w:kinsoku/>
              <w:wordWrap/>
              <w:overflowPunct/>
              <w:topLinePunct w:val="0"/>
              <w:autoSpaceDE/>
              <w:autoSpaceDN/>
              <w:bidi w:val="0"/>
              <w:adjustRightInd/>
              <w:snapToGrid/>
              <w:spacing w:before="118" w:line="440" w:lineRule="exact"/>
              <w:ind w:right="102" w:rightChars="0"/>
              <w:jc w:val="left"/>
              <w:textAlignment w:val="auto"/>
              <w:rPr>
                <w:color w:val="auto"/>
                <w:highlight w:val="none"/>
              </w:rPr>
            </w:pPr>
            <w:r>
              <w:rPr>
                <w:rFonts w:ascii="宋体" w:hAnsi="宋体" w:eastAsia="宋体" w:cs="宋体"/>
                <w:color w:val="auto"/>
                <w:sz w:val="24"/>
                <w:szCs w:val="24"/>
                <w:lang w:val="en-US" w:eastAsia="en-US" w:bidi="ar-SA"/>
              </w:rPr>
              <w:t>2.</w:t>
            </w:r>
            <w:r>
              <w:rPr>
                <w:color w:val="auto"/>
                <w:highlight w:val="none"/>
              </w:rPr>
              <w:t>良好的，得</w:t>
            </w:r>
            <w:r>
              <w:rPr>
                <w:rFonts w:hint="eastAsia"/>
                <w:color w:val="auto"/>
                <w:highlight w:val="none"/>
                <w:lang w:val="en-US" w:eastAsia="zh-CN"/>
              </w:rPr>
              <w:t>4</w:t>
            </w:r>
            <w:r>
              <w:rPr>
                <w:color w:val="auto"/>
                <w:highlight w:val="none"/>
              </w:rPr>
              <w:t>＜F≤</w:t>
            </w:r>
            <w:r>
              <w:rPr>
                <w:rFonts w:hint="eastAsia"/>
                <w:color w:val="auto"/>
                <w:highlight w:val="none"/>
                <w:lang w:val="en-US" w:eastAsia="zh-CN"/>
              </w:rPr>
              <w:t>7</w:t>
            </w:r>
            <w:r>
              <w:rPr>
                <w:color w:val="auto"/>
                <w:highlight w:val="none"/>
              </w:rPr>
              <w:t>分；</w:t>
            </w:r>
          </w:p>
          <w:p w14:paraId="321F7964">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rPr>
            </w:pPr>
            <w:r>
              <w:rPr>
                <w:rFonts w:hint="eastAsia"/>
                <w:color w:val="auto"/>
                <w:highlight w:val="none"/>
                <w:lang w:eastAsia="zh-CN"/>
              </w:rPr>
              <w:t>3.</w:t>
            </w:r>
            <w:r>
              <w:rPr>
                <w:color w:val="auto"/>
                <w:highlight w:val="none"/>
              </w:rPr>
              <w:t>一般的，得</w:t>
            </w:r>
            <w:r>
              <w:rPr>
                <w:rFonts w:hint="eastAsia"/>
                <w:color w:val="auto"/>
                <w:highlight w:val="none"/>
                <w:lang w:val="en-US" w:eastAsia="zh-CN"/>
              </w:rPr>
              <w:t>1</w:t>
            </w:r>
            <w:r>
              <w:rPr>
                <w:color w:val="auto"/>
                <w:highlight w:val="none"/>
              </w:rPr>
              <w:t>＜F≤</w:t>
            </w:r>
            <w:r>
              <w:rPr>
                <w:rFonts w:hint="eastAsia"/>
                <w:color w:val="auto"/>
                <w:highlight w:val="none"/>
                <w:lang w:val="en-US" w:eastAsia="zh-CN"/>
              </w:rPr>
              <w:t>3</w:t>
            </w:r>
            <w:r>
              <w:rPr>
                <w:color w:val="auto"/>
                <w:highlight w:val="none"/>
              </w:rPr>
              <w:t xml:space="preserve">分； </w:t>
            </w:r>
          </w:p>
          <w:p w14:paraId="290FFC85">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color w:val="auto"/>
                <w:highlight w:val="none"/>
                <w:lang w:eastAsia="zh-CN"/>
              </w:rPr>
              <w:t>4.未提供相关内容的，本项不得分。</w:t>
            </w:r>
          </w:p>
        </w:tc>
        <w:tc>
          <w:tcPr>
            <w:tcW w:w="832" w:type="dxa"/>
            <w:vAlign w:val="center"/>
          </w:tcPr>
          <w:p w14:paraId="47F6E591">
            <w:pPr>
              <w:pStyle w:val="25"/>
              <w:spacing w:before="118" w:line="440" w:lineRule="exact"/>
              <w:ind w:left="112" w:right="101"/>
              <w:jc w:val="left"/>
              <w:rPr>
                <w:rFonts w:cs="方正仿宋_GB2312"/>
                <w:color w:val="auto"/>
                <w:spacing w:val="-3"/>
                <w:highlight w:val="none"/>
                <w:lang w:eastAsia="zh-CN"/>
              </w:rPr>
            </w:pPr>
            <w:r>
              <w:rPr>
                <w:rFonts w:hint="eastAsia" w:cs="方正仿宋_GB2312"/>
                <w:color w:val="auto"/>
                <w:spacing w:val="-3"/>
                <w:highlight w:val="none"/>
                <w:lang w:eastAsia="zh-CN"/>
              </w:rPr>
              <w:t>0-1</w:t>
            </w:r>
            <w:r>
              <w:rPr>
                <w:rFonts w:hint="eastAsia" w:cs="方正仿宋_GB2312"/>
                <w:color w:val="auto"/>
                <w:spacing w:val="-3"/>
                <w:highlight w:val="none"/>
                <w:lang w:val="en-US" w:eastAsia="zh-CN"/>
              </w:rPr>
              <w:t>0</w:t>
            </w:r>
            <w:r>
              <w:rPr>
                <w:rFonts w:hint="eastAsia" w:cs="方正仿宋_GB2312"/>
                <w:color w:val="auto"/>
                <w:spacing w:val="-3"/>
                <w:highlight w:val="none"/>
                <w:lang w:eastAsia="zh-CN"/>
              </w:rPr>
              <w:t>分</w:t>
            </w:r>
          </w:p>
        </w:tc>
      </w:tr>
      <w:tr w14:paraId="12D99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7875D926">
            <w:pPr>
              <w:pStyle w:val="25"/>
              <w:tabs>
                <w:tab w:val="left" w:pos="407"/>
              </w:tabs>
              <w:spacing w:before="78" w:line="440" w:lineRule="exact"/>
              <w:ind w:right="17"/>
              <w:jc w:val="center"/>
              <w:rPr>
                <w:rFonts w:hint="default" w:cs="方正仿宋_GB2312"/>
                <w:color w:val="auto"/>
                <w:highlight w:val="none"/>
                <w:lang w:val="en-US" w:eastAsia="zh-CN"/>
              </w:rPr>
            </w:pPr>
            <w:r>
              <w:rPr>
                <w:rFonts w:hint="eastAsia" w:cs="方正仿宋_GB2312"/>
                <w:color w:val="auto"/>
                <w:highlight w:val="none"/>
                <w:lang w:val="en-US" w:eastAsia="zh-CN"/>
              </w:rPr>
              <w:t>11</w:t>
            </w:r>
          </w:p>
        </w:tc>
        <w:tc>
          <w:tcPr>
            <w:tcW w:w="914" w:type="dxa"/>
            <w:vAlign w:val="center"/>
          </w:tcPr>
          <w:p w14:paraId="0E4C5179">
            <w:pPr>
              <w:pStyle w:val="25"/>
              <w:spacing w:before="78" w:line="440" w:lineRule="exact"/>
              <w:jc w:val="center"/>
              <w:rPr>
                <w:color w:val="auto"/>
                <w:highlight w:val="none"/>
              </w:rPr>
            </w:pPr>
            <w:r>
              <w:rPr>
                <w:rFonts w:hint="eastAsia"/>
                <w:color w:val="auto"/>
                <w:highlight w:val="none"/>
              </w:rPr>
              <w:t>便利化服务方案</w:t>
            </w:r>
          </w:p>
        </w:tc>
        <w:tc>
          <w:tcPr>
            <w:tcW w:w="7553" w:type="dxa"/>
          </w:tcPr>
          <w:p w14:paraId="6DC08D90">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rFonts w:hint="eastAsia"/>
                <w:color w:val="auto"/>
                <w:highlight w:val="none"/>
                <w:lang w:eastAsia="zh-CN"/>
              </w:rPr>
            </w:pPr>
            <w:r>
              <w:rPr>
                <w:rFonts w:hint="eastAsia"/>
                <w:color w:val="auto"/>
                <w:highlight w:val="none"/>
                <w:lang w:eastAsia="zh-CN"/>
              </w:rPr>
              <w:t>投标人针对本项目制定便利化服务方案，内容包括但不限于快速投标计划、投标时间安排、紧急配送计划、本地便利化服务计划、人员安排等，由评标委员会进行综合评审：</w:t>
            </w:r>
          </w:p>
          <w:p w14:paraId="5D9C0720">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rFonts w:hint="eastAsia"/>
                <w:color w:val="auto"/>
                <w:highlight w:val="none"/>
                <w:lang w:eastAsia="zh-CN"/>
              </w:rPr>
            </w:pPr>
            <w:r>
              <w:rPr>
                <w:rFonts w:hint="eastAsia"/>
                <w:color w:val="auto"/>
                <w:highlight w:val="none"/>
                <w:lang w:eastAsia="zh-CN"/>
              </w:rPr>
              <w:t>方案全面性和合理性强的，得</w:t>
            </w:r>
            <w:r>
              <w:rPr>
                <w:rFonts w:hint="eastAsia"/>
                <w:color w:val="auto"/>
                <w:highlight w:val="none"/>
                <w:lang w:val="en-US" w:eastAsia="zh-CN"/>
              </w:rPr>
              <w:t>8</w:t>
            </w:r>
            <w:r>
              <w:rPr>
                <w:color w:val="auto"/>
                <w:highlight w:val="none"/>
              </w:rPr>
              <w:t>＜F≤</w:t>
            </w:r>
            <w:r>
              <w:rPr>
                <w:rFonts w:hint="eastAsia"/>
                <w:color w:val="auto"/>
                <w:highlight w:val="none"/>
                <w:lang w:eastAsia="zh-CN"/>
              </w:rPr>
              <w:t>1</w:t>
            </w:r>
            <w:r>
              <w:rPr>
                <w:rFonts w:hint="eastAsia"/>
                <w:color w:val="auto"/>
                <w:highlight w:val="none"/>
                <w:lang w:val="en-US" w:eastAsia="zh-CN"/>
              </w:rPr>
              <w:t>0</w:t>
            </w:r>
            <w:r>
              <w:rPr>
                <w:rFonts w:hint="eastAsia"/>
                <w:color w:val="auto"/>
                <w:highlight w:val="none"/>
                <w:lang w:eastAsia="zh-CN"/>
              </w:rPr>
              <w:t xml:space="preserve"> 分；</w:t>
            </w:r>
          </w:p>
          <w:p w14:paraId="2C0C5EBE">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rFonts w:hint="eastAsia"/>
                <w:color w:val="auto"/>
                <w:highlight w:val="none"/>
                <w:lang w:eastAsia="zh-CN"/>
              </w:rPr>
            </w:pPr>
            <w:r>
              <w:rPr>
                <w:rFonts w:hint="eastAsia"/>
                <w:color w:val="auto"/>
                <w:highlight w:val="none"/>
                <w:lang w:eastAsia="zh-CN"/>
              </w:rPr>
              <w:t>方案全面性和合理性较强的，得</w:t>
            </w:r>
            <w:r>
              <w:rPr>
                <w:rFonts w:hint="eastAsia"/>
                <w:color w:val="auto"/>
                <w:highlight w:val="none"/>
                <w:lang w:val="en-US" w:eastAsia="zh-CN"/>
              </w:rPr>
              <w:t>4</w:t>
            </w:r>
            <w:r>
              <w:rPr>
                <w:color w:val="auto"/>
                <w:highlight w:val="none"/>
              </w:rPr>
              <w:t>＜F≤</w:t>
            </w:r>
            <w:r>
              <w:rPr>
                <w:rFonts w:hint="eastAsia"/>
                <w:color w:val="auto"/>
                <w:highlight w:val="none"/>
                <w:lang w:val="en-US" w:eastAsia="zh-CN"/>
              </w:rPr>
              <w:t>7</w:t>
            </w:r>
            <w:r>
              <w:rPr>
                <w:rFonts w:hint="eastAsia"/>
                <w:color w:val="auto"/>
                <w:highlight w:val="none"/>
                <w:lang w:eastAsia="zh-CN"/>
              </w:rPr>
              <w:t xml:space="preserve"> 分；</w:t>
            </w:r>
          </w:p>
          <w:p w14:paraId="5FB6B956">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rFonts w:hint="eastAsia"/>
                <w:color w:val="auto"/>
                <w:highlight w:val="none"/>
                <w:lang w:eastAsia="zh-CN"/>
              </w:rPr>
            </w:pPr>
            <w:r>
              <w:rPr>
                <w:rFonts w:hint="eastAsia"/>
                <w:color w:val="auto"/>
                <w:highlight w:val="none"/>
                <w:lang w:eastAsia="zh-CN"/>
              </w:rPr>
              <w:t>方案全面性和合理性一般的，得</w:t>
            </w:r>
            <w:r>
              <w:rPr>
                <w:rFonts w:hint="eastAsia"/>
                <w:color w:val="auto"/>
                <w:highlight w:val="none"/>
                <w:lang w:val="en-US" w:eastAsia="zh-CN"/>
              </w:rPr>
              <w:t>1</w:t>
            </w:r>
            <w:r>
              <w:rPr>
                <w:color w:val="auto"/>
                <w:highlight w:val="none"/>
              </w:rPr>
              <w:t>＜F≤</w:t>
            </w:r>
            <w:r>
              <w:rPr>
                <w:rFonts w:hint="eastAsia"/>
                <w:color w:val="auto"/>
                <w:highlight w:val="none"/>
                <w:lang w:val="en-US" w:eastAsia="zh-CN"/>
              </w:rPr>
              <w:t>3</w:t>
            </w:r>
            <w:r>
              <w:rPr>
                <w:rFonts w:hint="eastAsia"/>
                <w:color w:val="auto"/>
                <w:highlight w:val="none"/>
                <w:lang w:eastAsia="zh-CN"/>
              </w:rPr>
              <w:t>分；</w:t>
            </w:r>
          </w:p>
          <w:p w14:paraId="6C36F2DF">
            <w:pPr>
              <w:pStyle w:val="25"/>
              <w:keepNext w:val="0"/>
              <w:keepLines w:val="0"/>
              <w:pageBreakBefore w:val="0"/>
              <w:widowControl w:val="0"/>
              <w:kinsoku/>
              <w:wordWrap/>
              <w:overflowPunct/>
              <w:topLinePunct w:val="0"/>
              <w:autoSpaceDE/>
              <w:autoSpaceDN/>
              <w:bidi w:val="0"/>
              <w:adjustRightInd/>
              <w:snapToGrid/>
              <w:spacing w:before="118" w:line="440" w:lineRule="exact"/>
              <w:ind w:right="102"/>
              <w:jc w:val="left"/>
              <w:textAlignment w:val="auto"/>
              <w:rPr>
                <w:color w:val="auto"/>
                <w:highlight w:val="none"/>
                <w:lang w:eastAsia="zh-CN"/>
              </w:rPr>
            </w:pPr>
            <w:r>
              <w:rPr>
                <w:rFonts w:hint="eastAsia"/>
                <w:color w:val="auto"/>
                <w:highlight w:val="none"/>
                <w:lang w:eastAsia="zh-CN"/>
              </w:rPr>
              <w:t>未提供相关内容的，本项不得分</w:t>
            </w:r>
          </w:p>
        </w:tc>
        <w:tc>
          <w:tcPr>
            <w:tcW w:w="832" w:type="dxa"/>
            <w:vAlign w:val="center"/>
          </w:tcPr>
          <w:p w14:paraId="6C91A916">
            <w:pPr>
              <w:pStyle w:val="25"/>
              <w:spacing w:before="118" w:line="440" w:lineRule="exact"/>
              <w:ind w:left="112" w:right="101"/>
              <w:jc w:val="left"/>
              <w:rPr>
                <w:rFonts w:hint="eastAsia" w:cs="方正仿宋_GB2312"/>
                <w:color w:val="FF0000"/>
                <w:spacing w:val="-3"/>
                <w:highlight w:val="none"/>
                <w:lang w:eastAsia="zh-CN"/>
              </w:rPr>
            </w:pPr>
            <w:r>
              <w:rPr>
                <w:rFonts w:hint="eastAsia" w:cs="方正仿宋_GB2312"/>
                <w:color w:val="auto"/>
                <w:spacing w:val="-3"/>
                <w:highlight w:val="none"/>
                <w:lang w:eastAsia="zh-CN"/>
              </w:rPr>
              <w:t>0-</w:t>
            </w:r>
            <w:r>
              <w:rPr>
                <w:rFonts w:hint="eastAsia" w:cs="方正仿宋_GB2312"/>
                <w:color w:val="auto"/>
                <w:spacing w:val="-3"/>
                <w:highlight w:val="none"/>
                <w:lang w:val="en-US" w:eastAsia="zh-CN"/>
              </w:rPr>
              <w:t>10</w:t>
            </w:r>
            <w:r>
              <w:rPr>
                <w:rFonts w:hint="eastAsia" w:cs="方正仿宋_GB2312"/>
                <w:color w:val="auto"/>
                <w:spacing w:val="-3"/>
                <w:highlight w:val="none"/>
                <w:lang w:eastAsia="zh-CN"/>
              </w:rPr>
              <w:t>分</w:t>
            </w:r>
          </w:p>
        </w:tc>
      </w:tr>
      <w:tr w14:paraId="3E0DF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30" w:type="dxa"/>
            <w:vAlign w:val="center"/>
          </w:tcPr>
          <w:p w14:paraId="5ED9CA06">
            <w:pPr>
              <w:pStyle w:val="25"/>
              <w:spacing w:before="78" w:line="440" w:lineRule="exact"/>
              <w:ind w:right="17"/>
              <w:jc w:val="center"/>
              <w:rPr>
                <w:rFonts w:hint="default" w:cs="方正仿宋_GB2312"/>
                <w:color w:val="auto"/>
                <w:highlight w:val="none"/>
                <w:lang w:val="en-US" w:eastAsia="zh-CN"/>
              </w:rPr>
            </w:pPr>
            <w:r>
              <w:rPr>
                <w:rFonts w:hint="eastAsia" w:cs="方正仿宋_GB2312"/>
                <w:color w:val="auto"/>
                <w:highlight w:val="none"/>
                <w:lang w:eastAsia="zh-CN"/>
              </w:rPr>
              <w:t>1</w:t>
            </w:r>
            <w:r>
              <w:rPr>
                <w:rFonts w:hint="eastAsia" w:cs="方正仿宋_GB2312"/>
                <w:color w:val="auto"/>
                <w:highlight w:val="none"/>
                <w:lang w:val="en-US" w:eastAsia="zh-CN"/>
              </w:rPr>
              <w:t>2</w:t>
            </w:r>
          </w:p>
        </w:tc>
        <w:tc>
          <w:tcPr>
            <w:tcW w:w="914" w:type="dxa"/>
            <w:vAlign w:val="center"/>
          </w:tcPr>
          <w:p w14:paraId="7DF7B56B">
            <w:pPr>
              <w:pStyle w:val="25"/>
              <w:spacing w:before="78" w:line="440" w:lineRule="exact"/>
              <w:jc w:val="center"/>
              <w:rPr>
                <w:rFonts w:cs="方正仿宋_GB2312"/>
                <w:color w:val="auto"/>
                <w:spacing w:val="-4"/>
                <w:highlight w:val="none"/>
                <w:lang w:eastAsia="zh-CN"/>
              </w:rPr>
            </w:pPr>
            <w:r>
              <w:rPr>
                <w:rFonts w:hint="eastAsia" w:cs="方正仿宋_GB2312"/>
                <w:color w:val="auto"/>
                <w:spacing w:val="-4"/>
                <w:highlight w:val="none"/>
                <w:lang w:eastAsia="zh-CN"/>
              </w:rPr>
              <w:t>价格分</w:t>
            </w:r>
          </w:p>
        </w:tc>
        <w:tc>
          <w:tcPr>
            <w:tcW w:w="7553" w:type="dxa"/>
          </w:tcPr>
          <w:p w14:paraId="3BA3CFC0">
            <w:pPr>
              <w:pStyle w:val="25"/>
              <w:spacing w:line="360" w:lineRule="auto"/>
              <w:jc w:val="left"/>
              <w:rPr>
                <w:rFonts w:cs="方正仿宋_GB2312"/>
                <w:color w:val="auto"/>
                <w:spacing w:val="-4"/>
                <w:highlight w:val="none"/>
                <w:lang w:eastAsia="zh-CN"/>
              </w:rPr>
            </w:pPr>
            <w:r>
              <w:rPr>
                <w:color w:val="auto"/>
                <w:highlight w:val="none"/>
                <w:lang w:eastAsia="zh-CN"/>
              </w:rPr>
              <w:t>价格分统一采用低价优先法，即满足</w:t>
            </w:r>
            <w:r>
              <w:rPr>
                <w:rFonts w:hint="eastAsia"/>
                <w:color w:val="auto"/>
                <w:highlight w:val="none"/>
                <w:lang w:val="en-US" w:eastAsia="zh-CN"/>
              </w:rPr>
              <w:t>招标</w:t>
            </w:r>
            <w:r>
              <w:rPr>
                <w:color w:val="auto"/>
                <w:highlight w:val="none"/>
                <w:lang w:eastAsia="zh-CN"/>
              </w:rPr>
              <w:t>文件要求且价格最低的最后报价为基准价，其价格分为满分10分。其他</w:t>
            </w:r>
            <w:r>
              <w:rPr>
                <w:rFonts w:hint="eastAsia"/>
                <w:color w:val="auto"/>
                <w:highlight w:val="none"/>
                <w:lang w:eastAsia="zh-CN"/>
              </w:rPr>
              <w:t>投标人</w:t>
            </w:r>
            <w:r>
              <w:rPr>
                <w:color w:val="auto"/>
                <w:highlight w:val="none"/>
                <w:lang w:eastAsia="zh-CN"/>
              </w:rPr>
              <w:t>的价格分统一按照下列公式计算： 最后报价得分＝（基准价/最后报价）×10％×100</w:t>
            </w:r>
          </w:p>
        </w:tc>
        <w:tc>
          <w:tcPr>
            <w:tcW w:w="832" w:type="dxa"/>
            <w:vAlign w:val="center"/>
          </w:tcPr>
          <w:p w14:paraId="6EC4D336">
            <w:pPr>
              <w:pStyle w:val="25"/>
              <w:spacing w:before="118" w:line="440" w:lineRule="exact"/>
              <w:ind w:left="112" w:right="101"/>
              <w:jc w:val="left"/>
              <w:rPr>
                <w:rFonts w:cs="方正仿宋_GB2312"/>
                <w:color w:val="auto"/>
                <w:spacing w:val="-3"/>
                <w:highlight w:val="none"/>
                <w:lang w:eastAsia="zh-CN"/>
              </w:rPr>
            </w:pPr>
            <w:r>
              <w:rPr>
                <w:rFonts w:hint="eastAsia" w:cs="方正仿宋_GB2312"/>
                <w:color w:val="auto"/>
                <w:spacing w:val="-3"/>
                <w:highlight w:val="none"/>
                <w:lang w:eastAsia="zh-CN"/>
              </w:rPr>
              <w:t>0-10分</w:t>
            </w:r>
          </w:p>
        </w:tc>
      </w:tr>
    </w:tbl>
    <w:p w14:paraId="784D8BEC">
      <w:pPr>
        <w:adjustRightInd w:val="0"/>
        <w:snapToGrid w:val="0"/>
        <w:spacing w:line="360" w:lineRule="auto"/>
        <w:ind w:right="-10" w:firstLine="420" w:firstLineChars="175"/>
        <w:rPr>
          <w:rFonts w:hint="eastAsia" w:ascii="宋体" w:hAnsi="宋体"/>
          <w:bCs/>
          <w:color w:val="000000" w:themeColor="text1"/>
          <w:szCs w:val="24"/>
          <w:highlight w:val="none"/>
          <w14:textFill>
            <w14:solidFill>
              <w14:schemeClr w14:val="tx1"/>
            </w14:solidFill>
          </w14:textFill>
        </w:rPr>
      </w:pPr>
    </w:p>
    <w:p w14:paraId="6CF4BDCB">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8.7汇总排序</w:t>
      </w:r>
    </w:p>
    <w:p w14:paraId="042213D4">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每个有效投标人的技术部分得分即为该投标人的最终得分。投标人的各项得分均保留小数点后两位（小数点后第三位四舍五入）。</w:t>
      </w:r>
    </w:p>
    <w:p w14:paraId="2A5F61E4">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按照有效投标人最终得分由高到低排出中标候选人。最终得分相同的，则采取抽签方式确定其前后次序。</w:t>
      </w:r>
    </w:p>
    <w:p w14:paraId="283B324F">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如有效投标人不少于规定数量，各投标人的最终总得分将随中标候选人公示同时公布，不公布其他评分明细。</w:t>
      </w:r>
      <w:r>
        <w:rPr>
          <w:rFonts w:hint="eastAsia" w:ascii="宋体" w:hAnsi="宋体"/>
          <w:bCs/>
          <w:color w:val="000000" w:themeColor="text1"/>
          <w:szCs w:val="24"/>
          <w:highlight w:val="none"/>
          <w:lang w:eastAsia="zh-CN"/>
          <w14:textFill>
            <w14:solidFill>
              <w14:schemeClr w14:val="tx1"/>
            </w14:solidFill>
          </w14:textFill>
        </w:rPr>
        <w:t>肥西县公共资源交易有限责任公司</w:t>
      </w:r>
      <w:r>
        <w:rPr>
          <w:rFonts w:hint="eastAsia" w:ascii="宋体" w:hAnsi="宋体"/>
          <w:bCs/>
          <w:color w:val="000000" w:themeColor="text1"/>
          <w:szCs w:val="24"/>
          <w:highlight w:val="none"/>
          <w14:textFill>
            <w14:solidFill>
              <w14:schemeClr w14:val="tx1"/>
            </w14:solidFill>
          </w14:textFill>
        </w:rPr>
        <w:t>不对投标人得分情况做任何解释。</w:t>
      </w:r>
    </w:p>
    <w:p w14:paraId="0205C94F">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9.各投标人的得分一经得出，并核对无误后，任何人不得更改。</w:t>
      </w:r>
    </w:p>
    <w:p w14:paraId="33088F8D">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10.评标委员会在评标过程中发现的问题，应当及时作出处理或者向招标人提出处理建议，并作书面记录。</w:t>
      </w:r>
    </w:p>
    <w:p w14:paraId="6A77E25F">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11.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14:paraId="143458AA">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12.评标委员会和评标工作人员应严格遵守国家的法律、法规和规章制度；严格按照本次招标文件进行评标；公正廉洁、不徇私情，不得损害国家利益；保护招、投标人的合法权益。</w:t>
      </w:r>
    </w:p>
    <w:p w14:paraId="373A38CA">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13.在评标过程中，评委及其他评标工作人员必须对评标情况严格保密，任何人不得将评标情况透露给与投标人有关的单位和个人。如有违反评标纪律的情况发生，将依据有关法律法规的规定，追究有关当事人的责任。</w:t>
      </w:r>
      <w:bookmarkStart w:id="38" w:name="_Toc477794142"/>
      <w:bookmarkStart w:id="39" w:name="_Hlt519045391"/>
      <w:bookmarkStart w:id="40" w:name="_Hlt509738509"/>
      <w:bookmarkStart w:id="41" w:name="_Hlt509738521"/>
    </w:p>
    <w:p w14:paraId="2EC6A768">
      <w:pPr>
        <w:keepNext w:val="0"/>
        <w:keepLines w:val="0"/>
        <w:pageBreakBefore w:val="0"/>
        <w:widowControl w:val="0"/>
        <w:kinsoku/>
        <w:wordWrap w:val="0"/>
        <w:overflowPunct/>
        <w:topLinePunct w:val="0"/>
        <w:autoSpaceDE/>
        <w:autoSpaceDN/>
        <w:bidi w:val="0"/>
        <w:adjustRightInd/>
        <w:snapToGrid/>
        <w:spacing w:line="360" w:lineRule="auto"/>
        <w:ind w:right="0" w:firstLine="480" w:firstLineChars="200"/>
        <w:jc w:val="left"/>
        <w:textAlignment w:val="auto"/>
        <w:rPr>
          <w:rFonts w:hint="eastAsia" w:ascii="宋体" w:hAnsi="宋体"/>
          <w:bCs/>
          <w:color w:val="000000" w:themeColor="text1"/>
          <w:szCs w:val="24"/>
          <w:highlight w:val="none"/>
          <w14:textFill>
            <w14:solidFill>
              <w14:schemeClr w14:val="tx1"/>
            </w14:solidFill>
          </w14:textFill>
        </w:rPr>
      </w:pPr>
    </w:p>
    <w:p w14:paraId="041EB1E6">
      <w:pPr>
        <w:pStyle w:val="2"/>
        <w:spacing w:line="500" w:lineRule="exact"/>
        <w:ind w:firstLine="0"/>
        <w:jc w:val="both"/>
        <w:rPr>
          <w:rFonts w:hint="eastAsia" w:ascii="宋体" w:hAnsi="宋体" w:eastAsia="宋体"/>
          <w:color w:val="000000" w:themeColor="text1"/>
          <w:highlight w:val="none"/>
          <w14:textFill>
            <w14:solidFill>
              <w14:schemeClr w14:val="tx1"/>
            </w14:solidFill>
          </w14:textFill>
        </w:rPr>
        <w:sectPr>
          <w:headerReference r:id="rId6" w:type="first"/>
          <w:footerReference r:id="rId9" w:type="first"/>
          <w:headerReference r:id="rId4" w:type="default"/>
          <w:footerReference r:id="rId7" w:type="default"/>
          <w:headerReference r:id="rId5" w:type="even"/>
          <w:footerReference r:id="rId8" w:type="even"/>
          <w:pgSz w:w="11906" w:h="16838"/>
          <w:pgMar w:top="1440" w:right="1247" w:bottom="1440" w:left="1247" w:header="851" w:footer="992" w:gutter="0"/>
          <w:pgNumType w:fmt="decimal"/>
          <w:cols w:space="720" w:num="1"/>
          <w:docGrid w:linePitch="303" w:charSpace="0"/>
        </w:sectPr>
      </w:pPr>
    </w:p>
    <w:p w14:paraId="01870A73">
      <w:pPr>
        <w:pStyle w:val="2"/>
        <w:rPr>
          <w:rFonts w:hint="eastAsia" w:asciiTheme="minorEastAsia" w:hAnsiTheme="minorEastAsia" w:eastAsiaTheme="minorEastAsia"/>
          <w:color w:val="000000" w:themeColor="text1"/>
          <w:sz w:val="24"/>
          <w:szCs w:val="24"/>
          <w:highlight w:val="none"/>
          <w14:textFill>
            <w14:solidFill>
              <w14:schemeClr w14:val="tx1"/>
            </w14:solidFill>
          </w14:textFill>
        </w:rPr>
      </w:pPr>
      <w:bookmarkStart w:id="42" w:name="_Toc220232392"/>
      <w:bookmarkStart w:id="43" w:name="_Toc14762"/>
      <w:bookmarkStart w:id="44" w:name="_Toc6690"/>
      <w:r>
        <w:rPr>
          <w:rFonts w:hint="eastAsia" w:asciiTheme="minorEastAsia" w:hAnsiTheme="minorEastAsia" w:eastAsiaTheme="minorEastAsia"/>
          <w:color w:val="000000" w:themeColor="text1"/>
          <w:highlight w:val="none"/>
          <w14:textFill>
            <w14:solidFill>
              <w14:schemeClr w14:val="tx1"/>
            </w14:solidFill>
          </w14:textFill>
        </w:rPr>
        <w:t>第六章</w:t>
      </w:r>
      <w:bookmarkEnd w:id="42"/>
      <w:r>
        <w:rPr>
          <w:rFonts w:hint="eastAsia" w:asciiTheme="minorEastAsia" w:hAnsiTheme="minorEastAsia" w:eastAsiaTheme="minorEastAsia"/>
          <w:color w:val="000000" w:themeColor="text1"/>
          <w:highlight w:val="none"/>
          <w14:textFill>
            <w14:solidFill>
              <w14:schemeClr w14:val="tx1"/>
            </w14:solidFill>
          </w14:textFill>
        </w:rPr>
        <w:t>合同</w:t>
      </w:r>
      <w:bookmarkEnd w:id="43"/>
      <w:bookmarkEnd w:id="44"/>
    </w:p>
    <w:p w14:paraId="34A89AB2">
      <w:pPr>
        <w:spacing w:line="360" w:lineRule="auto"/>
        <w:ind w:firstLine="480" w:firstLineChars="200"/>
        <w:jc w:val="center"/>
        <w:rPr>
          <w:rFonts w:hint="eastAsia" w:ascii="宋体" w:hAnsi="宋体"/>
          <w:b/>
          <w:bCs/>
          <w:color w:val="000000" w:themeColor="text1"/>
          <w:kern w:val="0"/>
          <w:highlight w:val="none"/>
          <w14:textFill>
            <w14:solidFill>
              <w14:schemeClr w14:val="tx1"/>
            </w14:solidFill>
          </w14:textFill>
        </w:rPr>
      </w:pPr>
      <w:bookmarkStart w:id="45" w:name="_Toc26882"/>
      <w:r>
        <w:rPr>
          <w:rFonts w:hint="eastAsia" w:ascii="宋体" w:hAnsi="宋体"/>
          <w:color w:val="000000" w:themeColor="text1"/>
          <w:kern w:val="0"/>
          <w:highlight w:val="none"/>
          <w14:textFill>
            <w14:solidFill>
              <w14:schemeClr w14:val="tx1"/>
            </w14:solidFill>
          </w14:textFill>
        </w:rPr>
        <w:t>（</w:t>
      </w:r>
      <w:r>
        <w:rPr>
          <w:rFonts w:hint="eastAsia" w:ascii="宋体" w:hAnsi="宋体"/>
          <w:color w:val="000000" w:themeColor="text1"/>
          <w:kern w:val="0"/>
          <w:highlight w:val="none"/>
          <w:lang w:val="en-US" w:eastAsia="zh-CN"/>
          <w14:textFill>
            <w14:solidFill>
              <w14:schemeClr w14:val="tx1"/>
            </w14:solidFill>
          </w14:textFill>
        </w:rPr>
        <w:t>双方依法签订</w:t>
      </w:r>
      <w:r>
        <w:rPr>
          <w:rFonts w:hint="eastAsia" w:ascii="宋体" w:hAnsi="宋体"/>
          <w:color w:val="000000" w:themeColor="text1"/>
          <w:kern w:val="0"/>
          <w:highlight w:val="none"/>
          <w14:textFill>
            <w14:solidFill>
              <w14:schemeClr w14:val="tx1"/>
            </w14:solidFill>
          </w14:textFill>
        </w:rPr>
        <w:t>）</w:t>
      </w:r>
      <w:bookmarkEnd w:id="45"/>
    </w:p>
    <w:p w14:paraId="12F7F4EC">
      <w:pPr>
        <w:widowControl/>
        <w:jc w:val="left"/>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br w:type="page"/>
      </w:r>
    </w:p>
    <w:p w14:paraId="4D7BB3C9">
      <w:pPr>
        <w:pStyle w:val="2"/>
        <w:spacing w:before="0" w:after="0" w:line="240" w:lineRule="auto"/>
        <w:ind w:firstLine="0"/>
        <w:rPr>
          <w:color w:val="000000" w:themeColor="text1"/>
          <w:sz w:val="28"/>
          <w:szCs w:val="28"/>
          <w:highlight w:val="none"/>
          <w14:textFill>
            <w14:solidFill>
              <w14:schemeClr w14:val="tx1"/>
            </w14:solidFill>
          </w14:textFill>
        </w:rPr>
      </w:pPr>
      <w:bookmarkStart w:id="46" w:name="_Toc1398"/>
      <w:bookmarkStart w:id="47" w:name="_Toc26291"/>
      <w:r>
        <w:rPr>
          <w:rFonts w:hint="eastAsia" w:ascii="宋体" w:hAnsi="宋体" w:eastAsia="宋体"/>
          <w:color w:val="000000" w:themeColor="text1"/>
          <w:highlight w:val="none"/>
          <w14:textFill>
            <w14:solidFill>
              <w14:schemeClr w14:val="tx1"/>
            </w14:solidFill>
          </w14:textFill>
        </w:rPr>
        <w:t>第七章投标文件格式</w:t>
      </w:r>
      <w:bookmarkEnd w:id="38"/>
      <w:bookmarkEnd w:id="46"/>
      <w:bookmarkEnd w:id="47"/>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5493"/>
        <w:gridCol w:w="2641"/>
      </w:tblGrid>
      <w:tr w14:paraId="7C0B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65" w:type="dxa"/>
            <w:vAlign w:val="center"/>
          </w:tcPr>
          <w:p w14:paraId="1DAD0CC0">
            <w:pPr>
              <w:spacing w:line="400" w:lineRule="exact"/>
              <w:jc w:val="center"/>
              <w:rPr>
                <w:rFonts w:hint="eastAsia" w:ascii="宋体" w:hAnsi="宋体"/>
                <w:b/>
                <w:color w:val="000000" w:themeColor="text1"/>
                <w:szCs w:val="24"/>
                <w:highlight w:val="none"/>
                <w14:textFill>
                  <w14:solidFill>
                    <w14:schemeClr w14:val="tx1"/>
                  </w14:solidFill>
                </w14:textFill>
              </w:rPr>
            </w:pPr>
            <w:r>
              <w:rPr>
                <w:rFonts w:hint="eastAsia" w:ascii="宋体" w:hAnsi="宋体"/>
                <w:b/>
                <w:color w:val="000000" w:themeColor="text1"/>
                <w:szCs w:val="24"/>
                <w:highlight w:val="none"/>
                <w14:textFill>
                  <w14:solidFill>
                    <w14:schemeClr w14:val="tx1"/>
                  </w14:solidFill>
                </w14:textFill>
              </w:rPr>
              <w:t>序号</w:t>
            </w:r>
          </w:p>
        </w:tc>
        <w:tc>
          <w:tcPr>
            <w:tcW w:w="5493" w:type="dxa"/>
            <w:vAlign w:val="center"/>
          </w:tcPr>
          <w:p w14:paraId="12CED65A">
            <w:pPr>
              <w:spacing w:line="400" w:lineRule="exact"/>
              <w:jc w:val="center"/>
              <w:rPr>
                <w:rFonts w:hint="eastAsia" w:ascii="宋体" w:hAnsi="宋体"/>
                <w:b/>
                <w:color w:val="000000" w:themeColor="text1"/>
                <w:szCs w:val="24"/>
                <w:highlight w:val="none"/>
                <w14:textFill>
                  <w14:solidFill>
                    <w14:schemeClr w14:val="tx1"/>
                  </w14:solidFill>
                </w14:textFill>
              </w:rPr>
            </w:pPr>
            <w:r>
              <w:rPr>
                <w:rFonts w:hint="eastAsia" w:ascii="宋体" w:hAnsi="宋体"/>
                <w:b/>
                <w:color w:val="000000" w:themeColor="text1"/>
                <w:szCs w:val="24"/>
                <w:highlight w:val="none"/>
                <w14:textFill>
                  <w14:solidFill>
                    <w14:schemeClr w14:val="tx1"/>
                  </w14:solidFill>
                </w14:textFill>
              </w:rPr>
              <w:t>资料名称</w:t>
            </w:r>
          </w:p>
        </w:tc>
        <w:tc>
          <w:tcPr>
            <w:tcW w:w="2641" w:type="dxa"/>
            <w:vAlign w:val="center"/>
          </w:tcPr>
          <w:p w14:paraId="240201CE">
            <w:pPr>
              <w:spacing w:line="400" w:lineRule="exact"/>
              <w:jc w:val="center"/>
              <w:rPr>
                <w:rFonts w:hint="eastAsia" w:ascii="宋体" w:hAnsi="宋体"/>
                <w:b/>
                <w:color w:val="000000" w:themeColor="text1"/>
                <w:szCs w:val="24"/>
                <w:highlight w:val="none"/>
                <w14:textFill>
                  <w14:solidFill>
                    <w14:schemeClr w14:val="tx1"/>
                  </w14:solidFill>
                </w14:textFill>
              </w:rPr>
            </w:pPr>
            <w:r>
              <w:rPr>
                <w:rFonts w:hint="eastAsia" w:ascii="宋体" w:hAnsi="宋体"/>
                <w:b/>
                <w:color w:val="000000" w:themeColor="text1"/>
                <w:szCs w:val="24"/>
                <w:highlight w:val="none"/>
                <w14:textFill>
                  <w14:solidFill>
                    <w14:schemeClr w14:val="tx1"/>
                  </w14:solidFill>
                </w14:textFill>
              </w:rPr>
              <w:t>备注</w:t>
            </w:r>
          </w:p>
        </w:tc>
      </w:tr>
      <w:tr w14:paraId="32E7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65" w:type="dxa"/>
            <w:vAlign w:val="center"/>
          </w:tcPr>
          <w:p w14:paraId="731368C6">
            <w:pPr>
              <w:jc w:val="cente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一</w:t>
            </w:r>
          </w:p>
        </w:tc>
        <w:tc>
          <w:tcPr>
            <w:tcW w:w="5493" w:type="dxa"/>
            <w:vAlign w:val="center"/>
          </w:tcPr>
          <w:p w14:paraId="4AA757A9">
            <w:pP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开标一览表</w:t>
            </w:r>
          </w:p>
        </w:tc>
        <w:tc>
          <w:tcPr>
            <w:tcW w:w="2641" w:type="dxa"/>
            <w:vAlign w:val="center"/>
          </w:tcPr>
          <w:p w14:paraId="10DABF3F">
            <w:pPr>
              <w:spacing w:line="360" w:lineRule="auto"/>
              <w:jc w:val="center"/>
              <w:rPr>
                <w:rFonts w:hint="eastAsia" w:ascii="宋体" w:hAnsi="宋体"/>
                <w:b/>
                <w:color w:val="000000" w:themeColor="text1"/>
                <w:szCs w:val="24"/>
                <w:highlight w:val="none"/>
                <w14:textFill>
                  <w14:solidFill>
                    <w14:schemeClr w14:val="tx1"/>
                  </w14:solidFill>
                </w14:textFill>
              </w:rPr>
            </w:pPr>
          </w:p>
        </w:tc>
      </w:tr>
      <w:tr w14:paraId="07CC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65" w:type="dxa"/>
            <w:vAlign w:val="center"/>
          </w:tcPr>
          <w:p w14:paraId="77326D1A">
            <w:pPr>
              <w:jc w:val="center"/>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二</w:t>
            </w:r>
          </w:p>
        </w:tc>
        <w:tc>
          <w:tcPr>
            <w:tcW w:w="5493" w:type="dxa"/>
            <w:vAlign w:val="center"/>
          </w:tcPr>
          <w:p w14:paraId="64906C70">
            <w:pPr>
              <w:rPr>
                <w:rFonts w:hint="eastAsia" w:ascii="宋体" w:hAnsi="宋体"/>
                <w:color w:val="000000" w:themeColor="text1"/>
                <w:szCs w:val="24"/>
                <w:highlight w:val="none"/>
                <w:u w:val="singl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投标人情况综合简介</w:t>
            </w:r>
          </w:p>
        </w:tc>
        <w:tc>
          <w:tcPr>
            <w:tcW w:w="2641" w:type="dxa"/>
            <w:vAlign w:val="center"/>
          </w:tcPr>
          <w:p w14:paraId="139CF768">
            <w:pPr>
              <w:spacing w:line="360" w:lineRule="auto"/>
              <w:jc w:val="center"/>
              <w:rPr>
                <w:rFonts w:hint="eastAsia" w:ascii="宋体" w:hAnsi="宋体"/>
                <w:b/>
                <w:color w:val="000000" w:themeColor="text1"/>
                <w:szCs w:val="24"/>
                <w:highlight w:val="none"/>
                <w14:textFill>
                  <w14:solidFill>
                    <w14:schemeClr w14:val="tx1"/>
                  </w14:solidFill>
                </w14:textFill>
              </w:rPr>
            </w:pPr>
          </w:p>
        </w:tc>
      </w:tr>
      <w:tr w14:paraId="2461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65" w:type="dxa"/>
            <w:vAlign w:val="center"/>
          </w:tcPr>
          <w:p w14:paraId="39534392">
            <w:pPr>
              <w:jc w:val="cente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三</w:t>
            </w:r>
          </w:p>
        </w:tc>
        <w:tc>
          <w:tcPr>
            <w:tcW w:w="5493" w:type="dxa"/>
            <w:vAlign w:val="center"/>
          </w:tcPr>
          <w:p w14:paraId="4A540F8E">
            <w:pPr>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投标函</w:t>
            </w:r>
          </w:p>
        </w:tc>
        <w:tc>
          <w:tcPr>
            <w:tcW w:w="2641" w:type="dxa"/>
            <w:vAlign w:val="center"/>
          </w:tcPr>
          <w:p w14:paraId="15E59A6C">
            <w:pPr>
              <w:spacing w:line="360" w:lineRule="auto"/>
              <w:jc w:val="center"/>
              <w:rPr>
                <w:rFonts w:hint="eastAsia" w:ascii="宋体" w:hAnsi="宋体"/>
                <w:b/>
                <w:color w:val="000000" w:themeColor="text1"/>
                <w:szCs w:val="24"/>
                <w:highlight w:val="none"/>
                <w14:textFill>
                  <w14:solidFill>
                    <w14:schemeClr w14:val="tx1"/>
                  </w14:solidFill>
                </w14:textFill>
              </w:rPr>
            </w:pPr>
          </w:p>
        </w:tc>
      </w:tr>
      <w:tr w14:paraId="6AF1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65" w:type="dxa"/>
            <w:vAlign w:val="center"/>
          </w:tcPr>
          <w:p w14:paraId="59FEA6B5">
            <w:pPr>
              <w:jc w:val="cente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四</w:t>
            </w:r>
          </w:p>
        </w:tc>
        <w:tc>
          <w:tcPr>
            <w:tcW w:w="5493" w:type="dxa"/>
            <w:vAlign w:val="center"/>
          </w:tcPr>
          <w:p w14:paraId="194E59F4">
            <w:pPr>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投标人信用承诺</w:t>
            </w:r>
          </w:p>
        </w:tc>
        <w:tc>
          <w:tcPr>
            <w:tcW w:w="2641" w:type="dxa"/>
            <w:vAlign w:val="center"/>
          </w:tcPr>
          <w:p w14:paraId="6DDDA434">
            <w:pPr>
              <w:spacing w:line="360" w:lineRule="auto"/>
              <w:jc w:val="center"/>
              <w:rPr>
                <w:rFonts w:hint="eastAsia" w:ascii="宋体" w:hAnsi="宋体"/>
                <w:b/>
                <w:color w:val="000000" w:themeColor="text1"/>
                <w:szCs w:val="24"/>
                <w:highlight w:val="none"/>
                <w14:textFill>
                  <w14:solidFill>
                    <w14:schemeClr w14:val="tx1"/>
                  </w14:solidFill>
                </w14:textFill>
              </w:rPr>
            </w:pPr>
          </w:p>
        </w:tc>
      </w:tr>
      <w:tr w14:paraId="5056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65" w:type="dxa"/>
            <w:vAlign w:val="center"/>
          </w:tcPr>
          <w:p w14:paraId="46F42365">
            <w:pPr>
              <w:jc w:val="cente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五</w:t>
            </w:r>
          </w:p>
        </w:tc>
        <w:tc>
          <w:tcPr>
            <w:tcW w:w="5493" w:type="dxa"/>
            <w:vAlign w:val="center"/>
          </w:tcPr>
          <w:p w14:paraId="1EFEC704">
            <w:pPr>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投标业绩</w:t>
            </w:r>
          </w:p>
        </w:tc>
        <w:tc>
          <w:tcPr>
            <w:tcW w:w="2641" w:type="dxa"/>
            <w:vAlign w:val="center"/>
          </w:tcPr>
          <w:p w14:paraId="2F259874">
            <w:pPr>
              <w:spacing w:line="360" w:lineRule="auto"/>
              <w:jc w:val="center"/>
              <w:rPr>
                <w:rFonts w:hint="eastAsia" w:ascii="宋体" w:hAnsi="宋体"/>
                <w:b/>
                <w:color w:val="000000" w:themeColor="text1"/>
                <w:szCs w:val="24"/>
                <w:highlight w:val="none"/>
                <w14:textFill>
                  <w14:solidFill>
                    <w14:schemeClr w14:val="tx1"/>
                  </w14:solidFill>
                </w14:textFill>
              </w:rPr>
            </w:pPr>
          </w:p>
        </w:tc>
      </w:tr>
      <w:tr w14:paraId="4B4C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65" w:type="dxa"/>
            <w:vAlign w:val="center"/>
          </w:tcPr>
          <w:p w14:paraId="200271FA">
            <w:pPr>
              <w:jc w:val="cente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六</w:t>
            </w:r>
          </w:p>
        </w:tc>
        <w:tc>
          <w:tcPr>
            <w:tcW w:w="5493" w:type="dxa"/>
            <w:vAlign w:val="center"/>
          </w:tcPr>
          <w:p w14:paraId="18DB54AC">
            <w:pPr>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拟投入本项目的人员情况</w:t>
            </w:r>
          </w:p>
        </w:tc>
        <w:tc>
          <w:tcPr>
            <w:tcW w:w="2641" w:type="dxa"/>
            <w:vAlign w:val="center"/>
          </w:tcPr>
          <w:p w14:paraId="314BFD96">
            <w:pPr>
              <w:spacing w:line="360" w:lineRule="auto"/>
              <w:rPr>
                <w:rFonts w:hint="eastAsia" w:ascii="宋体" w:hAnsi="宋体"/>
                <w:b/>
                <w:color w:val="000000" w:themeColor="text1"/>
                <w:szCs w:val="24"/>
                <w:highlight w:val="none"/>
                <w14:textFill>
                  <w14:solidFill>
                    <w14:schemeClr w14:val="tx1"/>
                  </w14:solidFill>
                </w14:textFill>
              </w:rPr>
            </w:pPr>
          </w:p>
        </w:tc>
      </w:tr>
      <w:tr w14:paraId="786B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165" w:type="dxa"/>
            <w:vAlign w:val="center"/>
          </w:tcPr>
          <w:p w14:paraId="46277F92">
            <w:pPr>
              <w:jc w:val="cente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七</w:t>
            </w:r>
          </w:p>
        </w:tc>
        <w:tc>
          <w:tcPr>
            <w:tcW w:w="5493" w:type="dxa"/>
            <w:vAlign w:val="center"/>
          </w:tcPr>
          <w:p w14:paraId="7455D063">
            <w:pPr>
              <w:rPr>
                <w:rFonts w:hint="eastAsia" w:ascii="宋体" w:hAnsi="宋体"/>
                <w:bCs/>
                <w:color w:val="000000" w:themeColor="text1"/>
                <w:szCs w:val="24"/>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服务方案</w:t>
            </w:r>
          </w:p>
        </w:tc>
        <w:tc>
          <w:tcPr>
            <w:tcW w:w="2641" w:type="dxa"/>
            <w:vAlign w:val="center"/>
          </w:tcPr>
          <w:p w14:paraId="1B2869B1">
            <w:pPr>
              <w:spacing w:line="360" w:lineRule="auto"/>
              <w:rPr>
                <w:rFonts w:hint="eastAsia" w:ascii="宋体" w:hAnsi="宋体"/>
                <w:b/>
                <w:color w:val="000000" w:themeColor="text1"/>
                <w:szCs w:val="24"/>
                <w:highlight w:val="none"/>
                <w14:textFill>
                  <w14:solidFill>
                    <w14:schemeClr w14:val="tx1"/>
                  </w14:solidFill>
                </w14:textFill>
              </w:rPr>
            </w:pPr>
          </w:p>
        </w:tc>
      </w:tr>
      <w:tr w14:paraId="3D98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165" w:type="dxa"/>
            <w:vAlign w:val="center"/>
          </w:tcPr>
          <w:p w14:paraId="4C02B43D">
            <w:pPr>
              <w:jc w:val="cente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八</w:t>
            </w:r>
          </w:p>
        </w:tc>
        <w:tc>
          <w:tcPr>
            <w:tcW w:w="5493" w:type="dxa"/>
            <w:vAlign w:val="center"/>
          </w:tcPr>
          <w:p w14:paraId="1EC95FE7">
            <w:pPr>
              <w:rPr>
                <w:rFonts w:hint="eastAsia" w:ascii="宋体" w:hAnsi="宋体"/>
                <w:bCs/>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有关证明文件</w:t>
            </w:r>
          </w:p>
        </w:tc>
        <w:tc>
          <w:tcPr>
            <w:tcW w:w="2641" w:type="dxa"/>
            <w:vAlign w:val="center"/>
          </w:tcPr>
          <w:p w14:paraId="2E70EF4B">
            <w:pPr>
              <w:spacing w:line="360" w:lineRule="auto"/>
              <w:rPr>
                <w:rFonts w:hint="eastAsia" w:ascii="宋体" w:hAnsi="宋体"/>
                <w:b/>
                <w:color w:val="000000" w:themeColor="text1"/>
                <w:szCs w:val="24"/>
                <w:highlight w:val="none"/>
                <w14:textFill>
                  <w14:solidFill>
                    <w14:schemeClr w14:val="tx1"/>
                  </w14:solidFill>
                </w14:textFill>
              </w:rPr>
            </w:pPr>
          </w:p>
        </w:tc>
      </w:tr>
      <w:tr w14:paraId="40D8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165" w:type="dxa"/>
            <w:vAlign w:val="center"/>
          </w:tcPr>
          <w:p w14:paraId="2E535FED">
            <w:pPr>
              <w:jc w:val="cente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九</w:t>
            </w:r>
          </w:p>
        </w:tc>
        <w:tc>
          <w:tcPr>
            <w:tcW w:w="5493" w:type="dxa"/>
            <w:vAlign w:val="center"/>
          </w:tcPr>
          <w:p w14:paraId="4F93C25E">
            <w:pP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投标授权书</w:t>
            </w:r>
          </w:p>
        </w:tc>
        <w:tc>
          <w:tcPr>
            <w:tcW w:w="2641" w:type="dxa"/>
            <w:vAlign w:val="center"/>
          </w:tcPr>
          <w:p w14:paraId="72945D9F">
            <w:pPr>
              <w:spacing w:line="360" w:lineRule="auto"/>
              <w:rPr>
                <w:rFonts w:hint="eastAsia" w:ascii="宋体" w:hAnsi="宋体"/>
                <w:b/>
                <w:color w:val="000000" w:themeColor="text1"/>
                <w:szCs w:val="24"/>
                <w:highlight w:val="none"/>
                <w14:textFill>
                  <w14:solidFill>
                    <w14:schemeClr w14:val="tx1"/>
                  </w14:solidFill>
                </w14:textFill>
              </w:rPr>
            </w:pPr>
          </w:p>
        </w:tc>
      </w:tr>
      <w:tr w14:paraId="0EF1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165" w:type="dxa"/>
            <w:vAlign w:val="center"/>
          </w:tcPr>
          <w:p w14:paraId="4FFC4DA2">
            <w:pPr>
              <w:jc w:val="cente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十</w:t>
            </w:r>
          </w:p>
        </w:tc>
        <w:tc>
          <w:tcPr>
            <w:tcW w:w="5493" w:type="dxa"/>
            <w:vAlign w:val="center"/>
          </w:tcPr>
          <w:p w14:paraId="1D3B23F5">
            <w:pPr>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投标人认为需提供的其他资料</w:t>
            </w:r>
          </w:p>
        </w:tc>
        <w:tc>
          <w:tcPr>
            <w:tcW w:w="2641" w:type="dxa"/>
            <w:vAlign w:val="center"/>
          </w:tcPr>
          <w:p w14:paraId="00DF3B42">
            <w:pPr>
              <w:spacing w:line="360" w:lineRule="auto"/>
              <w:rPr>
                <w:rFonts w:hint="eastAsia" w:ascii="宋体" w:hAnsi="宋体"/>
                <w:b/>
                <w:color w:val="000000" w:themeColor="text1"/>
                <w:szCs w:val="24"/>
                <w:highlight w:val="none"/>
                <w14:textFill>
                  <w14:solidFill>
                    <w14:schemeClr w14:val="tx1"/>
                  </w14:solidFill>
                </w14:textFill>
              </w:rPr>
            </w:pPr>
          </w:p>
        </w:tc>
      </w:tr>
      <w:tr w14:paraId="6DBF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165" w:type="dxa"/>
            <w:vAlign w:val="center"/>
          </w:tcPr>
          <w:p w14:paraId="5120EFD6">
            <w:pPr>
              <w:jc w:val="center"/>
              <w:rPr>
                <w:rFonts w:hint="eastAsia" w:ascii="宋体" w:hAnsi="宋体"/>
                <w:color w:val="000000" w:themeColor="text1"/>
                <w:szCs w:val="24"/>
                <w:highlight w:val="none"/>
                <w14:textFill>
                  <w14:solidFill>
                    <w14:schemeClr w14:val="tx1"/>
                  </w14:solidFill>
                </w14:textFill>
              </w:rPr>
            </w:pPr>
          </w:p>
        </w:tc>
        <w:tc>
          <w:tcPr>
            <w:tcW w:w="5493" w:type="dxa"/>
            <w:vAlign w:val="center"/>
          </w:tcPr>
          <w:p w14:paraId="779DCC41">
            <w:pPr>
              <w:rPr>
                <w:rFonts w:hint="eastAsia" w:ascii="宋体" w:hAnsi="宋体"/>
                <w:color w:val="000000" w:themeColor="text1"/>
                <w:szCs w:val="24"/>
                <w:highlight w:val="none"/>
                <w14:textFill>
                  <w14:solidFill>
                    <w14:schemeClr w14:val="tx1"/>
                  </w14:solidFill>
                </w14:textFill>
              </w:rPr>
            </w:pPr>
          </w:p>
        </w:tc>
        <w:tc>
          <w:tcPr>
            <w:tcW w:w="2641" w:type="dxa"/>
            <w:vAlign w:val="center"/>
          </w:tcPr>
          <w:p w14:paraId="7BB1C428">
            <w:pPr>
              <w:spacing w:line="360" w:lineRule="auto"/>
              <w:rPr>
                <w:rFonts w:hint="eastAsia" w:ascii="宋体" w:hAnsi="宋体"/>
                <w:b/>
                <w:color w:val="000000" w:themeColor="text1"/>
                <w:szCs w:val="24"/>
                <w:highlight w:val="none"/>
                <w14:textFill>
                  <w14:solidFill>
                    <w14:schemeClr w14:val="tx1"/>
                  </w14:solidFill>
                </w14:textFill>
              </w:rPr>
            </w:pPr>
          </w:p>
        </w:tc>
      </w:tr>
      <w:tr w14:paraId="5D68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65" w:type="dxa"/>
            <w:vAlign w:val="center"/>
          </w:tcPr>
          <w:p w14:paraId="5CBF1462">
            <w:pPr>
              <w:jc w:val="center"/>
              <w:rPr>
                <w:rFonts w:hint="eastAsia" w:ascii="宋体" w:hAnsi="宋体"/>
                <w:color w:val="000000" w:themeColor="text1"/>
                <w:szCs w:val="24"/>
                <w:highlight w:val="none"/>
                <w14:textFill>
                  <w14:solidFill>
                    <w14:schemeClr w14:val="tx1"/>
                  </w14:solidFill>
                </w14:textFill>
              </w:rPr>
            </w:pPr>
          </w:p>
        </w:tc>
        <w:tc>
          <w:tcPr>
            <w:tcW w:w="5493" w:type="dxa"/>
            <w:vAlign w:val="center"/>
          </w:tcPr>
          <w:p w14:paraId="297DEDD0">
            <w:pPr>
              <w:rPr>
                <w:rFonts w:hint="eastAsia" w:ascii="宋体" w:hAnsi="宋体"/>
                <w:color w:val="000000" w:themeColor="text1"/>
                <w:szCs w:val="24"/>
                <w:highlight w:val="none"/>
                <w14:textFill>
                  <w14:solidFill>
                    <w14:schemeClr w14:val="tx1"/>
                  </w14:solidFill>
                </w14:textFill>
              </w:rPr>
            </w:pPr>
          </w:p>
        </w:tc>
        <w:tc>
          <w:tcPr>
            <w:tcW w:w="2641" w:type="dxa"/>
            <w:vAlign w:val="center"/>
          </w:tcPr>
          <w:p w14:paraId="5F1901DA">
            <w:pPr>
              <w:spacing w:line="360" w:lineRule="auto"/>
              <w:rPr>
                <w:rFonts w:hint="eastAsia" w:ascii="宋体" w:hAnsi="宋体"/>
                <w:b/>
                <w:color w:val="000000" w:themeColor="text1"/>
                <w:szCs w:val="24"/>
                <w:highlight w:val="none"/>
                <w14:textFill>
                  <w14:solidFill>
                    <w14:schemeClr w14:val="tx1"/>
                  </w14:solidFill>
                </w14:textFill>
              </w:rPr>
            </w:pPr>
          </w:p>
        </w:tc>
      </w:tr>
      <w:tr w14:paraId="6AC1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65" w:type="dxa"/>
            <w:vAlign w:val="center"/>
          </w:tcPr>
          <w:p w14:paraId="1F0CDE68">
            <w:pPr>
              <w:jc w:val="center"/>
              <w:rPr>
                <w:rFonts w:hint="eastAsia" w:ascii="宋体" w:hAnsi="宋体"/>
                <w:color w:val="000000" w:themeColor="text1"/>
                <w:szCs w:val="24"/>
                <w:highlight w:val="none"/>
                <w14:textFill>
                  <w14:solidFill>
                    <w14:schemeClr w14:val="tx1"/>
                  </w14:solidFill>
                </w14:textFill>
              </w:rPr>
            </w:pPr>
          </w:p>
        </w:tc>
        <w:tc>
          <w:tcPr>
            <w:tcW w:w="5493" w:type="dxa"/>
            <w:vAlign w:val="center"/>
          </w:tcPr>
          <w:p w14:paraId="4BBCEE5C">
            <w:pPr>
              <w:rPr>
                <w:rFonts w:hint="eastAsia" w:ascii="宋体" w:hAnsi="宋体"/>
                <w:color w:val="000000" w:themeColor="text1"/>
                <w:szCs w:val="24"/>
                <w:highlight w:val="none"/>
                <w14:textFill>
                  <w14:solidFill>
                    <w14:schemeClr w14:val="tx1"/>
                  </w14:solidFill>
                </w14:textFill>
              </w:rPr>
            </w:pPr>
          </w:p>
        </w:tc>
        <w:tc>
          <w:tcPr>
            <w:tcW w:w="2641" w:type="dxa"/>
            <w:vAlign w:val="center"/>
          </w:tcPr>
          <w:p w14:paraId="2A110A34">
            <w:pPr>
              <w:spacing w:line="360" w:lineRule="auto"/>
              <w:rPr>
                <w:rFonts w:hint="eastAsia" w:ascii="宋体" w:hAnsi="宋体"/>
                <w:b/>
                <w:color w:val="000000" w:themeColor="text1"/>
                <w:szCs w:val="24"/>
                <w:highlight w:val="none"/>
                <w14:textFill>
                  <w14:solidFill>
                    <w14:schemeClr w14:val="tx1"/>
                  </w14:solidFill>
                </w14:textFill>
              </w:rPr>
            </w:pPr>
          </w:p>
        </w:tc>
      </w:tr>
      <w:tr w14:paraId="33FD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165" w:type="dxa"/>
            <w:vAlign w:val="center"/>
          </w:tcPr>
          <w:p w14:paraId="0F9BB576">
            <w:pPr>
              <w:jc w:val="center"/>
              <w:rPr>
                <w:rFonts w:hint="eastAsia" w:ascii="宋体" w:hAnsi="宋体"/>
                <w:color w:val="000000" w:themeColor="text1"/>
                <w:szCs w:val="24"/>
                <w:highlight w:val="none"/>
                <w14:textFill>
                  <w14:solidFill>
                    <w14:schemeClr w14:val="tx1"/>
                  </w14:solidFill>
                </w14:textFill>
              </w:rPr>
            </w:pPr>
          </w:p>
        </w:tc>
        <w:tc>
          <w:tcPr>
            <w:tcW w:w="5493" w:type="dxa"/>
            <w:vAlign w:val="center"/>
          </w:tcPr>
          <w:p w14:paraId="638D1927">
            <w:pPr>
              <w:rPr>
                <w:rFonts w:hint="eastAsia" w:ascii="宋体" w:hAnsi="宋体"/>
                <w:color w:val="000000" w:themeColor="text1"/>
                <w:szCs w:val="24"/>
                <w:highlight w:val="none"/>
                <w14:textFill>
                  <w14:solidFill>
                    <w14:schemeClr w14:val="tx1"/>
                  </w14:solidFill>
                </w14:textFill>
              </w:rPr>
            </w:pPr>
          </w:p>
        </w:tc>
        <w:tc>
          <w:tcPr>
            <w:tcW w:w="2641" w:type="dxa"/>
            <w:vAlign w:val="center"/>
          </w:tcPr>
          <w:p w14:paraId="370ACA3B">
            <w:pPr>
              <w:spacing w:line="360" w:lineRule="auto"/>
              <w:rPr>
                <w:rFonts w:hint="eastAsia" w:ascii="宋体" w:hAnsi="宋体"/>
                <w:b/>
                <w:color w:val="000000" w:themeColor="text1"/>
                <w:szCs w:val="24"/>
                <w:highlight w:val="none"/>
                <w14:textFill>
                  <w14:solidFill>
                    <w14:schemeClr w14:val="tx1"/>
                  </w14:solidFill>
                </w14:textFill>
              </w:rPr>
            </w:pPr>
          </w:p>
        </w:tc>
      </w:tr>
      <w:tr w14:paraId="2B04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165" w:type="dxa"/>
            <w:vAlign w:val="center"/>
          </w:tcPr>
          <w:p w14:paraId="0C8910BF">
            <w:pPr>
              <w:jc w:val="center"/>
              <w:rPr>
                <w:rFonts w:hint="eastAsia" w:ascii="宋体" w:hAnsi="宋体"/>
                <w:color w:val="000000" w:themeColor="text1"/>
                <w:szCs w:val="24"/>
                <w:highlight w:val="none"/>
                <w14:textFill>
                  <w14:solidFill>
                    <w14:schemeClr w14:val="tx1"/>
                  </w14:solidFill>
                </w14:textFill>
              </w:rPr>
            </w:pPr>
          </w:p>
        </w:tc>
        <w:tc>
          <w:tcPr>
            <w:tcW w:w="5493" w:type="dxa"/>
            <w:vAlign w:val="center"/>
          </w:tcPr>
          <w:p w14:paraId="0154275D">
            <w:pPr>
              <w:rPr>
                <w:rFonts w:hint="eastAsia" w:ascii="宋体" w:hAnsi="宋体"/>
                <w:color w:val="000000" w:themeColor="text1"/>
                <w:szCs w:val="24"/>
                <w:highlight w:val="none"/>
                <w14:textFill>
                  <w14:solidFill>
                    <w14:schemeClr w14:val="tx1"/>
                  </w14:solidFill>
                </w14:textFill>
              </w:rPr>
            </w:pPr>
          </w:p>
        </w:tc>
        <w:tc>
          <w:tcPr>
            <w:tcW w:w="2641" w:type="dxa"/>
            <w:vAlign w:val="center"/>
          </w:tcPr>
          <w:p w14:paraId="1476C233">
            <w:pPr>
              <w:spacing w:line="360" w:lineRule="auto"/>
              <w:rPr>
                <w:rFonts w:hint="eastAsia" w:ascii="宋体" w:hAnsi="宋体"/>
                <w:b/>
                <w:color w:val="000000" w:themeColor="text1"/>
                <w:szCs w:val="24"/>
                <w:highlight w:val="none"/>
                <w14:textFill>
                  <w14:solidFill>
                    <w14:schemeClr w14:val="tx1"/>
                  </w14:solidFill>
                </w14:textFill>
              </w:rPr>
            </w:pPr>
          </w:p>
        </w:tc>
      </w:tr>
    </w:tbl>
    <w:p w14:paraId="76186995">
      <w:pPr>
        <w:pStyle w:val="16"/>
        <w:ind w:left="480"/>
        <w:rPr>
          <w:color w:val="000000" w:themeColor="text1"/>
          <w:highlight w:val="none"/>
          <w14:textFill>
            <w14:solidFill>
              <w14:schemeClr w14:val="tx1"/>
            </w14:solidFill>
          </w14:textFill>
        </w:rPr>
      </w:pPr>
      <w:bookmarkStart w:id="48" w:name="_Toc197934561"/>
      <w:bookmarkStart w:id="49" w:name="_Toc197934563"/>
    </w:p>
    <w:p w14:paraId="2197666A">
      <w:pPr>
        <w:widowControl/>
        <w:jc w:val="left"/>
        <w:rPr>
          <w:rFonts w:hint="eastAsia" w:ascii="宋体" w:hAnsi="宋体"/>
          <w:b/>
          <w:bCs/>
          <w:color w:val="000000" w:themeColor="text1"/>
          <w:sz w:val="28"/>
          <w:szCs w:val="32"/>
          <w:highlight w:val="none"/>
          <w14:textFill>
            <w14:solidFill>
              <w14:schemeClr w14:val="tx1"/>
            </w14:solidFill>
          </w14:textFill>
        </w:rPr>
      </w:pPr>
      <w:bookmarkStart w:id="50" w:name="_Toc17349"/>
      <w:r>
        <w:rPr>
          <w:rFonts w:hint="eastAsia" w:hAnsi="宋体"/>
          <w:color w:val="000000" w:themeColor="text1"/>
          <w:sz w:val="28"/>
          <w:highlight w:val="none"/>
          <w14:textFill>
            <w14:solidFill>
              <w14:schemeClr w14:val="tx1"/>
            </w14:solidFill>
          </w14:textFill>
        </w:rPr>
        <w:br w:type="page"/>
      </w:r>
    </w:p>
    <w:p w14:paraId="4840B451">
      <w:pPr>
        <w:pStyle w:val="3"/>
        <w:spacing w:before="120" w:after="120" w:line="360" w:lineRule="auto"/>
        <w:rPr>
          <w:rFonts w:hint="eastAsia" w:hAnsi="宋体"/>
          <w:color w:val="000000" w:themeColor="text1"/>
          <w:sz w:val="28"/>
          <w:highlight w:val="none"/>
          <w14:textFill>
            <w14:solidFill>
              <w14:schemeClr w14:val="tx1"/>
            </w14:solidFill>
          </w14:textFill>
        </w:rPr>
      </w:pPr>
      <w:bookmarkStart w:id="51" w:name="_Toc13393"/>
      <w:r>
        <w:rPr>
          <w:rFonts w:hint="eastAsia" w:hAnsi="宋体"/>
          <w:color w:val="000000" w:themeColor="text1"/>
          <w:sz w:val="28"/>
          <w:highlight w:val="none"/>
          <w14:textFill>
            <w14:solidFill>
              <w14:schemeClr w14:val="tx1"/>
            </w14:solidFill>
          </w14:textFill>
        </w:rPr>
        <w:t>一．开标一览表</w:t>
      </w:r>
      <w:bookmarkEnd w:id="48"/>
      <w:bookmarkEnd w:id="50"/>
      <w:bookmarkEnd w:id="51"/>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073D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2471" w:type="dxa"/>
            <w:tcBorders>
              <w:top w:val="single" w:color="auto" w:sz="4" w:space="0"/>
              <w:bottom w:val="single" w:color="auto" w:sz="4" w:space="0"/>
              <w:right w:val="single" w:color="auto" w:sz="4" w:space="0"/>
            </w:tcBorders>
            <w:vAlign w:val="center"/>
          </w:tcPr>
          <w:p w14:paraId="75527006">
            <w:pPr>
              <w:widowControl/>
              <w:spacing w:line="360" w:lineRule="exact"/>
              <w:jc w:val="center"/>
              <w:rPr>
                <w:rFonts w:hint="eastAsia" w:ascii="宋体" w:hAnsi="宋体"/>
                <w:b/>
                <w:color w:val="000000" w:themeColor="text1"/>
                <w:szCs w:val="24"/>
                <w:highlight w:val="none"/>
                <w14:textFill>
                  <w14:solidFill>
                    <w14:schemeClr w14:val="tx1"/>
                  </w14:solidFill>
                </w14:textFill>
              </w:rPr>
            </w:pPr>
            <w:r>
              <w:rPr>
                <w:rFonts w:hint="eastAsia" w:ascii="宋体" w:hAnsi="宋体"/>
                <w:b/>
                <w:color w:val="000000" w:themeColor="text1"/>
                <w:szCs w:val="24"/>
                <w:highlight w:val="none"/>
                <w14:textFill>
                  <w14:solidFill>
                    <w14:schemeClr w14:val="tx1"/>
                  </w14:solidFill>
                </w14:textFill>
              </w:rPr>
              <w:t>项目名称</w:t>
            </w:r>
          </w:p>
        </w:tc>
        <w:tc>
          <w:tcPr>
            <w:tcW w:w="6667" w:type="dxa"/>
            <w:tcBorders>
              <w:top w:val="single" w:color="auto" w:sz="4" w:space="0"/>
              <w:bottom w:val="single" w:color="auto" w:sz="4" w:space="0"/>
              <w:right w:val="single" w:color="auto" w:sz="4" w:space="0"/>
            </w:tcBorders>
            <w:vAlign w:val="center"/>
          </w:tcPr>
          <w:p w14:paraId="2663E5EB">
            <w:pPr>
              <w:spacing w:line="360" w:lineRule="exact"/>
              <w:jc w:val="center"/>
              <w:rPr>
                <w:rFonts w:hint="eastAsia" w:ascii="宋体" w:hAnsi="宋体" w:eastAsia="宋体" w:cs="Times New Roman"/>
                <w:b/>
                <w:color w:val="000000" w:themeColor="text1"/>
                <w:szCs w:val="24"/>
                <w:highlight w:val="none"/>
                <w:lang w:val="en-US" w:eastAsia="zh-CN"/>
                <w14:textFill>
                  <w14:solidFill>
                    <w14:schemeClr w14:val="tx1"/>
                  </w14:solidFill>
                </w14:textFill>
              </w:rPr>
            </w:pPr>
          </w:p>
          <w:p w14:paraId="65CC7F7C">
            <w:pPr>
              <w:spacing w:line="360" w:lineRule="exact"/>
              <w:jc w:val="center"/>
              <w:rPr>
                <w:rFonts w:hint="eastAsia" w:ascii="宋体" w:hAnsi="宋体" w:eastAsia="宋体" w:cs="Times New Roman"/>
                <w:b/>
                <w:color w:val="000000" w:themeColor="text1"/>
                <w:szCs w:val="24"/>
                <w:highlight w:val="none"/>
                <w:lang w:val="en-US" w:eastAsia="zh-CN"/>
                <w14:textFill>
                  <w14:solidFill>
                    <w14:schemeClr w14:val="tx1"/>
                  </w14:solidFill>
                </w14:textFill>
              </w:rPr>
            </w:pPr>
            <w:r>
              <w:rPr>
                <w:rFonts w:hint="eastAsia" w:ascii="宋体" w:hAnsi="宋体" w:eastAsia="宋体" w:cs="Times New Roman"/>
                <w:b/>
                <w:color w:val="000000" w:themeColor="text1"/>
                <w:szCs w:val="24"/>
                <w:highlight w:val="none"/>
                <w:lang w:val="en-US" w:eastAsia="zh-CN"/>
                <w14:textFill>
                  <w14:solidFill>
                    <w14:schemeClr w14:val="tx1"/>
                  </w14:solidFill>
                </w14:textFill>
              </w:rPr>
              <w:t>肥西县直属机关幼儿园（含分园）食堂大宗食材采购配送</w:t>
            </w:r>
          </w:p>
          <w:p w14:paraId="78D65AB5">
            <w:pPr>
              <w:spacing w:line="360" w:lineRule="exact"/>
              <w:jc w:val="center"/>
              <w:rPr>
                <w:rFonts w:hint="eastAsia" w:ascii="宋体" w:hAnsi="宋体" w:eastAsia="宋体"/>
                <w:bCs/>
                <w:color w:val="000000" w:themeColor="text1"/>
                <w:szCs w:val="24"/>
                <w:highlight w:val="none"/>
                <w:u w:val="single"/>
                <w:lang w:eastAsia="zh-CN"/>
                <w14:textFill>
                  <w14:solidFill>
                    <w14:schemeClr w14:val="tx1"/>
                  </w14:solidFill>
                </w14:textFill>
              </w:rPr>
            </w:pPr>
          </w:p>
        </w:tc>
      </w:tr>
      <w:tr w14:paraId="028A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618ED9D1">
            <w:pPr>
              <w:spacing w:line="360" w:lineRule="exact"/>
              <w:jc w:val="center"/>
              <w:rPr>
                <w:rFonts w:hint="eastAsia" w:ascii="宋体" w:hAnsi="宋体"/>
                <w:b/>
                <w:color w:val="000000" w:themeColor="text1"/>
                <w:szCs w:val="24"/>
                <w:highlight w:val="none"/>
                <w14:textFill>
                  <w14:solidFill>
                    <w14:schemeClr w14:val="tx1"/>
                  </w14:solidFill>
                </w14:textFill>
              </w:rPr>
            </w:pPr>
            <w:r>
              <w:rPr>
                <w:rFonts w:hint="eastAsia" w:ascii="宋体" w:hAnsi="宋体"/>
                <w:b/>
                <w:color w:val="000000" w:themeColor="text1"/>
                <w:szCs w:val="24"/>
                <w:highlight w:val="none"/>
                <w14:textFill>
                  <w14:solidFill>
                    <w14:schemeClr w14:val="tx1"/>
                  </w14:solidFill>
                </w14:textFill>
              </w:rPr>
              <w:t>投标人全称</w:t>
            </w:r>
          </w:p>
        </w:tc>
        <w:tc>
          <w:tcPr>
            <w:tcW w:w="6667" w:type="dxa"/>
            <w:tcBorders>
              <w:top w:val="nil"/>
            </w:tcBorders>
            <w:vAlign w:val="center"/>
          </w:tcPr>
          <w:p w14:paraId="404718AB">
            <w:pPr>
              <w:spacing w:line="360" w:lineRule="auto"/>
              <w:rPr>
                <w:rFonts w:hint="eastAsia" w:ascii="宋体" w:hAnsi="宋体"/>
                <w:color w:val="000000" w:themeColor="text1"/>
                <w:szCs w:val="24"/>
                <w:highlight w:val="none"/>
                <w14:textFill>
                  <w14:solidFill>
                    <w14:schemeClr w14:val="tx1"/>
                  </w14:solidFill>
                </w14:textFill>
              </w:rPr>
            </w:pPr>
          </w:p>
        </w:tc>
      </w:tr>
      <w:tr w14:paraId="4887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091ECDE4">
            <w:pPr>
              <w:spacing w:line="360" w:lineRule="exact"/>
              <w:jc w:val="center"/>
              <w:rPr>
                <w:rFonts w:hint="eastAsia" w:ascii="宋体" w:hAnsi="宋体"/>
                <w:b/>
                <w:color w:val="000000" w:themeColor="text1"/>
                <w:szCs w:val="24"/>
                <w:highlight w:val="none"/>
                <w14:textFill>
                  <w14:solidFill>
                    <w14:schemeClr w14:val="tx1"/>
                  </w14:solidFill>
                </w14:textFill>
              </w:rPr>
            </w:pPr>
            <w:r>
              <w:rPr>
                <w:rFonts w:hint="eastAsia" w:ascii="宋体" w:hAnsi="宋体"/>
                <w:b/>
                <w:color w:val="000000" w:themeColor="text1"/>
                <w:szCs w:val="24"/>
                <w:highlight w:val="none"/>
                <w14:textFill>
                  <w14:solidFill>
                    <w14:schemeClr w14:val="tx1"/>
                  </w14:solidFill>
                </w14:textFill>
              </w:rPr>
              <w:t>投标范围</w:t>
            </w:r>
          </w:p>
        </w:tc>
        <w:tc>
          <w:tcPr>
            <w:tcW w:w="6667" w:type="dxa"/>
            <w:tcBorders>
              <w:top w:val="nil"/>
            </w:tcBorders>
            <w:vAlign w:val="center"/>
          </w:tcPr>
          <w:p w14:paraId="7DCD501C">
            <w:pPr>
              <w:widowControl/>
              <w:spacing w:line="360" w:lineRule="exact"/>
              <w:jc w:val="center"/>
              <w:rPr>
                <w:rFonts w:hint="eastAsia" w:ascii="宋体" w:hAnsi="宋体"/>
                <w:b/>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全部</w:t>
            </w:r>
          </w:p>
        </w:tc>
      </w:tr>
      <w:tr w14:paraId="3547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07BF15FA">
            <w:pPr>
              <w:spacing w:before="100" w:beforeAutospacing="1" w:after="100" w:afterAutospacing="1" w:line="360" w:lineRule="auto"/>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是否响应招标文件要求</w:t>
            </w:r>
          </w:p>
        </w:tc>
        <w:tc>
          <w:tcPr>
            <w:tcW w:w="6667" w:type="dxa"/>
            <w:tcBorders>
              <w:top w:val="nil"/>
            </w:tcBorders>
            <w:vAlign w:val="center"/>
          </w:tcPr>
          <w:p w14:paraId="02C98336">
            <w:pPr>
              <w:spacing w:before="100" w:beforeAutospacing="1" w:after="100" w:afterAutospacing="1" w:line="360" w:lineRule="auto"/>
              <w:rPr>
                <w:rFonts w:hint="eastAsia" w:ascii="宋体" w:hAnsi="宋体"/>
                <w:b/>
                <w:color w:val="000000" w:themeColor="text1"/>
                <w:highlight w:val="none"/>
                <w14:textFill>
                  <w14:solidFill>
                    <w14:schemeClr w14:val="tx1"/>
                  </w14:solidFill>
                </w14:textFill>
              </w:rPr>
            </w:pPr>
          </w:p>
          <w:p w14:paraId="6DBA900D">
            <w:pPr>
              <w:spacing w:before="100" w:beforeAutospacing="1" w:after="100" w:afterAutospacing="1" w:line="360" w:lineRule="auto"/>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响应</w:t>
            </w:r>
          </w:p>
          <w:p w14:paraId="14255461">
            <w:pPr>
              <w:spacing w:before="100" w:beforeAutospacing="1" w:after="100" w:afterAutospacing="1" w:line="360" w:lineRule="auto"/>
              <w:rPr>
                <w:rFonts w:hint="eastAsia" w:ascii="宋体" w:hAnsi="宋体"/>
                <w:b/>
                <w:color w:val="000000" w:themeColor="text1"/>
                <w:highlight w:val="none"/>
                <w14:textFill>
                  <w14:solidFill>
                    <w14:schemeClr w14:val="tx1"/>
                  </w14:solidFill>
                </w14:textFill>
              </w:rPr>
            </w:pPr>
          </w:p>
        </w:tc>
      </w:tr>
      <w:tr w14:paraId="7BCE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5587DBF7">
            <w:pPr>
              <w:spacing w:before="100" w:beforeAutospacing="1" w:after="100" w:afterAutospacing="1" w:line="360" w:lineRule="auto"/>
              <w:jc w:val="center"/>
              <w:rPr>
                <w:rFonts w:hint="eastAsia" w:ascii="宋体" w:hAnsi="宋体"/>
                <w:b/>
                <w:color w:val="000000" w:themeColor="text1"/>
                <w:highlight w:val="none"/>
                <w14:textFill>
                  <w14:solidFill>
                    <w14:schemeClr w14:val="tx1"/>
                  </w14:solidFill>
                </w14:textFill>
              </w:rPr>
            </w:pPr>
            <w:r>
              <w:rPr>
                <w:rFonts w:hint="eastAsia" w:cs="@仿宋_GB2312"/>
                <w:b/>
                <w:color w:val="auto"/>
                <w:kern w:val="2"/>
                <w:sz w:val="24"/>
                <w:highlight w:val="none"/>
              </w:rPr>
              <w:t>报价</w:t>
            </w:r>
          </w:p>
        </w:tc>
        <w:tc>
          <w:tcPr>
            <w:tcW w:w="6667" w:type="dxa"/>
            <w:tcBorders>
              <w:top w:val="nil"/>
            </w:tcBorders>
            <w:vAlign w:val="center"/>
          </w:tcPr>
          <w:p w14:paraId="3699E8EA">
            <w:pPr>
              <w:snapToGrid w:val="0"/>
              <w:rPr>
                <w:rFonts w:cs="宋体"/>
                <w:bCs/>
                <w:color w:val="auto"/>
                <w:kern w:val="2"/>
                <w:sz w:val="24"/>
                <w:szCs w:val="24"/>
                <w:highlight w:val="none"/>
                <w:u w:val="single"/>
              </w:rPr>
            </w:pPr>
            <w:r>
              <w:rPr>
                <w:rFonts w:hint="eastAsia" w:cs="宋体"/>
                <w:bCs/>
                <w:color w:val="auto"/>
                <w:kern w:val="2"/>
                <w:sz w:val="24"/>
                <w:szCs w:val="24"/>
                <w:highlight w:val="none"/>
              </w:rPr>
              <w:t>费率：</w:t>
            </w:r>
            <w:r>
              <w:rPr>
                <w:rFonts w:hint="eastAsia" w:cs="宋体"/>
                <w:bCs/>
                <w:color w:val="auto"/>
                <w:kern w:val="2"/>
                <w:sz w:val="24"/>
                <w:szCs w:val="24"/>
                <w:highlight w:val="none"/>
                <w:u w:val="single"/>
              </w:rPr>
              <w:t xml:space="preserve">                        </w:t>
            </w:r>
          </w:p>
          <w:p w14:paraId="20F0BC4B">
            <w:pPr>
              <w:snapToGrid w:val="0"/>
              <w:ind w:firstLine="720" w:firstLineChars="300"/>
              <w:rPr>
                <w:rFonts w:cs="宋体"/>
                <w:bCs/>
                <w:color w:val="auto"/>
                <w:kern w:val="2"/>
                <w:sz w:val="24"/>
                <w:szCs w:val="24"/>
                <w:highlight w:val="none"/>
                <w:u w:val="single"/>
              </w:rPr>
            </w:pPr>
          </w:p>
          <w:p w14:paraId="2E0EDC18">
            <w:pPr>
              <w:spacing w:before="100" w:beforeAutospacing="1" w:after="100" w:afterAutospacing="1" w:line="360" w:lineRule="auto"/>
              <w:rPr>
                <w:rFonts w:hint="default" w:ascii="宋体" w:hAnsi="宋体" w:eastAsia="宋体"/>
                <w:b/>
                <w:color w:val="000000" w:themeColor="text1"/>
                <w:highlight w:val="none"/>
                <w:lang w:val="en-US" w:eastAsia="zh-CN"/>
                <w14:textFill>
                  <w14:solidFill>
                    <w14:schemeClr w14:val="tx1"/>
                  </w14:solidFill>
                </w14:textFill>
              </w:rPr>
            </w:pPr>
            <w:r>
              <w:rPr>
                <w:rFonts w:hint="eastAsia" w:ascii="宋体" w:hAnsi="宋体" w:eastAsia="宋体" w:cs="宋体"/>
                <w:b/>
                <w:color w:val="auto"/>
                <w:kern w:val="2"/>
                <w:sz w:val="24"/>
                <w:highlight w:val="none"/>
                <w:u w:val="single"/>
                <w:lang w:val="en-US"/>
              </w:rPr>
              <w:t>大小写均可</w:t>
            </w:r>
            <w:r>
              <w:rPr>
                <w:rFonts w:hint="eastAsia" w:ascii="宋体" w:hAnsi="宋体" w:eastAsia="宋体" w:cs="宋体"/>
                <w:b/>
                <w:color w:val="auto"/>
                <w:kern w:val="2"/>
                <w:sz w:val="24"/>
                <w:highlight w:val="none"/>
                <w:u w:val="single"/>
                <w:lang w:val="en-US" w:eastAsia="zh-CN"/>
              </w:rPr>
              <w:t>，建议填写小写</w:t>
            </w:r>
          </w:p>
        </w:tc>
      </w:tr>
      <w:tr w14:paraId="20EB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14:paraId="20985167">
            <w:pPr>
              <w:spacing w:line="360" w:lineRule="auto"/>
              <w:jc w:val="center"/>
              <w:rPr>
                <w:rFonts w:hint="eastAsia" w:ascii="宋体" w:hAnsi="宋体"/>
                <w:b/>
                <w:color w:val="000000" w:themeColor="text1"/>
                <w:szCs w:val="24"/>
                <w:highlight w:val="none"/>
                <w14:textFill>
                  <w14:solidFill>
                    <w14:schemeClr w14:val="tx1"/>
                  </w14:solidFill>
                </w14:textFill>
              </w:rPr>
            </w:pPr>
            <w:r>
              <w:rPr>
                <w:rFonts w:hint="eastAsia" w:ascii="宋体" w:hAnsi="宋体"/>
                <w:b/>
                <w:color w:val="000000" w:themeColor="text1"/>
                <w:szCs w:val="24"/>
                <w:highlight w:val="none"/>
                <w14:textFill>
                  <w14:solidFill>
                    <w14:schemeClr w14:val="tx1"/>
                  </w14:solidFill>
                </w14:textFill>
              </w:rPr>
              <w:t>备注</w:t>
            </w:r>
          </w:p>
        </w:tc>
        <w:tc>
          <w:tcPr>
            <w:tcW w:w="6667" w:type="dxa"/>
            <w:tcBorders>
              <w:top w:val="nil"/>
            </w:tcBorders>
            <w:vAlign w:val="center"/>
          </w:tcPr>
          <w:p w14:paraId="0E77B1C4">
            <w:pPr>
              <w:spacing w:line="360" w:lineRule="auto"/>
              <w:jc w:val="left"/>
              <w:rPr>
                <w:rFonts w:hint="eastAsia" w:ascii="宋体" w:hAnsi="宋体"/>
                <w:color w:val="000000" w:themeColor="text1"/>
                <w:szCs w:val="24"/>
                <w:highlight w:val="none"/>
                <w14:textFill>
                  <w14:solidFill>
                    <w14:schemeClr w14:val="tx1"/>
                  </w14:solidFill>
                </w14:textFill>
              </w:rPr>
            </w:pPr>
          </w:p>
        </w:tc>
      </w:tr>
    </w:tbl>
    <w:p w14:paraId="001E8F42">
      <w:pPr>
        <w:spacing w:before="100" w:beforeAutospacing="1" w:after="100" w:afterAutospacing="1" w:line="360" w:lineRule="auto"/>
        <w:rPr>
          <w:rFonts w:hint="eastAsia" w:ascii="宋体" w:hAnsi="宋体" w:eastAsia="宋体"/>
          <w:b/>
          <w:color w:val="000000" w:themeColor="text1"/>
          <w:highlight w:val="none"/>
          <w:lang w:eastAsia="zh-CN"/>
          <w14:textFill>
            <w14:solidFill>
              <w14:schemeClr w14:val="tx1"/>
            </w14:solidFill>
          </w14:textFill>
        </w:rPr>
      </w:pPr>
      <w:r>
        <w:rPr>
          <w:rFonts w:hint="eastAsia" w:ascii="宋体" w:hAnsi="宋体"/>
          <w:b/>
          <w:color w:val="000000" w:themeColor="text1"/>
          <w:highlight w:val="none"/>
          <w14:textFill>
            <w14:solidFill>
              <w14:schemeClr w14:val="tx1"/>
            </w14:solidFill>
          </w14:textFill>
        </w:rPr>
        <w:t>投标人公章：</w:t>
      </w:r>
    </w:p>
    <w:p w14:paraId="2F6A8EB9">
      <w:pPr>
        <w:jc w:val="center"/>
        <w:rPr>
          <w:rFonts w:hint="eastAsia" w:ascii="宋体" w:hAnsi="宋体"/>
          <w:color w:val="000000" w:themeColor="text1"/>
          <w:szCs w:val="24"/>
          <w:highlight w:val="none"/>
          <w14:textFill>
            <w14:solidFill>
              <w14:schemeClr w14:val="tx1"/>
            </w14:solidFill>
          </w14:textFill>
        </w:rPr>
      </w:pPr>
    </w:p>
    <w:p w14:paraId="25F22E72">
      <w:pPr>
        <w:jc w:val="center"/>
        <w:rPr>
          <w:rFonts w:hint="eastAsia" w:ascii="宋体" w:hAnsi="宋体"/>
          <w:color w:val="000000" w:themeColor="text1"/>
          <w:szCs w:val="24"/>
          <w:highlight w:val="none"/>
          <w14:textFill>
            <w14:solidFill>
              <w14:schemeClr w14:val="tx1"/>
            </w14:solidFill>
          </w14:textFill>
        </w:rPr>
      </w:pPr>
    </w:p>
    <w:p w14:paraId="56EC881B">
      <w:pPr>
        <w:tabs>
          <w:tab w:val="left" w:pos="4620"/>
        </w:tabs>
        <w:spacing w:line="360" w:lineRule="auto"/>
        <w:ind w:firstLine="4961" w:firstLineChars="1772"/>
        <w:rPr>
          <w:rFonts w:hint="eastAsia" w:ascii="宋体" w:hAnsi="宋体"/>
          <w:color w:val="000000" w:themeColor="text1"/>
          <w:szCs w:val="24"/>
          <w:highlight w:val="none"/>
          <w14:textFill>
            <w14:solidFill>
              <w14:schemeClr w14:val="tx1"/>
            </w14:solidFill>
          </w14:textFill>
        </w:rPr>
      </w:pPr>
      <w:bookmarkStart w:id="52" w:name="_Toc463250311"/>
      <w:bookmarkStart w:id="53" w:name="_Toc300210382"/>
      <w:bookmarkStart w:id="54" w:name="_Toc451019075"/>
      <w:r>
        <w:rPr>
          <w:rFonts w:hAnsi="宋体"/>
          <w:color w:val="000000" w:themeColor="text1"/>
          <w:sz w:val="28"/>
          <w:highlight w:val="none"/>
          <w14:textFill>
            <w14:solidFill>
              <w14:schemeClr w14:val="tx1"/>
            </w14:solidFill>
          </w14:textFill>
        </w:rPr>
        <w:br w:type="page"/>
      </w:r>
      <w:bookmarkEnd w:id="52"/>
      <w:bookmarkEnd w:id="53"/>
      <w:bookmarkEnd w:id="54"/>
    </w:p>
    <w:p w14:paraId="4B2E5298">
      <w:pPr>
        <w:pStyle w:val="3"/>
        <w:spacing w:before="120" w:after="120" w:line="360" w:lineRule="auto"/>
        <w:rPr>
          <w:rFonts w:hint="eastAsia" w:hAnsi="宋体"/>
          <w:color w:val="000000" w:themeColor="text1"/>
          <w:sz w:val="28"/>
          <w:highlight w:val="none"/>
          <w14:textFill>
            <w14:solidFill>
              <w14:schemeClr w14:val="tx1"/>
            </w14:solidFill>
          </w14:textFill>
        </w:rPr>
      </w:pPr>
      <w:bookmarkStart w:id="55" w:name="_Hlt509716873"/>
      <w:bookmarkEnd w:id="55"/>
      <w:bookmarkStart w:id="56" w:name="_Hlt519045798"/>
      <w:bookmarkEnd w:id="56"/>
      <w:bookmarkStart w:id="57" w:name="_Hlt533408409"/>
      <w:bookmarkEnd w:id="57"/>
      <w:bookmarkStart w:id="58" w:name="_Hlt533408916"/>
      <w:bookmarkEnd w:id="58"/>
      <w:bookmarkStart w:id="59" w:name="_Hlt533409360"/>
      <w:bookmarkEnd w:id="59"/>
      <w:bookmarkStart w:id="60" w:name="_Toc516969097"/>
      <w:bookmarkStart w:id="61" w:name="_Toc14955"/>
      <w:bookmarkStart w:id="62" w:name="_Toc30570"/>
      <w:r>
        <w:rPr>
          <w:rFonts w:hint="eastAsia" w:hAnsi="宋体"/>
          <w:color w:val="000000" w:themeColor="text1"/>
          <w:sz w:val="28"/>
          <w:highlight w:val="none"/>
          <w14:textFill>
            <w14:solidFill>
              <w14:schemeClr w14:val="tx1"/>
            </w14:solidFill>
          </w14:textFill>
        </w:rPr>
        <w:t>二．投标人情况综合简介</w:t>
      </w:r>
      <w:bookmarkEnd w:id="60"/>
      <w:bookmarkEnd w:id="61"/>
      <w:bookmarkEnd w:id="62"/>
    </w:p>
    <w:p w14:paraId="4B236271">
      <w:pPr>
        <w:spacing w:line="500" w:lineRule="exact"/>
        <w:jc w:val="center"/>
        <w:rPr>
          <w:rFonts w:hint="eastAsia" w:ascii="宋体" w:hAnsi="宋体"/>
          <w:color w:val="000000" w:themeColor="text1"/>
          <w:szCs w:val="24"/>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w:t>
      </w:r>
      <w:r>
        <w:rPr>
          <w:rFonts w:hint="eastAsia" w:ascii="宋体" w:hAnsi="宋体"/>
          <w:bCs/>
          <w:color w:val="000000" w:themeColor="text1"/>
          <w:szCs w:val="24"/>
          <w:highlight w:val="none"/>
          <w14:textFill>
            <w14:solidFill>
              <w14:schemeClr w14:val="tx1"/>
            </w14:solidFill>
          </w14:textFill>
        </w:rPr>
        <w:t>投标人可自行制作格式</w:t>
      </w:r>
      <w:r>
        <w:rPr>
          <w:rFonts w:hint="eastAsia" w:ascii="宋体" w:hAnsi="宋体"/>
          <w:b/>
          <w:bCs/>
          <w:color w:val="000000" w:themeColor="text1"/>
          <w:szCs w:val="24"/>
          <w:highlight w:val="none"/>
          <w14:textFill>
            <w14:solidFill>
              <w14:schemeClr w14:val="tx1"/>
            </w14:solidFill>
          </w14:textFill>
        </w:rPr>
        <w:t>）</w:t>
      </w:r>
    </w:p>
    <w:p w14:paraId="27845EFF">
      <w:pPr>
        <w:spacing w:line="500" w:lineRule="exact"/>
        <w:jc w:val="center"/>
        <w:rPr>
          <w:rFonts w:hint="eastAsia" w:ascii="宋体" w:hAnsi="宋体"/>
          <w:color w:val="000000" w:themeColor="text1"/>
          <w:szCs w:val="24"/>
          <w:highlight w:val="none"/>
          <w14:textFill>
            <w14:solidFill>
              <w14:schemeClr w14:val="tx1"/>
            </w14:solidFill>
          </w14:textFill>
        </w:rPr>
      </w:pPr>
    </w:p>
    <w:p w14:paraId="1C3D1D3A">
      <w:pPr>
        <w:spacing w:line="500" w:lineRule="exact"/>
        <w:jc w:val="center"/>
        <w:rPr>
          <w:rFonts w:hint="eastAsia" w:ascii="宋体" w:hAnsi="宋体"/>
          <w:color w:val="000000" w:themeColor="text1"/>
          <w:szCs w:val="24"/>
          <w:highlight w:val="none"/>
          <w14:textFill>
            <w14:solidFill>
              <w14:schemeClr w14:val="tx1"/>
            </w14:solidFill>
          </w14:textFill>
        </w:rPr>
      </w:pPr>
    </w:p>
    <w:p w14:paraId="6F970393">
      <w:pPr>
        <w:spacing w:line="500" w:lineRule="exact"/>
        <w:jc w:val="center"/>
        <w:rPr>
          <w:rFonts w:hint="eastAsia" w:ascii="宋体" w:hAnsi="宋体"/>
          <w:color w:val="000000" w:themeColor="text1"/>
          <w:szCs w:val="24"/>
          <w:highlight w:val="none"/>
          <w14:textFill>
            <w14:solidFill>
              <w14:schemeClr w14:val="tx1"/>
            </w14:solidFill>
          </w14:textFill>
        </w:rPr>
      </w:pPr>
    </w:p>
    <w:p w14:paraId="0F70FF83">
      <w:pPr>
        <w:spacing w:line="500" w:lineRule="exact"/>
        <w:jc w:val="center"/>
        <w:rPr>
          <w:rFonts w:hint="eastAsia" w:ascii="宋体" w:hAnsi="宋体"/>
          <w:color w:val="000000" w:themeColor="text1"/>
          <w:szCs w:val="24"/>
          <w:highlight w:val="none"/>
          <w14:textFill>
            <w14:solidFill>
              <w14:schemeClr w14:val="tx1"/>
            </w14:solidFill>
          </w14:textFill>
        </w:rPr>
      </w:pPr>
    </w:p>
    <w:p w14:paraId="2D6E0B64">
      <w:pPr>
        <w:pStyle w:val="3"/>
        <w:spacing w:before="120" w:after="120" w:line="360" w:lineRule="auto"/>
        <w:rPr>
          <w:rFonts w:hint="eastAsia" w:hAnsi="宋体"/>
          <w:color w:val="000000" w:themeColor="text1"/>
          <w:sz w:val="28"/>
          <w:highlight w:val="none"/>
          <w14:textFill>
            <w14:solidFill>
              <w14:schemeClr w14:val="tx1"/>
            </w14:solidFill>
          </w14:textFill>
        </w:rPr>
        <w:sectPr>
          <w:headerReference r:id="rId10" w:type="default"/>
          <w:footerReference r:id="rId11" w:type="default"/>
          <w:pgSz w:w="11907" w:h="16840"/>
          <w:pgMar w:top="1440" w:right="1247" w:bottom="1440" w:left="1247" w:header="851" w:footer="992" w:gutter="0"/>
          <w:pgNumType w:fmt="decimal"/>
          <w:cols w:space="720" w:num="1"/>
          <w:docGrid w:linePitch="303" w:charSpace="0"/>
        </w:sectPr>
      </w:pPr>
      <w:bookmarkStart w:id="63" w:name="_Toc516969098"/>
      <w:bookmarkStart w:id="64" w:name="_Toc13870"/>
    </w:p>
    <w:bookmarkEnd w:id="39"/>
    <w:bookmarkEnd w:id="40"/>
    <w:bookmarkEnd w:id="41"/>
    <w:bookmarkEnd w:id="49"/>
    <w:bookmarkEnd w:id="63"/>
    <w:bookmarkEnd w:id="64"/>
    <w:p w14:paraId="41C0E856">
      <w:pPr>
        <w:pStyle w:val="3"/>
        <w:spacing w:before="120" w:after="120" w:line="360" w:lineRule="auto"/>
        <w:rPr>
          <w:rFonts w:hint="eastAsia" w:ascii="宋体" w:hAnsi="宋体"/>
          <w:color w:val="auto"/>
          <w:sz w:val="24"/>
          <w:szCs w:val="24"/>
          <w:highlight w:val="none"/>
        </w:rPr>
      </w:pPr>
      <w:bookmarkStart w:id="65" w:name="_Toc21878"/>
      <w:bookmarkStart w:id="66" w:name="_Toc22543"/>
      <w:bookmarkStart w:id="67" w:name="_Toc12725"/>
      <w:bookmarkStart w:id="68" w:name="_Toc28267"/>
      <w:r>
        <w:rPr>
          <w:rFonts w:hint="eastAsia" w:hAnsi="宋体"/>
          <w:color w:val="auto"/>
          <w:sz w:val="28"/>
          <w:highlight w:val="none"/>
          <w:lang w:val="en-US" w:eastAsia="zh-CN"/>
        </w:rPr>
        <w:t>三</w:t>
      </w:r>
      <w:r>
        <w:rPr>
          <w:rFonts w:hint="eastAsia" w:hAnsi="宋体"/>
          <w:color w:val="auto"/>
          <w:sz w:val="28"/>
          <w:highlight w:val="none"/>
        </w:rPr>
        <w:t>．投标函</w:t>
      </w:r>
      <w:bookmarkEnd w:id="65"/>
      <w:bookmarkEnd w:id="66"/>
      <w:bookmarkEnd w:id="67"/>
      <w:bookmarkEnd w:id="68"/>
    </w:p>
    <w:p w14:paraId="01057FE7">
      <w:pPr>
        <w:pStyle w:val="10"/>
        <w:spacing w:line="460" w:lineRule="exact"/>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lang w:eastAsia="zh-CN"/>
        </w:rPr>
        <w:t>肥西县公共资源交易有限责任公司</w:t>
      </w:r>
    </w:p>
    <w:p w14:paraId="31B54F33">
      <w:pPr>
        <w:autoSpaceDE w:val="0"/>
        <w:autoSpaceDN w:val="0"/>
        <w:adjustRightInd w:val="0"/>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根据贵方“</w:t>
      </w:r>
      <w:r>
        <w:rPr>
          <w:rFonts w:hint="eastAsia" w:ascii="宋体" w:hAnsi="宋体" w:eastAsia="宋体" w:cs="宋体"/>
          <w:sz w:val="24"/>
          <w:szCs w:val="24"/>
          <w:lang w:val="en-US" w:eastAsia="zh-CN"/>
        </w:rPr>
        <w:t>肥西县直属机关幼儿园（含分园）食堂大宗食材采购配送</w:t>
      </w:r>
      <w:r>
        <w:rPr>
          <w:rFonts w:hint="eastAsia" w:ascii="宋体" w:hAnsi="宋体"/>
          <w:color w:val="auto"/>
          <w:sz w:val="24"/>
          <w:szCs w:val="24"/>
          <w:highlight w:val="none"/>
        </w:rPr>
        <w:t>”的</w:t>
      </w:r>
      <w:r>
        <w:rPr>
          <w:rFonts w:hint="eastAsia" w:ascii="宋体" w:hAnsi="宋体"/>
          <w:color w:val="auto"/>
          <w:sz w:val="24"/>
          <w:szCs w:val="24"/>
          <w:highlight w:val="none"/>
          <w:lang w:val="en-US" w:eastAsia="zh-CN"/>
        </w:rPr>
        <w:t>2026GSFZ0002</w:t>
      </w:r>
      <w:r>
        <w:rPr>
          <w:rFonts w:hint="eastAsia" w:ascii="宋体" w:hAnsi="宋体"/>
          <w:color w:val="auto"/>
          <w:sz w:val="24"/>
          <w:szCs w:val="24"/>
          <w:highlight w:val="none"/>
        </w:rPr>
        <w:t>号招标邀请书或招标公告，</w:t>
      </w:r>
      <w:r>
        <w:rPr>
          <w:rFonts w:hint="eastAsia" w:ascii="宋体" w:hAnsi="宋体"/>
          <w:color w:val="auto"/>
          <w:sz w:val="24"/>
          <w:highlight w:val="none"/>
        </w:rPr>
        <w:t>我方</w:t>
      </w:r>
      <w:r>
        <w:rPr>
          <w:rFonts w:hint="eastAsia" w:ascii="宋体" w:hAnsi="宋体"/>
          <w:color w:val="auto"/>
          <w:sz w:val="24"/>
          <w:szCs w:val="24"/>
          <w:highlight w:val="none"/>
        </w:rPr>
        <w:t>提交规定形式的投标文件。</w:t>
      </w:r>
    </w:p>
    <w:p w14:paraId="28223007">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据此函，签字人兹宣布同意如下：</w:t>
      </w:r>
    </w:p>
    <w:p w14:paraId="6C8C3F4A">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（1）我方按招标文件规定提供服务的最终投标报价详见开标一览表，我方完全</w:t>
      </w:r>
      <w:r>
        <w:rPr>
          <w:rFonts w:hint="eastAsia" w:ascii="宋体" w:hAnsi="宋体"/>
          <w:color w:val="auto"/>
          <w:sz w:val="24"/>
          <w:szCs w:val="24"/>
          <w:highlight w:val="none"/>
          <w:lang w:eastAsia="zh-CN"/>
        </w:rPr>
        <w:t>投标</w:t>
      </w:r>
      <w:r>
        <w:rPr>
          <w:rFonts w:hint="eastAsia" w:ascii="宋体" w:hAnsi="宋体"/>
          <w:color w:val="auto"/>
          <w:sz w:val="24"/>
          <w:szCs w:val="24"/>
          <w:highlight w:val="none"/>
        </w:rPr>
        <w:t>招标文件规定的服务期限及付款方式。如我公司中标，我公司承诺愿意按招标文件规定交纳履约保证金和招标代理服务费。</w:t>
      </w:r>
    </w:p>
    <w:p w14:paraId="127C5D28">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（2）我方根据招标文件的规定，严格履行合同的责任和义务</w:t>
      </w:r>
      <w:r>
        <w:rPr>
          <w:rFonts w:ascii="宋体" w:hAnsi="宋体"/>
          <w:color w:val="auto"/>
          <w:sz w:val="24"/>
          <w:szCs w:val="24"/>
          <w:highlight w:val="none"/>
        </w:rPr>
        <w:t>,</w:t>
      </w:r>
      <w:r>
        <w:rPr>
          <w:rFonts w:hint="eastAsia" w:ascii="宋体" w:hAnsi="宋体"/>
          <w:color w:val="auto"/>
          <w:sz w:val="24"/>
          <w:szCs w:val="24"/>
          <w:highlight w:val="none"/>
        </w:rPr>
        <w:t>并保证于招标人要求的日期内完成服务，并通过招标人验收。</w:t>
      </w:r>
    </w:p>
    <w:p w14:paraId="0E956829">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3）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14:paraId="79FE93A2">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（4）我方同意从招标文件规定的开标日期起遵循本投标文件，并在招标文件规定的投标有效期之前均具有约束力。</w:t>
      </w:r>
    </w:p>
    <w:p w14:paraId="788671F9">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（5）我方承诺如投标保证金未在招标文件规定时间前到达贵方指定的账户，我方投标无效，由此产生的一切后果由我方承担；如果在开标后规定的投标有效期内撤回投标，我方的投标保证金可被贵方没收。</w:t>
      </w:r>
    </w:p>
    <w:p w14:paraId="7BA7AA05">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（6）我方声明投标文件所提供的一切资料均真实无误、及时、有效。企业运营正常（</w:t>
      </w:r>
      <w:r>
        <w:rPr>
          <w:rFonts w:ascii="宋体" w:hAnsi="宋体"/>
          <w:color w:val="auto"/>
          <w:sz w:val="24"/>
          <w:szCs w:val="24"/>
          <w:highlight w:val="none"/>
        </w:rPr>
        <w:t>注册登记信息、年报信息</w:t>
      </w:r>
      <w:r>
        <w:rPr>
          <w:rFonts w:hint="eastAsia" w:ascii="宋体" w:hAnsi="宋体"/>
          <w:color w:val="auto"/>
          <w:sz w:val="24"/>
          <w:szCs w:val="24"/>
          <w:highlight w:val="none"/>
        </w:rPr>
        <w:t>可查）。由于我方提供资料不实而造成的责任和后果由我方承担。我方同意按照贵方提出的要求，提供与投标有关的任何证据、数据或资料。</w:t>
      </w:r>
    </w:p>
    <w:p w14:paraId="7B99AC21">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（7）我方承诺若中标，按招标文件要求提供本地化服务。</w:t>
      </w:r>
    </w:p>
    <w:p w14:paraId="0CBACA5F">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（8）我方完全理解贵方不一定接受最高报价的投标。</w:t>
      </w:r>
    </w:p>
    <w:p w14:paraId="5ADE72C0">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（9）我方同意招标文件规定的付款方式。</w:t>
      </w:r>
    </w:p>
    <w:p w14:paraId="4A18A380">
      <w:pPr>
        <w:spacing w:line="460" w:lineRule="exact"/>
        <w:ind w:firstLine="630"/>
        <w:rPr>
          <w:rFonts w:hint="eastAsia" w:ascii="宋体" w:hAnsi="宋体"/>
          <w:b/>
          <w:color w:val="auto"/>
          <w:sz w:val="24"/>
          <w:szCs w:val="24"/>
          <w:highlight w:val="none"/>
        </w:rPr>
      </w:pPr>
      <w:r>
        <w:rPr>
          <w:rFonts w:hint="eastAsia" w:ascii="宋体" w:hAnsi="宋体"/>
          <w:b/>
          <w:color w:val="auto"/>
          <w:sz w:val="24"/>
          <w:szCs w:val="24"/>
          <w:highlight w:val="none"/>
        </w:rPr>
        <w:t>（10）我方承诺：自愿接受</w:t>
      </w:r>
      <w:r>
        <w:rPr>
          <w:rFonts w:hint="eastAsia" w:ascii="宋体" w:hAnsi="宋体"/>
          <w:b/>
          <w:color w:val="auto"/>
          <w:sz w:val="24"/>
          <w:szCs w:val="24"/>
          <w:highlight w:val="none"/>
          <w:lang w:val="en-US" w:eastAsia="zh-CN"/>
        </w:rPr>
        <w:t>菜品</w:t>
      </w:r>
      <w:r>
        <w:rPr>
          <w:rFonts w:hint="eastAsia" w:ascii="宋体" w:hAnsi="宋体"/>
          <w:b/>
          <w:color w:val="auto"/>
          <w:sz w:val="24"/>
          <w:szCs w:val="24"/>
          <w:highlight w:val="none"/>
        </w:rPr>
        <w:t>、价格等管理和处罚；自愿承担自身原因导致的经济及法律责任；自愿承担经营风险；自愿购买食品安全责任险及公众责任险。</w:t>
      </w:r>
    </w:p>
    <w:p w14:paraId="6ADBBC55">
      <w:pPr>
        <w:spacing w:line="460" w:lineRule="exact"/>
        <w:ind w:firstLine="630"/>
        <w:rPr>
          <w:rFonts w:hint="eastAsia" w:ascii="宋体" w:hAnsi="宋体"/>
          <w:color w:val="auto"/>
          <w:sz w:val="24"/>
          <w:szCs w:val="24"/>
          <w:highlight w:val="none"/>
          <w:u w:val="single"/>
        </w:rPr>
      </w:pPr>
      <w:r>
        <w:rPr>
          <w:rFonts w:hint="eastAsia" w:ascii="宋体" w:hAnsi="宋体"/>
          <w:color w:val="auto"/>
          <w:sz w:val="24"/>
          <w:szCs w:val="24"/>
          <w:highlight w:val="none"/>
        </w:rPr>
        <w:t>（11）与本投标有关的通讯地址：</w:t>
      </w:r>
      <w:r>
        <w:rPr>
          <w:rFonts w:hint="eastAsia" w:ascii="宋体" w:hAnsi="宋体"/>
          <w:color w:val="auto"/>
          <w:sz w:val="24"/>
          <w:szCs w:val="24"/>
          <w:highlight w:val="none"/>
          <w:u w:val="single"/>
        </w:rPr>
        <w:t xml:space="preserve">                                  </w:t>
      </w:r>
    </w:p>
    <w:p w14:paraId="33EDD287">
      <w:pPr>
        <w:spacing w:line="460" w:lineRule="exact"/>
        <w:ind w:firstLine="630"/>
        <w:rPr>
          <w:rFonts w:hint="eastAsia" w:ascii="宋体" w:hAnsi="宋体"/>
          <w:color w:val="auto"/>
          <w:sz w:val="24"/>
          <w:szCs w:val="24"/>
          <w:highlight w:val="none"/>
          <w:u w:val="single"/>
        </w:rPr>
      </w:pPr>
      <w:r>
        <w:rPr>
          <w:rFonts w:hint="eastAsia" w:ascii="宋体" w:hAnsi="宋体"/>
          <w:color w:val="auto"/>
          <w:sz w:val="24"/>
          <w:szCs w:val="24"/>
          <w:highlight w:val="none"/>
        </w:rPr>
        <w:t>电    话：</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传    真：</w:t>
      </w:r>
      <w:r>
        <w:rPr>
          <w:rFonts w:hint="eastAsia" w:ascii="宋体" w:hAnsi="宋体"/>
          <w:color w:val="auto"/>
          <w:sz w:val="24"/>
          <w:szCs w:val="24"/>
          <w:highlight w:val="none"/>
          <w:u w:val="single"/>
        </w:rPr>
        <w:t xml:space="preserve">                 </w:t>
      </w:r>
    </w:p>
    <w:p w14:paraId="1FBEC5E1">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投标人基本账户开户名：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账号：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开户行：</w:t>
      </w:r>
      <w:r>
        <w:rPr>
          <w:rFonts w:hint="eastAsia" w:ascii="宋体" w:hAnsi="宋体"/>
          <w:color w:val="auto"/>
          <w:sz w:val="24"/>
          <w:szCs w:val="24"/>
          <w:highlight w:val="none"/>
          <w:u w:val="single"/>
        </w:rPr>
        <w:t xml:space="preserve">            </w:t>
      </w:r>
    </w:p>
    <w:p w14:paraId="29AF449B">
      <w:pPr>
        <w:spacing w:line="460" w:lineRule="exact"/>
        <w:ind w:firstLine="630"/>
        <w:rPr>
          <w:rFonts w:hint="eastAsia" w:ascii="宋体" w:hAnsi="宋体"/>
          <w:color w:val="auto"/>
          <w:sz w:val="24"/>
          <w:szCs w:val="24"/>
          <w:highlight w:val="none"/>
        </w:rPr>
      </w:pPr>
      <w:r>
        <w:rPr>
          <w:rFonts w:hint="eastAsia" w:ascii="宋体" w:hAnsi="宋体"/>
          <w:color w:val="auto"/>
          <w:sz w:val="24"/>
          <w:szCs w:val="24"/>
          <w:highlight w:val="none"/>
        </w:rPr>
        <w:t>投标人公章：</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    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7AC26AF5">
      <w:pPr>
        <w:pStyle w:val="16"/>
        <w:rPr>
          <w:rFonts w:hint="eastAsia"/>
          <w:color w:val="auto"/>
          <w:highlight w:val="none"/>
        </w:rPr>
      </w:pPr>
    </w:p>
    <w:p w14:paraId="6E839A77">
      <w:pPr>
        <w:pStyle w:val="15"/>
        <w:ind w:right="-21" w:firstLine="540"/>
        <w:rPr>
          <w:rFonts w:hint="eastAsia"/>
          <w:color w:val="auto"/>
          <w:highlight w:val="none"/>
        </w:rPr>
      </w:pPr>
    </w:p>
    <w:p w14:paraId="15BAAD41">
      <w:pPr>
        <w:rPr>
          <w:rFonts w:hint="eastAsia"/>
          <w:color w:val="auto"/>
          <w:highlight w:val="none"/>
        </w:rPr>
      </w:pPr>
    </w:p>
    <w:p w14:paraId="528EFECD">
      <w:pPr>
        <w:pStyle w:val="16"/>
        <w:rPr>
          <w:rFonts w:hint="eastAsia"/>
          <w:color w:val="auto"/>
          <w:highlight w:val="none"/>
        </w:rPr>
      </w:pPr>
    </w:p>
    <w:p w14:paraId="1106DE99">
      <w:pPr>
        <w:pStyle w:val="15"/>
        <w:ind w:right="-21" w:firstLine="540"/>
        <w:rPr>
          <w:rFonts w:hint="eastAsia"/>
          <w:color w:val="auto"/>
          <w:highlight w:val="none"/>
        </w:rPr>
      </w:pPr>
    </w:p>
    <w:p w14:paraId="4123DC05">
      <w:pPr>
        <w:rPr>
          <w:rFonts w:hint="eastAsia"/>
          <w:color w:val="auto"/>
          <w:highlight w:val="none"/>
        </w:rPr>
      </w:pPr>
    </w:p>
    <w:p w14:paraId="487A7A81">
      <w:pPr>
        <w:pStyle w:val="16"/>
        <w:rPr>
          <w:rFonts w:hint="eastAsia"/>
          <w:color w:val="auto"/>
          <w:highlight w:val="none"/>
        </w:rPr>
      </w:pPr>
    </w:p>
    <w:p w14:paraId="7A9438C6">
      <w:pPr>
        <w:pStyle w:val="15"/>
        <w:ind w:right="-21" w:firstLine="540"/>
        <w:rPr>
          <w:rFonts w:hint="eastAsia"/>
          <w:color w:val="auto"/>
          <w:highlight w:val="none"/>
        </w:rPr>
      </w:pPr>
    </w:p>
    <w:p w14:paraId="367E5F72">
      <w:pPr>
        <w:rPr>
          <w:rFonts w:hint="eastAsia"/>
          <w:color w:val="auto"/>
          <w:highlight w:val="none"/>
        </w:rPr>
      </w:pPr>
    </w:p>
    <w:p w14:paraId="089DAA78">
      <w:pPr>
        <w:pStyle w:val="16"/>
        <w:rPr>
          <w:rFonts w:hint="eastAsia"/>
          <w:color w:val="auto"/>
          <w:highlight w:val="none"/>
        </w:rPr>
      </w:pPr>
    </w:p>
    <w:p w14:paraId="4A14B2FE">
      <w:pPr>
        <w:pStyle w:val="15"/>
        <w:ind w:right="-21" w:firstLine="540"/>
        <w:rPr>
          <w:rFonts w:hint="eastAsia"/>
          <w:color w:val="auto"/>
          <w:highlight w:val="none"/>
        </w:rPr>
      </w:pPr>
    </w:p>
    <w:p w14:paraId="584B18C8">
      <w:pPr>
        <w:rPr>
          <w:rFonts w:hint="eastAsia"/>
          <w:color w:val="auto"/>
          <w:highlight w:val="none"/>
        </w:rPr>
      </w:pPr>
    </w:p>
    <w:p w14:paraId="3A00AA8E">
      <w:pPr>
        <w:pStyle w:val="16"/>
        <w:rPr>
          <w:rFonts w:hint="eastAsia"/>
          <w:color w:val="auto"/>
          <w:highlight w:val="none"/>
        </w:rPr>
      </w:pPr>
    </w:p>
    <w:p w14:paraId="70C22903">
      <w:pPr>
        <w:pStyle w:val="15"/>
        <w:ind w:right="-21" w:firstLine="540"/>
        <w:rPr>
          <w:rFonts w:hint="eastAsia"/>
          <w:color w:val="auto"/>
          <w:highlight w:val="none"/>
        </w:rPr>
      </w:pPr>
    </w:p>
    <w:p w14:paraId="20D39854">
      <w:pPr>
        <w:rPr>
          <w:rFonts w:hint="eastAsia"/>
          <w:color w:val="auto"/>
          <w:highlight w:val="none"/>
        </w:rPr>
      </w:pPr>
    </w:p>
    <w:p w14:paraId="25C81CE9">
      <w:pPr>
        <w:pStyle w:val="16"/>
        <w:rPr>
          <w:rFonts w:hint="eastAsia"/>
          <w:color w:val="auto"/>
          <w:highlight w:val="none"/>
        </w:rPr>
      </w:pPr>
    </w:p>
    <w:p w14:paraId="487927B6">
      <w:pPr>
        <w:pStyle w:val="15"/>
        <w:ind w:right="-21" w:firstLine="540"/>
        <w:rPr>
          <w:rFonts w:hint="eastAsia"/>
          <w:color w:val="auto"/>
          <w:highlight w:val="none"/>
        </w:rPr>
      </w:pPr>
    </w:p>
    <w:p w14:paraId="2EB21CF5">
      <w:pPr>
        <w:rPr>
          <w:rFonts w:hint="eastAsia"/>
          <w:color w:val="auto"/>
          <w:highlight w:val="none"/>
        </w:rPr>
      </w:pPr>
    </w:p>
    <w:p w14:paraId="3278857E">
      <w:pPr>
        <w:pStyle w:val="16"/>
        <w:rPr>
          <w:rFonts w:hint="eastAsia"/>
          <w:color w:val="auto"/>
          <w:highlight w:val="none"/>
        </w:rPr>
      </w:pPr>
    </w:p>
    <w:p w14:paraId="51C3DA15">
      <w:pPr>
        <w:pStyle w:val="15"/>
        <w:ind w:right="-21" w:firstLine="540"/>
        <w:rPr>
          <w:rFonts w:hint="eastAsia"/>
          <w:color w:val="auto"/>
          <w:highlight w:val="none"/>
        </w:rPr>
      </w:pPr>
    </w:p>
    <w:p w14:paraId="60C34B4B">
      <w:pPr>
        <w:rPr>
          <w:rFonts w:hint="eastAsia"/>
          <w:color w:val="auto"/>
          <w:highlight w:val="none"/>
        </w:rPr>
      </w:pPr>
    </w:p>
    <w:p w14:paraId="4E331100">
      <w:pPr>
        <w:pStyle w:val="16"/>
        <w:rPr>
          <w:rFonts w:hint="eastAsia"/>
          <w:color w:val="auto"/>
          <w:highlight w:val="none"/>
        </w:rPr>
      </w:pPr>
    </w:p>
    <w:p w14:paraId="4062B8AB">
      <w:pPr>
        <w:pStyle w:val="15"/>
        <w:ind w:right="-21" w:firstLine="540"/>
        <w:rPr>
          <w:rFonts w:hint="eastAsia"/>
          <w:color w:val="auto"/>
          <w:highlight w:val="none"/>
        </w:rPr>
      </w:pPr>
    </w:p>
    <w:p w14:paraId="7A37E459">
      <w:pPr>
        <w:rPr>
          <w:rFonts w:hint="eastAsia"/>
          <w:color w:val="auto"/>
          <w:highlight w:val="none"/>
        </w:rPr>
      </w:pPr>
    </w:p>
    <w:p w14:paraId="76E5857E">
      <w:pPr>
        <w:pStyle w:val="16"/>
        <w:rPr>
          <w:rFonts w:hint="eastAsia"/>
          <w:color w:val="auto"/>
          <w:highlight w:val="none"/>
        </w:rPr>
      </w:pPr>
    </w:p>
    <w:p w14:paraId="4C4AB81F">
      <w:pPr>
        <w:pStyle w:val="15"/>
        <w:ind w:right="-21" w:firstLine="540"/>
        <w:rPr>
          <w:rFonts w:hint="eastAsia"/>
          <w:color w:val="auto"/>
          <w:highlight w:val="none"/>
        </w:rPr>
      </w:pPr>
    </w:p>
    <w:p w14:paraId="5D2A897B">
      <w:pPr>
        <w:rPr>
          <w:rFonts w:hint="eastAsia"/>
          <w:color w:val="auto"/>
          <w:highlight w:val="none"/>
        </w:rPr>
      </w:pPr>
    </w:p>
    <w:p w14:paraId="2AC44794">
      <w:pPr>
        <w:pStyle w:val="16"/>
        <w:rPr>
          <w:rFonts w:hint="eastAsia"/>
          <w:color w:val="auto"/>
          <w:highlight w:val="none"/>
        </w:rPr>
      </w:pPr>
    </w:p>
    <w:p w14:paraId="09BF33EE">
      <w:pPr>
        <w:pStyle w:val="15"/>
        <w:ind w:right="-21" w:firstLine="540"/>
        <w:rPr>
          <w:rFonts w:hint="eastAsia"/>
          <w:color w:val="auto"/>
          <w:highlight w:val="none"/>
        </w:rPr>
      </w:pPr>
    </w:p>
    <w:p w14:paraId="29E09817">
      <w:pPr>
        <w:rPr>
          <w:rFonts w:hint="eastAsia"/>
          <w:color w:val="auto"/>
          <w:highlight w:val="none"/>
        </w:rPr>
      </w:pPr>
    </w:p>
    <w:p w14:paraId="1A397416">
      <w:pPr>
        <w:pStyle w:val="16"/>
        <w:rPr>
          <w:rFonts w:hint="eastAsia"/>
          <w:color w:val="auto"/>
          <w:highlight w:val="none"/>
        </w:rPr>
      </w:pPr>
    </w:p>
    <w:p w14:paraId="2A97D1B2">
      <w:pPr>
        <w:pStyle w:val="15"/>
        <w:ind w:right="-21" w:firstLine="540"/>
        <w:rPr>
          <w:rFonts w:hint="eastAsia"/>
          <w:color w:val="auto"/>
          <w:highlight w:val="none"/>
        </w:rPr>
      </w:pPr>
    </w:p>
    <w:p w14:paraId="100373FF">
      <w:pPr>
        <w:rPr>
          <w:rFonts w:hint="eastAsia"/>
          <w:color w:val="auto"/>
          <w:highlight w:val="none"/>
        </w:rPr>
      </w:pPr>
    </w:p>
    <w:p w14:paraId="6855A7AB">
      <w:pPr>
        <w:pStyle w:val="16"/>
        <w:rPr>
          <w:rFonts w:hint="eastAsia"/>
          <w:color w:val="auto"/>
          <w:highlight w:val="none"/>
        </w:rPr>
      </w:pPr>
    </w:p>
    <w:p w14:paraId="06077426">
      <w:pPr>
        <w:pStyle w:val="15"/>
        <w:ind w:right="-21" w:firstLine="540"/>
        <w:rPr>
          <w:rFonts w:hint="eastAsia"/>
          <w:color w:val="auto"/>
          <w:highlight w:val="none"/>
        </w:rPr>
      </w:pPr>
    </w:p>
    <w:p w14:paraId="2CF5214F">
      <w:pPr>
        <w:pStyle w:val="3"/>
        <w:spacing w:before="120" w:after="120" w:line="360" w:lineRule="auto"/>
        <w:rPr>
          <w:rFonts w:hAnsi="宋体"/>
          <w:b w:val="0"/>
          <w:bCs w:val="0"/>
          <w:color w:val="auto"/>
          <w:sz w:val="28"/>
          <w:highlight w:val="none"/>
        </w:rPr>
      </w:pPr>
      <w:bookmarkStart w:id="69" w:name="_Hlt533408944"/>
      <w:bookmarkEnd w:id="69"/>
      <w:bookmarkStart w:id="70" w:name="_Hlt514495724"/>
      <w:bookmarkEnd w:id="70"/>
      <w:bookmarkStart w:id="71" w:name="_Toc22771"/>
      <w:bookmarkStart w:id="72" w:name="_Toc2769"/>
      <w:bookmarkStart w:id="73" w:name="_Toc4807"/>
      <w:bookmarkStart w:id="74" w:name="_Toc16878"/>
      <w:bookmarkStart w:id="75" w:name="_Toc20205"/>
      <w:r>
        <w:rPr>
          <w:rFonts w:hint="eastAsia" w:hAnsi="宋体"/>
          <w:color w:val="auto"/>
          <w:sz w:val="28"/>
          <w:highlight w:val="none"/>
          <w:lang w:val="en-US" w:eastAsia="zh-CN"/>
        </w:rPr>
        <w:t>四</w:t>
      </w:r>
      <w:r>
        <w:rPr>
          <w:rFonts w:hint="eastAsia" w:hAnsi="宋体"/>
          <w:color w:val="auto"/>
          <w:sz w:val="28"/>
          <w:highlight w:val="none"/>
        </w:rPr>
        <w:t>．</w:t>
      </w:r>
      <w:bookmarkStart w:id="76" w:name="_Toc496587830"/>
      <w:bookmarkStart w:id="77" w:name="_Toc515390494"/>
      <w:r>
        <w:rPr>
          <w:rFonts w:hint="eastAsia" w:hAnsi="宋体"/>
          <w:color w:val="auto"/>
          <w:sz w:val="28"/>
          <w:highlight w:val="none"/>
        </w:rPr>
        <w:t>投标人信用承诺</w:t>
      </w:r>
      <w:bookmarkEnd w:id="71"/>
      <w:bookmarkEnd w:id="72"/>
      <w:bookmarkEnd w:id="73"/>
      <w:bookmarkEnd w:id="74"/>
      <w:bookmarkEnd w:id="75"/>
      <w:bookmarkEnd w:id="76"/>
      <w:bookmarkEnd w:id="77"/>
    </w:p>
    <w:p w14:paraId="3738375E">
      <w:pPr>
        <w:spacing w:line="360" w:lineRule="auto"/>
        <w:ind w:firstLine="630"/>
        <w:rPr>
          <w:rFonts w:ascii="宋体" w:hAnsi="宋体"/>
          <w:b/>
          <w:color w:val="auto"/>
          <w:sz w:val="24"/>
          <w:highlight w:val="none"/>
        </w:rPr>
      </w:pPr>
      <w:r>
        <w:rPr>
          <w:rFonts w:hint="eastAsia" w:ascii="宋体" w:hAnsi="宋体"/>
          <w:b/>
          <w:color w:val="auto"/>
          <w:sz w:val="24"/>
          <w:highlight w:val="none"/>
        </w:rPr>
        <w:t>一、我公司申明：</w:t>
      </w:r>
    </w:p>
    <w:p w14:paraId="5577DC33">
      <w:pPr>
        <w:spacing w:line="360" w:lineRule="auto"/>
        <w:ind w:firstLine="630"/>
        <w:rPr>
          <w:rFonts w:ascii="宋体" w:hAnsi="宋体"/>
          <w:color w:val="auto"/>
          <w:sz w:val="24"/>
          <w:highlight w:val="none"/>
        </w:rPr>
      </w:pPr>
      <w:r>
        <w:rPr>
          <w:rFonts w:hint="eastAsia" w:ascii="宋体" w:hAnsi="宋体"/>
          <w:color w:val="auto"/>
          <w:sz w:val="24"/>
          <w:highlight w:val="none"/>
        </w:rPr>
        <w:t>1.我公司未被人民法院列入失信被执行人；</w:t>
      </w:r>
    </w:p>
    <w:p w14:paraId="79EAEF57">
      <w:pPr>
        <w:spacing w:line="360" w:lineRule="auto"/>
        <w:ind w:firstLine="630"/>
        <w:rPr>
          <w:rFonts w:ascii="宋体" w:hAnsi="宋体"/>
          <w:color w:val="auto"/>
          <w:sz w:val="24"/>
          <w:highlight w:val="none"/>
        </w:rPr>
      </w:pPr>
      <w:r>
        <w:rPr>
          <w:rFonts w:hint="eastAsia" w:ascii="宋体" w:hAnsi="宋体"/>
          <w:color w:val="auto"/>
          <w:sz w:val="24"/>
          <w:highlight w:val="none"/>
        </w:rPr>
        <w:t>2.我公司和我公司法定代表人和我公司拟派项目经理（项目负责人）均未被人民检察院列入行贿犯罪档案；</w:t>
      </w:r>
    </w:p>
    <w:p w14:paraId="45651357">
      <w:pPr>
        <w:spacing w:line="360" w:lineRule="auto"/>
        <w:ind w:firstLine="630"/>
        <w:rPr>
          <w:rFonts w:ascii="宋体" w:hAnsi="宋体"/>
          <w:color w:val="auto"/>
          <w:sz w:val="24"/>
          <w:highlight w:val="none"/>
        </w:rPr>
      </w:pPr>
      <w:r>
        <w:rPr>
          <w:rFonts w:hint="eastAsia" w:ascii="宋体" w:hAnsi="宋体"/>
          <w:color w:val="auto"/>
          <w:sz w:val="24"/>
          <w:highlight w:val="none"/>
        </w:rPr>
        <w:t>3.我公司未被工商行政管理部门列入企业经营异常名录；</w:t>
      </w:r>
    </w:p>
    <w:p w14:paraId="13C676F6">
      <w:pPr>
        <w:spacing w:line="360" w:lineRule="auto"/>
        <w:ind w:firstLine="630"/>
        <w:rPr>
          <w:rFonts w:ascii="宋体" w:hAnsi="宋体"/>
          <w:color w:val="auto"/>
          <w:sz w:val="24"/>
          <w:highlight w:val="none"/>
        </w:rPr>
      </w:pPr>
      <w:r>
        <w:rPr>
          <w:rFonts w:hint="eastAsia" w:ascii="宋体" w:hAnsi="宋体"/>
          <w:color w:val="auto"/>
          <w:sz w:val="24"/>
          <w:highlight w:val="none"/>
        </w:rPr>
        <w:t>4.我公司未被税务部门列入重大税收违法案件当事人名单。</w:t>
      </w:r>
    </w:p>
    <w:p w14:paraId="64C827B6">
      <w:pPr>
        <w:spacing w:line="360" w:lineRule="auto"/>
        <w:ind w:firstLine="630"/>
        <w:rPr>
          <w:rFonts w:hint="eastAsia" w:ascii="宋体" w:hAnsi="宋体"/>
          <w:color w:val="auto"/>
          <w:sz w:val="24"/>
          <w:highlight w:val="none"/>
        </w:rPr>
      </w:pPr>
      <w:r>
        <w:rPr>
          <w:rFonts w:hint="eastAsia" w:ascii="宋体" w:hAnsi="宋体"/>
          <w:b/>
          <w:color w:val="auto"/>
          <w:sz w:val="24"/>
          <w:highlight w:val="none"/>
        </w:rPr>
        <w:t>二、合同签订前</w:t>
      </w:r>
      <w:r>
        <w:rPr>
          <w:rFonts w:hint="eastAsia" w:ascii="宋体" w:hAnsi="宋体"/>
          <w:color w:val="auto"/>
          <w:sz w:val="24"/>
          <w:highlight w:val="none"/>
        </w:rPr>
        <w:t>，若我公司具有本项目招标公告投标人资格中规定的不良信用记录情形，可取消我公司的中标资格或者不授予合同，所有责任由我公司自行承担。同时，我公司愿意无条件接受监管部门的调查处理。</w:t>
      </w:r>
    </w:p>
    <w:p w14:paraId="159AA1D9">
      <w:pPr>
        <w:spacing w:line="360" w:lineRule="auto"/>
        <w:ind w:firstLine="482" w:firstLineChars="200"/>
        <w:rPr>
          <w:rFonts w:ascii="宋体" w:hAnsi="宋体"/>
          <w:b/>
          <w:color w:val="auto"/>
          <w:sz w:val="24"/>
          <w:highlight w:val="none"/>
        </w:rPr>
      </w:pPr>
      <w:r>
        <w:rPr>
          <w:rFonts w:ascii="宋体" w:hAnsi="宋体"/>
          <w:b/>
          <w:color w:val="auto"/>
          <w:sz w:val="24"/>
          <w:highlight w:val="none"/>
        </w:rPr>
        <w:t>我公司</w:t>
      </w:r>
      <w:r>
        <w:rPr>
          <w:rFonts w:hint="eastAsia" w:ascii="宋体" w:hAnsi="宋体"/>
          <w:b/>
          <w:color w:val="auto"/>
          <w:sz w:val="24"/>
          <w:highlight w:val="none"/>
        </w:rPr>
        <w:t>对以上承诺的真实性承担责任</w:t>
      </w:r>
      <w:r>
        <w:rPr>
          <w:rFonts w:ascii="宋体" w:hAnsi="宋体"/>
          <w:b/>
          <w:color w:val="auto"/>
          <w:sz w:val="24"/>
          <w:highlight w:val="none"/>
        </w:rPr>
        <w:t>。</w:t>
      </w:r>
    </w:p>
    <w:p w14:paraId="453D3CB3">
      <w:pPr>
        <w:spacing w:line="360" w:lineRule="auto"/>
        <w:ind w:firstLine="630"/>
        <w:rPr>
          <w:rFonts w:hint="eastAsia" w:ascii="宋体" w:hAnsi="宋体"/>
          <w:b/>
          <w:color w:val="auto"/>
          <w:sz w:val="24"/>
          <w:highlight w:val="none"/>
        </w:rPr>
      </w:pPr>
    </w:p>
    <w:p w14:paraId="784E0A48">
      <w:pPr>
        <w:spacing w:line="360" w:lineRule="auto"/>
        <w:ind w:firstLine="630"/>
        <w:rPr>
          <w:rFonts w:ascii="宋体" w:hAnsi="宋体"/>
          <w:b/>
          <w:color w:val="auto"/>
          <w:sz w:val="24"/>
          <w:highlight w:val="none"/>
        </w:rPr>
      </w:pPr>
      <w:r>
        <w:rPr>
          <w:rFonts w:hint="eastAsia" w:ascii="宋体" w:hAnsi="宋体"/>
          <w:b/>
          <w:color w:val="auto"/>
          <w:sz w:val="24"/>
          <w:highlight w:val="none"/>
        </w:rPr>
        <w:t>投标人公章：</w:t>
      </w:r>
    </w:p>
    <w:p w14:paraId="2D11E204">
      <w:pPr>
        <w:ind w:firstLine="645"/>
        <w:rPr>
          <w:rFonts w:ascii="宋体" w:hAnsi="宋体" w:cs="宋体"/>
          <w:color w:val="auto"/>
          <w:kern w:val="0"/>
          <w:sz w:val="24"/>
          <w:szCs w:val="24"/>
          <w:highlight w:val="none"/>
        </w:rPr>
      </w:pPr>
    </w:p>
    <w:p w14:paraId="7C7F88D9">
      <w:pPr>
        <w:ind w:firstLine="645"/>
        <w:rPr>
          <w:rFonts w:ascii="宋体" w:hAnsi="宋体" w:cs="宋体"/>
          <w:color w:val="auto"/>
          <w:kern w:val="0"/>
          <w:sz w:val="24"/>
          <w:szCs w:val="24"/>
          <w:highlight w:val="none"/>
        </w:rPr>
      </w:pPr>
    </w:p>
    <w:p w14:paraId="025CEA66">
      <w:pPr>
        <w:spacing w:line="360" w:lineRule="auto"/>
        <w:rPr>
          <w:rFonts w:hint="eastAsia" w:ascii="宋体" w:hAnsi="宋体"/>
          <w:b/>
          <w:color w:val="auto"/>
          <w:sz w:val="24"/>
          <w:szCs w:val="24"/>
          <w:highlight w:val="none"/>
        </w:rPr>
      </w:pPr>
    </w:p>
    <w:p w14:paraId="4503E068">
      <w:pPr>
        <w:spacing w:line="360" w:lineRule="auto"/>
        <w:rPr>
          <w:rFonts w:hint="eastAsia" w:ascii="宋体" w:hAnsi="宋体"/>
          <w:b/>
          <w:color w:val="auto"/>
          <w:sz w:val="24"/>
          <w:szCs w:val="24"/>
          <w:highlight w:val="none"/>
        </w:rPr>
      </w:pPr>
    </w:p>
    <w:p w14:paraId="7807C54B">
      <w:pPr>
        <w:spacing w:line="360" w:lineRule="auto"/>
        <w:rPr>
          <w:rFonts w:hint="eastAsia" w:ascii="宋体" w:hAnsi="宋体"/>
          <w:b/>
          <w:color w:val="auto"/>
          <w:sz w:val="24"/>
          <w:szCs w:val="24"/>
          <w:highlight w:val="none"/>
        </w:rPr>
      </w:pPr>
    </w:p>
    <w:p w14:paraId="05DE8D1F">
      <w:pPr>
        <w:spacing w:line="360" w:lineRule="auto"/>
        <w:rPr>
          <w:rFonts w:hint="eastAsia" w:ascii="宋体" w:hAnsi="宋体"/>
          <w:b/>
          <w:color w:val="auto"/>
          <w:sz w:val="24"/>
          <w:szCs w:val="24"/>
          <w:highlight w:val="none"/>
        </w:rPr>
      </w:pPr>
    </w:p>
    <w:p w14:paraId="7F6D6832">
      <w:pPr>
        <w:spacing w:line="360" w:lineRule="auto"/>
        <w:rPr>
          <w:rFonts w:hint="eastAsia" w:ascii="宋体" w:hAnsi="宋体"/>
          <w:b/>
          <w:color w:val="auto"/>
          <w:sz w:val="24"/>
          <w:szCs w:val="24"/>
          <w:highlight w:val="none"/>
        </w:rPr>
      </w:pPr>
    </w:p>
    <w:p w14:paraId="5FB02B11">
      <w:pPr>
        <w:spacing w:line="360" w:lineRule="auto"/>
        <w:rPr>
          <w:rFonts w:hint="eastAsia" w:hAnsi="宋体"/>
          <w:color w:val="auto"/>
          <w:sz w:val="28"/>
          <w:highlight w:val="none"/>
        </w:rPr>
      </w:pPr>
    </w:p>
    <w:p w14:paraId="75477FEE">
      <w:pPr>
        <w:pStyle w:val="16"/>
        <w:rPr>
          <w:rFonts w:hint="eastAsia"/>
          <w:color w:val="auto"/>
          <w:highlight w:val="none"/>
        </w:rPr>
      </w:pPr>
    </w:p>
    <w:p w14:paraId="11BC0AE2">
      <w:pPr>
        <w:pStyle w:val="15"/>
        <w:ind w:right="-21" w:firstLine="540"/>
        <w:rPr>
          <w:rFonts w:hint="eastAsia"/>
          <w:color w:val="auto"/>
          <w:highlight w:val="none"/>
        </w:rPr>
      </w:pPr>
    </w:p>
    <w:p w14:paraId="7FE5BE21">
      <w:pPr>
        <w:rPr>
          <w:rFonts w:hint="eastAsia"/>
          <w:color w:val="auto"/>
          <w:highlight w:val="none"/>
        </w:rPr>
      </w:pPr>
    </w:p>
    <w:p w14:paraId="2DFC3FAF">
      <w:pPr>
        <w:pStyle w:val="16"/>
        <w:rPr>
          <w:rFonts w:hint="eastAsia"/>
          <w:color w:val="auto"/>
          <w:highlight w:val="none"/>
        </w:rPr>
      </w:pPr>
    </w:p>
    <w:p w14:paraId="3D2380DD">
      <w:pPr>
        <w:pStyle w:val="15"/>
        <w:ind w:right="-21" w:firstLine="540"/>
        <w:rPr>
          <w:rFonts w:hint="eastAsia"/>
          <w:color w:val="auto"/>
          <w:highlight w:val="none"/>
        </w:rPr>
      </w:pPr>
    </w:p>
    <w:p w14:paraId="398D6806">
      <w:pPr>
        <w:rPr>
          <w:rFonts w:hint="eastAsia"/>
          <w:color w:val="auto"/>
          <w:highlight w:val="none"/>
        </w:rPr>
      </w:pPr>
    </w:p>
    <w:p w14:paraId="18DA2513">
      <w:pPr>
        <w:pStyle w:val="16"/>
        <w:rPr>
          <w:rFonts w:hint="eastAsia"/>
          <w:color w:val="auto"/>
          <w:highlight w:val="none"/>
        </w:rPr>
      </w:pPr>
    </w:p>
    <w:p w14:paraId="206E9C2D">
      <w:pPr>
        <w:pStyle w:val="15"/>
        <w:ind w:right="-21" w:firstLine="540"/>
        <w:rPr>
          <w:color w:val="auto"/>
          <w:highlight w:val="none"/>
        </w:rPr>
      </w:pPr>
    </w:p>
    <w:p w14:paraId="0C7E8CF8">
      <w:pPr>
        <w:pStyle w:val="3"/>
        <w:rPr>
          <w:rFonts w:hint="eastAsia" w:hAnsi="宋体"/>
          <w:color w:val="auto"/>
          <w:sz w:val="28"/>
          <w:highlight w:val="none"/>
        </w:rPr>
      </w:pPr>
      <w:bookmarkStart w:id="78" w:name="_Toc26835"/>
      <w:bookmarkStart w:id="79" w:name="_Toc26292"/>
      <w:bookmarkStart w:id="80" w:name="_Toc30501"/>
      <w:bookmarkStart w:id="81" w:name="_Toc25287"/>
      <w:bookmarkStart w:id="82" w:name="_Toc4347"/>
      <w:r>
        <w:rPr>
          <w:rFonts w:hint="eastAsia" w:hAnsi="宋体"/>
          <w:color w:val="auto"/>
          <w:sz w:val="28"/>
          <w:highlight w:val="none"/>
          <w:lang w:val="en-US" w:eastAsia="zh-CN"/>
        </w:rPr>
        <w:t>五</w:t>
      </w:r>
      <w:r>
        <w:rPr>
          <w:rFonts w:hint="eastAsia" w:hAnsi="宋体"/>
          <w:color w:val="auto"/>
          <w:sz w:val="28"/>
          <w:highlight w:val="none"/>
        </w:rPr>
        <w:t>. 投标业绩</w:t>
      </w:r>
      <w:bookmarkEnd w:id="78"/>
      <w:bookmarkEnd w:id="79"/>
      <w:bookmarkEnd w:id="80"/>
      <w:bookmarkEnd w:id="81"/>
      <w:bookmarkEnd w:id="82"/>
    </w:p>
    <w:p w14:paraId="20ECDB9A">
      <w:pPr>
        <w:jc w:val="center"/>
        <w:rPr>
          <w:rFonts w:hint="eastAsia"/>
          <w:b/>
          <w:color w:val="auto"/>
          <w:sz w:val="28"/>
          <w:szCs w:val="28"/>
          <w:highlight w:val="none"/>
        </w:rPr>
      </w:pPr>
      <w:r>
        <w:rPr>
          <w:rFonts w:hint="eastAsia"/>
          <w:b/>
          <w:color w:val="auto"/>
          <w:sz w:val="28"/>
          <w:szCs w:val="28"/>
          <w:highlight w:val="none"/>
        </w:rPr>
        <w:t>（一）业绩表</w:t>
      </w:r>
    </w:p>
    <w:p w14:paraId="43F2D5F8">
      <w:pPr>
        <w:jc w:val="center"/>
        <w:rPr>
          <w:color w:val="auto"/>
          <w:sz w:val="24"/>
          <w:szCs w:val="24"/>
          <w:highlight w:val="none"/>
        </w:rPr>
      </w:pPr>
      <w:r>
        <w:rPr>
          <w:rFonts w:hint="eastAsia"/>
          <w:color w:val="auto"/>
          <w:sz w:val="24"/>
          <w:szCs w:val="24"/>
          <w:highlight w:val="none"/>
        </w:rPr>
        <w:t>（格式仅供参考）</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3969"/>
        <w:gridCol w:w="1701"/>
        <w:gridCol w:w="1134"/>
      </w:tblGrid>
      <w:tr w14:paraId="5E6E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46" w:type="dxa"/>
            <w:vAlign w:val="center"/>
          </w:tcPr>
          <w:p w14:paraId="498E2035">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1559" w:type="dxa"/>
            <w:vAlign w:val="center"/>
          </w:tcPr>
          <w:p w14:paraId="31D9A5E5">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项目名称</w:t>
            </w:r>
          </w:p>
        </w:tc>
        <w:tc>
          <w:tcPr>
            <w:tcW w:w="3969" w:type="dxa"/>
            <w:vAlign w:val="center"/>
          </w:tcPr>
          <w:p w14:paraId="2DE0799B">
            <w:pPr>
              <w:widowControl/>
              <w:jc w:val="center"/>
              <w:rPr>
                <w:rFonts w:ascii="宋体" w:hAnsi="宋体"/>
                <w:color w:val="auto"/>
                <w:sz w:val="24"/>
                <w:szCs w:val="24"/>
                <w:highlight w:val="none"/>
              </w:rPr>
            </w:pPr>
            <w:r>
              <w:rPr>
                <w:rFonts w:hint="eastAsia" w:ascii="宋体" w:hAnsi="宋体"/>
                <w:color w:val="auto"/>
                <w:sz w:val="24"/>
                <w:szCs w:val="24"/>
                <w:highlight w:val="none"/>
              </w:rPr>
              <w:t>服务内容</w:t>
            </w:r>
          </w:p>
        </w:tc>
        <w:tc>
          <w:tcPr>
            <w:tcW w:w="1701" w:type="dxa"/>
            <w:vAlign w:val="center"/>
          </w:tcPr>
          <w:p w14:paraId="36AF36F1">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业绩合同甲方</w:t>
            </w:r>
          </w:p>
          <w:p w14:paraId="2710D7D3">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及联系电话</w:t>
            </w:r>
          </w:p>
        </w:tc>
        <w:tc>
          <w:tcPr>
            <w:tcW w:w="1134" w:type="dxa"/>
            <w:vAlign w:val="center"/>
          </w:tcPr>
          <w:p w14:paraId="471FC904">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备注</w:t>
            </w:r>
          </w:p>
        </w:tc>
      </w:tr>
      <w:tr w14:paraId="6701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5"/>
            <w:vAlign w:val="center"/>
          </w:tcPr>
          <w:p w14:paraId="0BB13406">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评审业绩（打分业绩）</w:t>
            </w:r>
          </w:p>
        </w:tc>
      </w:tr>
      <w:tr w14:paraId="6092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CCCFAAE">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1</w:t>
            </w:r>
          </w:p>
        </w:tc>
        <w:tc>
          <w:tcPr>
            <w:tcW w:w="1559" w:type="dxa"/>
            <w:vAlign w:val="center"/>
          </w:tcPr>
          <w:p w14:paraId="3C7446D0">
            <w:pPr>
              <w:spacing w:line="360" w:lineRule="auto"/>
              <w:rPr>
                <w:rFonts w:ascii="宋体" w:hAnsi="宋体"/>
                <w:color w:val="auto"/>
                <w:sz w:val="24"/>
                <w:szCs w:val="24"/>
                <w:highlight w:val="none"/>
              </w:rPr>
            </w:pPr>
          </w:p>
        </w:tc>
        <w:tc>
          <w:tcPr>
            <w:tcW w:w="3969" w:type="dxa"/>
            <w:vAlign w:val="center"/>
          </w:tcPr>
          <w:p w14:paraId="35BD5E11">
            <w:pPr>
              <w:spacing w:line="360" w:lineRule="auto"/>
              <w:rPr>
                <w:rFonts w:ascii="宋体" w:hAnsi="宋体"/>
                <w:color w:val="auto"/>
                <w:sz w:val="24"/>
                <w:szCs w:val="24"/>
                <w:highlight w:val="none"/>
              </w:rPr>
            </w:pPr>
          </w:p>
        </w:tc>
        <w:tc>
          <w:tcPr>
            <w:tcW w:w="1701" w:type="dxa"/>
            <w:vAlign w:val="center"/>
          </w:tcPr>
          <w:p w14:paraId="4E9F8BB4">
            <w:pPr>
              <w:spacing w:line="360" w:lineRule="auto"/>
              <w:rPr>
                <w:rFonts w:ascii="宋体" w:hAnsi="宋体"/>
                <w:color w:val="auto"/>
                <w:sz w:val="24"/>
                <w:szCs w:val="24"/>
                <w:highlight w:val="none"/>
              </w:rPr>
            </w:pPr>
          </w:p>
        </w:tc>
        <w:tc>
          <w:tcPr>
            <w:tcW w:w="1134" w:type="dxa"/>
            <w:vAlign w:val="center"/>
          </w:tcPr>
          <w:p w14:paraId="1F1C7783">
            <w:pPr>
              <w:spacing w:line="360" w:lineRule="auto"/>
              <w:rPr>
                <w:rFonts w:ascii="宋体" w:hAnsi="宋体"/>
                <w:color w:val="auto"/>
                <w:sz w:val="24"/>
                <w:szCs w:val="24"/>
                <w:highlight w:val="none"/>
              </w:rPr>
            </w:pPr>
          </w:p>
        </w:tc>
      </w:tr>
      <w:tr w14:paraId="2D99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495B84C4">
            <w:pPr>
              <w:spacing w:line="360" w:lineRule="auto"/>
              <w:jc w:val="center"/>
              <w:rPr>
                <w:rFonts w:ascii="宋体" w:hAnsi="宋体"/>
                <w:color w:val="auto"/>
                <w:sz w:val="24"/>
                <w:szCs w:val="24"/>
                <w:highlight w:val="none"/>
              </w:rPr>
            </w:pPr>
            <w:r>
              <w:rPr>
                <w:rFonts w:ascii="宋体" w:hAnsi="宋体"/>
                <w:color w:val="auto"/>
                <w:sz w:val="24"/>
                <w:szCs w:val="24"/>
                <w:highlight w:val="none"/>
              </w:rPr>
              <w:t>……</w:t>
            </w:r>
          </w:p>
        </w:tc>
        <w:tc>
          <w:tcPr>
            <w:tcW w:w="1559" w:type="dxa"/>
            <w:vAlign w:val="center"/>
          </w:tcPr>
          <w:p w14:paraId="30E8A9A8">
            <w:pPr>
              <w:spacing w:line="360" w:lineRule="auto"/>
              <w:rPr>
                <w:rFonts w:ascii="宋体" w:hAnsi="宋体"/>
                <w:color w:val="auto"/>
                <w:sz w:val="24"/>
                <w:szCs w:val="24"/>
                <w:highlight w:val="none"/>
              </w:rPr>
            </w:pPr>
          </w:p>
        </w:tc>
        <w:tc>
          <w:tcPr>
            <w:tcW w:w="3969" w:type="dxa"/>
            <w:vAlign w:val="center"/>
          </w:tcPr>
          <w:p w14:paraId="1AA7EC82">
            <w:pPr>
              <w:spacing w:line="360" w:lineRule="auto"/>
              <w:rPr>
                <w:rFonts w:ascii="宋体" w:hAnsi="宋体"/>
                <w:color w:val="auto"/>
                <w:sz w:val="24"/>
                <w:szCs w:val="24"/>
                <w:highlight w:val="none"/>
              </w:rPr>
            </w:pPr>
          </w:p>
        </w:tc>
        <w:tc>
          <w:tcPr>
            <w:tcW w:w="1701" w:type="dxa"/>
            <w:vAlign w:val="center"/>
          </w:tcPr>
          <w:p w14:paraId="6F867106">
            <w:pPr>
              <w:spacing w:line="360" w:lineRule="auto"/>
              <w:rPr>
                <w:rFonts w:ascii="宋体" w:hAnsi="宋体"/>
                <w:color w:val="auto"/>
                <w:sz w:val="24"/>
                <w:szCs w:val="24"/>
                <w:highlight w:val="none"/>
              </w:rPr>
            </w:pPr>
          </w:p>
        </w:tc>
        <w:tc>
          <w:tcPr>
            <w:tcW w:w="1134" w:type="dxa"/>
            <w:vAlign w:val="center"/>
          </w:tcPr>
          <w:p w14:paraId="42515342">
            <w:pPr>
              <w:spacing w:line="360" w:lineRule="auto"/>
              <w:rPr>
                <w:rFonts w:ascii="宋体" w:hAnsi="宋体"/>
                <w:color w:val="auto"/>
                <w:sz w:val="24"/>
                <w:szCs w:val="24"/>
                <w:highlight w:val="none"/>
              </w:rPr>
            </w:pPr>
          </w:p>
        </w:tc>
      </w:tr>
    </w:tbl>
    <w:p w14:paraId="4AE181A6">
      <w:pPr>
        <w:spacing w:before="48" w:beforeLines="20" w:after="48" w:afterLines="20" w:line="360" w:lineRule="auto"/>
        <w:jc w:val="center"/>
        <w:rPr>
          <w:rFonts w:ascii="宋体" w:hAnsi="宋体"/>
          <w:color w:val="auto"/>
          <w:sz w:val="28"/>
          <w:highlight w:val="none"/>
        </w:rPr>
      </w:pPr>
    </w:p>
    <w:p w14:paraId="401D9C59">
      <w:pPr>
        <w:spacing w:before="48" w:beforeLines="20" w:after="48" w:afterLines="20" w:line="360" w:lineRule="auto"/>
        <w:jc w:val="center"/>
        <w:rPr>
          <w:rFonts w:ascii="宋体" w:hAnsi="宋体"/>
          <w:b/>
          <w:color w:val="auto"/>
          <w:sz w:val="28"/>
          <w:highlight w:val="none"/>
        </w:rPr>
      </w:pPr>
      <w:r>
        <w:rPr>
          <w:rFonts w:hint="eastAsia" w:ascii="宋体" w:hAnsi="宋体"/>
          <w:b/>
          <w:color w:val="auto"/>
          <w:sz w:val="28"/>
          <w:highlight w:val="none"/>
        </w:rPr>
        <w:t>（二）业绩证明材料</w:t>
      </w:r>
    </w:p>
    <w:p w14:paraId="4BA01715">
      <w:pPr>
        <w:spacing w:before="48" w:beforeLines="20" w:after="48" w:afterLines="20" w:line="360" w:lineRule="auto"/>
        <w:jc w:val="center"/>
        <w:rPr>
          <w:rFonts w:ascii="宋体" w:hAnsi="宋体"/>
          <w:color w:val="auto"/>
          <w:sz w:val="24"/>
          <w:szCs w:val="24"/>
          <w:highlight w:val="none"/>
        </w:rPr>
      </w:pPr>
      <w:r>
        <w:rPr>
          <w:rFonts w:hint="eastAsia" w:ascii="宋体" w:hAnsi="宋体"/>
          <w:color w:val="auto"/>
          <w:sz w:val="24"/>
          <w:szCs w:val="24"/>
          <w:highlight w:val="none"/>
        </w:rPr>
        <w:t>（建议与上述“（一）业绩表”填写的业绩一一对应提供）</w:t>
      </w:r>
    </w:p>
    <w:p w14:paraId="4758D8BB">
      <w:pPr>
        <w:spacing w:before="48" w:beforeLines="20" w:after="48" w:afterLines="20" w:line="360" w:lineRule="auto"/>
        <w:jc w:val="center"/>
        <w:rPr>
          <w:rFonts w:ascii="宋体" w:hAnsi="宋体"/>
          <w:color w:val="auto"/>
          <w:sz w:val="24"/>
          <w:szCs w:val="24"/>
          <w:highlight w:val="none"/>
        </w:rPr>
      </w:pPr>
    </w:p>
    <w:p w14:paraId="4D68571C">
      <w:pPr>
        <w:spacing w:before="48" w:beforeLines="20" w:after="48" w:afterLines="20" w:line="360" w:lineRule="auto"/>
        <w:jc w:val="center"/>
        <w:rPr>
          <w:rFonts w:ascii="宋体" w:hAnsi="宋体"/>
          <w:color w:val="auto"/>
          <w:sz w:val="24"/>
          <w:szCs w:val="24"/>
          <w:highlight w:val="none"/>
        </w:rPr>
      </w:pPr>
    </w:p>
    <w:p w14:paraId="64BD82DE">
      <w:pPr>
        <w:pStyle w:val="3"/>
        <w:spacing w:before="120" w:after="120" w:line="360" w:lineRule="auto"/>
        <w:rPr>
          <w:rFonts w:hint="eastAsia" w:hAnsi="宋体"/>
          <w:color w:val="auto"/>
          <w:sz w:val="28"/>
          <w:highlight w:val="none"/>
        </w:rPr>
      </w:pPr>
      <w:r>
        <w:rPr>
          <w:rFonts w:hAnsi="宋体"/>
          <w:color w:val="auto"/>
          <w:sz w:val="28"/>
          <w:highlight w:val="none"/>
        </w:rPr>
        <w:br w:type="page"/>
      </w:r>
      <w:bookmarkStart w:id="83" w:name="_Toc17311"/>
      <w:bookmarkStart w:id="84" w:name="_Toc4356"/>
      <w:bookmarkStart w:id="85" w:name="_Toc26807"/>
      <w:bookmarkStart w:id="86" w:name="_Toc12449"/>
      <w:bookmarkStart w:id="87" w:name="_Toc5302"/>
      <w:r>
        <w:rPr>
          <w:rFonts w:hint="eastAsia" w:hAnsi="宋体"/>
          <w:color w:val="auto"/>
          <w:sz w:val="28"/>
          <w:highlight w:val="none"/>
          <w:lang w:val="en-US" w:eastAsia="zh-CN"/>
        </w:rPr>
        <w:t>六</w:t>
      </w:r>
      <w:r>
        <w:rPr>
          <w:rFonts w:hint="eastAsia" w:hAnsi="宋体"/>
          <w:color w:val="auto"/>
          <w:sz w:val="28"/>
          <w:highlight w:val="none"/>
        </w:rPr>
        <w:t>．拟投入本项目的人员情况</w:t>
      </w:r>
      <w:bookmarkEnd w:id="83"/>
      <w:bookmarkEnd w:id="84"/>
      <w:bookmarkEnd w:id="85"/>
      <w:bookmarkEnd w:id="86"/>
      <w:bookmarkEnd w:id="87"/>
    </w:p>
    <w:p w14:paraId="4B556141">
      <w:pPr>
        <w:tabs>
          <w:tab w:val="left" w:pos="4620"/>
        </w:tabs>
        <w:spacing w:line="360" w:lineRule="auto"/>
        <w:ind w:firstLine="480" w:firstLineChars="200"/>
        <w:rPr>
          <w:rFonts w:hint="eastAsia" w:ascii="宋体" w:hAnsi="宋体"/>
          <w:color w:val="auto"/>
          <w:sz w:val="24"/>
          <w:highlight w:val="none"/>
        </w:rPr>
      </w:pPr>
      <w:r>
        <w:rPr>
          <w:rFonts w:hint="eastAsia" w:ascii="宋体" w:hAnsi="宋体"/>
          <w:bCs/>
          <w:color w:val="auto"/>
          <w:sz w:val="24"/>
          <w:szCs w:val="24"/>
          <w:highlight w:val="none"/>
        </w:rPr>
        <w:t>投标人可自行制作格式</w:t>
      </w:r>
      <w:r>
        <w:rPr>
          <w:rFonts w:hint="eastAsia" w:ascii="宋体" w:hAnsi="宋体"/>
          <w:color w:val="auto"/>
          <w:sz w:val="24"/>
          <w:highlight w:val="none"/>
        </w:rPr>
        <w:t>，应能体现出所有招标文件要求的内容，并附相关证明材料（复印件或影印件），下列格式仅供参考。</w:t>
      </w:r>
    </w:p>
    <w:p w14:paraId="6ACEF57F">
      <w:pPr>
        <w:tabs>
          <w:tab w:val="left" w:pos="4620"/>
        </w:tabs>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（一）拟委任的主要人员汇总表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3"/>
        <w:gridCol w:w="1380"/>
        <w:gridCol w:w="3"/>
        <w:gridCol w:w="972"/>
        <w:gridCol w:w="686"/>
        <w:gridCol w:w="3"/>
        <w:gridCol w:w="743"/>
        <w:gridCol w:w="1101"/>
        <w:gridCol w:w="3"/>
        <w:gridCol w:w="741"/>
        <w:gridCol w:w="1134"/>
        <w:gridCol w:w="3"/>
        <w:gridCol w:w="769"/>
        <w:gridCol w:w="3"/>
      </w:tblGrid>
      <w:tr w14:paraId="4B9E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75" w:type="dxa"/>
            <w:gridSpan w:val="2"/>
            <w:vAlign w:val="center"/>
          </w:tcPr>
          <w:p w14:paraId="23145C84">
            <w:pPr>
              <w:spacing w:line="440" w:lineRule="exact"/>
              <w:jc w:val="center"/>
              <w:rPr>
                <w:color w:val="auto"/>
                <w:highlight w:val="none"/>
              </w:rPr>
            </w:pPr>
            <w:r>
              <w:rPr>
                <w:rFonts w:hint="eastAsia"/>
                <w:color w:val="auto"/>
                <w:highlight w:val="none"/>
              </w:rPr>
              <w:t>序号</w:t>
            </w:r>
          </w:p>
        </w:tc>
        <w:tc>
          <w:tcPr>
            <w:tcW w:w="1383" w:type="dxa"/>
            <w:gridSpan w:val="2"/>
            <w:vAlign w:val="center"/>
          </w:tcPr>
          <w:p w14:paraId="57DD9CC8">
            <w:pPr>
              <w:spacing w:line="440" w:lineRule="exact"/>
              <w:jc w:val="center"/>
              <w:rPr>
                <w:color w:val="auto"/>
                <w:highlight w:val="none"/>
              </w:rPr>
            </w:pPr>
            <w:r>
              <w:rPr>
                <w:rFonts w:hint="eastAsia"/>
                <w:color w:val="auto"/>
                <w:highlight w:val="none"/>
              </w:rPr>
              <w:t>本项目任职</w:t>
            </w:r>
          </w:p>
        </w:tc>
        <w:tc>
          <w:tcPr>
            <w:tcW w:w="972" w:type="dxa"/>
            <w:vAlign w:val="center"/>
          </w:tcPr>
          <w:p w14:paraId="15842DD6">
            <w:pPr>
              <w:spacing w:line="440" w:lineRule="exact"/>
              <w:jc w:val="center"/>
              <w:rPr>
                <w:color w:val="auto"/>
                <w:highlight w:val="none"/>
              </w:rPr>
            </w:pPr>
            <w:r>
              <w:rPr>
                <w:rFonts w:hint="eastAsia"/>
                <w:color w:val="auto"/>
                <w:highlight w:val="none"/>
              </w:rPr>
              <w:t>姓名</w:t>
            </w:r>
          </w:p>
        </w:tc>
        <w:tc>
          <w:tcPr>
            <w:tcW w:w="689" w:type="dxa"/>
            <w:gridSpan w:val="2"/>
            <w:vAlign w:val="center"/>
          </w:tcPr>
          <w:p w14:paraId="6E00EC39">
            <w:pPr>
              <w:spacing w:line="440" w:lineRule="exact"/>
              <w:jc w:val="center"/>
              <w:rPr>
                <w:color w:val="auto"/>
                <w:highlight w:val="none"/>
              </w:rPr>
            </w:pPr>
            <w:r>
              <w:rPr>
                <w:rFonts w:hint="eastAsia"/>
                <w:color w:val="auto"/>
                <w:highlight w:val="none"/>
              </w:rPr>
              <w:t>职称</w:t>
            </w:r>
          </w:p>
        </w:tc>
        <w:tc>
          <w:tcPr>
            <w:tcW w:w="743" w:type="dxa"/>
            <w:vAlign w:val="center"/>
          </w:tcPr>
          <w:p w14:paraId="6B0C1430">
            <w:pPr>
              <w:spacing w:line="440" w:lineRule="exact"/>
              <w:jc w:val="center"/>
              <w:rPr>
                <w:color w:val="auto"/>
                <w:highlight w:val="none"/>
              </w:rPr>
            </w:pPr>
            <w:r>
              <w:rPr>
                <w:rFonts w:hint="eastAsia"/>
                <w:color w:val="auto"/>
                <w:highlight w:val="none"/>
              </w:rPr>
              <w:t>专业</w:t>
            </w:r>
          </w:p>
        </w:tc>
        <w:tc>
          <w:tcPr>
            <w:tcW w:w="2982" w:type="dxa"/>
            <w:gridSpan w:val="5"/>
            <w:vAlign w:val="center"/>
          </w:tcPr>
          <w:p w14:paraId="4AD332FC">
            <w:pPr>
              <w:spacing w:line="440" w:lineRule="exact"/>
              <w:jc w:val="center"/>
              <w:rPr>
                <w:color w:val="auto"/>
                <w:highlight w:val="none"/>
              </w:rPr>
            </w:pPr>
            <w:r>
              <w:rPr>
                <w:rFonts w:hint="eastAsia"/>
                <w:color w:val="auto"/>
                <w:highlight w:val="none"/>
              </w:rPr>
              <w:t>执业或职业资格证明（如有）</w:t>
            </w:r>
          </w:p>
        </w:tc>
        <w:tc>
          <w:tcPr>
            <w:tcW w:w="772" w:type="dxa"/>
            <w:gridSpan w:val="2"/>
            <w:vAlign w:val="center"/>
          </w:tcPr>
          <w:p w14:paraId="08378C2F">
            <w:pPr>
              <w:spacing w:line="440" w:lineRule="exact"/>
              <w:jc w:val="center"/>
              <w:rPr>
                <w:color w:val="auto"/>
                <w:highlight w:val="none"/>
              </w:rPr>
            </w:pPr>
            <w:r>
              <w:rPr>
                <w:rFonts w:hint="eastAsia"/>
                <w:color w:val="auto"/>
                <w:highlight w:val="none"/>
              </w:rPr>
              <w:t>备注</w:t>
            </w:r>
          </w:p>
        </w:tc>
      </w:tr>
      <w:tr w14:paraId="3FF9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369" w:hRule="atLeast"/>
          <w:jc w:val="center"/>
        </w:trPr>
        <w:tc>
          <w:tcPr>
            <w:tcW w:w="772" w:type="dxa"/>
            <w:vAlign w:val="center"/>
          </w:tcPr>
          <w:p w14:paraId="3E94E2DA">
            <w:pPr>
              <w:rPr>
                <w:color w:val="auto"/>
                <w:highlight w:val="none"/>
              </w:rPr>
            </w:pPr>
          </w:p>
        </w:tc>
        <w:tc>
          <w:tcPr>
            <w:tcW w:w="1383" w:type="dxa"/>
            <w:gridSpan w:val="2"/>
            <w:vAlign w:val="top"/>
          </w:tcPr>
          <w:p w14:paraId="0D81CF23">
            <w:pPr>
              <w:rPr>
                <w:color w:val="auto"/>
                <w:highlight w:val="none"/>
              </w:rPr>
            </w:pPr>
          </w:p>
        </w:tc>
        <w:tc>
          <w:tcPr>
            <w:tcW w:w="975" w:type="dxa"/>
            <w:gridSpan w:val="2"/>
            <w:vAlign w:val="center"/>
          </w:tcPr>
          <w:p w14:paraId="2459F08E">
            <w:pPr>
              <w:rPr>
                <w:color w:val="auto"/>
                <w:highlight w:val="none"/>
              </w:rPr>
            </w:pPr>
          </w:p>
        </w:tc>
        <w:tc>
          <w:tcPr>
            <w:tcW w:w="686" w:type="dxa"/>
            <w:vAlign w:val="center"/>
          </w:tcPr>
          <w:p w14:paraId="34EF98EE">
            <w:pPr>
              <w:rPr>
                <w:color w:val="auto"/>
                <w:highlight w:val="none"/>
              </w:rPr>
            </w:pPr>
          </w:p>
        </w:tc>
        <w:tc>
          <w:tcPr>
            <w:tcW w:w="746" w:type="dxa"/>
            <w:gridSpan w:val="2"/>
            <w:vAlign w:val="center"/>
          </w:tcPr>
          <w:p w14:paraId="27BB0E08">
            <w:pPr>
              <w:spacing w:line="440" w:lineRule="exact"/>
              <w:jc w:val="center"/>
              <w:rPr>
                <w:color w:val="auto"/>
                <w:highlight w:val="none"/>
              </w:rPr>
            </w:pPr>
          </w:p>
        </w:tc>
        <w:tc>
          <w:tcPr>
            <w:tcW w:w="1101" w:type="dxa"/>
            <w:vAlign w:val="center"/>
          </w:tcPr>
          <w:p w14:paraId="684D16F0">
            <w:pPr>
              <w:spacing w:before="100" w:beforeAutospacing="1" w:after="100" w:afterAutospacing="1" w:line="440" w:lineRule="exact"/>
              <w:jc w:val="center"/>
              <w:rPr>
                <w:color w:val="auto"/>
                <w:highlight w:val="none"/>
              </w:rPr>
            </w:pPr>
            <w:r>
              <w:rPr>
                <w:rFonts w:hint="eastAsia"/>
                <w:color w:val="auto"/>
                <w:highlight w:val="none"/>
              </w:rPr>
              <w:t>证书名称</w:t>
            </w:r>
          </w:p>
        </w:tc>
        <w:tc>
          <w:tcPr>
            <w:tcW w:w="744" w:type="dxa"/>
            <w:gridSpan w:val="2"/>
            <w:vAlign w:val="center"/>
          </w:tcPr>
          <w:p w14:paraId="050A1EB0">
            <w:pPr>
              <w:spacing w:before="100" w:beforeAutospacing="1" w:after="100" w:afterAutospacing="1" w:line="440" w:lineRule="exact"/>
              <w:jc w:val="center"/>
              <w:rPr>
                <w:color w:val="auto"/>
                <w:highlight w:val="none"/>
              </w:rPr>
            </w:pPr>
            <w:r>
              <w:rPr>
                <w:rFonts w:hint="eastAsia"/>
                <w:color w:val="auto"/>
                <w:highlight w:val="none"/>
              </w:rPr>
              <w:t>级别</w:t>
            </w:r>
          </w:p>
        </w:tc>
        <w:tc>
          <w:tcPr>
            <w:tcW w:w="1137" w:type="dxa"/>
            <w:gridSpan w:val="2"/>
            <w:vAlign w:val="center"/>
          </w:tcPr>
          <w:p w14:paraId="2E9BFB3E">
            <w:pPr>
              <w:spacing w:before="100" w:beforeAutospacing="1" w:after="100" w:afterAutospacing="1" w:line="440" w:lineRule="exact"/>
              <w:jc w:val="center"/>
              <w:rPr>
                <w:color w:val="auto"/>
                <w:highlight w:val="none"/>
              </w:rPr>
            </w:pPr>
            <w:r>
              <w:rPr>
                <w:rFonts w:hint="eastAsia"/>
                <w:color w:val="auto"/>
                <w:highlight w:val="none"/>
              </w:rPr>
              <w:t>证号</w:t>
            </w:r>
          </w:p>
        </w:tc>
        <w:tc>
          <w:tcPr>
            <w:tcW w:w="769" w:type="dxa"/>
            <w:vAlign w:val="center"/>
          </w:tcPr>
          <w:p w14:paraId="10923933">
            <w:pPr>
              <w:spacing w:line="440" w:lineRule="exact"/>
              <w:jc w:val="center"/>
              <w:rPr>
                <w:color w:val="auto"/>
                <w:highlight w:val="none"/>
              </w:rPr>
            </w:pPr>
          </w:p>
        </w:tc>
      </w:tr>
      <w:tr w14:paraId="31F6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75" w:type="dxa"/>
            <w:gridSpan w:val="2"/>
            <w:vAlign w:val="center"/>
          </w:tcPr>
          <w:p w14:paraId="51F069EB">
            <w:pPr>
              <w:spacing w:line="440" w:lineRule="exact"/>
              <w:jc w:val="center"/>
              <w:rPr>
                <w:color w:val="auto"/>
                <w:highlight w:val="none"/>
              </w:rPr>
            </w:pPr>
          </w:p>
        </w:tc>
        <w:tc>
          <w:tcPr>
            <w:tcW w:w="1383" w:type="dxa"/>
            <w:gridSpan w:val="2"/>
            <w:vAlign w:val="top"/>
          </w:tcPr>
          <w:p w14:paraId="079DA613">
            <w:pPr>
              <w:spacing w:line="440" w:lineRule="exact"/>
              <w:jc w:val="center"/>
              <w:rPr>
                <w:color w:val="auto"/>
                <w:highlight w:val="none"/>
              </w:rPr>
            </w:pPr>
          </w:p>
        </w:tc>
        <w:tc>
          <w:tcPr>
            <w:tcW w:w="972" w:type="dxa"/>
            <w:vAlign w:val="center"/>
          </w:tcPr>
          <w:p w14:paraId="5FC3F363">
            <w:pPr>
              <w:spacing w:line="440" w:lineRule="exact"/>
              <w:jc w:val="center"/>
              <w:rPr>
                <w:color w:val="auto"/>
                <w:highlight w:val="none"/>
              </w:rPr>
            </w:pPr>
          </w:p>
        </w:tc>
        <w:tc>
          <w:tcPr>
            <w:tcW w:w="689" w:type="dxa"/>
            <w:gridSpan w:val="2"/>
            <w:vAlign w:val="center"/>
          </w:tcPr>
          <w:p w14:paraId="0F3212BB">
            <w:pPr>
              <w:spacing w:line="440" w:lineRule="exact"/>
              <w:jc w:val="center"/>
              <w:rPr>
                <w:color w:val="auto"/>
                <w:highlight w:val="none"/>
              </w:rPr>
            </w:pPr>
          </w:p>
        </w:tc>
        <w:tc>
          <w:tcPr>
            <w:tcW w:w="743" w:type="dxa"/>
            <w:vAlign w:val="center"/>
          </w:tcPr>
          <w:p w14:paraId="351D2ACA">
            <w:pPr>
              <w:spacing w:line="440" w:lineRule="exact"/>
              <w:jc w:val="center"/>
              <w:rPr>
                <w:color w:val="auto"/>
                <w:highlight w:val="none"/>
              </w:rPr>
            </w:pPr>
          </w:p>
        </w:tc>
        <w:tc>
          <w:tcPr>
            <w:tcW w:w="1104" w:type="dxa"/>
            <w:gridSpan w:val="2"/>
            <w:vAlign w:val="center"/>
          </w:tcPr>
          <w:p w14:paraId="414F8447">
            <w:pPr>
              <w:spacing w:line="440" w:lineRule="exact"/>
              <w:jc w:val="center"/>
              <w:rPr>
                <w:color w:val="auto"/>
                <w:highlight w:val="none"/>
              </w:rPr>
            </w:pPr>
          </w:p>
        </w:tc>
        <w:tc>
          <w:tcPr>
            <w:tcW w:w="741" w:type="dxa"/>
            <w:vAlign w:val="center"/>
          </w:tcPr>
          <w:p w14:paraId="35C812C2">
            <w:pPr>
              <w:spacing w:line="440" w:lineRule="exact"/>
              <w:jc w:val="center"/>
              <w:rPr>
                <w:color w:val="auto"/>
                <w:highlight w:val="none"/>
              </w:rPr>
            </w:pPr>
          </w:p>
        </w:tc>
        <w:tc>
          <w:tcPr>
            <w:tcW w:w="1134" w:type="dxa"/>
            <w:vAlign w:val="center"/>
          </w:tcPr>
          <w:p w14:paraId="0255CFE2">
            <w:pPr>
              <w:spacing w:line="440" w:lineRule="exact"/>
              <w:jc w:val="center"/>
              <w:rPr>
                <w:color w:val="auto"/>
                <w:highlight w:val="none"/>
              </w:rPr>
            </w:pPr>
          </w:p>
        </w:tc>
        <w:tc>
          <w:tcPr>
            <w:tcW w:w="775" w:type="dxa"/>
            <w:gridSpan w:val="3"/>
            <w:vAlign w:val="center"/>
          </w:tcPr>
          <w:p w14:paraId="1C2CC5AE">
            <w:pPr>
              <w:spacing w:line="440" w:lineRule="exact"/>
              <w:jc w:val="center"/>
              <w:rPr>
                <w:color w:val="auto"/>
                <w:highlight w:val="none"/>
              </w:rPr>
            </w:pPr>
          </w:p>
        </w:tc>
      </w:tr>
      <w:tr w14:paraId="4CC3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75" w:type="dxa"/>
            <w:gridSpan w:val="2"/>
            <w:vAlign w:val="top"/>
          </w:tcPr>
          <w:p w14:paraId="3FB40808">
            <w:pPr>
              <w:spacing w:line="440" w:lineRule="exact"/>
              <w:jc w:val="center"/>
              <w:rPr>
                <w:color w:val="auto"/>
                <w:highlight w:val="none"/>
              </w:rPr>
            </w:pPr>
          </w:p>
        </w:tc>
        <w:tc>
          <w:tcPr>
            <w:tcW w:w="1383" w:type="dxa"/>
            <w:gridSpan w:val="2"/>
            <w:vAlign w:val="top"/>
          </w:tcPr>
          <w:p w14:paraId="6658856A">
            <w:pPr>
              <w:spacing w:line="440" w:lineRule="exact"/>
              <w:jc w:val="center"/>
              <w:rPr>
                <w:color w:val="auto"/>
                <w:highlight w:val="none"/>
              </w:rPr>
            </w:pPr>
          </w:p>
        </w:tc>
        <w:tc>
          <w:tcPr>
            <w:tcW w:w="972" w:type="dxa"/>
            <w:vAlign w:val="top"/>
          </w:tcPr>
          <w:p w14:paraId="694D5DC0">
            <w:pPr>
              <w:spacing w:line="440" w:lineRule="exact"/>
              <w:jc w:val="center"/>
              <w:rPr>
                <w:color w:val="auto"/>
                <w:highlight w:val="none"/>
              </w:rPr>
            </w:pPr>
          </w:p>
        </w:tc>
        <w:tc>
          <w:tcPr>
            <w:tcW w:w="689" w:type="dxa"/>
            <w:gridSpan w:val="2"/>
            <w:vAlign w:val="top"/>
          </w:tcPr>
          <w:p w14:paraId="4C727698">
            <w:pPr>
              <w:spacing w:line="440" w:lineRule="exact"/>
              <w:jc w:val="center"/>
              <w:rPr>
                <w:color w:val="auto"/>
                <w:highlight w:val="none"/>
              </w:rPr>
            </w:pPr>
          </w:p>
        </w:tc>
        <w:tc>
          <w:tcPr>
            <w:tcW w:w="743" w:type="dxa"/>
            <w:vAlign w:val="top"/>
          </w:tcPr>
          <w:p w14:paraId="5FBAE9B0">
            <w:pPr>
              <w:spacing w:line="440" w:lineRule="exact"/>
              <w:jc w:val="center"/>
              <w:rPr>
                <w:color w:val="auto"/>
                <w:highlight w:val="none"/>
              </w:rPr>
            </w:pPr>
          </w:p>
        </w:tc>
        <w:tc>
          <w:tcPr>
            <w:tcW w:w="1104" w:type="dxa"/>
            <w:gridSpan w:val="2"/>
            <w:vAlign w:val="top"/>
          </w:tcPr>
          <w:p w14:paraId="3324EB3F">
            <w:pPr>
              <w:spacing w:line="440" w:lineRule="exact"/>
              <w:jc w:val="center"/>
              <w:rPr>
                <w:color w:val="auto"/>
                <w:highlight w:val="none"/>
              </w:rPr>
            </w:pPr>
          </w:p>
        </w:tc>
        <w:tc>
          <w:tcPr>
            <w:tcW w:w="741" w:type="dxa"/>
            <w:vAlign w:val="top"/>
          </w:tcPr>
          <w:p w14:paraId="4BC5D6D5">
            <w:pPr>
              <w:spacing w:line="440" w:lineRule="exact"/>
              <w:jc w:val="center"/>
              <w:rPr>
                <w:color w:val="auto"/>
                <w:highlight w:val="none"/>
              </w:rPr>
            </w:pPr>
          </w:p>
        </w:tc>
        <w:tc>
          <w:tcPr>
            <w:tcW w:w="1134" w:type="dxa"/>
            <w:vAlign w:val="top"/>
          </w:tcPr>
          <w:p w14:paraId="3A09E4C4">
            <w:pPr>
              <w:spacing w:line="440" w:lineRule="exact"/>
              <w:jc w:val="center"/>
              <w:rPr>
                <w:color w:val="auto"/>
                <w:highlight w:val="none"/>
              </w:rPr>
            </w:pPr>
          </w:p>
        </w:tc>
        <w:tc>
          <w:tcPr>
            <w:tcW w:w="775" w:type="dxa"/>
            <w:gridSpan w:val="3"/>
            <w:vAlign w:val="top"/>
          </w:tcPr>
          <w:p w14:paraId="0A633EC2">
            <w:pPr>
              <w:spacing w:line="440" w:lineRule="exact"/>
              <w:jc w:val="center"/>
              <w:rPr>
                <w:color w:val="auto"/>
                <w:highlight w:val="none"/>
              </w:rPr>
            </w:pPr>
          </w:p>
        </w:tc>
      </w:tr>
      <w:tr w14:paraId="6364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75" w:type="dxa"/>
            <w:gridSpan w:val="2"/>
            <w:vAlign w:val="top"/>
          </w:tcPr>
          <w:p w14:paraId="60C94620">
            <w:pPr>
              <w:spacing w:line="440" w:lineRule="exact"/>
              <w:jc w:val="center"/>
              <w:rPr>
                <w:color w:val="auto"/>
                <w:highlight w:val="none"/>
              </w:rPr>
            </w:pPr>
          </w:p>
        </w:tc>
        <w:tc>
          <w:tcPr>
            <w:tcW w:w="1383" w:type="dxa"/>
            <w:gridSpan w:val="2"/>
            <w:vAlign w:val="top"/>
          </w:tcPr>
          <w:p w14:paraId="53C6555F">
            <w:pPr>
              <w:spacing w:line="440" w:lineRule="exact"/>
              <w:jc w:val="center"/>
              <w:rPr>
                <w:color w:val="auto"/>
                <w:highlight w:val="none"/>
              </w:rPr>
            </w:pPr>
          </w:p>
        </w:tc>
        <w:tc>
          <w:tcPr>
            <w:tcW w:w="972" w:type="dxa"/>
            <w:vAlign w:val="top"/>
          </w:tcPr>
          <w:p w14:paraId="1158A795">
            <w:pPr>
              <w:spacing w:line="440" w:lineRule="exact"/>
              <w:jc w:val="center"/>
              <w:rPr>
                <w:color w:val="auto"/>
                <w:highlight w:val="none"/>
              </w:rPr>
            </w:pPr>
          </w:p>
        </w:tc>
        <w:tc>
          <w:tcPr>
            <w:tcW w:w="689" w:type="dxa"/>
            <w:gridSpan w:val="2"/>
            <w:vAlign w:val="top"/>
          </w:tcPr>
          <w:p w14:paraId="30C260F4">
            <w:pPr>
              <w:spacing w:line="440" w:lineRule="exact"/>
              <w:jc w:val="center"/>
              <w:rPr>
                <w:color w:val="auto"/>
                <w:highlight w:val="none"/>
              </w:rPr>
            </w:pPr>
          </w:p>
        </w:tc>
        <w:tc>
          <w:tcPr>
            <w:tcW w:w="743" w:type="dxa"/>
            <w:vAlign w:val="top"/>
          </w:tcPr>
          <w:p w14:paraId="6F948C3C">
            <w:pPr>
              <w:spacing w:line="440" w:lineRule="exact"/>
              <w:jc w:val="center"/>
              <w:rPr>
                <w:color w:val="auto"/>
                <w:highlight w:val="none"/>
              </w:rPr>
            </w:pPr>
          </w:p>
        </w:tc>
        <w:tc>
          <w:tcPr>
            <w:tcW w:w="1104" w:type="dxa"/>
            <w:gridSpan w:val="2"/>
            <w:vAlign w:val="top"/>
          </w:tcPr>
          <w:p w14:paraId="266C5F8B">
            <w:pPr>
              <w:spacing w:line="440" w:lineRule="exact"/>
              <w:jc w:val="center"/>
              <w:rPr>
                <w:color w:val="auto"/>
                <w:highlight w:val="none"/>
              </w:rPr>
            </w:pPr>
          </w:p>
        </w:tc>
        <w:tc>
          <w:tcPr>
            <w:tcW w:w="741" w:type="dxa"/>
            <w:vAlign w:val="top"/>
          </w:tcPr>
          <w:p w14:paraId="1236CD57">
            <w:pPr>
              <w:spacing w:line="440" w:lineRule="exact"/>
              <w:jc w:val="center"/>
              <w:rPr>
                <w:color w:val="auto"/>
                <w:highlight w:val="none"/>
              </w:rPr>
            </w:pPr>
          </w:p>
        </w:tc>
        <w:tc>
          <w:tcPr>
            <w:tcW w:w="1134" w:type="dxa"/>
            <w:vAlign w:val="top"/>
          </w:tcPr>
          <w:p w14:paraId="5F40F3B0">
            <w:pPr>
              <w:spacing w:line="440" w:lineRule="exact"/>
              <w:jc w:val="center"/>
              <w:rPr>
                <w:color w:val="auto"/>
                <w:highlight w:val="none"/>
              </w:rPr>
            </w:pPr>
          </w:p>
        </w:tc>
        <w:tc>
          <w:tcPr>
            <w:tcW w:w="775" w:type="dxa"/>
            <w:gridSpan w:val="3"/>
            <w:vAlign w:val="top"/>
          </w:tcPr>
          <w:p w14:paraId="69A36B94">
            <w:pPr>
              <w:spacing w:line="440" w:lineRule="exact"/>
              <w:jc w:val="center"/>
              <w:rPr>
                <w:color w:val="auto"/>
                <w:highlight w:val="none"/>
              </w:rPr>
            </w:pPr>
          </w:p>
        </w:tc>
      </w:tr>
      <w:tr w14:paraId="67AD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75" w:type="dxa"/>
            <w:gridSpan w:val="2"/>
            <w:vAlign w:val="top"/>
          </w:tcPr>
          <w:p w14:paraId="2655F25F">
            <w:pPr>
              <w:spacing w:line="440" w:lineRule="exact"/>
              <w:jc w:val="center"/>
              <w:rPr>
                <w:color w:val="auto"/>
                <w:highlight w:val="none"/>
              </w:rPr>
            </w:pPr>
          </w:p>
        </w:tc>
        <w:tc>
          <w:tcPr>
            <w:tcW w:w="1383" w:type="dxa"/>
            <w:gridSpan w:val="2"/>
            <w:vAlign w:val="top"/>
          </w:tcPr>
          <w:p w14:paraId="71185CF4">
            <w:pPr>
              <w:spacing w:line="440" w:lineRule="exact"/>
              <w:jc w:val="center"/>
              <w:rPr>
                <w:color w:val="auto"/>
                <w:highlight w:val="none"/>
              </w:rPr>
            </w:pPr>
          </w:p>
        </w:tc>
        <w:tc>
          <w:tcPr>
            <w:tcW w:w="972" w:type="dxa"/>
            <w:vAlign w:val="top"/>
          </w:tcPr>
          <w:p w14:paraId="6D1CFF3F">
            <w:pPr>
              <w:spacing w:line="440" w:lineRule="exact"/>
              <w:jc w:val="center"/>
              <w:rPr>
                <w:color w:val="auto"/>
                <w:highlight w:val="none"/>
              </w:rPr>
            </w:pPr>
          </w:p>
        </w:tc>
        <w:tc>
          <w:tcPr>
            <w:tcW w:w="689" w:type="dxa"/>
            <w:gridSpan w:val="2"/>
            <w:vAlign w:val="top"/>
          </w:tcPr>
          <w:p w14:paraId="785ABB55">
            <w:pPr>
              <w:spacing w:line="440" w:lineRule="exact"/>
              <w:jc w:val="center"/>
              <w:rPr>
                <w:color w:val="auto"/>
                <w:highlight w:val="none"/>
              </w:rPr>
            </w:pPr>
          </w:p>
        </w:tc>
        <w:tc>
          <w:tcPr>
            <w:tcW w:w="743" w:type="dxa"/>
            <w:vAlign w:val="top"/>
          </w:tcPr>
          <w:p w14:paraId="57942A04">
            <w:pPr>
              <w:spacing w:line="440" w:lineRule="exact"/>
              <w:jc w:val="center"/>
              <w:rPr>
                <w:color w:val="auto"/>
                <w:highlight w:val="none"/>
              </w:rPr>
            </w:pPr>
          </w:p>
        </w:tc>
        <w:tc>
          <w:tcPr>
            <w:tcW w:w="1104" w:type="dxa"/>
            <w:gridSpan w:val="2"/>
            <w:vAlign w:val="top"/>
          </w:tcPr>
          <w:p w14:paraId="681A7690">
            <w:pPr>
              <w:spacing w:line="440" w:lineRule="exact"/>
              <w:jc w:val="center"/>
              <w:rPr>
                <w:color w:val="auto"/>
                <w:highlight w:val="none"/>
              </w:rPr>
            </w:pPr>
          </w:p>
        </w:tc>
        <w:tc>
          <w:tcPr>
            <w:tcW w:w="741" w:type="dxa"/>
            <w:vAlign w:val="top"/>
          </w:tcPr>
          <w:p w14:paraId="6CE06435">
            <w:pPr>
              <w:spacing w:line="440" w:lineRule="exact"/>
              <w:jc w:val="center"/>
              <w:rPr>
                <w:color w:val="auto"/>
                <w:highlight w:val="none"/>
              </w:rPr>
            </w:pPr>
          </w:p>
        </w:tc>
        <w:tc>
          <w:tcPr>
            <w:tcW w:w="1134" w:type="dxa"/>
            <w:vAlign w:val="top"/>
          </w:tcPr>
          <w:p w14:paraId="46C40FFA">
            <w:pPr>
              <w:spacing w:line="440" w:lineRule="exact"/>
              <w:jc w:val="center"/>
              <w:rPr>
                <w:color w:val="auto"/>
                <w:highlight w:val="none"/>
              </w:rPr>
            </w:pPr>
          </w:p>
        </w:tc>
        <w:tc>
          <w:tcPr>
            <w:tcW w:w="775" w:type="dxa"/>
            <w:gridSpan w:val="3"/>
            <w:vAlign w:val="top"/>
          </w:tcPr>
          <w:p w14:paraId="64BBD5E1">
            <w:pPr>
              <w:spacing w:line="440" w:lineRule="exact"/>
              <w:jc w:val="center"/>
              <w:rPr>
                <w:color w:val="auto"/>
                <w:highlight w:val="none"/>
              </w:rPr>
            </w:pPr>
          </w:p>
        </w:tc>
      </w:tr>
      <w:tr w14:paraId="6253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75" w:type="dxa"/>
            <w:gridSpan w:val="2"/>
            <w:vAlign w:val="top"/>
          </w:tcPr>
          <w:p w14:paraId="77563C76">
            <w:pPr>
              <w:spacing w:line="440" w:lineRule="exact"/>
              <w:jc w:val="center"/>
              <w:rPr>
                <w:color w:val="auto"/>
                <w:highlight w:val="none"/>
              </w:rPr>
            </w:pPr>
          </w:p>
        </w:tc>
        <w:tc>
          <w:tcPr>
            <w:tcW w:w="1383" w:type="dxa"/>
            <w:gridSpan w:val="2"/>
            <w:vAlign w:val="top"/>
          </w:tcPr>
          <w:p w14:paraId="1A53A241">
            <w:pPr>
              <w:spacing w:line="440" w:lineRule="exact"/>
              <w:jc w:val="center"/>
              <w:rPr>
                <w:color w:val="auto"/>
                <w:highlight w:val="none"/>
              </w:rPr>
            </w:pPr>
          </w:p>
        </w:tc>
        <w:tc>
          <w:tcPr>
            <w:tcW w:w="972" w:type="dxa"/>
            <w:vAlign w:val="top"/>
          </w:tcPr>
          <w:p w14:paraId="4ADBC6E1">
            <w:pPr>
              <w:spacing w:line="440" w:lineRule="exact"/>
              <w:jc w:val="center"/>
              <w:rPr>
                <w:color w:val="auto"/>
                <w:highlight w:val="none"/>
              </w:rPr>
            </w:pPr>
          </w:p>
        </w:tc>
        <w:tc>
          <w:tcPr>
            <w:tcW w:w="689" w:type="dxa"/>
            <w:gridSpan w:val="2"/>
            <w:vAlign w:val="top"/>
          </w:tcPr>
          <w:p w14:paraId="00FE7419">
            <w:pPr>
              <w:spacing w:line="440" w:lineRule="exact"/>
              <w:jc w:val="center"/>
              <w:rPr>
                <w:color w:val="auto"/>
                <w:highlight w:val="none"/>
              </w:rPr>
            </w:pPr>
          </w:p>
        </w:tc>
        <w:tc>
          <w:tcPr>
            <w:tcW w:w="743" w:type="dxa"/>
            <w:vAlign w:val="top"/>
          </w:tcPr>
          <w:p w14:paraId="533C1300">
            <w:pPr>
              <w:spacing w:line="440" w:lineRule="exact"/>
              <w:jc w:val="center"/>
              <w:rPr>
                <w:color w:val="auto"/>
                <w:highlight w:val="none"/>
              </w:rPr>
            </w:pPr>
          </w:p>
        </w:tc>
        <w:tc>
          <w:tcPr>
            <w:tcW w:w="1104" w:type="dxa"/>
            <w:gridSpan w:val="2"/>
            <w:vAlign w:val="top"/>
          </w:tcPr>
          <w:p w14:paraId="554D218B">
            <w:pPr>
              <w:spacing w:line="440" w:lineRule="exact"/>
              <w:jc w:val="center"/>
              <w:rPr>
                <w:color w:val="auto"/>
                <w:highlight w:val="none"/>
              </w:rPr>
            </w:pPr>
          </w:p>
        </w:tc>
        <w:tc>
          <w:tcPr>
            <w:tcW w:w="741" w:type="dxa"/>
            <w:vAlign w:val="top"/>
          </w:tcPr>
          <w:p w14:paraId="292AA690">
            <w:pPr>
              <w:spacing w:line="440" w:lineRule="exact"/>
              <w:jc w:val="center"/>
              <w:rPr>
                <w:color w:val="auto"/>
                <w:highlight w:val="none"/>
              </w:rPr>
            </w:pPr>
          </w:p>
        </w:tc>
        <w:tc>
          <w:tcPr>
            <w:tcW w:w="1134" w:type="dxa"/>
            <w:vAlign w:val="top"/>
          </w:tcPr>
          <w:p w14:paraId="1EA20CCD">
            <w:pPr>
              <w:spacing w:line="440" w:lineRule="exact"/>
              <w:jc w:val="center"/>
              <w:rPr>
                <w:color w:val="auto"/>
                <w:highlight w:val="none"/>
              </w:rPr>
            </w:pPr>
          </w:p>
        </w:tc>
        <w:tc>
          <w:tcPr>
            <w:tcW w:w="775" w:type="dxa"/>
            <w:gridSpan w:val="3"/>
            <w:vAlign w:val="top"/>
          </w:tcPr>
          <w:p w14:paraId="3EBB7633">
            <w:pPr>
              <w:spacing w:line="440" w:lineRule="exact"/>
              <w:jc w:val="center"/>
              <w:rPr>
                <w:color w:val="auto"/>
                <w:highlight w:val="none"/>
              </w:rPr>
            </w:pPr>
          </w:p>
        </w:tc>
      </w:tr>
      <w:tr w14:paraId="79F0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75" w:type="dxa"/>
            <w:gridSpan w:val="2"/>
            <w:vAlign w:val="top"/>
          </w:tcPr>
          <w:p w14:paraId="684E96C0">
            <w:pPr>
              <w:spacing w:line="440" w:lineRule="exact"/>
              <w:jc w:val="center"/>
              <w:rPr>
                <w:color w:val="auto"/>
                <w:highlight w:val="none"/>
              </w:rPr>
            </w:pPr>
          </w:p>
        </w:tc>
        <w:tc>
          <w:tcPr>
            <w:tcW w:w="1383" w:type="dxa"/>
            <w:gridSpan w:val="2"/>
            <w:vAlign w:val="top"/>
          </w:tcPr>
          <w:p w14:paraId="2B714B4A">
            <w:pPr>
              <w:spacing w:line="440" w:lineRule="exact"/>
              <w:jc w:val="center"/>
              <w:rPr>
                <w:color w:val="auto"/>
                <w:highlight w:val="none"/>
              </w:rPr>
            </w:pPr>
          </w:p>
        </w:tc>
        <w:tc>
          <w:tcPr>
            <w:tcW w:w="972" w:type="dxa"/>
            <w:vAlign w:val="top"/>
          </w:tcPr>
          <w:p w14:paraId="3403ADA0">
            <w:pPr>
              <w:spacing w:line="440" w:lineRule="exact"/>
              <w:jc w:val="center"/>
              <w:rPr>
                <w:color w:val="auto"/>
                <w:highlight w:val="none"/>
              </w:rPr>
            </w:pPr>
          </w:p>
        </w:tc>
        <w:tc>
          <w:tcPr>
            <w:tcW w:w="689" w:type="dxa"/>
            <w:gridSpan w:val="2"/>
            <w:vAlign w:val="top"/>
          </w:tcPr>
          <w:p w14:paraId="13A435F5">
            <w:pPr>
              <w:spacing w:line="440" w:lineRule="exact"/>
              <w:jc w:val="center"/>
              <w:rPr>
                <w:color w:val="auto"/>
                <w:highlight w:val="none"/>
              </w:rPr>
            </w:pPr>
          </w:p>
        </w:tc>
        <w:tc>
          <w:tcPr>
            <w:tcW w:w="743" w:type="dxa"/>
            <w:vAlign w:val="top"/>
          </w:tcPr>
          <w:p w14:paraId="64224089">
            <w:pPr>
              <w:spacing w:line="440" w:lineRule="exact"/>
              <w:jc w:val="center"/>
              <w:rPr>
                <w:color w:val="auto"/>
                <w:highlight w:val="none"/>
              </w:rPr>
            </w:pPr>
          </w:p>
        </w:tc>
        <w:tc>
          <w:tcPr>
            <w:tcW w:w="1104" w:type="dxa"/>
            <w:gridSpan w:val="2"/>
            <w:vAlign w:val="top"/>
          </w:tcPr>
          <w:p w14:paraId="271E127C">
            <w:pPr>
              <w:spacing w:line="440" w:lineRule="exact"/>
              <w:jc w:val="center"/>
              <w:rPr>
                <w:color w:val="auto"/>
                <w:highlight w:val="none"/>
              </w:rPr>
            </w:pPr>
          </w:p>
        </w:tc>
        <w:tc>
          <w:tcPr>
            <w:tcW w:w="741" w:type="dxa"/>
            <w:vAlign w:val="top"/>
          </w:tcPr>
          <w:p w14:paraId="75DE42B3">
            <w:pPr>
              <w:spacing w:line="440" w:lineRule="exact"/>
              <w:jc w:val="center"/>
              <w:rPr>
                <w:color w:val="auto"/>
                <w:highlight w:val="none"/>
              </w:rPr>
            </w:pPr>
          </w:p>
        </w:tc>
        <w:tc>
          <w:tcPr>
            <w:tcW w:w="1134" w:type="dxa"/>
            <w:vAlign w:val="top"/>
          </w:tcPr>
          <w:p w14:paraId="6BC7D890">
            <w:pPr>
              <w:spacing w:line="440" w:lineRule="exact"/>
              <w:jc w:val="center"/>
              <w:rPr>
                <w:color w:val="auto"/>
                <w:highlight w:val="none"/>
              </w:rPr>
            </w:pPr>
          </w:p>
        </w:tc>
        <w:tc>
          <w:tcPr>
            <w:tcW w:w="775" w:type="dxa"/>
            <w:gridSpan w:val="3"/>
            <w:vAlign w:val="top"/>
          </w:tcPr>
          <w:p w14:paraId="67BFEA9C">
            <w:pPr>
              <w:spacing w:line="440" w:lineRule="exact"/>
              <w:jc w:val="center"/>
              <w:rPr>
                <w:color w:val="auto"/>
                <w:highlight w:val="none"/>
              </w:rPr>
            </w:pPr>
          </w:p>
        </w:tc>
      </w:tr>
      <w:tr w14:paraId="2897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5" w:type="dxa"/>
            <w:gridSpan w:val="2"/>
            <w:vAlign w:val="top"/>
          </w:tcPr>
          <w:p w14:paraId="1C809D88">
            <w:pPr>
              <w:spacing w:line="440" w:lineRule="exact"/>
              <w:jc w:val="center"/>
              <w:rPr>
                <w:color w:val="auto"/>
                <w:highlight w:val="none"/>
              </w:rPr>
            </w:pPr>
          </w:p>
        </w:tc>
        <w:tc>
          <w:tcPr>
            <w:tcW w:w="1383" w:type="dxa"/>
            <w:gridSpan w:val="2"/>
            <w:vAlign w:val="top"/>
          </w:tcPr>
          <w:p w14:paraId="5F50991C">
            <w:pPr>
              <w:spacing w:line="440" w:lineRule="exact"/>
              <w:jc w:val="center"/>
              <w:rPr>
                <w:color w:val="auto"/>
                <w:highlight w:val="none"/>
              </w:rPr>
            </w:pPr>
          </w:p>
        </w:tc>
        <w:tc>
          <w:tcPr>
            <w:tcW w:w="972" w:type="dxa"/>
            <w:vAlign w:val="top"/>
          </w:tcPr>
          <w:p w14:paraId="4FDFF45C">
            <w:pPr>
              <w:spacing w:line="440" w:lineRule="exact"/>
              <w:jc w:val="center"/>
              <w:rPr>
                <w:color w:val="auto"/>
                <w:highlight w:val="none"/>
              </w:rPr>
            </w:pPr>
          </w:p>
        </w:tc>
        <w:tc>
          <w:tcPr>
            <w:tcW w:w="689" w:type="dxa"/>
            <w:gridSpan w:val="2"/>
            <w:vAlign w:val="top"/>
          </w:tcPr>
          <w:p w14:paraId="3F3809A0">
            <w:pPr>
              <w:spacing w:line="440" w:lineRule="exact"/>
              <w:jc w:val="center"/>
              <w:rPr>
                <w:color w:val="auto"/>
                <w:highlight w:val="none"/>
              </w:rPr>
            </w:pPr>
          </w:p>
        </w:tc>
        <w:tc>
          <w:tcPr>
            <w:tcW w:w="743" w:type="dxa"/>
            <w:vAlign w:val="top"/>
          </w:tcPr>
          <w:p w14:paraId="429CF4AA">
            <w:pPr>
              <w:spacing w:line="440" w:lineRule="exact"/>
              <w:jc w:val="center"/>
              <w:rPr>
                <w:color w:val="auto"/>
                <w:highlight w:val="none"/>
              </w:rPr>
            </w:pPr>
          </w:p>
        </w:tc>
        <w:tc>
          <w:tcPr>
            <w:tcW w:w="1104" w:type="dxa"/>
            <w:gridSpan w:val="2"/>
            <w:vAlign w:val="top"/>
          </w:tcPr>
          <w:p w14:paraId="6A8D641C">
            <w:pPr>
              <w:spacing w:line="440" w:lineRule="exact"/>
              <w:jc w:val="center"/>
              <w:rPr>
                <w:color w:val="auto"/>
                <w:highlight w:val="none"/>
              </w:rPr>
            </w:pPr>
          </w:p>
        </w:tc>
        <w:tc>
          <w:tcPr>
            <w:tcW w:w="741" w:type="dxa"/>
            <w:vAlign w:val="top"/>
          </w:tcPr>
          <w:p w14:paraId="25276946">
            <w:pPr>
              <w:spacing w:line="440" w:lineRule="exact"/>
              <w:jc w:val="center"/>
              <w:rPr>
                <w:color w:val="auto"/>
                <w:highlight w:val="none"/>
              </w:rPr>
            </w:pPr>
          </w:p>
        </w:tc>
        <w:tc>
          <w:tcPr>
            <w:tcW w:w="1134" w:type="dxa"/>
            <w:vAlign w:val="top"/>
          </w:tcPr>
          <w:p w14:paraId="7528966B">
            <w:pPr>
              <w:spacing w:line="440" w:lineRule="exact"/>
              <w:jc w:val="center"/>
              <w:rPr>
                <w:color w:val="auto"/>
                <w:highlight w:val="none"/>
              </w:rPr>
            </w:pPr>
          </w:p>
        </w:tc>
        <w:tc>
          <w:tcPr>
            <w:tcW w:w="775" w:type="dxa"/>
            <w:gridSpan w:val="3"/>
            <w:vAlign w:val="top"/>
          </w:tcPr>
          <w:p w14:paraId="0718C547">
            <w:pPr>
              <w:spacing w:line="440" w:lineRule="exact"/>
              <w:jc w:val="center"/>
              <w:rPr>
                <w:color w:val="auto"/>
                <w:highlight w:val="none"/>
              </w:rPr>
            </w:pPr>
          </w:p>
        </w:tc>
      </w:tr>
      <w:tr w14:paraId="52B1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75" w:type="dxa"/>
            <w:gridSpan w:val="2"/>
            <w:vAlign w:val="top"/>
          </w:tcPr>
          <w:p w14:paraId="1E0EA810">
            <w:pPr>
              <w:spacing w:line="440" w:lineRule="exact"/>
              <w:jc w:val="center"/>
              <w:rPr>
                <w:color w:val="auto"/>
                <w:highlight w:val="none"/>
              </w:rPr>
            </w:pPr>
          </w:p>
        </w:tc>
        <w:tc>
          <w:tcPr>
            <w:tcW w:w="1383" w:type="dxa"/>
            <w:gridSpan w:val="2"/>
            <w:vAlign w:val="top"/>
          </w:tcPr>
          <w:p w14:paraId="3290E20C">
            <w:pPr>
              <w:spacing w:line="440" w:lineRule="exact"/>
              <w:jc w:val="center"/>
              <w:rPr>
                <w:color w:val="auto"/>
                <w:highlight w:val="none"/>
              </w:rPr>
            </w:pPr>
          </w:p>
        </w:tc>
        <w:tc>
          <w:tcPr>
            <w:tcW w:w="972" w:type="dxa"/>
            <w:vAlign w:val="top"/>
          </w:tcPr>
          <w:p w14:paraId="6C6565F7">
            <w:pPr>
              <w:spacing w:line="440" w:lineRule="exact"/>
              <w:jc w:val="center"/>
              <w:rPr>
                <w:color w:val="auto"/>
                <w:highlight w:val="none"/>
              </w:rPr>
            </w:pPr>
          </w:p>
        </w:tc>
        <w:tc>
          <w:tcPr>
            <w:tcW w:w="689" w:type="dxa"/>
            <w:gridSpan w:val="2"/>
            <w:vAlign w:val="top"/>
          </w:tcPr>
          <w:p w14:paraId="39CDA0ED">
            <w:pPr>
              <w:spacing w:line="440" w:lineRule="exact"/>
              <w:jc w:val="center"/>
              <w:rPr>
                <w:color w:val="auto"/>
                <w:highlight w:val="none"/>
              </w:rPr>
            </w:pPr>
          </w:p>
        </w:tc>
        <w:tc>
          <w:tcPr>
            <w:tcW w:w="743" w:type="dxa"/>
            <w:vAlign w:val="top"/>
          </w:tcPr>
          <w:p w14:paraId="79D9E1B8">
            <w:pPr>
              <w:spacing w:line="440" w:lineRule="exact"/>
              <w:jc w:val="center"/>
              <w:rPr>
                <w:color w:val="auto"/>
                <w:highlight w:val="none"/>
              </w:rPr>
            </w:pPr>
          </w:p>
        </w:tc>
        <w:tc>
          <w:tcPr>
            <w:tcW w:w="1104" w:type="dxa"/>
            <w:gridSpan w:val="2"/>
            <w:vAlign w:val="top"/>
          </w:tcPr>
          <w:p w14:paraId="1679147F">
            <w:pPr>
              <w:spacing w:line="440" w:lineRule="exact"/>
              <w:jc w:val="center"/>
              <w:rPr>
                <w:color w:val="auto"/>
                <w:highlight w:val="none"/>
              </w:rPr>
            </w:pPr>
          </w:p>
        </w:tc>
        <w:tc>
          <w:tcPr>
            <w:tcW w:w="741" w:type="dxa"/>
            <w:vAlign w:val="top"/>
          </w:tcPr>
          <w:p w14:paraId="4C6CD317">
            <w:pPr>
              <w:spacing w:line="440" w:lineRule="exact"/>
              <w:jc w:val="center"/>
              <w:rPr>
                <w:color w:val="auto"/>
                <w:highlight w:val="none"/>
              </w:rPr>
            </w:pPr>
          </w:p>
        </w:tc>
        <w:tc>
          <w:tcPr>
            <w:tcW w:w="1134" w:type="dxa"/>
            <w:vAlign w:val="top"/>
          </w:tcPr>
          <w:p w14:paraId="1353F1AF">
            <w:pPr>
              <w:spacing w:line="440" w:lineRule="exact"/>
              <w:jc w:val="center"/>
              <w:rPr>
                <w:color w:val="auto"/>
                <w:highlight w:val="none"/>
              </w:rPr>
            </w:pPr>
          </w:p>
        </w:tc>
        <w:tc>
          <w:tcPr>
            <w:tcW w:w="775" w:type="dxa"/>
            <w:gridSpan w:val="3"/>
            <w:vAlign w:val="top"/>
          </w:tcPr>
          <w:p w14:paraId="16666B9E">
            <w:pPr>
              <w:spacing w:line="440" w:lineRule="exact"/>
              <w:jc w:val="center"/>
              <w:rPr>
                <w:color w:val="auto"/>
                <w:highlight w:val="none"/>
              </w:rPr>
            </w:pPr>
          </w:p>
        </w:tc>
      </w:tr>
    </w:tbl>
    <w:p w14:paraId="79F7A27F">
      <w:pPr>
        <w:spacing w:line="440" w:lineRule="exact"/>
        <w:rPr>
          <w:rFonts w:ascii="宋体" w:hAnsi="宋体"/>
          <w:b/>
          <w:bCs/>
          <w:color w:val="auto"/>
          <w:sz w:val="24"/>
          <w:szCs w:val="24"/>
          <w:highlight w:val="none"/>
        </w:rPr>
      </w:pPr>
      <w:bookmarkStart w:id="88" w:name="_Toc152042594"/>
      <w:bookmarkStart w:id="89" w:name="_Toc384308390"/>
      <w:bookmarkStart w:id="90" w:name="_Toc152045805"/>
      <w:bookmarkStart w:id="91" w:name="_Toc370676440"/>
      <w:bookmarkStart w:id="92" w:name="_Toc144974873"/>
      <w:bookmarkStart w:id="93" w:name="_Toc300835232"/>
      <w:bookmarkStart w:id="94" w:name="_Toc359594249"/>
      <w:bookmarkStart w:id="95" w:name="_Toc385943079"/>
      <w:bookmarkStart w:id="96" w:name="_Toc492300541"/>
      <w:bookmarkStart w:id="97" w:name="_Toc391394125"/>
      <w:bookmarkStart w:id="98" w:name="_Toc482188668"/>
      <w:bookmarkStart w:id="99" w:name="_Toc179632825"/>
      <w:r>
        <w:rPr>
          <w:rFonts w:hint="eastAsia" w:ascii="宋体" w:hAnsi="宋体"/>
          <w:b/>
          <w:bCs/>
          <w:color w:val="auto"/>
          <w:sz w:val="24"/>
          <w:szCs w:val="24"/>
          <w:highlight w:val="none"/>
        </w:rPr>
        <w:t>（二）主要人员简历表</w:t>
      </w:r>
      <w:bookmarkEnd w:id="88"/>
      <w:bookmarkEnd w:id="89"/>
      <w:bookmarkEnd w:id="90"/>
      <w:bookmarkEnd w:id="91"/>
      <w:bookmarkEnd w:id="92"/>
      <w:bookmarkEnd w:id="93"/>
      <w:bookmarkEnd w:id="94"/>
      <w:bookmarkEnd w:id="95"/>
      <w:bookmarkEnd w:id="96"/>
      <w:bookmarkEnd w:id="97"/>
      <w:bookmarkEnd w:id="98"/>
      <w:bookmarkEnd w:id="99"/>
    </w:p>
    <w:p w14:paraId="0A4D2285">
      <w:pPr>
        <w:topLinePunct/>
        <w:spacing w:line="440" w:lineRule="exact"/>
        <w:jc w:val="center"/>
        <w:rPr>
          <w:color w:val="auto"/>
          <w:sz w:val="23"/>
          <w:highlight w:val="none"/>
        </w:rPr>
      </w:pPr>
      <w:r>
        <w:rPr>
          <w:rFonts w:hint="eastAsia"/>
          <w:color w:val="auto"/>
          <w:highlight w:val="none"/>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357"/>
        <w:gridCol w:w="690"/>
        <w:gridCol w:w="956"/>
        <w:gridCol w:w="1064"/>
        <w:gridCol w:w="705"/>
        <w:gridCol w:w="1259"/>
        <w:gridCol w:w="400"/>
        <w:gridCol w:w="1894"/>
      </w:tblGrid>
      <w:tr w14:paraId="5D3B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85" w:type="dxa"/>
            <w:vAlign w:val="center"/>
          </w:tcPr>
          <w:p w14:paraId="1C6939FC">
            <w:pPr>
              <w:spacing w:line="440" w:lineRule="exact"/>
              <w:jc w:val="center"/>
              <w:rPr>
                <w:color w:val="auto"/>
                <w:highlight w:val="none"/>
              </w:rPr>
            </w:pPr>
            <w:r>
              <w:rPr>
                <w:rFonts w:hint="eastAsia"/>
                <w:color w:val="auto"/>
                <w:highlight w:val="none"/>
              </w:rPr>
              <w:t>姓</w:t>
            </w:r>
            <w:r>
              <w:rPr>
                <w:color w:val="auto"/>
                <w:highlight w:val="none"/>
              </w:rPr>
              <w:t xml:space="preserve">  </w:t>
            </w:r>
            <w:r>
              <w:rPr>
                <w:rFonts w:hint="eastAsia"/>
                <w:color w:val="auto"/>
                <w:highlight w:val="none"/>
              </w:rPr>
              <w:t>名</w:t>
            </w:r>
          </w:p>
        </w:tc>
        <w:tc>
          <w:tcPr>
            <w:tcW w:w="1047" w:type="dxa"/>
            <w:gridSpan w:val="2"/>
            <w:vAlign w:val="center"/>
          </w:tcPr>
          <w:p w14:paraId="1D93B809">
            <w:pPr>
              <w:spacing w:line="440" w:lineRule="exact"/>
              <w:jc w:val="center"/>
              <w:rPr>
                <w:color w:val="auto"/>
                <w:highlight w:val="none"/>
              </w:rPr>
            </w:pPr>
          </w:p>
        </w:tc>
        <w:tc>
          <w:tcPr>
            <w:tcW w:w="956" w:type="dxa"/>
            <w:vAlign w:val="center"/>
          </w:tcPr>
          <w:p w14:paraId="38C4782A">
            <w:pPr>
              <w:spacing w:line="440" w:lineRule="exact"/>
              <w:jc w:val="center"/>
              <w:rPr>
                <w:color w:val="auto"/>
                <w:highlight w:val="none"/>
              </w:rPr>
            </w:pPr>
            <w:r>
              <w:rPr>
                <w:rFonts w:hint="eastAsia"/>
                <w:color w:val="auto"/>
                <w:highlight w:val="none"/>
              </w:rPr>
              <w:t>年龄</w:t>
            </w:r>
          </w:p>
        </w:tc>
        <w:tc>
          <w:tcPr>
            <w:tcW w:w="1064" w:type="dxa"/>
            <w:vAlign w:val="center"/>
          </w:tcPr>
          <w:p w14:paraId="6EB64500">
            <w:pPr>
              <w:spacing w:line="440" w:lineRule="exact"/>
              <w:jc w:val="center"/>
              <w:rPr>
                <w:color w:val="auto"/>
                <w:highlight w:val="none"/>
              </w:rPr>
            </w:pPr>
          </w:p>
        </w:tc>
        <w:tc>
          <w:tcPr>
            <w:tcW w:w="2364" w:type="dxa"/>
            <w:gridSpan w:val="3"/>
            <w:vAlign w:val="center"/>
          </w:tcPr>
          <w:p w14:paraId="0DABE162">
            <w:pPr>
              <w:spacing w:line="440" w:lineRule="exact"/>
              <w:jc w:val="center"/>
              <w:rPr>
                <w:color w:val="auto"/>
                <w:highlight w:val="none"/>
              </w:rPr>
            </w:pPr>
            <w:r>
              <w:rPr>
                <w:rFonts w:hint="eastAsia"/>
                <w:color w:val="auto"/>
                <w:highlight w:val="none"/>
              </w:rPr>
              <w:t>执业资格证书（或上岗证书）名称（如有要求）</w:t>
            </w:r>
          </w:p>
        </w:tc>
        <w:tc>
          <w:tcPr>
            <w:tcW w:w="1894" w:type="dxa"/>
            <w:vAlign w:val="center"/>
          </w:tcPr>
          <w:p w14:paraId="4FE8D57E">
            <w:pPr>
              <w:spacing w:line="440" w:lineRule="exact"/>
              <w:jc w:val="center"/>
              <w:rPr>
                <w:color w:val="auto"/>
                <w:highlight w:val="none"/>
              </w:rPr>
            </w:pPr>
          </w:p>
        </w:tc>
      </w:tr>
      <w:tr w14:paraId="4DAC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85" w:type="dxa"/>
            <w:vAlign w:val="center"/>
          </w:tcPr>
          <w:p w14:paraId="4032F567">
            <w:pPr>
              <w:spacing w:line="440" w:lineRule="exact"/>
              <w:jc w:val="center"/>
              <w:rPr>
                <w:color w:val="auto"/>
                <w:highlight w:val="none"/>
              </w:rPr>
            </w:pPr>
            <w:r>
              <w:rPr>
                <w:rFonts w:hint="eastAsia"/>
                <w:color w:val="auto"/>
                <w:highlight w:val="none"/>
              </w:rPr>
              <w:t>职</w:t>
            </w:r>
            <w:r>
              <w:rPr>
                <w:color w:val="auto"/>
                <w:highlight w:val="none"/>
              </w:rPr>
              <w:t xml:space="preserve">  </w:t>
            </w:r>
            <w:r>
              <w:rPr>
                <w:rFonts w:hint="eastAsia"/>
                <w:color w:val="auto"/>
                <w:highlight w:val="none"/>
              </w:rPr>
              <w:t>称</w:t>
            </w:r>
          </w:p>
        </w:tc>
        <w:tc>
          <w:tcPr>
            <w:tcW w:w="1047" w:type="dxa"/>
            <w:gridSpan w:val="2"/>
            <w:vAlign w:val="center"/>
          </w:tcPr>
          <w:p w14:paraId="6994DEA9">
            <w:pPr>
              <w:spacing w:line="440" w:lineRule="exact"/>
              <w:jc w:val="center"/>
              <w:rPr>
                <w:color w:val="auto"/>
                <w:highlight w:val="none"/>
              </w:rPr>
            </w:pPr>
          </w:p>
        </w:tc>
        <w:tc>
          <w:tcPr>
            <w:tcW w:w="956" w:type="dxa"/>
            <w:vAlign w:val="center"/>
          </w:tcPr>
          <w:p w14:paraId="4BFA132D">
            <w:pPr>
              <w:spacing w:before="100" w:beforeAutospacing="1" w:after="100" w:afterAutospacing="1" w:line="440" w:lineRule="exact"/>
              <w:jc w:val="center"/>
              <w:rPr>
                <w:color w:val="auto"/>
                <w:highlight w:val="none"/>
              </w:rPr>
            </w:pPr>
            <w:r>
              <w:rPr>
                <w:rFonts w:hint="eastAsia"/>
                <w:color w:val="auto"/>
                <w:highlight w:val="none"/>
              </w:rPr>
              <w:t>学历</w:t>
            </w:r>
          </w:p>
        </w:tc>
        <w:tc>
          <w:tcPr>
            <w:tcW w:w="1064" w:type="dxa"/>
            <w:vAlign w:val="center"/>
          </w:tcPr>
          <w:p w14:paraId="3470FD42">
            <w:pPr>
              <w:spacing w:line="440" w:lineRule="exact"/>
              <w:jc w:val="center"/>
              <w:rPr>
                <w:color w:val="auto"/>
                <w:highlight w:val="none"/>
              </w:rPr>
            </w:pPr>
          </w:p>
        </w:tc>
        <w:tc>
          <w:tcPr>
            <w:tcW w:w="2364" w:type="dxa"/>
            <w:gridSpan w:val="3"/>
            <w:vAlign w:val="center"/>
          </w:tcPr>
          <w:p w14:paraId="4CB72E15">
            <w:pPr>
              <w:spacing w:before="100" w:beforeAutospacing="1" w:after="100" w:afterAutospacing="1" w:line="440" w:lineRule="exact"/>
              <w:jc w:val="center"/>
              <w:rPr>
                <w:color w:val="auto"/>
                <w:highlight w:val="none"/>
              </w:rPr>
            </w:pPr>
            <w:r>
              <w:rPr>
                <w:rFonts w:hint="eastAsia"/>
                <w:color w:val="auto"/>
                <w:highlight w:val="none"/>
              </w:rPr>
              <w:t>拟在本项目任职</w:t>
            </w:r>
          </w:p>
        </w:tc>
        <w:tc>
          <w:tcPr>
            <w:tcW w:w="1894" w:type="dxa"/>
            <w:vAlign w:val="center"/>
          </w:tcPr>
          <w:p w14:paraId="582F2D6E">
            <w:pPr>
              <w:spacing w:line="440" w:lineRule="exact"/>
              <w:jc w:val="center"/>
              <w:rPr>
                <w:color w:val="auto"/>
                <w:highlight w:val="none"/>
              </w:rPr>
            </w:pPr>
          </w:p>
        </w:tc>
      </w:tr>
      <w:tr w14:paraId="73D8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85" w:type="dxa"/>
            <w:vAlign w:val="center"/>
          </w:tcPr>
          <w:p w14:paraId="62B82C57">
            <w:pPr>
              <w:spacing w:before="100" w:beforeAutospacing="1" w:after="100" w:afterAutospacing="1" w:line="440" w:lineRule="exact"/>
              <w:jc w:val="center"/>
              <w:rPr>
                <w:color w:val="auto"/>
                <w:highlight w:val="none"/>
              </w:rPr>
            </w:pPr>
            <w:r>
              <w:rPr>
                <w:rFonts w:hint="eastAsia"/>
                <w:color w:val="auto"/>
                <w:highlight w:val="none"/>
              </w:rPr>
              <w:t>工作年限</w:t>
            </w:r>
          </w:p>
        </w:tc>
        <w:tc>
          <w:tcPr>
            <w:tcW w:w="7325" w:type="dxa"/>
            <w:gridSpan w:val="8"/>
            <w:vAlign w:val="center"/>
          </w:tcPr>
          <w:p w14:paraId="5352A5C2">
            <w:pPr>
              <w:spacing w:line="440" w:lineRule="exact"/>
              <w:jc w:val="center"/>
              <w:rPr>
                <w:color w:val="auto"/>
                <w:highlight w:val="none"/>
              </w:rPr>
            </w:pPr>
          </w:p>
        </w:tc>
      </w:tr>
      <w:tr w14:paraId="7BE7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85" w:type="dxa"/>
            <w:vAlign w:val="center"/>
          </w:tcPr>
          <w:p w14:paraId="5422AE63">
            <w:pPr>
              <w:spacing w:before="100" w:beforeAutospacing="1" w:after="100" w:afterAutospacing="1" w:line="440" w:lineRule="exact"/>
              <w:jc w:val="center"/>
              <w:rPr>
                <w:color w:val="auto"/>
                <w:highlight w:val="none"/>
              </w:rPr>
            </w:pPr>
            <w:r>
              <w:rPr>
                <w:rFonts w:hint="eastAsia"/>
                <w:color w:val="auto"/>
                <w:highlight w:val="none"/>
              </w:rPr>
              <w:t>毕业学校</w:t>
            </w:r>
          </w:p>
        </w:tc>
        <w:tc>
          <w:tcPr>
            <w:tcW w:w="7325" w:type="dxa"/>
            <w:gridSpan w:val="8"/>
            <w:vAlign w:val="center"/>
          </w:tcPr>
          <w:p w14:paraId="6589A497">
            <w:pPr>
              <w:spacing w:before="100" w:beforeAutospacing="1" w:after="100" w:afterAutospacing="1" w:line="440" w:lineRule="exact"/>
              <w:ind w:firstLine="1320" w:firstLineChars="550"/>
              <w:rPr>
                <w:color w:val="auto"/>
                <w:highlight w:val="none"/>
              </w:rPr>
            </w:pPr>
            <w:r>
              <w:rPr>
                <w:rFonts w:hint="eastAsia"/>
                <w:color w:val="auto"/>
                <w:highlight w:val="none"/>
              </w:rPr>
              <w:t>年毕业于</w:t>
            </w:r>
            <w:r>
              <w:rPr>
                <w:color w:val="auto"/>
                <w:highlight w:val="none"/>
              </w:rPr>
              <w:t xml:space="preserve">            </w:t>
            </w:r>
            <w:r>
              <w:rPr>
                <w:rFonts w:hint="eastAsia"/>
                <w:color w:val="auto"/>
                <w:highlight w:val="none"/>
              </w:rPr>
              <w:t>学校</w:t>
            </w:r>
            <w:r>
              <w:rPr>
                <w:color w:val="auto"/>
                <w:highlight w:val="none"/>
              </w:rPr>
              <w:t xml:space="preserve">        </w:t>
            </w:r>
            <w:r>
              <w:rPr>
                <w:rFonts w:hint="eastAsia"/>
                <w:color w:val="auto"/>
                <w:highlight w:val="none"/>
              </w:rPr>
              <w:t>专业</w:t>
            </w:r>
          </w:p>
        </w:tc>
      </w:tr>
      <w:tr w14:paraId="6F29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510" w:type="dxa"/>
            <w:gridSpan w:val="9"/>
            <w:vAlign w:val="center"/>
          </w:tcPr>
          <w:p w14:paraId="523AB023">
            <w:pPr>
              <w:spacing w:before="100" w:beforeAutospacing="1" w:after="100" w:afterAutospacing="1" w:line="440" w:lineRule="exact"/>
              <w:jc w:val="left"/>
              <w:rPr>
                <w:color w:val="auto"/>
                <w:highlight w:val="none"/>
              </w:rPr>
            </w:pPr>
            <w:r>
              <w:rPr>
                <w:rFonts w:hint="eastAsia"/>
                <w:color w:val="auto"/>
                <w:highlight w:val="none"/>
              </w:rPr>
              <w:t>主要工作经历</w:t>
            </w:r>
          </w:p>
        </w:tc>
      </w:tr>
      <w:tr w14:paraId="1ED1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42" w:type="dxa"/>
            <w:gridSpan w:val="2"/>
            <w:vAlign w:val="center"/>
          </w:tcPr>
          <w:p w14:paraId="3254DAF2">
            <w:pPr>
              <w:spacing w:before="100" w:beforeAutospacing="1" w:after="100" w:afterAutospacing="1" w:line="440" w:lineRule="exact"/>
              <w:jc w:val="center"/>
              <w:rPr>
                <w:color w:val="auto"/>
                <w:highlight w:val="none"/>
              </w:rPr>
            </w:pPr>
            <w:r>
              <w:rPr>
                <w:rFonts w:hint="eastAsia"/>
                <w:color w:val="auto"/>
                <w:highlight w:val="none"/>
              </w:rPr>
              <w:t>时</w:t>
            </w:r>
            <w:r>
              <w:rPr>
                <w:color w:val="auto"/>
                <w:highlight w:val="none"/>
              </w:rPr>
              <w:t xml:space="preserve">  </w:t>
            </w:r>
            <w:r>
              <w:rPr>
                <w:rFonts w:hint="eastAsia"/>
                <w:color w:val="auto"/>
                <w:highlight w:val="none"/>
              </w:rPr>
              <w:t>间</w:t>
            </w:r>
          </w:p>
        </w:tc>
        <w:tc>
          <w:tcPr>
            <w:tcW w:w="3415" w:type="dxa"/>
            <w:gridSpan w:val="4"/>
            <w:vAlign w:val="center"/>
          </w:tcPr>
          <w:p w14:paraId="3D828876">
            <w:pPr>
              <w:spacing w:before="100" w:beforeAutospacing="1" w:after="100" w:afterAutospacing="1" w:line="440" w:lineRule="exact"/>
              <w:jc w:val="center"/>
              <w:rPr>
                <w:color w:val="auto"/>
                <w:highlight w:val="none"/>
              </w:rPr>
            </w:pPr>
            <w:r>
              <w:rPr>
                <w:rFonts w:hint="eastAsia"/>
                <w:color w:val="auto"/>
                <w:highlight w:val="none"/>
              </w:rPr>
              <w:t>参加过的类似项目</w:t>
            </w:r>
          </w:p>
        </w:tc>
        <w:tc>
          <w:tcPr>
            <w:tcW w:w="1259" w:type="dxa"/>
            <w:vAlign w:val="center"/>
          </w:tcPr>
          <w:p w14:paraId="75616F75">
            <w:pPr>
              <w:spacing w:before="100" w:beforeAutospacing="1" w:after="100" w:afterAutospacing="1" w:line="440" w:lineRule="exact"/>
              <w:jc w:val="center"/>
              <w:rPr>
                <w:color w:val="auto"/>
                <w:highlight w:val="none"/>
              </w:rPr>
            </w:pPr>
            <w:r>
              <w:rPr>
                <w:rFonts w:hint="eastAsia"/>
                <w:color w:val="auto"/>
                <w:highlight w:val="none"/>
              </w:rPr>
              <w:t>担任职务</w:t>
            </w:r>
          </w:p>
        </w:tc>
        <w:tc>
          <w:tcPr>
            <w:tcW w:w="2294" w:type="dxa"/>
            <w:gridSpan w:val="2"/>
            <w:vAlign w:val="center"/>
          </w:tcPr>
          <w:p w14:paraId="1E53EA20">
            <w:pPr>
              <w:spacing w:before="100" w:beforeAutospacing="1" w:after="100" w:afterAutospacing="1" w:line="440" w:lineRule="exact"/>
              <w:jc w:val="center"/>
              <w:rPr>
                <w:color w:val="auto"/>
                <w:highlight w:val="none"/>
              </w:rPr>
            </w:pPr>
            <w:r>
              <w:rPr>
                <w:rFonts w:hint="eastAsia"/>
                <w:color w:val="auto"/>
                <w:highlight w:val="none"/>
              </w:rPr>
              <w:t>发包人及联系电话</w:t>
            </w:r>
          </w:p>
        </w:tc>
      </w:tr>
      <w:tr w14:paraId="73BE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542" w:type="dxa"/>
            <w:gridSpan w:val="2"/>
            <w:vAlign w:val="top"/>
          </w:tcPr>
          <w:p w14:paraId="5004EA7D">
            <w:pPr>
              <w:spacing w:line="440" w:lineRule="exact"/>
              <w:rPr>
                <w:color w:val="auto"/>
                <w:highlight w:val="none"/>
              </w:rPr>
            </w:pPr>
          </w:p>
        </w:tc>
        <w:tc>
          <w:tcPr>
            <w:tcW w:w="3415" w:type="dxa"/>
            <w:gridSpan w:val="4"/>
            <w:vAlign w:val="top"/>
          </w:tcPr>
          <w:p w14:paraId="50E171D1">
            <w:pPr>
              <w:spacing w:line="440" w:lineRule="exact"/>
              <w:rPr>
                <w:color w:val="auto"/>
                <w:highlight w:val="none"/>
              </w:rPr>
            </w:pPr>
          </w:p>
        </w:tc>
        <w:tc>
          <w:tcPr>
            <w:tcW w:w="1259" w:type="dxa"/>
            <w:vAlign w:val="top"/>
          </w:tcPr>
          <w:p w14:paraId="778D7A49">
            <w:pPr>
              <w:spacing w:line="440" w:lineRule="exact"/>
              <w:rPr>
                <w:color w:val="auto"/>
                <w:highlight w:val="none"/>
              </w:rPr>
            </w:pPr>
          </w:p>
        </w:tc>
        <w:tc>
          <w:tcPr>
            <w:tcW w:w="2294" w:type="dxa"/>
            <w:gridSpan w:val="2"/>
            <w:vAlign w:val="top"/>
          </w:tcPr>
          <w:p w14:paraId="2BBF2D64">
            <w:pPr>
              <w:spacing w:line="440" w:lineRule="exact"/>
              <w:rPr>
                <w:color w:val="auto"/>
                <w:highlight w:val="none"/>
              </w:rPr>
            </w:pPr>
          </w:p>
        </w:tc>
      </w:tr>
      <w:tr w14:paraId="1339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542" w:type="dxa"/>
            <w:gridSpan w:val="2"/>
            <w:vAlign w:val="top"/>
          </w:tcPr>
          <w:p w14:paraId="37CD252E">
            <w:pPr>
              <w:spacing w:line="440" w:lineRule="exact"/>
              <w:rPr>
                <w:color w:val="auto"/>
                <w:highlight w:val="none"/>
              </w:rPr>
            </w:pPr>
          </w:p>
        </w:tc>
        <w:tc>
          <w:tcPr>
            <w:tcW w:w="3415" w:type="dxa"/>
            <w:gridSpan w:val="4"/>
            <w:vAlign w:val="top"/>
          </w:tcPr>
          <w:p w14:paraId="39C9F65F">
            <w:pPr>
              <w:spacing w:line="440" w:lineRule="exact"/>
              <w:rPr>
                <w:color w:val="auto"/>
                <w:highlight w:val="none"/>
              </w:rPr>
            </w:pPr>
          </w:p>
        </w:tc>
        <w:tc>
          <w:tcPr>
            <w:tcW w:w="1259" w:type="dxa"/>
            <w:vAlign w:val="top"/>
          </w:tcPr>
          <w:p w14:paraId="1BE82EE3">
            <w:pPr>
              <w:spacing w:line="440" w:lineRule="exact"/>
              <w:rPr>
                <w:color w:val="auto"/>
                <w:highlight w:val="none"/>
              </w:rPr>
            </w:pPr>
          </w:p>
        </w:tc>
        <w:tc>
          <w:tcPr>
            <w:tcW w:w="2294" w:type="dxa"/>
            <w:gridSpan w:val="2"/>
            <w:vAlign w:val="top"/>
          </w:tcPr>
          <w:p w14:paraId="1364D8B7">
            <w:pPr>
              <w:spacing w:line="440" w:lineRule="exact"/>
              <w:rPr>
                <w:color w:val="auto"/>
                <w:highlight w:val="none"/>
              </w:rPr>
            </w:pPr>
          </w:p>
        </w:tc>
      </w:tr>
      <w:tr w14:paraId="7E96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542" w:type="dxa"/>
            <w:gridSpan w:val="2"/>
            <w:vAlign w:val="top"/>
          </w:tcPr>
          <w:p w14:paraId="5A95F12A">
            <w:pPr>
              <w:spacing w:line="440" w:lineRule="exact"/>
              <w:rPr>
                <w:color w:val="auto"/>
                <w:highlight w:val="none"/>
              </w:rPr>
            </w:pPr>
          </w:p>
        </w:tc>
        <w:tc>
          <w:tcPr>
            <w:tcW w:w="3415" w:type="dxa"/>
            <w:gridSpan w:val="4"/>
            <w:vAlign w:val="top"/>
          </w:tcPr>
          <w:p w14:paraId="17570A0A">
            <w:pPr>
              <w:spacing w:line="440" w:lineRule="exact"/>
              <w:rPr>
                <w:color w:val="auto"/>
                <w:highlight w:val="none"/>
              </w:rPr>
            </w:pPr>
          </w:p>
        </w:tc>
        <w:tc>
          <w:tcPr>
            <w:tcW w:w="1259" w:type="dxa"/>
            <w:vAlign w:val="top"/>
          </w:tcPr>
          <w:p w14:paraId="4CAB50C0">
            <w:pPr>
              <w:spacing w:line="440" w:lineRule="exact"/>
              <w:rPr>
                <w:color w:val="auto"/>
                <w:highlight w:val="none"/>
              </w:rPr>
            </w:pPr>
          </w:p>
        </w:tc>
        <w:tc>
          <w:tcPr>
            <w:tcW w:w="2294" w:type="dxa"/>
            <w:gridSpan w:val="2"/>
            <w:vAlign w:val="top"/>
          </w:tcPr>
          <w:p w14:paraId="32EC96C6">
            <w:pPr>
              <w:spacing w:line="440" w:lineRule="exact"/>
              <w:rPr>
                <w:color w:val="auto"/>
                <w:highlight w:val="none"/>
              </w:rPr>
            </w:pPr>
          </w:p>
        </w:tc>
      </w:tr>
    </w:tbl>
    <w:p w14:paraId="2CEBA5FB">
      <w:pPr>
        <w:spacing w:line="440" w:lineRule="exact"/>
        <w:rPr>
          <w:rFonts w:hint="eastAsia" w:ascii="宋体" w:hAnsi="宋体"/>
          <w:color w:val="auto"/>
          <w:sz w:val="28"/>
          <w:highlight w:val="none"/>
        </w:rPr>
      </w:pPr>
      <w:r>
        <w:rPr>
          <w:b/>
          <w:color w:val="auto"/>
          <w:highlight w:val="none"/>
        </w:rPr>
        <w:t>注：投标人应根据</w:t>
      </w:r>
      <w:r>
        <w:rPr>
          <w:rFonts w:hint="eastAsia"/>
          <w:b/>
          <w:color w:val="auto"/>
          <w:highlight w:val="none"/>
        </w:rPr>
        <w:t>招标文件</w:t>
      </w:r>
      <w:r>
        <w:rPr>
          <w:b/>
          <w:color w:val="auto"/>
          <w:highlight w:val="none"/>
        </w:rPr>
        <w:t>的要求在本表后附相关证明材料。</w:t>
      </w:r>
    </w:p>
    <w:p w14:paraId="39E15C68">
      <w:pPr>
        <w:pStyle w:val="3"/>
        <w:spacing w:before="120" w:after="120" w:line="360" w:lineRule="auto"/>
        <w:rPr>
          <w:rFonts w:hint="eastAsia" w:hAnsi="宋体"/>
          <w:color w:val="auto"/>
          <w:sz w:val="24"/>
          <w:szCs w:val="24"/>
          <w:highlight w:val="none"/>
        </w:rPr>
      </w:pPr>
      <w:r>
        <w:rPr>
          <w:rFonts w:hAnsi="宋体"/>
          <w:color w:val="auto"/>
          <w:sz w:val="24"/>
          <w:szCs w:val="24"/>
          <w:highlight w:val="none"/>
        </w:rPr>
        <w:br w:type="page"/>
      </w:r>
      <w:bookmarkStart w:id="100" w:name="_Toc23221"/>
      <w:bookmarkStart w:id="101" w:name="_Toc10120"/>
      <w:bookmarkStart w:id="102" w:name="_Toc31107"/>
      <w:bookmarkStart w:id="103" w:name="_Toc10299"/>
      <w:r>
        <w:rPr>
          <w:rFonts w:hint="eastAsia" w:hAnsi="宋体"/>
          <w:color w:val="auto"/>
          <w:sz w:val="28"/>
          <w:highlight w:val="none"/>
          <w:lang w:val="en-US" w:eastAsia="zh-CN"/>
        </w:rPr>
        <w:t>七</w:t>
      </w:r>
      <w:r>
        <w:rPr>
          <w:rFonts w:hint="eastAsia" w:hAnsi="宋体"/>
          <w:color w:val="auto"/>
          <w:sz w:val="28"/>
          <w:highlight w:val="none"/>
        </w:rPr>
        <w:t>．服务方案</w:t>
      </w:r>
      <w:bookmarkEnd w:id="100"/>
      <w:bookmarkEnd w:id="101"/>
      <w:bookmarkEnd w:id="102"/>
      <w:bookmarkEnd w:id="103"/>
    </w:p>
    <w:p w14:paraId="2404FCC0">
      <w:pPr>
        <w:spacing w:before="48" w:beforeLines="20" w:after="48" w:afterLines="20" w:line="360" w:lineRule="auto"/>
        <w:jc w:val="center"/>
        <w:rPr>
          <w:rFonts w:hint="eastAsia" w:ascii="宋体" w:hAnsi="宋体"/>
          <w:color w:val="auto"/>
          <w:sz w:val="24"/>
          <w:szCs w:val="24"/>
          <w:highlight w:val="none"/>
        </w:rPr>
      </w:pPr>
      <w:r>
        <w:rPr>
          <w:rFonts w:hint="eastAsia" w:ascii="宋体" w:hAnsi="宋体"/>
          <w:bCs/>
          <w:color w:val="auto"/>
          <w:sz w:val="24"/>
          <w:szCs w:val="24"/>
          <w:highlight w:val="none"/>
        </w:rPr>
        <w:t>（投标人可自行制作格式）</w:t>
      </w:r>
    </w:p>
    <w:p w14:paraId="7708AD9F">
      <w:pPr>
        <w:spacing w:before="48" w:beforeLines="20" w:after="48" w:afterLines="20" w:line="360" w:lineRule="auto"/>
        <w:rPr>
          <w:rFonts w:hint="eastAsia" w:ascii="宋体" w:hAnsi="宋体"/>
          <w:color w:val="auto"/>
          <w:sz w:val="24"/>
          <w:szCs w:val="24"/>
          <w:highlight w:val="none"/>
        </w:rPr>
      </w:pPr>
    </w:p>
    <w:p w14:paraId="12565503">
      <w:pPr>
        <w:spacing w:before="48" w:beforeLines="20" w:after="48" w:afterLines="20" w:line="360" w:lineRule="auto"/>
        <w:rPr>
          <w:rFonts w:hint="eastAsia" w:ascii="宋体" w:hAnsi="宋体"/>
          <w:color w:val="auto"/>
          <w:sz w:val="24"/>
          <w:szCs w:val="24"/>
          <w:highlight w:val="none"/>
        </w:rPr>
      </w:pPr>
    </w:p>
    <w:p w14:paraId="3FEF9738">
      <w:pPr>
        <w:spacing w:before="48" w:beforeLines="20" w:after="48" w:afterLines="20" w:line="360" w:lineRule="auto"/>
        <w:rPr>
          <w:rFonts w:hint="eastAsia" w:ascii="宋体" w:hAnsi="宋体"/>
          <w:color w:val="auto"/>
          <w:sz w:val="24"/>
          <w:szCs w:val="24"/>
          <w:highlight w:val="none"/>
        </w:rPr>
      </w:pPr>
    </w:p>
    <w:p w14:paraId="64B6C422">
      <w:pPr>
        <w:spacing w:before="48" w:beforeLines="20" w:after="48" w:afterLines="20" w:line="360" w:lineRule="auto"/>
        <w:rPr>
          <w:rFonts w:hint="eastAsia" w:ascii="宋体" w:hAnsi="宋体"/>
          <w:color w:val="auto"/>
          <w:sz w:val="24"/>
          <w:szCs w:val="24"/>
          <w:highlight w:val="none"/>
        </w:rPr>
      </w:pPr>
    </w:p>
    <w:p w14:paraId="4A489259">
      <w:pPr>
        <w:spacing w:before="48" w:beforeLines="20" w:after="48" w:afterLines="20" w:line="360" w:lineRule="auto"/>
        <w:rPr>
          <w:rFonts w:hint="eastAsia" w:ascii="宋体" w:hAnsi="宋体"/>
          <w:color w:val="auto"/>
          <w:sz w:val="24"/>
          <w:szCs w:val="24"/>
          <w:highlight w:val="none"/>
        </w:rPr>
      </w:pPr>
    </w:p>
    <w:p w14:paraId="04E284D8">
      <w:pPr>
        <w:pStyle w:val="3"/>
        <w:spacing w:before="120" w:after="120" w:line="360" w:lineRule="auto"/>
        <w:rPr>
          <w:rFonts w:hint="eastAsia" w:hAnsi="宋体"/>
          <w:color w:val="auto"/>
          <w:sz w:val="24"/>
          <w:szCs w:val="24"/>
          <w:highlight w:val="none"/>
        </w:rPr>
      </w:pPr>
      <w:bookmarkStart w:id="104" w:name="_Toc220232402"/>
      <w:bookmarkStart w:id="105" w:name="_Toc516969105"/>
      <w:r>
        <w:rPr>
          <w:rFonts w:hAnsi="宋体"/>
          <w:color w:val="auto"/>
          <w:sz w:val="24"/>
          <w:szCs w:val="24"/>
          <w:highlight w:val="none"/>
        </w:rPr>
        <w:br w:type="page"/>
      </w:r>
      <w:bookmarkStart w:id="106" w:name="_Toc4094"/>
      <w:bookmarkStart w:id="107" w:name="_Toc3193"/>
      <w:bookmarkStart w:id="108" w:name="_Toc9005"/>
      <w:bookmarkStart w:id="109" w:name="_Toc20443"/>
      <w:bookmarkStart w:id="110" w:name="_Toc6564"/>
      <w:r>
        <w:rPr>
          <w:rFonts w:hint="eastAsia" w:hAnsi="宋体"/>
          <w:color w:val="auto"/>
          <w:sz w:val="28"/>
          <w:highlight w:val="none"/>
          <w:lang w:val="en-US" w:eastAsia="zh-CN"/>
        </w:rPr>
        <w:t>八</w:t>
      </w:r>
      <w:r>
        <w:rPr>
          <w:rFonts w:hint="eastAsia" w:hAnsi="宋体"/>
          <w:color w:val="auto"/>
          <w:sz w:val="28"/>
          <w:highlight w:val="none"/>
        </w:rPr>
        <w:t>．有关证明文件</w:t>
      </w:r>
      <w:bookmarkEnd w:id="104"/>
      <w:bookmarkEnd w:id="105"/>
      <w:bookmarkEnd w:id="106"/>
      <w:bookmarkEnd w:id="107"/>
      <w:bookmarkEnd w:id="108"/>
      <w:bookmarkEnd w:id="109"/>
      <w:bookmarkEnd w:id="110"/>
    </w:p>
    <w:p w14:paraId="6BE2C1C2">
      <w:pPr>
        <w:tabs>
          <w:tab w:val="left" w:pos="4620"/>
        </w:tabs>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提供符合投标邀请（招标公告）、招标需求及评标办法规定的相关证明文件。</w:t>
      </w:r>
    </w:p>
    <w:p w14:paraId="20E530E2">
      <w:pPr>
        <w:tabs>
          <w:tab w:val="left" w:pos="4620"/>
        </w:tabs>
        <w:spacing w:line="360" w:lineRule="auto"/>
        <w:rPr>
          <w:rFonts w:hint="eastAsia" w:ascii="宋体" w:hAnsi="宋体"/>
          <w:color w:val="auto"/>
          <w:sz w:val="24"/>
          <w:szCs w:val="24"/>
          <w:highlight w:val="none"/>
        </w:rPr>
      </w:pPr>
    </w:p>
    <w:p w14:paraId="435B92F6">
      <w:pPr>
        <w:tabs>
          <w:tab w:val="left" w:pos="4620"/>
        </w:tabs>
        <w:spacing w:line="360" w:lineRule="auto"/>
        <w:rPr>
          <w:rFonts w:hint="eastAsia" w:ascii="宋体" w:hAnsi="宋体"/>
          <w:color w:val="auto"/>
          <w:sz w:val="24"/>
          <w:szCs w:val="24"/>
          <w:highlight w:val="none"/>
        </w:rPr>
      </w:pPr>
      <w:r>
        <w:rPr>
          <w:rFonts w:ascii="宋体" w:hAnsi="宋体"/>
          <w:color w:val="auto"/>
          <w:sz w:val="24"/>
          <w:szCs w:val="24"/>
          <w:highlight w:val="none"/>
        </w:rPr>
        <w:br w:type="page"/>
      </w:r>
    </w:p>
    <w:p w14:paraId="6F3ACE45">
      <w:pPr>
        <w:pStyle w:val="3"/>
        <w:spacing w:before="120" w:after="120" w:line="360" w:lineRule="auto"/>
        <w:rPr>
          <w:rFonts w:hint="eastAsia" w:hAnsi="宋体"/>
          <w:color w:val="auto"/>
          <w:sz w:val="24"/>
          <w:szCs w:val="24"/>
          <w:highlight w:val="none"/>
        </w:rPr>
      </w:pPr>
      <w:bookmarkStart w:id="111" w:name="_Toc27640"/>
      <w:bookmarkStart w:id="112" w:name="_Toc27046"/>
      <w:bookmarkStart w:id="113" w:name="_Toc8964"/>
      <w:bookmarkStart w:id="114" w:name="_Toc13926"/>
      <w:bookmarkStart w:id="115" w:name="_Toc10674"/>
      <w:r>
        <w:rPr>
          <w:rFonts w:hint="default" w:hAnsi="宋体"/>
          <w:color w:val="auto"/>
          <w:sz w:val="28"/>
          <w:highlight w:val="none"/>
          <w:lang w:val="en-US"/>
        </w:rPr>
        <mc:AlternateContent>
          <mc:Choice Requires="wpg">
            <w:drawing>
              <wp:anchor distT="0" distB="0" distL="114300" distR="114300" simplePos="0" relativeHeight="251663360" behindDoc="0" locked="0" layoutInCell="1" allowOverlap="1">
                <wp:simplePos x="0" y="0"/>
                <wp:positionH relativeFrom="column">
                  <wp:posOffset>1236980</wp:posOffset>
                </wp:positionH>
                <wp:positionV relativeFrom="paragraph">
                  <wp:posOffset>2533650</wp:posOffset>
                </wp:positionV>
                <wp:extent cx="3860165" cy="727710"/>
                <wp:effectExtent l="4445" t="4445" r="21590" b="10795"/>
                <wp:wrapNone/>
                <wp:docPr id="15" name="组合 12"/>
                <wp:cNvGraphicFramePr/>
                <a:graphic xmlns:a="http://schemas.openxmlformats.org/drawingml/2006/main">
                  <a:graphicData uri="http://schemas.microsoft.com/office/word/2010/wordprocessingGroup">
                    <wpg:wgp>
                      <wpg:cNvGrpSpPr/>
                      <wpg:grpSpPr>
                        <a:xfrm>
                          <a:off x="0" y="0"/>
                          <a:ext cx="3860165" cy="727710"/>
                          <a:chOff x="3270" y="5789"/>
                          <a:chExt cx="6079" cy="1525"/>
                        </a:xfrm>
                      </wpg:grpSpPr>
                      <wps:wsp>
                        <wps:cNvPr id="1" name="自选图形 13"/>
                        <wps:cNvSpPr/>
                        <wps:spPr>
                          <a:xfrm>
                            <a:off x="3270" y="5789"/>
                            <a:ext cx="2794" cy="15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EFBB83A">
                              <w:pPr>
                                <w:rPr>
                                  <w:rFonts w:hint="eastAsia"/>
                                  <w:color w:val="FF0000"/>
                                </w:rPr>
                              </w:pPr>
                            </w:p>
                            <w:p w14:paraId="31ED742B">
                              <w:pPr>
                                <w:jc w:val="center"/>
                                <w:rPr>
                                  <w:rFonts w:hint="eastAsia"/>
                                  <w:color w:val="FF0000"/>
                                </w:rPr>
                              </w:pPr>
                              <w:r>
                                <w:rPr>
                                  <w:rFonts w:hint="eastAsia"/>
                                  <w:color w:val="FF0000"/>
                                </w:rPr>
                                <w:t>授权代表身份证</w:t>
                              </w:r>
                            </w:p>
                            <w:p w14:paraId="6528C771">
                              <w:pPr>
                                <w:jc w:val="center"/>
                                <w:rPr>
                                  <w:color w:val="FF0000"/>
                                  <w:szCs w:val="21"/>
                                </w:rPr>
                              </w:pPr>
                              <w:r>
                                <w:rPr>
                                  <w:rFonts w:hint="eastAsia"/>
                                  <w:color w:val="FF0000"/>
                                </w:rPr>
                                <w:t>复印件或影印件</w:t>
                              </w:r>
                            </w:p>
                          </w:txbxContent>
                        </wps:txbx>
                        <wps:bodyPr wrap="square" upright="1"/>
                      </wps:wsp>
                      <wps:wsp>
                        <wps:cNvPr id="2" name="自选图形 14"/>
                        <wps:cNvSpPr/>
                        <wps:spPr>
                          <a:xfrm>
                            <a:off x="6555" y="5789"/>
                            <a:ext cx="2794" cy="15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085270BF">
                              <w:pPr>
                                <w:rPr>
                                  <w:rFonts w:hint="eastAsia"/>
                                  <w:color w:val="FF0000"/>
                                </w:rPr>
                              </w:pPr>
                            </w:p>
                            <w:p w14:paraId="237B314B">
                              <w:pPr>
                                <w:jc w:val="center"/>
                                <w:rPr>
                                  <w:rFonts w:hint="eastAsia"/>
                                  <w:color w:val="FF0000"/>
                                </w:rPr>
                              </w:pPr>
                              <w:r>
                                <w:rPr>
                                  <w:rFonts w:hint="eastAsia"/>
                                  <w:color w:val="FF0000"/>
                                </w:rPr>
                                <w:t>授权代表身份证</w:t>
                              </w:r>
                            </w:p>
                            <w:p w14:paraId="06433770">
                              <w:pPr>
                                <w:jc w:val="center"/>
                                <w:rPr>
                                  <w:color w:val="FF0000"/>
                                  <w:szCs w:val="21"/>
                                </w:rPr>
                              </w:pPr>
                              <w:r>
                                <w:rPr>
                                  <w:rFonts w:hint="eastAsia"/>
                                  <w:color w:val="FF0000"/>
                                </w:rPr>
                                <w:t>复印件或影印件</w:t>
                              </w:r>
                            </w:p>
                          </w:txbxContent>
                        </wps:txbx>
                        <wps:bodyPr wrap="square" upright="1"/>
                      </wps:wsp>
                    </wpg:wgp>
                  </a:graphicData>
                </a:graphic>
              </wp:anchor>
            </w:drawing>
          </mc:Choice>
          <mc:Fallback>
            <w:pict>
              <v:group id="组合 12" o:spid="_x0000_s1026" o:spt="203" style="position:absolute;left:0pt;margin-left:97.4pt;margin-top:199.5pt;height:57.3pt;width:303.95pt;z-index:251663360;mso-width-relative:page;mso-height-relative:page;" coordorigin="3270,5789" coordsize="6079,1525" o:gfxdata="UEsDBAoAAAAAAIdO4kAAAAAAAAAAAAAAAAAEAAAAZHJzL1BLAwQUAAAACACHTuJA1fzzE9sAAAAL&#10;AQAADwAAAGRycy9kb3ducmV2LnhtbE2PwW7CMBBE75X6D9ZW6q3YJoWSNA6qUNsTQipUQtxMvCQR&#10;sR3FJoG/7/bUHkczmnmTL6+2ZQP2ofFOgZwIYOhKbxpXKfjefTwtgIWondGtd6jghgGWxf1drjPj&#10;R/eFwzZWjEpcyLSCOsYu4zyUNVodJr5DR97J91ZHkn3FTa9HKrctnwox51Y3jhZq3eGqxvK8vVgF&#10;n6Me3xL5PqzPp9XtsJtt9muJSj0+SPEKLOI1/oXhF5/QoSCmo784E1hLOn0m9KggSVM6RYmFmL4A&#10;OyqYyWQOvMj5/w/FD1BLAwQUAAAACACHTuJAlJBsZcMCAAAgCAAADgAAAGRycy9lMm9Eb2MueG1s&#10;7VXNbtQwEL4j8Q6W7zQ/7SbdqNke2LYXBBWFB/A6zg9ybGN7N7s3DkjAjTs3jrwCgrepgLdg7GS3&#10;3bKICiQkJHJI7Hjm88w3n8dHx8uWowXTppEix9FeiBETVBaNqHL89MnpvUOMjCWiIFwKluMVM/h4&#10;cvfOUacyFsta8oJpBCDCZJ3KcW2tyoLA0Jq1xOxJxQQsllK3xMJUV0GhSQfoLQ/iMEyCTupCaUmZ&#10;MfB32i/iAVHfBlCWZUPZVNJ5y4TtUTXjxEJKpm6UwRMfbVkyah+VpWEW8RxDpta/YRMYz9w7mByR&#10;rNJE1Q0dQiC3CeFGTi1pBGy6gZoSS9BcNz9AtQ3V0sjS7lHZBn0inhHIIgpvcHOm5Vz5XKqsq9SG&#10;dCjUDdZ/G5Y+XJxr1BSghBFGgrRQ8S8fX16+fY2i2LHTqSoDozOtLtS5Hn5U/cwlvCx1676QClp6&#10;XlcbXtnSIgo/9w+TMEoAn8JaGqdpNBBPa6iOc9uPU6gIrI7Sw3FfFFqfDO5JmI5732gUj9xqsN43&#10;cOFtoukUSNJc8WT+jKeLmijm6TeOgjVPa5q+vvrw7cWby3efLz+9R9F+T5a33DBlMgOk7aBpR75r&#10;suJ0fPCTbEmmtLFnTLbIDXIM+hDFYxC51x5ZPDDWi7AYKkmKZxiVLQdJLwhHUZIk6cDfYAxMrjGd&#10;p5G8KU4bzv1EV7P7XCNwzfGpfwbnLTMuUJfjsSsNogQ6QgknEYatAlUZUfnYtjzMdeDQP7uAXWBT&#10;Yuo+AI/gzEhWM1KciALZlQK5CmhT2IXQsgIjzqCruZG3tKTht7EEGrgAXTkF9SVzI7ucLb3iTTaT&#10;xQoE0EGngKSez4mGPedKN1UNdYh8+IP83Jn5CzqMd+vwwIXiAgDF/lqHyWgEVds6d/91CGLYkus/&#10;q0PfHeHi8A1zuOTczXR97kV/dbFPv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DV/PMT2wAAAAsB&#10;AAAPAAAAAAAAAAEAIAAAACIAAABkcnMvZG93bnJldi54bWxQSwECFAAUAAAACACHTuJAlJBsZcMC&#10;AAAgCAAADgAAAAAAAAABACAAAAAqAQAAZHJzL2Uyb0RvYy54bWxQSwUGAAAAAAYABgBZAQAAXwYA&#10;AAAA&#10;">
                <o:lock v:ext="edit" aspectratio="f"/>
                <v:roundrect id="自选图形 13" o:spid="_x0000_s1026" o:spt="2" style="position:absolute;left:3270;top:5789;height:1525;width:2794;" fillcolor="#FFFFFF" filled="t" stroked="t" coordsize="21600,21600" arcsize="0.166666666666667" o:gfxdata="UEsDBAoAAAAAAIdO4kAAAAAAAAAAAAAAAAAEAAAAZHJzL1BLAwQUAAAACACHTuJADnfWprkAAADa&#10;AAAADwAAAGRycy9kb3ducmV2LnhtbEVPS2sCMRC+C/0PYQq9uYlCRbdGD4VKb8WtB4/Tzbi7uJms&#10;SXZ9/HojCD0NH99zluuLbcVAPjSONUwyBYK4dKbhSsPu92s8BxEissHWMWm4UoD16mW0xNy4M29p&#10;KGIlUgiHHDXUMXa5lKGsyWLIXEecuIPzFmOCvpLG4zmF21ZOlZpJiw2nhho7+qypPBa91VAa1Su/&#10;H34Wf++xuA39ieXmpPXb60R9gIh0if/ip/vbpPnweOVx5eoO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531qa5AAAA2gAA&#10;AA8AAAAAAAAAAQAgAAAAIgAAAGRycy9kb3ducmV2LnhtbFBLAQIUABQAAAAIAIdO4kAzLwWeOwAA&#10;ADkAAAAQAAAAAAAAAAEAIAAAAAgBAABkcnMvc2hhcGV4bWwueG1sUEsFBgAAAAAGAAYAWwEAALID&#10;AAAAAA==&#10;">
                  <v:fill on="t" focussize="0,0"/>
                  <v:stroke color="#000000" joinstyle="round"/>
                  <v:imagedata o:title=""/>
                  <o:lock v:ext="edit" aspectratio="f"/>
                  <v:textbox>
                    <w:txbxContent>
                      <w:p w14:paraId="0EFBB83A">
                        <w:pPr>
                          <w:rPr>
                            <w:rFonts w:hint="eastAsia"/>
                            <w:color w:val="FF0000"/>
                          </w:rPr>
                        </w:pPr>
                      </w:p>
                      <w:p w14:paraId="31ED742B">
                        <w:pPr>
                          <w:jc w:val="center"/>
                          <w:rPr>
                            <w:rFonts w:hint="eastAsia"/>
                            <w:color w:val="FF0000"/>
                          </w:rPr>
                        </w:pPr>
                        <w:r>
                          <w:rPr>
                            <w:rFonts w:hint="eastAsia"/>
                            <w:color w:val="FF0000"/>
                          </w:rPr>
                          <w:t>授权代表身份证</w:t>
                        </w:r>
                      </w:p>
                      <w:p w14:paraId="6528C771">
                        <w:pPr>
                          <w:jc w:val="center"/>
                          <w:rPr>
                            <w:color w:val="FF0000"/>
                            <w:szCs w:val="21"/>
                          </w:rPr>
                        </w:pPr>
                        <w:r>
                          <w:rPr>
                            <w:rFonts w:hint="eastAsia"/>
                            <w:color w:val="FF0000"/>
                          </w:rPr>
                          <w:t>复印件或影印件</w:t>
                        </w:r>
                      </w:p>
                    </w:txbxContent>
                  </v:textbox>
                </v:roundrect>
                <v:roundrect id="自选图形 14" o:spid="_x0000_s1026" o:spt="2" style="position:absolute;left:6555;top:5789;height:1525;width:2794;" fillcolor="#FFFFFF" filled="t" stroked="t" coordsize="21600,21600" arcsize="0.166666666666667" o:gfxdata="UEsDBAoAAAAAAIdO4kAAAAAAAAAAAAAAAAAEAAAAZHJzL1BLAwQUAAAACACHTuJA/qVI0bwAAADa&#10;AAAADwAAAGRycy9kb3ducmV2LnhtbEWPzW7CMBCE70h9B2srcSM2SFRtiuFQqYgbIvTQ4zZekoh4&#10;HWwn/Dx9jYTEcTQz32gWq4ttxUA+NI41TDMFgrh0puFKw8/+e/IOIkRkg61j0nClAKvly2iBuXFn&#10;3tFQxEokCIccNdQxdrmUoazJYshcR5y8g/MWY5K+ksbjOcFtK2dKvUmLDaeFGjv6qqk8Fr3VUBrV&#10;K/87bD/+5rG4Df2J5fqk9fh1qj5BRLrEZ/jR3hgNM7hfSTdA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6lSNG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14:paraId="085270BF">
                        <w:pPr>
                          <w:rPr>
                            <w:rFonts w:hint="eastAsia"/>
                            <w:color w:val="FF0000"/>
                          </w:rPr>
                        </w:pPr>
                      </w:p>
                      <w:p w14:paraId="237B314B">
                        <w:pPr>
                          <w:jc w:val="center"/>
                          <w:rPr>
                            <w:rFonts w:hint="eastAsia"/>
                            <w:color w:val="FF0000"/>
                          </w:rPr>
                        </w:pPr>
                        <w:r>
                          <w:rPr>
                            <w:rFonts w:hint="eastAsia"/>
                            <w:color w:val="FF0000"/>
                          </w:rPr>
                          <w:t>授权代表身份证</w:t>
                        </w:r>
                      </w:p>
                      <w:p w14:paraId="06433770">
                        <w:pPr>
                          <w:jc w:val="center"/>
                          <w:rPr>
                            <w:color w:val="FF0000"/>
                            <w:szCs w:val="21"/>
                          </w:rPr>
                        </w:pPr>
                        <w:r>
                          <w:rPr>
                            <w:rFonts w:hint="eastAsia"/>
                            <w:color w:val="FF0000"/>
                          </w:rPr>
                          <w:t>复印件或影印件</w:t>
                        </w:r>
                      </w:p>
                    </w:txbxContent>
                  </v:textbox>
                </v:roundrect>
              </v:group>
            </w:pict>
          </mc:Fallback>
        </mc:AlternateContent>
      </w:r>
      <w:r>
        <w:rPr>
          <w:rFonts w:hint="eastAsia" w:hAnsi="宋体"/>
          <w:color w:val="auto"/>
          <w:sz w:val="28"/>
          <w:highlight w:val="none"/>
          <w:lang w:val="en-US" w:eastAsia="zh-CN"/>
        </w:rPr>
        <w:t>九</w:t>
      </w:r>
      <w:r>
        <w:rPr>
          <w:rFonts w:hint="eastAsia" w:hAnsi="宋体"/>
          <w:color w:val="auto"/>
          <w:sz w:val="28"/>
          <w:highlight w:val="none"/>
        </w:rPr>
        <w:t>．投标授权书</w:t>
      </w:r>
      <w:bookmarkEnd w:id="111"/>
      <w:bookmarkEnd w:id="112"/>
      <w:bookmarkEnd w:id="113"/>
      <w:bookmarkEnd w:id="114"/>
      <w:bookmarkEnd w:id="115"/>
    </w:p>
    <w:p w14:paraId="68A75BB2">
      <w:pPr>
        <w:autoSpaceDE w:val="0"/>
        <w:autoSpaceDN w:val="0"/>
        <w:adjustRightInd w:val="0"/>
        <w:spacing w:line="360" w:lineRule="auto"/>
        <w:ind w:firstLine="480" w:firstLineChars="200"/>
        <w:jc w:val="left"/>
        <w:rPr>
          <w:rFonts w:hint="eastAsia" w:hAnsi="宋体"/>
          <w:color w:val="auto"/>
          <w:sz w:val="24"/>
          <w:szCs w:val="24"/>
          <w:highlight w:val="none"/>
        </w:rPr>
      </w:pPr>
      <w:r>
        <w:rPr>
          <w:rFonts w:hint="eastAsia" w:hAnsi="宋体"/>
          <w:color w:val="auto"/>
          <w:sz w:val="24"/>
          <w:szCs w:val="24"/>
          <w:highlight w:val="none"/>
        </w:rPr>
        <w:t>本授权书声明：</w:t>
      </w:r>
      <w:r>
        <w:rPr>
          <w:rFonts w:hint="eastAsia" w:hAnsi="宋体"/>
          <w:color w:val="auto"/>
          <w:sz w:val="24"/>
          <w:szCs w:val="24"/>
          <w:highlight w:val="none"/>
          <w:u w:val="single"/>
        </w:rPr>
        <w:t xml:space="preserve">           </w:t>
      </w:r>
      <w:r>
        <w:rPr>
          <w:rFonts w:hint="eastAsia" w:hAnsi="宋体"/>
          <w:color w:val="auto"/>
          <w:sz w:val="24"/>
          <w:szCs w:val="24"/>
          <w:highlight w:val="none"/>
        </w:rPr>
        <w:t>公司（工厂）授权</w:t>
      </w:r>
      <w:r>
        <w:rPr>
          <w:rFonts w:hint="eastAsia" w:hAnsi="宋体"/>
          <w:color w:val="auto"/>
          <w:sz w:val="24"/>
          <w:szCs w:val="24"/>
          <w:highlight w:val="none"/>
          <w:u w:val="single"/>
        </w:rPr>
        <w:t xml:space="preserve">       </w:t>
      </w:r>
      <w:r>
        <w:rPr>
          <w:rFonts w:hint="eastAsia" w:hAnsi="宋体"/>
          <w:color w:val="auto"/>
          <w:sz w:val="24"/>
          <w:szCs w:val="24"/>
          <w:highlight w:val="none"/>
        </w:rPr>
        <w:t>（投标人授权代表）代表本公司（工厂）参加</w:t>
      </w:r>
      <w:r>
        <w:rPr>
          <w:rFonts w:hint="eastAsia" w:hAnsi="宋体"/>
          <w:color w:val="auto"/>
          <w:sz w:val="24"/>
          <w:szCs w:val="24"/>
          <w:highlight w:val="none"/>
          <w:lang w:eastAsia="zh-CN"/>
        </w:rPr>
        <w:t>肥西县公共资源交易有限责任公司</w:t>
      </w:r>
      <w:r>
        <w:rPr>
          <w:rFonts w:hint="eastAsia" w:ascii="宋体" w:hAnsi="宋体" w:eastAsia="宋体" w:cs="宋体"/>
          <w:b/>
          <w:bCs/>
          <w:sz w:val="24"/>
          <w:szCs w:val="24"/>
          <w:u w:val="single"/>
          <w:lang w:val="en-US" w:eastAsia="zh-CN"/>
        </w:rPr>
        <w:t>肥西县直属机关幼儿园（含分园）食堂大宗食材采购配送</w:t>
      </w:r>
      <w:r>
        <w:rPr>
          <w:rFonts w:hint="eastAsia" w:hAnsi="宋体"/>
          <w:b/>
          <w:color w:val="auto"/>
          <w:sz w:val="24"/>
          <w:szCs w:val="24"/>
          <w:highlight w:val="none"/>
          <w:u w:val="single"/>
          <w:lang w:eastAsia="zh-CN"/>
        </w:rPr>
        <w:t xml:space="preserve"> </w:t>
      </w:r>
      <w:r>
        <w:rPr>
          <w:rFonts w:hint="eastAsia" w:hAnsi="宋体"/>
          <w:bCs/>
          <w:color w:val="auto"/>
          <w:sz w:val="24"/>
          <w:szCs w:val="24"/>
          <w:highlight w:val="none"/>
        </w:rPr>
        <w:t>招标活动（项目编号：</w:t>
      </w:r>
      <w:r>
        <w:rPr>
          <w:rFonts w:hint="eastAsia" w:ascii="宋体" w:hAnsi="宋体"/>
          <w:color w:val="auto"/>
          <w:sz w:val="24"/>
          <w:szCs w:val="24"/>
          <w:highlight w:val="none"/>
          <w:lang w:val="en-US" w:eastAsia="zh-CN"/>
        </w:rPr>
        <w:t>2026GSFZ0002</w:t>
      </w:r>
      <w:r>
        <w:rPr>
          <w:rFonts w:hint="eastAsia" w:hAnsi="宋体"/>
          <w:bCs/>
          <w:color w:val="auto"/>
          <w:sz w:val="24"/>
          <w:szCs w:val="24"/>
          <w:highlight w:val="none"/>
        </w:rPr>
        <w:t>）</w:t>
      </w:r>
      <w:r>
        <w:rPr>
          <w:rFonts w:hint="eastAsia" w:hAnsi="宋体"/>
          <w:color w:val="auto"/>
          <w:sz w:val="24"/>
          <w:szCs w:val="24"/>
          <w:highlight w:val="none"/>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14:paraId="2C3A694D">
      <w:pPr>
        <w:pStyle w:val="9"/>
        <w:snapToGrid w:val="0"/>
        <w:spacing w:line="360" w:lineRule="auto"/>
        <w:ind w:firstLine="480" w:firstLineChars="200"/>
        <w:jc w:val="left"/>
        <w:rPr>
          <w:rFonts w:hint="eastAsia" w:hAnsi="宋体"/>
          <w:color w:val="auto"/>
          <w:sz w:val="24"/>
          <w:szCs w:val="24"/>
          <w:highlight w:val="none"/>
        </w:rPr>
      </w:pPr>
      <w:r>
        <w:rPr>
          <w:rFonts w:hint="eastAsia" w:hAnsi="宋体"/>
          <w:color w:val="auto"/>
          <w:sz w:val="24"/>
          <w:szCs w:val="24"/>
          <w:highlight w:val="none"/>
        </w:rPr>
        <w:t>本授权书自出具之日起生效。</w:t>
      </w:r>
    </w:p>
    <w:p w14:paraId="54B05133">
      <w:pPr>
        <w:spacing w:line="360" w:lineRule="auto"/>
        <w:rPr>
          <w:rFonts w:hint="eastAsia" w:ascii="宋体" w:hAnsi="宋体"/>
          <w:color w:val="auto"/>
          <w:sz w:val="24"/>
          <w:szCs w:val="24"/>
          <w:highlight w:val="none"/>
        </w:rPr>
      </w:pPr>
    </w:p>
    <w:p w14:paraId="39B914EC">
      <w:pPr>
        <w:spacing w:line="360" w:lineRule="auto"/>
        <w:ind w:firstLine="645"/>
        <w:rPr>
          <w:rFonts w:hint="eastAsia" w:ascii="宋体" w:hAnsi="宋体"/>
          <w:color w:val="auto"/>
          <w:sz w:val="24"/>
          <w:szCs w:val="24"/>
          <w:highlight w:val="none"/>
        </w:rPr>
      </w:pPr>
      <w:r>
        <w:rPr>
          <w:rFonts w:hint="eastAsia" w:ascii="宋体" w:hAnsi="宋体"/>
          <w:color w:val="auto"/>
          <w:sz w:val="24"/>
          <w:szCs w:val="24"/>
          <w:highlight w:val="none"/>
        </w:rPr>
        <w:t>特此声明。</w:t>
      </w:r>
    </w:p>
    <w:p w14:paraId="244A335A">
      <w:pPr>
        <w:spacing w:line="360" w:lineRule="auto"/>
        <w:jc w:val="center"/>
        <w:rPr>
          <w:rFonts w:hint="eastAsia" w:ascii="宋体" w:hAnsi="宋体"/>
          <w:color w:val="auto"/>
          <w:sz w:val="24"/>
          <w:szCs w:val="24"/>
          <w:highlight w:val="none"/>
        </w:rPr>
      </w:pPr>
    </w:p>
    <w:p w14:paraId="281BCE32">
      <w:pPr>
        <w:spacing w:line="360" w:lineRule="auto"/>
        <w:rPr>
          <w:rFonts w:hint="eastAsia" w:ascii="宋体" w:hAnsi="宋体"/>
          <w:color w:val="auto"/>
          <w:sz w:val="24"/>
          <w:szCs w:val="24"/>
          <w:highlight w:val="none"/>
        </w:rPr>
      </w:pPr>
    </w:p>
    <w:p w14:paraId="0D75B05C">
      <w:pPr>
        <w:spacing w:line="360" w:lineRule="auto"/>
        <w:rPr>
          <w:rFonts w:hint="eastAsia" w:ascii="宋体" w:hAnsi="宋体"/>
          <w:b/>
          <w:bCs/>
          <w:color w:val="auto"/>
          <w:sz w:val="24"/>
          <w:szCs w:val="24"/>
          <w:highlight w:val="none"/>
        </w:rPr>
      </w:pPr>
      <w:r>
        <w:rPr>
          <w:rFonts w:hint="eastAsia" w:ascii="宋体" w:hAnsi="宋体"/>
          <w:b/>
          <w:bCs/>
          <w:color w:val="auto"/>
          <w:sz w:val="24"/>
          <w:szCs w:val="24"/>
          <w:highlight w:val="none"/>
        </w:rPr>
        <w:t>投标人公章：</w:t>
      </w:r>
      <w:r>
        <w:rPr>
          <w:rFonts w:hint="eastAsia" w:ascii="宋体" w:hAnsi="宋体"/>
          <w:b/>
          <w:bCs/>
          <w:color w:val="auto"/>
          <w:sz w:val="24"/>
          <w:szCs w:val="24"/>
          <w:highlight w:val="none"/>
          <w:u w:val="single"/>
        </w:rPr>
        <w:t xml:space="preserve">                    </w:t>
      </w:r>
    </w:p>
    <w:p w14:paraId="4737F9BD">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日     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54706B78">
      <w:pPr>
        <w:rPr>
          <w:rFonts w:hint="eastAsia" w:ascii="宋体" w:hAnsi="宋体"/>
          <w:color w:val="auto"/>
          <w:sz w:val="24"/>
          <w:szCs w:val="24"/>
          <w:highlight w:val="none"/>
        </w:rPr>
      </w:pPr>
    </w:p>
    <w:p w14:paraId="60363F13">
      <w:pPr>
        <w:rPr>
          <w:rFonts w:hint="eastAsia" w:ascii="宋体" w:hAnsi="宋体"/>
          <w:color w:val="auto"/>
          <w:sz w:val="24"/>
          <w:szCs w:val="24"/>
          <w:highlight w:val="none"/>
        </w:rPr>
      </w:pPr>
    </w:p>
    <w:p w14:paraId="31B2D0DD">
      <w:pPr>
        <w:pStyle w:val="9"/>
        <w:snapToGrid w:val="0"/>
        <w:spacing w:line="360" w:lineRule="auto"/>
        <w:jc w:val="left"/>
        <w:rPr>
          <w:rFonts w:hint="eastAsia" w:hAnsi="宋体"/>
          <w:color w:val="auto"/>
          <w:sz w:val="24"/>
          <w:szCs w:val="24"/>
          <w:highlight w:val="none"/>
        </w:rPr>
      </w:pPr>
      <w:r>
        <w:rPr>
          <w:rFonts w:hint="eastAsia" w:hAnsi="宋体"/>
          <w:color w:val="auto"/>
          <w:sz w:val="24"/>
          <w:szCs w:val="24"/>
          <w:highlight w:val="none"/>
        </w:rPr>
        <w:t>注：</w:t>
      </w:r>
    </w:p>
    <w:p w14:paraId="4A55B747">
      <w:pPr>
        <w:pStyle w:val="9"/>
        <w:snapToGrid w:val="0"/>
        <w:spacing w:line="360" w:lineRule="auto"/>
        <w:jc w:val="left"/>
        <w:rPr>
          <w:rFonts w:hAnsi="宋体"/>
          <w:color w:val="auto"/>
          <w:sz w:val="24"/>
          <w:szCs w:val="28"/>
          <w:highlight w:val="none"/>
        </w:rPr>
      </w:pPr>
      <w:r>
        <w:rPr>
          <w:rFonts w:hint="eastAsia" w:hAnsi="宋体"/>
          <w:color w:val="auto"/>
          <w:sz w:val="24"/>
          <w:szCs w:val="28"/>
          <w:highlight w:val="none"/>
        </w:rPr>
        <w:t>1.本项目只允许有唯一的投标人授权代表，投标文件中提供授权代表身份证</w:t>
      </w:r>
      <w:r>
        <w:rPr>
          <w:rFonts w:hint="eastAsia" w:hAnsi="宋体"/>
          <w:color w:val="auto"/>
          <w:sz w:val="24"/>
          <w:highlight w:val="none"/>
        </w:rPr>
        <w:t>复印件或影印件</w:t>
      </w:r>
      <w:r>
        <w:rPr>
          <w:rFonts w:hint="eastAsia" w:hAnsi="宋体"/>
          <w:color w:val="auto"/>
          <w:sz w:val="24"/>
          <w:szCs w:val="28"/>
          <w:highlight w:val="none"/>
        </w:rPr>
        <w:t>。</w:t>
      </w:r>
    </w:p>
    <w:p w14:paraId="00DD7DBE">
      <w:pPr>
        <w:pStyle w:val="9"/>
        <w:snapToGrid w:val="0"/>
        <w:spacing w:line="360" w:lineRule="auto"/>
        <w:jc w:val="left"/>
        <w:rPr>
          <w:rFonts w:hint="eastAsia" w:hAnsi="宋体"/>
          <w:color w:val="auto"/>
          <w:sz w:val="24"/>
          <w:szCs w:val="24"/>
          <w:highlight w:val="none"/>
        </w:rPr>
      </w:pPr>
      <w:r>
        <w:rPr>
          <w:rFonts w:hint="eastAsia" w:hAnsi="宋体"/>
          <w:color w:val="auto"/>
          <w:sz w:val="24"/>
          <w:szCs w:val="28"/>
          <w:highlight w:val="none"/>
        </w:rPr>
        <w:t>2.法定代表人参加投标的无需此件，</w:t>
      </w:r>
      <w:r>
        <w:rPr>
          <w:rFonts w:hint="eastAsia" w:hAnsi="宋体"/>
          <w:color w:val="auto"/>
          <w:sz w:val="24"/>
          <w:highlight w:val="none"/>
        </w:rPr>
        <w:t>但投标文件中须提供法定代表人身份证复印件或影印件。</w:t>
      </w:r>
    </w:p>
    <w:p w14:paraId="627F3838">
      <w:pPr>
        <w:pStyle w:val="3"/>
        <w:spacing w:before="120" w:after="120" w:line="360" w:lineRule="auto"/>
        <w:rPr>
          <w:rFonts w:hint="eastAsia" w:hAnsi="宋体"/>
          <w:color w:val="auto"/>
          <w:sz w:val="28"/>
          <w:highlight w:val="none"/>
        </w:rPr>
      </w:pPr>
      <w:bookmarkStart w:id="116" w:name="_Toc220232403"/>
      <w:r>
        <w:rPr>
          <w:rFonts w:hAnsi="宋体"/>
          <w:color w:val="auto"/>
          <w:sz w:val="28"/>
          <w:highlight w:val="none"/>
        </w:rPr>
        <w:br w:type="page"/>
      </w:r>
      <w:bookmarkStart w:id="117" w:name="_Toc13138"/>
      <w:bookmarkStart w:id="118" w:name="_Toc10378"/>
      <w:bookmarkStart w:id="119" w:name="_Toc20001"/>
      <w:bookmarkStart w:id="120" w:name="_Toc3785"/>
      <w:bookmarkStart w:id="121" w:name="_Toc9674"/>
      <w:r>
        <w:rPr>
          <w:rFonts w:hint="eastAsia" w:hAnsi="宋体"/>
          <w:color w:val="auto"/>
          <w:sz w:val="28"/>
          <w:highlight w:val="none"/>
        </w:rPr>
        <w:t>十．</w:t>
      </w:r>
      <w:bookmarkEnd w:id="116"/>
      <w:bookmarkStart w:id="122" w:name="_Toc389124158"/>
      <w:r>
        <w:rPr>
          <w:rFonts w:hint="eastAsia" w:hAnsi="宋体"/>
          <w:color w:val="auto"/>
          <w:sz w:val="28"/>
          <w:highlight w:val="none"/>
        </w:rPr>
        <w:t>投标人认为需提供的其他资料</w:t>
      </w:r>
      <w:bookmarkEnd w:id="117"/>
      <w:bookmarkEnd w:id="118"/>
      <w:bookmarkEnd w:id="119"/>
      <w:bookmarkEnd w:id="120"/>
      <w:bookmarkEnd w:id="121"/>
      <w:bookmarkEnd w:id="122"/>
    </w:p>
    <w:p w14:paraId="6EAA2F2E">
      <w:pPr>
        <w:spacing w:line="500" w:lineRule="exact"/>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                       （</w:t>
      </w:r>
      <w:r>
        <w:rPr>
          <w:rFonts w:hint="eastAsia" w:ascii="宋体" w:hAnsi="宋体"/>
          <w:bCs/>
          <w:color w:val="auto"/>
          <w:sz w:val="24"/>
          <w:szCs w:val="24"/>
          <w:highlight w:val="none"/>
        </w:rPr>
        <w:t>投标人可自行制作格式</w:t>
      </w:r>
      <w:r>
        <w:rPr>
          <w:rFonts w:hint="eastAsia" w:ascii="宋体" w:hAnsi="宋体"/>
          <w:b/>
          <w:bCs/>
          <w:color w:val="auto"/>
          <w:sz w:val="24"/>
          <w:szCs w:val="24"/>
          <w:highlight w:val="none"/>
        </w:rPr>
        <w:t>）</w:t>
      </w:r>
    </w:p>
    <w:p w14:paraId="16DD5299">
      <w:pPr>
        <w:pStyle w:val="2"/>
        <w:spacing w:before="0" w:after="0" w:line="240" w:lineRule="auto"/>
        <w:ind w:left="0" w:leftChars="0" w:firstLine="0" w:firstLineChars="0"/>
        <w:jc w:val="both"/>
        <w:rPr>
          <w:rFonts w:hint="eastAsia" w:ascii="宋体" w:hAnsi="宋体" w:eastAsia="宋体"/>
          <w:color w:val="auto"/>
          <w:highlight w:val="none"/>
        </w:rPr>
      </w:pPr>
    </w:p>
    <w:p w14:paraId="28053389">
      <w:pPr>
        <w:pStyle w:val="2"/>
        <w:spacing w:before="0" w:after="0" w:line="240" w:lineRule="auto"/>
        <w:ind w:left="0" w:leftChars="0" w:firstLine="0" w:firstLineChars="0"/>
        <w:jc w:val="center"/>
        <w:rPr>
          <w:rFonts w:hint="eastAsia" w:ascii="宋体" w:hAnsi="宋体" w:eastAsia="宋体"/>
          <w:color w:val="auto"/>
          <w:highlight w:val="none"/>
        </w:rPr>
      </w:pPr>
    </w:p>
    <w:p w14:paraId="6A0289AF">
      <w:pPr>
        <w:pStyle w:val="2"/>
        <w:spacing w:before="0" w:after="0" w:line="240" w:lineRule="auto"/>
        <w:ind w:left="0" w:leftChars="0" w:firstLine="0" w:firstLineChars="0"/>
        <w:jc w:val="center"/>
        <w:rPr>
          <w:rFonts w:hint="eastAsia" w:ascii="宋体" w:hAnsi="宋体" w:eastAsia="宋体"/>
          <w:color w:val="auto"/>
          <w:highlight w:val="none"/>
        </w:rPr>
      </w:pPr>
    </w:p>
    <w:p w14:paraId="6F5F0766">
      <w:pPr>
        <w:pStyle w:val="2"/>
        <w:spacing w:before="0" w:after="0" w:line="240" w:lineRule="auto"/>
        <w:ind w:left="0" w:leftChars="0" w:firstLine="0" w:firstLineChars="0"/>
        <w:jc w:val="center"/>
        <w:rPr>
          <w:rFonts w:hint="eastAsia" w:ascii="宋体" w:hAnsi="宋体" w:eastAsia="宋体"/>
          <w:color w:val="auto"/>
          <w:highlight w:val="none"/>
        </w:rPr>
      </w:pPr>
    </w:p>
    <w:p w14:paraId="657B62EF">
      <w:pPr>
        <w:pStyle w:val="2"/>
        <w:spacing w:before="0" w:after="0" w:line="240" w:lineRule="auto"/>
        <w:ind w:left="0" w:leftChars="0" w:firstLine="0" w:firstLineChars="0"/>
        <w:jc w:val="center"/>
        <w:rPr>
          <w:rFonts w:hint="eastAsia" w:ascii="宋体" w:hAnsi="宋体" w:eastAsia="宋体"/>
          <w:color w:val="auto"/>
          <w:highlight w:val="none"/>
        </w:rPr>
      </w:pPr>
    </w:p>
    <w:p w14:paraId="75BA7B50">
      <w:pPr>
        <w:pStyle w:val="2"/>
        <w:spacing w:before="0" w:after="0" w:line="240" w:lineRule="auto"/>
        <w:ind w:left="0" w:leftChars="0" w:firstLine="0" w:firstLineChars="0"/>
        <w:jc w:val="center"/>
        <w:rPr>
          <w:rFonts w:hint="eastAsia" w:ascii="宋体" w:hAnsi="宋体" w:eastAsia="宋体"/>
          <w:color w:val="auto"/>
          <w:highlight w:val="none"/>
        </w:rPr>
      </w:pPr>
    </w:p>
    <w:p w14:paraId="32AF57FC">
      <w:pPr>
        <w:pStyle w:val="2"/>
        <w:spacing w:before="0" w:after="0" w:line="240" w:lineRule="auto"/>
        <w:ind w:left="0" w:leftChars="0" w:firstLine="0" w:firstLineChars="0"/>
        <w:jc w:val="center"/>
        <w:rPr>
          <w:rFonts w:hint="eastAsia" w:ascii="宋体" w:hAnsi="宋体" w:eastAsia="宋体"/>
          <w:color w:val="auto"/>
          <w:highlight w:val="none"/>
        </w:rPr>
      </w:pPr>
    </w:p>
    <w:p w14:paraId="5A3054A1">
      <w:pPr>
        <w:pStyle w:val="2"/>
        <w:spacing w:before="0" w:after="0" w:line="240" w:lineRule="auto"/>
        <w:ind w:left="0" w:leftChars="0" w:firstLine="0" w:firstLineChars="0"/>
        <w:jc w:val="center"/>
        <w:rPr>
          <w:rFonts w:hint="eastAsia" w:ascii="宋体" w:hAnsi="宋体" w:eastAsia="宋体"/>
          <w:color w:val="auto"/>
          <w:highlight w:val="none"/>
        </w:rPr>
      </w:pPr>
    </w:p>
    <w:p w14:paraId="0DC98310">
      <w:pPr>
        <w:pStyle w:val="2"/>
        <w:spacing w:before="0" w:after="0" w:line="240" w:lineRule="auto"/>
        <w:ind w:left="0" w:leftChars="0" w:firstLine="0" w:firstLineChars="0"/>
        <w:jc w:val="center"/>
        <w:rPr>
          <w:rFonts w:hint="eastAsia" w:ascii="宋体" w:hAnsi="宋体" w:eastAsia="宋体"/>
          <w:color w:val="auto"/>
          <w:highlight w:val="none"/>
        </w:rPr>
      </w:pPr>
    </w:p>
    <w:p w14:paraId="61DA224B">
      <w:pPr>
        <w:pStyle w:val="2"/>
        <w:spacing w:before="0" w:after="0" w:line="240" w:lineRule="auto"/>
        <w:ind w:left="0" w:leftChars="0" w:firstLine="0" w:firstLineChars="0"/>
        <w:jc w:val="center"/>
        <w:rPr>
          <w:rFonts w:hint="eastAsia" w:ascii="宋体" w:hAnsi="宋体" w:eastAsia="宋体"/>
          <w:color w:val="auto"/>
          <w:highlight w:val="none"/>
        </w:rPr>
      </w:pPr>
    </w:p>
    <w:p w14:paraId="706E5265">
      <w:pPr>
        <w:pStyle w:val="2"/>
        <w:spacing w:before="0" w:after="0" w:line="240" w:lineRule="auto"/>
        <w:ind w:left="0" w:leftChars="0" w:firstLine="0" w:firstLineChars="0"/>
        <w:jc w:val="center"/>
        <w:rPr>
          <w:rFonts w:hint="eastAsia" w:ascii="宋体" w:hAnsi="宋体" w:eastAsia="宋体"/>
          <w:color w:val="auto"/>
          <w:highlight w:val="none"/>
        </w:rPr>
      </w:pPr>
    </w:p>
    <w:p w14:paraId="4A8866B6">
      <w:pPr>
        <w:pStyle w:val="2"/>
        <w:spacing w:before="0" w:after="0" w:line="240" w:lineRule="auto"/>
        <w:ind w:left="0" w:leftChars="0" w:firstLine="0" w:firstLineChars="0"/>
        <w:jc w:val="center"/>
        <w:rPr>
          <w:rFonts w:hint="eastAsia" w:ascii="宋体" w:hAnsi="宋体" w:eastAsia="宋体"/>
          <w:color w:val="auto"/>
          <w:highlight w:val="none"/>
        </w:rPr>
      </w:pPr>
    </w:p>
    <w:p w14:paraId="0E1E7D65">
      <w:pPr>
        <w:pStyle w:val="2"/>
        <w:spacing w:before="0" w:after="0" w:line="240" w:lineRule="auto"/>
        <w:ind w:left="0" w:leftChars="0" w:firstLine="0" w:firstLineChars="0"/>
        <w:jc w:val="center"/>
        <w:rPr>
          <w:rFonts w:hint="eastAsia" w:ascii="宋体" w:hAnsi="宋体" w:eastAsia="宋体"/>
          <w:color w:val="auto"/>
          <w:highlight w:val="none"/>
        </w:rPr>
      </w:pPr>
    </w:p>
    <w:p w14:paraId="584B95A4">
      <w:pPr>
        <w:pStyle w:val="2"/>
        <w:spacing w:before="0" w:after="0" w:line="240" w:lineRule="auto"/>
        <w:ind w:left="0" w:leftChars="0" w:firstLine="0" w:firstLineChars="0"/>
        <w:jc w:val="center"/>
        <w:rPr>
          <w:rFonts w:hint="eastAsia" w:ascii="宋体" w:hAnsi="宋体" w:eastAsia="宋体"/>
          <w:color w:val="auto"/>
          <w:highlight w:val="none"/>
        </w:rPr>
      </w:pPr>
    </w:p>
    <w:p w14:paraId="676DB49B">
      <w:pPr>
        <w:pStyle w:val="2"/>
        <w:spacing w:before="0" w:after="0" w:line="240" w:lineRule="auto"/>
        <w:ind w:left="0" w:leftChars="0" w:firstLine="0" w:firstLineChars="0"/>
        <w:jc w:val="center"/>
        <w:rPr>
          <w:rFonts w:hint="eastAsia" w:ascii="宋体" w:hAnsi="宋体" w:eastAsia="宋体"/>
          <w:color w:val="auto"/>
          <w:highlight w:val="none"/>
        </w:rPr>
      </w:pPr>
    </w:p>
    <w:p w14:paraId="596A68B7">
      <w:pPr>
        <w:pStyle w:val="2"/>
        <w:spacing w:before="0" w:after="0" w:line="240" w:lineRule="auto"/>
        <w:ind w:left="0" w:leftChars="0" w:firstLine="0" w:firstLineChars="0"/>
        <w:jc w:val="center"/>
        <w:rPr>
          <w:rFonts w:hint="eastAsia" w:ascii="宋体" w:hAnsi="宋体" w:eastAsia="宋体"/>
          <w:color w:val="auto"/>
          <w:highlight w:val="none"/>
        </w:rPr>
      </w:pPr>
    </w:p>
    <w:p w14:paraId="530E706D">
      <w:pPr>
        <w:pStyle w:val="2"/>
        <w:spacing w:before="0" w:after="0" w:line="240" w:lineRule="auto"/>
        <w:ind w:left="0" w:leftChars="0" w:firstLine="0" w:firstLineChars="0"/>
        <w:jc w:val="center"/>
        <w:rPr>
          <w:rFonts w:hint="eastAsia" w:ascii="宋体" w:hAnsi="宋体" w:eastAsia="宋体"/>
          <w:color w:val="auto"/>
          <w:highlight w:val="none"/>
        </w:rPr>
      </w:pPr>
    </w:p>
    <w:p w14:paraId="73EAC6B4">
      <w:pPr>
        <w:pStyle w:val="2"/>
        <w:spacing w:before="0" w:after="0" w:line="240" w:lineRule="auto"/>
        <w:ind w:left="0" w:leftChars="0" w:firstLine="0" w:firstLineChars="0"/>
        <w:jc w:val="center"/>
        <w:rPr>
          <w:rFonts w:hint="eastAsia" w:ascii="宋体" w:hAnsi="宋体" w:eastAsia="宋体"/>
          <w:color w:val="auto"/>
          <w:highlight w:val="none"/>
        </w:rPr>
      </w:pPr>
    </w:p>
    <w:p w14:paraId="53F4D2B5">
      <w:pPr>
        <w:pStyle w:val="2"/>
        <w:spacing w:before="0" w:after="0" w:line="240" w:lineRule="auto"/>
        <w:ind w:left="0" w:leftChars="0" w:firstLine="0" w:firstLineChars="0"/>
        <w:jc w:val="center"/>
        <w:rPr>
          <w:rFonts w:hint="eastAsia" w:ascii="宋体" w:hAnsi="宋体" w:eastAsia="宋体"/>
          <w:color w:val="auto"/>
          <w:highlight w:val="none"/>
        </w:rPr>
      </w:pPr>
    </w:p>
    <w:p w14:paraId="010B5B50">
      <w:pPr>
        <w:pStyle w:val="2"/>
        <w:spacing w:before="0" w:after="0" w:line="240" w:lineRule="auto"/>
        <w:ind w:left="0" w:leftChars="0" w:firstLine="0" w:firstLineChars="0"/>
        <w:jc w:val="center"/>
        <w:rPr>
          <w:rFonts w:hint="eastAsia" w:ascii="宋体" w:hAnsi="宋体" w:eastAsia="宋体"/>
          <w:color w:val="auto"/>
          <w:highlight w:val="none"/>
        </w:rPr>
      </w:pPr>
    </w:p>
    <w:p w14:paraId="3A9A6E71">
      <w:pPr>
        <w:pStyle w:val="2"/>
        <w:spacing w:before="0" w:after="0" w:line="240" w:lineRule="auto"/>
        <w:ind w:left="0" w:leftChars="0" w:firstLine="0" w:firstLineChars="0"/>
        <w:jc w:val="center"/>
        <w:rPr>
          <w:rFonts w:hint="eastAsia" w:ascii="宋体" w:hAnsi="宋体" w:eastAsia="宋体"/>
          <w:color w:val="auto"/>
          <w:highlight w:val="none"/>
        </w:rPr>
      </w:pPr>
    </w:p>
    <w:p w14:paraId="5BB94069">
      <w:pPr>
        <w:pStyle w:val="2"/>
        <w:spacing w:before="0" w:after="0" w:line="240" w:lineRule="auto"/>
        <w:ind w:left="0" w:leftChars="0" w:firstLine="0" w:firstLineChars="0"/>
        <w:jc w:val="center"/>
        <w:rPr>
          <w:rFonts w:hint="eastAsia" w:ascii="宋体" w:hAnsi="宋体" w:eastAsia="宋体"/>
          <w:color w:val="auto"/>
          <w:highlight w:val="none"/>
        </w:rPr>
      </w:pPr>
    </w:p>
    <w:p w14:paraId="194827D4">
      <w:pPr>
        <w:pStyle w:val="2"/>
        <w:spacing w:before="0" w:after="0" w:line="240" w:lineRule="auto"/>
        <w:ind w:left="0" w:leftChars="0" w:firstLine="0" w:firstLineChars="0"/>
        <w:jc w:val="center"/>
        <w:rPr>
          <w:rFonts w:hint="eastAsia" w:ascii="宋体" w:hAnsi="宋体" w:eastAsia="宋体"/>
          <w:color w:val="auto"/>
          <w:highlight w:val="none"/>
        </w:rPr>
      </w:pPr>
    </w:p>
    <w:p w14:paraId="3FA83525">
      <w:pPr>
        <w:pStyle w:val="2"/>
        <w:spacing w:before="0" w:after="0" w:line="240" w:lineRule="auto"/>
        <w:ind w:left="0" w:leftChars="0" w:firstLine="0" w:firstLineChars="0"/>
        <w:jc w:val="center"/>
        <w:rPr>
          <w:rFonts w:hint="eastAsia" w:ascii="宋体" w:hAnsi="宋体" w:eastAsia="宋体"/>
          <w:color w:val="auto"/>
          <w:highlight w:val="none"/>
        </w:rPr>
      </w:pPr>
    </w:p>
    <w:p w14:paraId="73BFDAA1">
      <w:pPr>
        <w:pStyle w:val="2"/>
        <w:spacing w:before="0" w:after="0" w:line="240" w:lineRule="auto"/>
        <w:ind w:left="0" w:leftChars="0" w:firstLine="0" w:firstLineChars="0"/>
        <w:jc w:val="center"/>
        <w:rPr>
          <w:rFonts w:hint="eastAsia" w:ascii="宋体" w:hAnsi="宋体" w:eastAsia="宋体"/>
          <w:color w:val="auto"/>
          <w:highlight w:val="none"/>
        </w:rPr>
      </w:pPr>
    </w:p>
    <w:p w14:paraId="6D1EA13E">
      <w:pPr>
        <w:pStyle w:val="2"/>
        <w:spacing w:before="0" w:after="0" w:line="240" w:lineRule="auto"/>
        <w:ind w:left="0" w:leftChars="0" w:firstLine="0" w:firstLineChars="0"/>
        <w:jc w:val="center"/>
        <w:rPr>
          <w:rFonts w:hint="eastAsia" w:ascii="宋体" w:hAnsi="宋体" w:eastAsia="宋体"/>
          <w:color w:val="auto"/>
          <w:highlight w:val="none"/>
        </w:rPr>
      </w:pPr>
    </w:p>
    <w:p w14:paraId="06A02F45">
      <w:pPr>
        <w:pStyle w:val="2"/>
        <w:spacing w:before="0" w:after="0" w:line="240" w:lineRule="auto"/>
        <w:ind w:left="0" w:leftChars="0" w:firstLine="0" w:firstLineChars="0"/>
        <w:jc w:val="center"/>
        <w:rPr>
          <w:rFonts w:hint="eastAsia" w:ascii="宋体" w:hAnsi="宋体" w:eastAsia="宋体"/>
          <w:color w:val="auto"/>
          <w:highlight w:val="none"/>
        </w:rPr>
      </w:pPr>
    </w:p>
    <w:p w14:paraId="2F9F492A">
      <w:pPr>
        <w:pStyle w:val="2"/>
        <w:spacing w:before="0" w:after="0" w:line="240" w:lineRule="auto"/>
        <w:ind w:left="0" w:leftChars="0" w:firstLine="0" w:firstLineChars="0"/>
        <w:jc w:val="center"/>
        <w:rPr>
          <w:rFonts w:hint="eastAsia" w:ascii="宋体" w:hAnsi="宋体" w:eastAsia="宋体"/>
          <w:color w:val="auto"/>
          <w:highlight w:val="none"/>
        </w:rPr>
      </w:pPr>
    </w:p>
    <w:p w14:paraId="78829551">
      <w:pPr>
        <w:pStyle w:val="2"/>
        <w:spacing w:before="0" w:after="0" w:line="240" w:lineRule="auto"/>
        <w:ind w:left="0" w:leftChars="0" w:firstLine="0" w:firstLineChars="0"/>
        <w:jc w:val="center"/>
        <w:rPr>
          <w:rFonts w:hint="eastAsia" w:ascii="宋体" w:hAnsi="宋体" w:eastAsia="宋体"/>
          <w:color w:val="auto"/>
          <w:highlight w:val="none"/>
        </w:rPr>
      </w:pPr>
    </w:p>
    <w:p w14:paraId="6B0A3E62">
      <w:pPr>
        <w:rPr>
          <w:color w:val="auto"/>
          <w:highlight w:val="none"/>
        </w:rPr>
      </w:pPr>
    </w:p>
    <w:p w14:paraId="1F103418">
      <w:pPr>
        <w:rPr>
          <w:color w:val="auto"/>
          <w:highlight w:val="none"/>
        </w:rPr>
      </w:pPr>
    </w:p>
    <w:p w14:paraId="7360429A">
      <w:pPr>
        <w:spacing w:line="360" w:lineRule="auto"/>
        <w:ind w:firstLine="883" w:firstLineChars="200"/>
        <w:rPr>
          <w:rFonts w:hint="eastAsia" w:ascii="宋体" w:hAnsi="宋体" w:cs="宋体"/>
          <w:b/>
          <w:bCs/>
          <w:color w:val="000000" w:themeColor="text1"/>
          <w:kern w:val="0"/>
          <w:sz w:val="44"/>
          <w:szCs w:val="44"/>
          <w:highlight w:val="none"/>
          <w14:textFill>
            <w14:solidFill>
              <w14:schemeClr w14:val="tx1"/>
            </w14:solidFill>
          </w14:textFill>
        </w:rPr>
      </w:pPr>
      <w:r>
        <w:rPr>
          <w:rFonts w:hint="eastAsia" w:ascii="宋体" w:hAnsi="宋体" w:cs="宋体"/>
          <w:b/>
          <w:bCs/>
          <w:color w:val="000000" w:themeColor="text1"/>
          <w:kern w:val="0"/>
          <w:sz w:val="44"/>
          <w:szCs w:val="44"/>
          <w:highlight w:val="none"/>
          <w14:textFill>
            <w14:solidFill>
              <w14:schemeClr w14:val="tx1"/>
            </w14:solidFill>
          </w14:textFill>
        </w:rPr>
        <w:t>附件：全流程电子招标采购具体要求</w:t>
      </w:r>
      <w:r>
        <w:rPr>
          <w:rFonts w:hint="eastAsia" w:ascii="宋体" w:hAnsi="宋体" w:cs="宋体"/>
          <w:b/>
          <w:bCs/>
          <w:color w:val="000000" w:themeColor="text1"/>
          <w:kern w:val="0"/>
          <w:sz w:val="44"/>
          <w:szCs w:val="44"/>
          <w:highlight w:val="none"/>
          <w:vertAlign w:val="superscript"/>
          <w14:textFill>
            <w14:solidFill>
              <w14:schemeClr w14:val="tx1"/>
            </w14:solidFill>
          </w14:textFill>
        </w:rPr>
        <w:footnoteReference w:id="0"/>
      </w:r>
    </w:p>
    <w:p w14:paraId="4EE7FF63">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说明：当采用非招标方式进行全流程电子采购活动时，按照本规定执行，其中本要求“参审单位”按“</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”理解，“投标文件”按“</w:t>
      </w:r>
      <w:r>
        <w:rPr>
          <w:rFonts w:hint="eastAsia" w:ascii="宋体" w:hAnsi="宋体" w:cs="宋体"/>
          <w:color w:val="000000" w:themeColor="text1"/>
          <w:kern w:val="0"/>
          <w:szCs w:val="24"/>
          <w:highlight w:val="none"/>
          <w:lang w:eastAsia="zh-CN"/>
          <w14:textFill>
            <w14:solidFill>
              <w14:schemeClr w14:val="tx1"/>
            </w14:solidFill>
          </w14:textFill>
        </w:rPr>
        <w:t>投标文件</w:t>
      </w:r>
      <w:r>
        <w:rPr>
          <w:rFonts w:hint="eastAsia" w:ascii="宋体" w:hAnsi="宋体" w:cs="宋体"/>
          <w:color w:val="000000" w:themeColor="text1"/>
          <w:kern w:val="0"/>
          <w:szCs w:val="24"/>
          <w:highlight w:val="none"/>
          <w14:textFill>
            <w14:solidFill>
              <w14:schemeClr w14:val="tx1"/>
            </w14:solidFill>
          </w14:textFill>
        </w:rPr>
        <w:t>”理解，“招标文件”按“采购文件”理解，“投标文件递交截止时间”按“首次递交</w:t>
      </w:r>
      <w:r>
        <w:rPr>
          <w:rFonts w:hint="eastAsia" w:ascii="宋体" w:hAnsi="宋体" w:cs="宋体"/>
          <w:color w:val="000000" w:themeColor="text1"/>
          <w:kern w:val="0"/>
          <w:szCs w:val="24"/>
          <w:highlight w:val="none"/>
          <w:lang w:eastAsia="zh-CN"/>
          <w14:textFill>
            <w14:solidFill>
              <w14:schemeClr w14:val="tx1"/>
            </w14:solidFill>
          </w14:textFill>
        </w:rPr>
        <w:t>投标文件</w:t>
      </w:r>
      <w:r>
        <w:rPr>
          <w:rFonts w:hint="eastAsia" w:ascii="宋体" w:hAnsi="宋体" w:cs="宋体"/>
          <w:color w:val="000000" w:themeColor="text1"/>
          <w:kern w:val="0"/>
          <w:szCs w:val="24"/>
          <w:highlight w:val="none"/>
          <w14:textFill>
            <w14:solidFill>
              <w14:schemeClr w14:val="tx1"/>
            </w14:solidFill>
          </w14:textFill>
        </w:rPr>
        <w:t>截止时间”理解，“开标”按“开启</w:t>
      </w:r>
      <w:r>
        <w:rPr>
          <w:rFonts w:hint="eastAsia" w:ascii="宋体" w:hAnsi="宋体" w:cs="宋体"/>
          <w:color w:val="000000" w:themeColor="text1"/>
          <w:kern w:val="0"/>
          <w:szCs w:val="24"/>
          <w:highlight w:val="none"/>
          <w:lang w:eastAsia="zh-CN"/>
          <w14:textFill>
            <w14:solidFill>
              <w14:schemeClr w14:val="tx1"/>
            </w14:solidFill>
          </w14:textFill>
        </w:rPr>
        <w:t>投标文件</w:t>
      </w:r>
      <w:r>
        <w:rPr>
          <w:rFonts w:hint="eastAsia" w:ascii="宋体" w:hAnsi="宋体" w:cs="宋体"/>
          <w:color w:val="000000" w:themeColor="text1"/>
          <w:kern w:val="0"/>
          <w:szCs w:val="24"/>
          <w:highlight w:val="none"/>
          <w14:textFill>
            <w14:solidFill>
              <w14:schemeClr w14:val="tx1"/>
            </w14:solidFill>
          </w14:textFill>
        </w:rPr>
        <w:t>”理解，“评审委员会”按“评审小组”理解，“投标无效”按“</w:t>
      </w:r>
      <w:r>
        <w:rPr>
          <w:rFonts w:hint="eastAsia" w:ascii="宋体" w:hAnsi="宋体" w:cs="宋体"/>
          <w:color w:val="000000" w:themeColor="text1"/>
          <w:kern w:val="0"/>
          <w:szCs w:val="24"/>
          <w:highlight w:val="none"/>
          <w:lang w:eastAsia="zh-CN"/>
          <w14:textFill>
            <w14:solidFill>
              <w14:schemeClr w14:val="tx1"/>
            </w14:solidFill>
          </w14:textFill>
        </w:rPr>
        <w:t>投标文件</w:t>
      </w:r>
      <w:r>
        <w:rPr>
          <w:rFonts w:hint="eastAsia" w:ascii="宋体" w:hAnsi="宋体" w:cs="宋体"/>
          <w:color w:val="000000" w:themeColor="text1"/>
          <w:kern w:val="0"/>
          <w:szCs w:val="24"/>
          <w:highlight w:val="none"/>
          <w14:textFill>
            <w14:solidFill>
              <w14:schemeClr w14:val="tx1"/>
            </w14:solidFill>
          </w14:textFill>
        </w:rPr>
        <w:t>无效”理解。</w:t>
      </w:r>
    </w:p>
    <w:p w14:paraId="353D531B">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p>
    <w:p w14:paraId="0CA9F9FE">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一、</w:t>
      </w:r>
      <w:r>
        <w:rPr>
          <w:rFonts w:hint="eastAsia" w:ascii="宋体" w:hAnsi="宋体" w:cs="宋体"/>
          <w:color w:val="000000" w:themeColor="text1"/>
          <w:kern w:val="0"/>
          <w:highlight w:val="none"/>
          <w14:textFill>
            <w14:solidFill>
              <w14:schemeClr w14:val="tx1"/>
            </w14:solidFill>
          </w14:textFill>
        </w:rPr>
        <w:t>CA</w:t>
      </w:r>
      <w:r>
        <w:rPr>
          <w:rFonts w:hint="eastAsia" w:ascii="宋体" w:hAnsi="宋体" w:cs="宋体"/>
          <w:color w:val="000000" w:themeColor="text1"/>
          <w:kern w:val="0"/>
          <w:szCs w:val="24"/>
          <w:highlight w:val="none"/>
          <w14:textFill>
            <w14:solidFill>
              <w14:schemeClr w14:val="tx1"/>
            </w14:solidFill>
          </w14:textFill>
        </w:rPr>
        <w:t>证书办理和注意事项</w:t>
      </w:r>
    </w:p>
    <w:p w14:paraId="6FE84E2D">
      <w:pPr>
        <w:spacing w:line="400" w:lineRule="exact"/>
        <w:ind w:firstLine="480" w:firstLineChars="200"/>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1.本项目采用全流程电子招标采购方式，</w:t>
      </w:r>
      <w:r>
        <w:rPr>
          <w:rFonts w:hint="eastAsia" w:ascii="宋体" w:hAnsi="宋体" w:cs="宋体"/>
          <w:color w:val="000000" w:themeColor="text1"/>
          <w:kern w:val="0"/>
          <w:highlight w:val="none"/>
          <w14:textFill>
            <w14:solidFill>
              <w14:schemeClr w14:val="tx1"/>
            </w14:solidFill>
          </w14:textFill>
        </w:rPr>
        <w:t>潜在</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highlight w:val="none"/>
          <w14:textFill>
            <w14:solidFill>
              <w14:schemeClr w14:val="tx1"/>
            </w14:solidFill>
          </w14:textFill>
        </w:rPr>
        <w:t>应及时办理CA证书，用于对投标文件进行电子签章及加、解密。</w:t>
      </w:r>
    </w:p>
    <w:p w14:paraId="3E0C0A6F">
      <w:pPr>
        <w:spacing w:line="400" w:lineRule="exact"/>
        <w:ind w:firstLine="480" w:firstLineChars="200"/>
        <w:rPr>
          <w:rFonts w:hint="eastAsia" w:ascii="宋体" w:hAnsi="宋体" w:cs="宋体"/>
          <w:bCs/>
          <w:color w:val="000000" w:themeColor="text1"/>
          <w:kern w:val="0"/>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2.CA</w:t>
      </w:r>
      <w:r>
        <w:rPr>
          <w:rFonts w:hint="eastAsia" w:ascii="宋体" w:hAnsi="宋体" w:cs="宋体"/>
          <w:color w:val="000000" w:themeColor="text1"/>
          <w:kern w:val="0"/>
          <w:highlight w:val="none"/>
          <w14:textFill>
            <w14:solidFill>
              <w14:schemeClr w14:val="tx1"/>
            </w14:solidFill>
          </w14:textFill>
        </w:rPr>
        <w:t>证书</w:t>
      </w:r>
      <w:r>
        <w:rPr>
          <w:rFonts w:hint="eastAsia" w:ascii="宋体" w:hAnsi="宋体" w:cs="宋体"/>
          <w:color w:val="000000" w:themeColor="text1"/>
          <w:kern w:val="0"/>
          <w:szCs w:val="24"/>
          <w:highlight w:val="none"/>
          <w14:textFill>
            <w14:solidFill>
              <w14:schemeClr w14:val="tx1"/>
            </w14:solidFill>
          </w14:textFill>
        </w:rPr>
        <w:t>办理详见</w:t>
      </w:r>
      <w:r>
        <w:rPr>
          <w:rFonts w:hint="eastAsia" w:ascii="宋体" w:hAnsi="宋体" w:cs="宋体"/>
          <w:bCs/>
          <w:color w:val="000000" w:themeColor="text1"/>
          <w:kern w:val="0"/>
          <w:highlight w:val="none"/>
          <w14:textFill>
            <w14:solidFill>
              <w14:schemeClr w14:val="tx1"/>
            </w14:solidFill>
          </w14:textFill>
        </w:rPr>
        <w:t>《优质采平台CA数字证书办理说明》：</w:t>
      </w:r>
    </w:p>
    <w:p w14:paraId="6EF9285A">
      <w:pPr>
        <w:spacing w:line="400" w:lineRule="exact"/>
        <w:ind w:firstLine="480" w:firstLineChars="200"/>
        <w:rPr>
          <w:rFonts w:hint="eastAsia" w:ascii="宋体" w:hAnsi="宋体" w:cs="宋体"/>
          <w:b/>
          <w:bCs/>
          <w:color w:val="000000" w:themeColor="text1"/>
          <w:kern w:val="0"/>
          <w:highlight w:val="none"/>
          <w14:textFill>
            <w14:solidFill>
              <w14:schemeClr w14:val="tx1"/>
            </w14:solidFill>
          </w14:textFill>
        </w:rPr>
      </w:pPr>
      <w:r>
        <w:rPr>
          <w:highlight w:val="none"/>
        </w:rPr>
        <w:fldChar w:fldCharType="begin"/>
      </w:r>
      <w:r>
        <w:rPr>
          <w:highlight w:val="none"/>
        </w:rPr>
        <w:instrText xml:space="preserve"> HYPERLINK "http://www.youzhicai.com/ActivityTopic/AdviceDetail/8f80a7ec-911f-4c4d-a123-f8849880f045" </w:instrText>
      </w:r>
      <w:r>
        <w:rPr>
          <w:highlight w:val="none"/>
        </w:rPr>
        <w:fldChar w:fldCharType="separate"/>
      </w:r>
      <w:r>
        <w:rPr>
          <w:rFonts w:hint="eastAsia" w:ascii="宋体" w:hAnsi="宋体" w:cs="宋体"/>
          <w:bCs/>
          <w:color w:val="000000" w:themeColor="text1"/>
          <w:kern w:val="0"/>
          <w:highlight w:val="none"/>
          <w:u w:val="single"/>
          <w14:textFill>
            <w14:solidFill>
              <w14:schemeClr w14:val="tx1"/>
            </w14:solidFill>
          </w14:textFill>
        </w:rPr>
        <w:t>http://www.youzhicai.com/ActivityTopic/AdviceDetail/8f80a7ec-911f-4c4d-a123-f</w:t>
      </w:r>
      <w:bookmarkStart w:id="123" w:name="_Hlt105085547"/>
      <w:bookmarkStart w:id="124" w:name="_Hlt105085548"/>
      <w:r>
        <w:rPr>
          <w:rFonts w:hint="eastAsia" w:ascii="宋体" w:hAnsi="宋体" w:cs="宋体"/>
          <w:bCs/>
          <w:color w:val="000000" w:themeColor="text1"/>
          <w:kern w:val="0"/>
          <w:highlight w:val="none"/>
          <w:u w:val="single"/>
          <w14:textFill>
            <w14:solidFill>
              <w14:schemeClr w14:val="tx1"/>
            </w14:solidFill>
          </w14:textFill>
        </w:rPr>
        <w:t>8</w:t>
      </w:r>
      <w:bookmarkEnd w:id="123"/>
      <w:bookmarkEnd w:id="124"/>
      <w:r>
        <w:rPr>
          <w:rFonts w:hint="eastAsia" w:ascii="宋体" w:hAnsi="宋体" w:cs="宋体"/>
          <w:bCs/>
          <w:color w:val="000000" w:themeColor="text1"/>
          <w:kern w:val="0"/>
          <w:highlight w:val="none"/>
          <w:u w:val="single"/>
          <w14:textFill>
            <w14:solidFill>
              <w14:schemeClr w14:val="tx1"/>
            </w14:solidFill>
          </w14:textFill>
        </w:rPr>
        <w:t>849880f045</w:t>
      </w:r>
      <w:r>
        <w:rPr>
          <w:rFonts w:hint="eastAsia" w:ascii="宋体" w:hAnsi="宋体" w:cs="宋体"/>
          <w:bCs/>
          <w:color w:val="000000" w:themeColor="text1"/>
          <w:kern w:val="0"/>
          <w:highlight w:val="none"/>
          <w:u w:val="single"/>
          <w14:textFill>
            <w14:solidFill>
              <w14:schemeClr w14:val="tx1"/>
            </w14:solidFill>
          </w14:textFill>
        </w:rPr>
        <w:fldChar w:fldCharType="end"/>
      </w:r>
      <w:r>
        <w:rPr>
          <w:rFonts w:hint="eastAsia" w:ascii="宋体" w:hAnsi="宋体" w:cs="宋体"/>
          <w:bCs/>
          <w:color w:val="000000" w:themeColor="text1"/>
          <w:kern w:val="0"/>
          <w:highlight w:val="none"/>
          <w14:textFill>
            <w14:solidFill>
              <w14:schemeClr w14:val="tx1"/>
            </w14:solidFill>
          </w14:textFill>
        </w:rPr>
        <w:t>。</w:t>
      </w:r>
    </w:p>
    <w:p w14:paraId="678DF157">
      <w:pPr>
        <w:spacing w:line="400" w:lineRule="exact"/>
        <w:ind w:firstLine="480" w:firstLineChars="200"/>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3.CA</w:t>
      </w:r>
      <w:r>
        <w:rPr>
          <w:rFonts w:hint="eastAsia" w:ascii="宋体" w:hAnsi="宋体" w:cs="宋体"/>
          <w:color w:val="000000" w:themeColor="text1"/>
          <w:kern w:val="0"/>
          <w:highlight w:val="none"/>
          <w14:textFill>
            <w14:solidFill>
              <w14:schemeClr w14:val="tx1"/>
            </w14:solidFill>
          </w14:textFill>
        </w:rPr>
        <w:t>证书</w:t>
      </w:r>
      <w:r>
        <w:rPr>
          <w:rFonts w:hint="eastAsia" w:ascii="宋体" w:hAnsi="宋体" w:cs="宋体"/>
          <w:color w:val="000000" w:themeColor="text1"/>
          <w:kern w:val="0"/>
          <w:szCs w:val="24"/>
          <w:highlight w:val="none"/>
          <w14:textFill>
            <w14:solidFill>
              <w14:schemeClr w14:val="tx1"/>
            </w14:solidFill>
          </w14:textFill>
        </w:rPr>
        <w:t>到期或即将到期，须在递交投标文件前办理续期。</w:t>
      </w:r>
    </w:p>
    <w:p w14:paraId="4B707F21">
      <w:pPr>
        <w:spacing w:line="400" w:lineRule="exact"/>
        <w:ind w:firstLine="480" w:firstLineChars="200"/>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4.CA锁</w:t>
      </w:r>
      <w:r>
        <w:rPr>
          <w:rFonts w:hint="eastAsia" w:ascii="宋体" w:hAnsi="宋体" w:cs="宋体"/>
          <w:color w:val="000000" w:themeColor="text1"/>
          <w:kern w:val="0"/>
          <w:highlight w:val="none"/>
          <w14:textFill>
            <w14:solidFill>
              <w14:schemeClr w14:val="tx1"/>
            </w14:solidFill>
          </w14:textFill>
        </w:rPr>
        <w:t>遗失、损坏等无法使用，须在递交投标文件前补办CA锁。</w:t>
      </w:r>
    </w:p>
    <w:p w14:paraId="35C9FDBD">
      <w:pPr>
        <w:spacing w:line="400" w:lineRule="exact"/>
        <w:ind w:firstLine="480" w:firstLineChars="200"/>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5.企业</w:t>
      </w:r>
      <w:r>
        <w:rPr>
          <w:rFonts w:hint="eastAsia" w:ascii="宋体" w:hAnsi="宋体" w:cs="宋体"/>
          <w:color w:val="000000" w:themeColor="text1"/>
          <w:kern w:val="0"/>
          <w:highlight w:val="none"/>
          <w14:textFill>
            <w14:solidFill>
              <w14:schemeClr w14:val="tx1"/>
            </w14:solidFill>
          </w14:textFill>
        </w:rPr>
        <w:t>信息（包括但不限于企业名称和法定代表人信息）发生变更的，须在递交投标文件前变更CA证书。</w:t>
      </w:r>
    </w:p>
    <w:p w14:paraId="211812F4">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ab/>
      </w:r>
      <w:r>
        <w:rPr>
          <w:rFonts w:hint="eastAsia" w:ascii="宋体" w:hAnsi="宋体" w:cs="宋体"/>
          <w:color w:val="000000" w:themeColor="text1"/>
          <w:kern w:val="0"/>
          <w:szCs w:val="24"/>
          <w:highlight w:val="none"/>
          <w14:textFill>
            <w14:solidFill>
              <w14:schemeClr w14:val="tx1"/>
            </w14:solidFill>
          </w14:textFill>
        </w:rPr>
        <w:t>6.</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由于</w:t>
      </w:r>
      <w:r>
        <w:rPr>
          <w:rFonts w:hint="eastAsia" w:ascii="宋体" w:hAnsi="宋体" w:cs="宋体"/>
          <w:color w:val="000000" w:themeColor="text1"/>
          <w:kern w:val="0"/>
          <w:highlight w:val="none"/>
          <w14:textFill>
            <w14:solidFill>
              <w14:schemeClr w14:val="tx1"/>
            </w14:solidFill>
          </w14:textFill>
        </w:rPr>
        <w:t>CA证书</w:t>
      </w:r>
      <w:r>
        <w:rPr>
          <w:rFonts w:hint="eastAsia" w:ascii="宋体" w:hAnsi="宋体" w:cs="宋体"/>
          <w:color w:val="000000" w:themeColor="text1"/>
          <w:kern w:val="0"/>
          <w:szCs w:val="24"/>
          <w:highlight w:val="none"/>
          <w14:textFill>
            <w14:solidFill>
              <w14:schemeClr w14:val="tx1"/>
            </w14:solidFill>
          </w14:textFill>
        </w:rPr>
        <w:t>遗失、损坏、更换、续期、企业信息变更等情况导致投标文件无法解密的，由</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自行承担责任；</w:t>
      </w:r>
    </w:p>
    <w:p w14:paraId="339BE592">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7.加密和解密投标文件</w:t>
      </w:r>
      <w:r>
        <w:rPr>
          <w:rFonts w:hint="eastAsia" w:ascii="宋体" w:hAnsi="宋体" w:cs="宋体"/>
          <w:color w:val="000000" w:themeColor="text1"/>
          <w:kern w:val="0"/>
          <w:highlight w:val="none"/>
          <w14:textFill>
            <w14:solidFill>
              <w14:schemeClr w14:val="tx1"/>
            </w14:solidFill>
          </w14:textFill>
        </w:rPr>
        <w:t>必须使用同一个CA证书</w:t>
      </w:r>
      <w:r>
        <w:rPr>
          <w:rFonts w:hint="eastAsia" w:ascii="宋体" w:hAnsi="宋体" w:cs="宋体"/>
          <w:color w:val="000000" w:themeColor="text1"/>
          <w:kern w:val="0"/>
          <w:szCs w:val="24"/>
          <w:highlight w:val="none"/>
          <w14:textFill>
            <w14:solidFill>
              <w14:schemeClr w14:val="tx1"/>
            </w14:solidFill>
          </w14:textFill>
        </w:rPr>
        <w:t>。</w:t>
      </w:r>
    </w:p>
    <w:p w14:paraId="7EC2DE16">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二、制作、签章、加密、上传电子投标文件</w:t>
      </w:r>
    </w:p>
    <w:p w14:paraId="14CF0036">
      <w:pPr>
        <w:spacing w:line="400" w:lineRule="exact"/>
        <w:ind w:firstLine="480" w:firstLineChars="200"/>
        <w:rPr>
          <w:rFonts w:hint="eastAsia" w:ascii="宋体" w:hAnsi="宋体" w:cs="宋体"/>
          <w:color w:val="000000" w:themeColor="text1"/>
          <w:kern w:val="0"/>
          <w:highlight w:val="none"/>
          <w:u w:val="singl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8.本项目采用全流程电子化招标采购方式，潜在</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highlight w:val="none"/>
          <w14:textFill>
            <w14:solidFill>
              <w14:schemeClr w14:val="tx1"/>
            </w14:solidFill>
          </w14:textFill>
        </w:rPr>
        <w:t>需使用</w:t>
      </w:r>
      <w:r>
        <w:rPr>
          <w:rFonts w:hint="eastAsia" w:ascii="宋体" w:hAnsi="宋体" w:cs="宋体"/>
          <w:color w:val="000000" w:themeColor="text1"/>
          <w:kern w:val="0"/>
          <w:szCs w:val="24"/>
          <w:highlight w:val="none"/>
          <w14:textFill>
            <w14:solidFill>
              <w14:schemeClr w14:val="tx1"/>
            </w14:solidFill>
          </w14:textFill>
        </w:rPr>
        <w:t>“优质采投标工具客户端”（以下简称“投标工具”）制作</w:t>
      </w:r>
      <w:r>
        <w:rPr>
          <w:rFonts w:hint="eastAsia" w:ascii="宋体" w:hAnsi="宋体" w:cs="宋体"/>
          <w:color w:val="000000" w:themeColor="text1"/>
          <w:kern w:val="0"/>
          <w:highlight w:val="none"/>
          <w14:textFill>
            <w14:solidFill>
              <w14:schemeClr w14:val="tx1"/>
            </w14:solidFill>
          </w14:textFill>
        </w:rPr>
        <w:t>电子投标文件，</w:t>
      </w:r>
      <w:r>
        <w:rPr>
          <w:rFonts w:hint="eastAsia" w:ascii="宋体" w:hAnsi="宋体" w:cs="宋体"/>
          <w:color w:val="000000" w:themeColor="text1"/>
          <w:kern w:val="0"/>
          <w:szCs w:val="24"/>
          <w:highlight w:val="none"/>
          <w14:textFill>
            <w14:solidFill>
              <w14:schemeClr w14:val="tx1"/>
            </w14:solidFill>
          </w14:textFill>
        </w:rPr>
        <w:t>投标工具及操作说明下载地址：</w:t>
      </w:r>
      <w:r>
        <w:rPr>
          <w:highlight w:val="none"/>
        </w:rPr>
        <w:fldChar w:fldCharType="begin"/>
      </w:r>
      <w:r>
        <w:rPr>
          <w:highlight w:val="none"/>
        </w:rPr>
        <w:instrText xml:space="preserve"> HYPERLINK "https://toolcdn.youzhicai.com/tools/BidderTools.zip" </w:instrText>
      </w:r>
      <w:r>
        <w:rPr>
          <w:highlight w:val="none"/>
        </w:rPr>
        <w:fldChar w:fldCharType="separate"/>
      </w:r>
      <w:r>
        <w:rPr>
          <w:rFonts w:hint="eastAsia" w:ascii="宋体" w:hAnsi="宋体" w:cs="宋体"/>
          <w:color w:val="000000" w:themeColor="text1"/>
          <w:kern w:val="0"/>
          <w:highlight w:val="none"/>
          <w:u w:val="single"/>
          <w14:textFill>
            <w14:solidFill>
              <w14:schemeClr w14:val="tx1"/>
            </w14:solidFill>
          </w14:textFill>
        </w:rPr>
        <w:t>https://toolcdn.youzhicai.com/tools/BidderTools.zip</w:t>
      </w:r>
      <w:r>
        <w:rPr>
          <w:rFonts w:hint="eastAsia" w:ascii="宋体" w:hAnsi="宋体" w:cs="宋体"/>
          <w:color w:val="000000" w:themeColor="text1"/>
          <w:kern w:val="0"/>
          <w:highlight w:val="none"/>
          <w:u w:val="single"/>
          <w14:textFill>
            <w14:solidFill>
              <w14:schemeClr w14:val="tx1"/>
            </w14:solidFill>
          </w14:textFill>
        </w:rPr>
        <w:fldChar w:fldCharType="end"/>
      </w:r>
      <w:r>
        <w:rPr>
          <w:rFonts w:hint="eastAsia" w:ascii="宋体" w:hAnsi="宋体" w:cs="宋体"/>
          <w:color w:val="000000" w:themeColor="text1"/>
          <w:kern w:val="0"/>
          <w:highlight w:val="none"/>
          <w:u w:val="single"/>
          <w14:textFill>
            <w14:solidFill>
              <w14:schemeClr w14:val="tx1"/>
            </w14:solidFill>
          </w14:textFill>
        </w:rPr>
        <w:t>。</w:t>
      </w:r>
    </w:p>
    <w:p w14:paraId="6447C1CD">
      <w:pPr>
        <w:spacing w:line="400" w:lineRule="exact"/>
        <w:ind w:firstLine="480" w:firstLineChars="200"/>
        <w:rPr>
          <w:rFonts w:hint="eastAsia" w:ascii="宋体" w:hAnsi="宋体" w:cs="宋体"/>
          <w:color w:val="000000" w:themeColor="text1"/>
          <w:kern w:val="0"/>
          <w:highlight w:val="none"/>
          <w:u w:val="single"/>
          <w14:textFill>
            <w14:solidFill>
              <w14:schemeClr w14:val="tx1"/>
            </w14:solidFill>
          </w14:textFill>
        </w:rPr>
      </w:pPr>
      <w:r>
        <w:rPr>
          <w:rFonts w:hint="eastAsia" w:ascii="宋体" w:hAnsi="宋体" w:cs="宋体"/>
          <w:color w:val="000000" w:themeColor="text1"/>
          <w:kern w:val="0"/>
          <w:highlight w:val="none"/>
          <w:u w:val="single"/>
          <w14:textFill>
            <w14:solidFill>
              <w14:schemeClr w14:val="tx1"/>
            </w14:solidFill>
          </w14:textFill>
        </w:rPr>
        <w:tab/>
      </w:r>
      <w:r>
        <w:rPr>
          <w:rFonts w:hint="eastAsia" w:ascii="宋体" w:hAnsi="宋体" w:cs="宋体"/>
          <w:color w:val="000000" w:themeColor="text1"/>
          <w:kern w:val="0"/>
          <w:highlight w:val="none"/>
          <w:u w:val="single"/>
          <w14:textFill>
            <w14:solidFill>
              <w14:schemeClr w14:val="tx1"/>
            </w14:solidFill>
          </w14:textFill>
        </w:rPr>
        <w:t>8.1.投标工具建议在window7或windows10操作系统下使用；</w:t>
      </w:r>
    </w:p>
    <w:p w14:paraId="2FE2B96E">
      <w:pPr>
        <w:spacing w:line="400" w:lineRule="exact"/>
        <w:ind w:firstLine="480" w:firstLineChars="200"/>
        <w:rPr>
          <w:rFonts w:hint="eastAsia" w:ascii="宋体" w:hAnsi="宋体" w:cs="宋体"/>
          <w:bCs/>
          <w:color w:val="000000" w:themeColor="text1"/>
          <w:kern w:val="0"/>
          <w:sz w:val="18"/>
          <w:highlight w:val="none"/>
          <w14:textFill>
            <w14:solidFill>
              <w14:schemeClr w14:val="tx1"/>
            </w14:solidFill>
          </w14:textFill>
        </w:rPr>
      </w:pPr>
      <w:r>
        <w:rPr>
          <w:rFonts w:hint="eastAsia" w:ascii="宋体" w:hAnsi="宋体" w:cs="宋体"/>
          <w:color w:val="000000" w:themeColor="text1"/>
          <w:kern w:val="0"/>
          <w:highlight w:val="none"/>
          <w:u w:val="single"/>
          <w14:textFill>
            <w14:solidFill>
              <w14:schemeClr w14:val="tx1"/>
            </w14:solidFill>
          </w14:textFill>
        </w:rPr>
        <w:tab/>
      </w:r>
      <w:r>
        <w:rPr>
          <w:rFonts w:hint="eastAsia" w:ascii="宋体" w:hAnsi="宋体" w:cs="宋体"/>
          <w:color w:val="000000" w:themeColor="text1"/>
          <w:kern w:val="0"/>
          <w:highlight w:val="none"/>
          <w:u w:val="single"/>
          <w14:textFill>
            <w14:solidFill>
              <w14:schemeClr w14:val="tx1"/>
            </w14:solidFill>
          </w14:textFill>
        </w:rPr>
        <w:t>8.2.电子投标文件编制建议使用</w:t>
      </w:r>
      <w:r>
        <w:rPr>
          <w:rFonts w:hint="eastAsia" w:ascii="宋体" w:hAnsi="宋体" w:cs="宋体"/>
          <w:color w:val="000000" w:themeColor="text1"/>
          <w:kern w:val="0"/>
          <w:highlight w:val="none"/>
          <w14:textFill>
            <w14:solidFill>
              <w14:schemeClr w14:val="tx1"/>
            </w14:solidFill>
          </w14:textFill>
        </w:rPr>
        <w:t>office2010版本。</w:t>
      </w:r>
    </w:p>
    <w:p w14:paraId="27F07047">
      <w:pPr>
        <w:wordWrap w:val="0"/>
        <w:spacing w:line="400" w:lineRule="exact"/>
        <w:ind w:firstLine="480" w:firstLineChars="200"/>
        <w:rPr>
          <w:rFonts w:hint="eastAsia" w:ascii="宋体" w:hAnsi="宋体" w:cs="宋体"/>
          <w:bCs/>
          <w:color w:val="000000" w:themeColor="text1"/>
          <w:kern w:val="0"/>
          <w:highlight w:val="none"/>
          <w:u w:val="singl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ab/>
      </w:r>
      <w:r>
        <w:rPr>
          <w:rFonts w:hint="eastAsia" w:ascii="宋体" w:hAnsi="宋体" w:cs="宋体"/>
          <w:color w:val="000000" w:themeColor="text1"/>
          <w:kern w:val="0"/>
          <w:szCs w:val="24"/>
          <w:highlight w:val="none"/>
          <w14:textFill>
            <w14:solidFill>
              <w14:schemeClr w14:val="tx1"/>
            </w14:solidFill>
          </w14:textFill>
        </w:rPr>
        <w:t>9.</w:t>
      </w:r>
      <w:r>
        <w:rPr>
          <w:rFonts w:hint="eastAsia" w:ascii="宋体" w:hAnsi="宋体" w:cs="宋体"/>
          <w:color w:val="000000" w:themeColor="text1"/>
          <w:kern w:val="0"/>
          <w:highlight w:val="none"/>
          <w14:textFill>
            <w14:solidFill>
              <w14:schemeClr w14:val="tx1"/>
            </w14:solidFill>
          </w14:textFill>
        </w:rPr>
        <w:t>潜在</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highlight w:val="none"/>
          <w14:textFill>
            <w14:solidFill>
              <w14:schemeClr w14:val="tx1"/>
            </w14:solidFill>
          </w14:textFill>
        </w:rPr>
        <w:t>制作电子投标文件后，需在</w:t>
      </w:r>
      <w:r>
        <w:rPr>
          <w:rFonts w:hint="eastAsia" w:ascii="宋体" w:hAnsi="宋体" w:cs="宋体"/>
          <w:color w:val="000000" w:themeColor="text1"/>
          <w:kern w:val="0"/>
          <w:szCs w:val="24"/>
          <w:highlight w:val="none"/>
          <w14:textFill>
            <w14:solidFill>
              <w14:schemeClr w14:val="tx1"/>
            </w14:solidFill>
          </w14:textFill>
        </w:rPr>
        <w:t>投标工具</w:t>
      </w:r>
      <w:r>
        <w:rPr>
          <w:rFonts w:hint="eastAsia" w:ascii="宋体" w:hAnsi="宋体" w:cs="宋体"/>
          <w:color w:val="000000" w:themeColor="text1"/>
          <w:kern w:val="0"/>
          <w:highlight w:val="none"/>
          <w14:textFill>
            <w14:solidFill>
              <w14:schemeClr w14:val="tx1"/>
            </w14:solidFill>
          </w14:textFill>
        </w:rPr>
        <w:t>对电子投标文件进行电子签章（项目有特殊说明的除外），并使用CA</w:t>
      </w:r>
      <w:r>
        <w:rPr>
          <w:rFonts w:hint="eastAsia" w:ascii="宋体" w:hAnsi="宋体" w:cs="宋体"/>
          <w:color w:val="000000" w:themeColor="text1"/>
          <w:kern w:val="0"/>
          <w:szCs w:val="24"/>
          <w:highlight w:val="none"/>
          <w14:textFill>
            <w14:solidFill>
              <w14:schemeClr w14:val="tx1"/>
            </w14:solidFill>
          </w14:textFill>
        </w:rPr>
        <w:t>证书进行</w:t>
      </w:r>
      <w:r>
        <w:rPr>
          <w:rFonts w:hint="eastAsia" w:ascii="宋体" w:hAnsi="宋体" w:cs="宋体"/>
          <w:color w:val="000000" w:themeColor="text1"/>
          <w:kern w:val="0"/>
          <w:highlight w:val="none"/>
          <w14:textFill>
            <w14:solidFill>
              <w14:schemeClr w14:val="tx1"/>
            </w14:solidFill>
          </w14:textFill>
        </w:rPr>
        <w:t>加密。在</w:t>
      </w:r>
      <w:r>
        <w:rPr>
          <w:rFonts w:hint="eastAsia" w:ascii="宋体" w:hAnsi="宋体" w:cs="宋体"/>
          <w:color w:val="000000" w:themeColor="text1"/>
          <w:kern w:val="0"/>
          <w:szCs w:val="24"/>
          <w:highlight w:val="none"/>
          <w14:textFill>
            <w14:solidFill>
              <w14:schemeClr w14:val="tx1"/>
            </w14:solidFill>
          </w14:textFill>
        </w:rPr>
        <w:t>投标工具使用CA证书</w:t>
      </w:r>
      <w:r>
        <w:rPr>
          <w:rFonts w:hint="eastAsia" w:ascii="宋体" w:hAnsi="宋体" w:cs="宋体"/>
          <w:color w:val="000000" w:themeColor="text1"/>
          <w:kern w:val="0"/>
          <w:highlight w:val="none"/>
          <w14:textFill>
            <w14:solidFill>
              <w14:schemeClr w14:val="tx1"/>
            </w14:solidFill>
          </w14:textFill>
        </w:rPr>
        <w:t>时需安装“优质采数字证书助手”</w:t>
      </w:r>
      <w:r>
        <w:rPr>
          <w:rFonts w:hint="eastAsia" w:ascii="宋体" w:hAnsi="宋体" w:cs="宋体"/>
          <w:color w:val="000000" w:themeColor="text1"/>
          <w:kern w:val="0"/>
          <w:szCs w:val="24"/>
          <w:highlight w:val="none"/>
          <w14:textFill>
            <w14:solidFill>
              <w14:schemeClr w14:val="tx1"/>
            </w14:solidFill>
          </w14:textFill>
        </w:rPr>
        <w:t>（即数字证书驱动）</w:t>
      </w:r>
      <w:r>
        <w:rPr>
          <w:rFonts w:hint="eastAsia" w:ascii="宋体" w:hAnsi="宋体" w:cs="宋体"/>
          <w:color w:val="000000" w:themeColor="text1"/>
          <w:kern w:val="0"/>
          <w:highlight w:val="none"/>
          <w14:textFill>
            <w14:solidFill>
              <w14:schemeClr w14:val="tx1"/>
            </w14:solidFill>
          </w14:textFill>
        </w:rPr>
        <w:t>，下载地址：</w:t>
      </w:r>
      <w:r>
        <w:rPr>
          <w:highlight w:val="none"/>
        </w:rPr>
        <w:fldChar w:fldCharType="begin"/>
      </w:r>
      <w:r>
        <w:rPr>
          <w:highlight w:val="none"/>
        </w:rPr>
        <w:instrText xml:space="preserve"> HYPERLINK "https://toolcdn.youzhicai.com/ca.zip" </w:instrText>
      </w:r>
      <w:r>
        <w:rPr>
          <w:highlight w:val="none"/>
        </w:rPr>
        <w:fldChar w:fldCharType="separate"/>
      </w:r>
      <w:r>
        <w:rPr>
          <w:rFonts w:hint="eastAsia" w:ascii="宋体" w:hAnsi="宋体" w:cs="宋体"/>
          <w:color w:val="000000" w:themeColor="text1"/>
          <w:kern w:val="0"/>
          <w:highlight w:val="none"/>
          <w:u w:val="single"/>
          <w14:textFill>
            <w14:solidFill>
              <w14:schemeClr w14:val="tx1"/>
            </w14:solidFill>
          </w14:textFill>
        </w:rPr>
        <w:t>https://toolcdn.youzhicai.com/ca.zip</w:t>
      </w:r>
      <w:r>
        <w:rPr>
          <w:rFonts w:hint="eastAsia" w:ascii="宋体" w:hAnsi="宋体" w:cs="宋体"/>
          <w:color w:val="000000" w:themeColor="text1"/>
          <w:kern w:val="0"/>
          <w:highlight w:val="none"/>
          <w:u w:val="single"/>
          <w14:textFill>
            <w14:solidFill>
              <w14:schemeClr w14:val="tx1"/>
            </w14:solidFill>
          </w14:textFill>
        </w:rPr>
        <w:fldChar w:fldCharType="end"/>
      </w:r>
      <w:r>
        <w:rPr>
          <w:rFonts w:hint="eastAsia" w:ascii="宋体" w:hAnsi="宋体" w:cs="宋体"/>
          <w:color w:val="000000" w:themeColor="text1"/>
          <w:kern w:val="0"/>
          <w:highlight w:val="none"/>
          <w:u w:val="single"/>
          <w14:textFill>
            <w14:solidFill>
              <w14:schemeClr w14:val="tx1"/>
            </w14:solidFill>
          </w14:textFill>
        </w:rPr>
        <w:t>。</w:t>
      </w:r>
    </w:p>
    <w:p w14:paraId="4E1019ED">
      <w:pPr>
        <w:wordWrap w:val="0"/>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ab/>
      </w:r>
      <w:r>
        <w:rPr>
          <w:rFonts w:hint="eastAsia" w:ascii="宋体" w:hAnsi="宋体" w:cs="宋体"/>
          <w:color w:val="000000" w:themeColor="text1"/>
          <w:kern w:val="0"/>
          <w:szCs w:val="24"/>
          <w:highlight w:val="none"/>
          <w14:textFill>
            <w14:solidFill>
              <w14:schemeClr w14:val="tx1"/>
            </w14:solidFill>
          </w14:textFill>
        </w:rPr>
        <w:t>10.潜在</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完成制作、签章、加密投标文件后，需在</w:t>
      </w:r>
      <w:r>
        <w:rPr>
          <w:rFonts w:hint="eastAsia" w:ascii="宋体" w:hAnsi="宋体" w:cs="宋体"/>
          <w:color w:val="000000" w:themeColor="text1"/>
          <w:kern w:val="0"/>
          <w:highlight w:val="none"/>
          <w14:textFill>
            <w14:solidFill>
              <w14:schemeClr w14:val="tx1"/>
            </w14:solidFill>
          </w14:textFill>
        </w:rPr>
        <w:t>招标文件规定的投标截止时间前在</w:t>
      </w:r>
      <w:r>
        <w:rPr>
          <w:rFonts w:hint="eastAsia" w:ascii="宋体" w:hAnsi="宋体" w:cs="宋体"/>
          <w:color w:val="000000" w:themeColor="text1"/>
          <w:kern w:val="0"/>
          <w:szCs w:val="24"/>
          <w:highlight w:val="none"/>
          <w14:textFill>
            <w14:solidFill>
              <w14:schemeClr w14:val="tx1"/>
            </w14:solidFill>
          </w14:textFill>
        </w:rPr>
        <w:t>投标工具</w:t>
      </w:r>
      <w:r>
        <w:rPr>
          <w:rFonts w:hint="eastAsia" w:ascii="宋体" w:hAnsi="宋体" w:cs="宋体"/>
          <w:color w:val="000000" w:themeColor="text1"/>
          <w:kern w:val="0"/>
          <w:highlight w:val="none"/>
          <w14:textFill>
            <w14:solidFill>
              <w14:schemeClr w14:val="tx1"/>
            </w14:solidFill>
          </w14:textFill>
        </w:rPr>
        <w:t>完成上传。</w:t>
      </w:r>
      <w:r>
        <w:rPr>
          <w:rFonts w:hint="eastAsia" w:ascii="宋体" w:hAnsi="宋体" w:cs="宋体"/>
          <w:color w:val="000000" w:themeColor="text1"/>
          <w:kern w:val="0"/>
          <w:szCs w:val="24"/>
          <w:highlight w:val="none"/>
          <w14:textFill>
            <w14:solidFill>
              <w14:schemeClr w14:val="tx1"/>
            </w14:solidFill>
          </w14:textFill>
        </w:rPr>
        <w:t>投标截止时间以优质采云采购平台（</w:t>
      </w:r>
      <w:r>
        <w:rPr>
          <w:rFonts w:ascii="宋体" w:hAnsi="宋体" w:cs="宋体"/>
          <w:color w:val="000000" w:themeColor="text1"/>
          <w:kern w:val="0"/>
          <w:szCs w:val="24"/>
          <w:highlight w:val="none"/>
          <w14:textFill>
            <w14:solidFill>
              <w14:schemeClr w14:val="tx1"/>
            </w14:solidFill>
          </w14:textFill>
        </w:rPr>
        <w:t>http://www.youzhicai.com/</w:t>
      </w:r>
      <w:r>
        <w:rPr>
          <w:rFonts w:hint="eastAsia" w:ascii="宋体" w:hAnsi="宋体" w:cs="宋体"/>
          <w:color w:val="000000" w:themeColor="text1"/>
          <w:kern w:val="0"/>
          <w:szCs w:val="24"/>
          <w:highlight w:val="none"/>
          <w14:textFill>
            <w14:solidFill>
              <w14:schemeClr w14:val="tx1"/>
            </w14:solidFill>
          </w14:textFill>
        </w:rPr>
        <w:t>）系统的时间为准，如未在投标截止时间前完成电子投标文件上传，系统将自动关闭上传通道。潜在</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未完成电子投标文件上传的，视为没有递交投标文件。</w:t>
      </w:r>
    </w:p>
    <w:p w14:paraId="5ABF7389">
      <w:pPr>
        <w:wordWrap w:val="0"/>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11.潜在</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在投标文件递交截止时间前，可以对其所递交的电子投标文件进行撤回，修改后重新上传。</w:t>
      </w:r>
    </w:p>
    <w:p w14:paraId="7DC031D2">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12.潜在</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在制作、签章、加密、上传电子投标文件过程中，若存在技术操作问题，请及时联系优质采云采购平台客服人员，客服电话：400-0099-555，0551-62220164。</w:t>
      </w:r>
    </w:p>
    <w:p w14:paraId="51444A70">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三、开标和解密</w:t>
      </w:r>
    </w:p>
    <w:p w14:paraId="43E87BFC">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13.</w:t>
      </w:r>
      <w:r>
        <w:rPr>
          <w:rFonts w:hint="eastAsia" w:ascii="宋体" w:hAnsi="宋体"/>
          <w:color w:val="000000" w:themeColor="text1"/>
          <w:kern w:val="0"/>
          <w:szCs w:val="18"/>
          <w:highlight w:val="none"/>
          <w14:textFill>
            <w14:solidFill>
              <w14:schemeClr w14:val="tx1"/>
            </w14:solidFill>
          </w14:textFill>
        </w:rPr>
        <w:t>业主单位</w:t>
      </w:r>
      <w:r>
        <w:rPr>
          <w:rFonts w:hint="eastAsia" w:ascii="宋体" w:hAnsi="宋体" w:cs="宋体"/>
          <w:color w:val="000000" w:themeColor="text1"/>
          <w:kern w:val="0"/>
          <w:szCs w:val="24"/>
          <w:highlight w:val="none"/>
          <w14:textFill>
            <w14:solidFill>
              <w14:schemeClr w14:val="tx1"/>
            </w14:solidFill>
          </w14:textFill>
        </w:rPr>
        <w:t>或代理机构工作人员（以下简称工作人员）根据有关规定登录系统组织开标。投标文件递交截止时间后由</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使用</w:t>
      </w:r>
      <w:r>
        <w:rPr>
          <w:rFonts w:hint="eastAsia" w:ascii="宋体" w:hAnsi="宋体" w:cs="宋体"/>
          <w:color w:val="000000" w:themeColor="text1"/>
          <w:kern w:val="0"/>
          <w:highlight w:val="none"/>
          <w14:textFill>
            <w14:solidFill>
              <w14:schemeClr w14:val="tx1"/>
            </w14:solidFill>
          </w14:textFill>
        </w:rPr>
        <w:t>CA证书</w:t>
      </w:r>
      <w:r>
        <w:rPr>
          <w:rFonts w:hint="eastAsia" w:ascii="宋体" w:hAnsi="宋体" w:cs="宋体"/>
          <w:color w:val="000000" w:themeColor="text1"/>
          <w:kern w:val="0"/>
          <w:szCs w:val="24"/>
          <w:highlight w:val="none"/>
          <w14:textFill>
            <w14:solidFill>
              <w14:schemeClr w14:val="tx1"/>
            </w14:solidFill>
          </w14:textFill>
        </w:rPr>
        <w:t>解密投标文件，工作人员导入已解密投标文件并公布开标结果。</w:t>
      </w:r>
    </w:p>
    <w:p w14:paraId="48E94F75">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14.投标文件可远程解密，</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无需到达开标现场。招标文件“</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须知”中另有规定的，从其规定。</w:t>
      </w:r>
    </w:p>
    <w:p w14:paraId="399A1E56">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15.潜在</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须按照招标文件的要求在投标文件递交截止时间前登录投标工具并保持在线，关注开标互动大厅消息直到项目评审结束。</w:t>
      </w:r>
    </w:p>
    <w:p w14:paraId="688A931F">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16.投标文件解密时限为投标文件递交截止时间后30分钟（招标文件“</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须知”中另有规定的，从其规定）。潜在</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须在投标文件解密时限内完成投标文件解密，未能成功解密的视为放弃投标。招标文件“</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须知”中对投标文件解密设有线下补救方案的，执行该补救方案。</w:t>
      </w:r>
    </w:p>
    <w:p w14:paraId="273AE9D9">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四、评审和询标</w:t>
      </w:r>
    </w:p>
    <w:p w14:paraId="1A29FEA7">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17.评审委员会通过优质采电子评审工具将需要澄清、说明或补正的内容以询标函的形式发送给</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应登录投标工具并保持在线状态，以便及时接收评审委员会可能发出的询标函，并在询标函载明的时间内回复，若</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szCs w:val="24"/>
          <w:highlight w:val="none"/>
          <w14:textFill>
            <w14:solidFill>
              <w14:schemeClr w14:val="tx1"/>
            </w14:solidFill>
          </w14:textFill>
        </w:rPr>
        <w:t>未及时回复，视为放弃澄清。</w:t>
      </w:r>
    </w:p>
    <w:p w14:paraId="581B17D2">
      <w:pPr>
        <w:spacing w:line="400" w:lineRule="exact"/>
        <w:ind w:firstLine="480" w:firstLineChars="200"/>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五、异常情形</w:t>
      </w:r>
    </w:p>
    <w:p w14:paraId="226DB440">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18.出现下列情形导致电子交易系统无法正常运行，影响招投标过程的公平、公正和信息安全，经第三方机构认定后，各方当事人免责：</w:t>
      </w:r>
    </w:p>
    <w:p w14:paraId="65A8B05F">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(1)网络、服务器、数据库发生故障造成无法访问或使用的；</w:t>
      </w:r>
    </w:p>
    <w:p w14:paraId="13832466">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(2)电力系统发生故障导致电子服务系统或电子交易系统无法运行；</w:t>
      </w:r>
    </w:p>
    <w:p w14:paraId="29182882">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(3)出现网络攻击、病毒入侵以及电子服务系统或电子交易系统安全漏洞导致无法正常提供服务的；</w:t>
      </w:r>
    </w:p>
    <w:p w14:paraId="1ED6D9B2">
      <w:pPr>
        <w:spacing w:line="400" w:lineRule="exact"/>
        <w:ind w:firstLine="480" w:firstLineChars="200"/>
        <w:rPr>
          <w:rFonts w:hint="eastAsia" w:ascii="宋体" w:hAnsi="宋体" w:cs="宋体"/>
          <w:color w:val="000000" w:themeColor="text1"/>
          <w:kern w:val="0"/>
          <w:szCs w:val="24"/>
          <w:highlight w:val="none"/>
          <w14:textFill>
            <w14:solidFill>
              <w14:schemeClr w14:val="tx1"/>
            </w14:solidFill>
          </w14:textFill>
        </w:rPr>
      </w:pPr>
      <w:r>
        <w:rPr>
          <w:rFonts w:hint="eastAsia" w:ascii="宋体" w:hAnsi="宋体" w:cs="宋体"/>
          <w:color w:val="000000" w:themeColor="text1"/>
          <w:kern w:val="0"/>
          <w:szCs w:val="24"/>
          <w:highlight w:val="none"/>
          <w14:textFill>
            <w14:solidFill>
              <w14:schemeClr w14:val="tx1"/>
            </w14:solidFill>
          </w14:textFill>
        </w:rPr>
        <w:t>(4)其他无法保证招投标过程公平、公正和信息安全的情形。</w:t>
      </w:r>
    </w:p>
    <w:p w14:paraId="336A4CAB">
      <w:pPr>
        <w:spacing w:line="400" w:lineRule="exact"/>
        <w:ind w:firstLine="480" w:firstLineChars="200"/>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六、异常情形处理</w:t>
      </w:r>
    </w:p>
    <w:p w14:paraId="100C0F25">
      <w:pPr>
        <w:spacing w:line="400" w:lineRule="exact"/>
        <w:ind w:firstLine="480" w:firstLineChars="200"/>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19.出现上述情形，优质采平台及时组织相关方查明原因，排除故障。若能保证在开标前恢复系统运行的，招投标程序继续进行；若导致开评审程序无法按时开展，但能在原开标时间后2小时内恢复系统运行的，招投标程序继续进行；若导致开评审程序无法按时开展，在原开标时间后2小时内无法恢复系统运行的，按以下程序操作：</w:t>
      </w:r>
    </w:p>
    <w:p w14:paraId="39ADBBCF">
      <w:pPr>
        <w:spacing w:line="400" w:lineRule="exact"/>
        <w:ind w:firstLine="480" w:firstLineChars="200"/>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（1）项目中止，中止期限由</w:t>
      </w:r>
      <w:r>
        <w:rPr>
          <w:rFonts w:hint="eastAsia" w:ascii="宋体" w:hAnsi="宋体"/>
          <w:color w:val="000000" w:themeColor="text1"/>
          <w:kern w:val="0"/>
          <w:szCs w:val="18"/>
          <w:highlight w:val="none"/>
          <w14:textFill>
            <w14:solidFill>
              <w14:schemeClr w14:val="tx1"/>
            </w14:solidFill>
          </w14:textFill>
        </w:rPr>
        <w:t>业主单位</w:t>
      </w:r>
      <w:r>
        <w:rPr>
          <w:rFonts w:hint="eastAsia" w:ascii="宋体" w:hAnsi="宋体" w:cs="宋体"/>
          <w:color w:val="000000" w:themeColor="text1"/>
          <w:kern w:val="0"/>
          <w:highlight w:val="none"/>
          <w14:textFill>
            <w14:solidFill>
              <w14:schemeClr w14:val="tx1"/>
            </w14:solidFill>
          </w14:textFill>
        </w:rPr>
        <w:t>或代理机构根据项目具体情况确定。中止期限届满后中止情形尚未消除的，</w:t>
      </w:r>
      <w:r>
        <w:rPr>
          <w:rFonts w:hint="eastAsia" w:ascii="宋体" w:hAnsi="宋体"/>
          <w:color w:val="000000" w:themeColor="text1"/>
          <w:kern w:val="0"/>
          <w:szCs w:val="18"/>
          <w:highlight w:val="none"/>
          <w14:textFill>
            <w14:solidFill>
              <w14:schemeClr w14:val="tx1"/>
            </w14:solidFill>
          </w14:textFill>
        </w:rPr>
        <w:t>业主单位</w:t>
      </w:r>
      <w:r>
        <w:rPr>
          <w:rFonts w:hint="eastAsia" w:ascii="宋体" w:hAnsi="宋体" w:cs="宋体"/>
          <w:color w:val="000000" w:themeColor="text1"/>
          <w:kern w:val="0"/>
          <w:highlight w:val="none"/>
          <w14:textFill>
            <w14:solidFill>
              <w14:schemeClr w14:val="tx1"/>
            </w14:solidFill>
          </w14:textFill>
        </w:rPr>
        <w:t>或代理机构可以根据实际情况决定延长中止期限。决定延长中止期限的，应向</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highlight w:val="none"/>
          <w14:textFill>
            <w14:solidFill>
              <w14:schemeClr w14:val="tx1"/>
            </w14:solidFill>
          </w14:textFill>
        </w:rPr>
        <w:t>发出延长中止期限通知，并发布公布。</w:t>
      </w:r>
    </w:p>
    <w:p w14:paraId="590AC4F9">
      <w:pPr>
        <w:spacing w:line="400" w:lineRule="exact"/>
        <w:ind w:firstLine="480" w:firstLineChars="200"/>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（2）项目恢复，导致项目中止的情形消除后，</w:t>
      </w:r>
      <w:r>
        <w:rPr>
          <w:rFonts w:hint="eastAsia" w:ascii="宋体" w:hAnsi="宋体"/>
          <w:color w:val="000000" w:themeColor="text1"/>
          <w:kern w:val="0"/>
          <w:szCs w:val="18"/>
          <w:highlight w:val="none"/>
          <w14:textFill>
            <w14:solidFill>
              <w14:schemeClr w14:val="tx1"/>
            </w14:solidFill>
          </w14:textFill>
        </w:rPr>
        <w:t>业主单位</w:t>
      </w:r>
      <w:r>
        <w:rPr>
          <w:rFonts w:hint="eastAsia" w:ascii="宋体" w:hAnsi="宋体" w:cs="宋体"/>
          <w:color w:val="000000" w:themeColor="text1"/>
          <w:kern w:val="0"/>
          <w:highlight w:val="none"/>
          <w14:textFill>
            <w14:solidFill>
              <w14:schemeClr w14:val="tx1"/>
            </w14:solidFill>
          </w14:textFill>
        </w:rPr>
        <w:t>或代理机构应当尽快恢复招投标程序，向</w:t>
      </w:r>
      <w:r>
        <w:rPr>
          <w:rFonts w:hint="eastAsia" w:ascii="宋体" w:hAnsi="宋体"/>
          <w:color w:val="000000" w:themeColor="text1"/>
          <w:kern w:val="0"/>
          <w:szCs w:val="18"/>
          <w:highlight w:val="none"/>
          <w14:textFill>
            <w14:solidFill>
              <w14:schemeClr w14:val="tx1"/>
            </w14:solidFill>
          </w14:textFill>
        </w:rPr>
        <w:t>参审单位</w:t>
      </w:r>
      <w:r>
        <w:rPr>
          <w:rFonts w:hint="eastAsia" w:ascii="宋体" w:hAnsi="宋体" w:cs="宋体"/>
          <w:color w:val="000000" w:themeColor="text1"/>
          <w:kern w:val="0"/>
          <w:highlight w:val="none"/>
          <w14:textFill>
            <w14:solidFill>
              <w14:schemeClr w14:val="tx1"/>
            </w14:solidFill>
          </w14:textFill>
        </w:rPr>
        <w:t>发出恢复交易通知，并发布公布；已发出延长中止期限通知的，按通知执行。</w:t>
      </w:r>
    </w:p>
    <w:p w14:paraId="0D3356F5">
      <w:pPr>
        <w:spacing w:line="360" w:lineRule="auto"/>
        <w:ind w:firstLine="480" w:firstLineChars="200"/>
        <w:rPr>
          <w:rFonts w:hint="eastAsia" w:ascii="宋体" w:hAnsi="宋体"/>
          <w:color w:val="000000" w:themeColor="text1"/>
          <w:kern w:val="0"/>
          <w:highlight w:val="none"/>
          <w14:textFill>
            <w14:solidFill>
              <w14:schemeClr w14:val="tx1"/>
            </w14:solidFill>
          </w14:textFill>
        </w:rPr>
      </w:pPr>
    </w:p>
    <w:p w14:paraId="479FD1C5">
      <w:pPr>
        <w:rPr>
          <w:color w:val="000000" w:themeColor="text1"/>
          <w:highlight w:val="none"/>
          <w14:textFill>
            <w14:solidFill>
              <w14:schemeClr w14:val="tx1"/>
            </w14:solidFill>
          </w14:textFill>
        </w:rPr>
      </w:pPr>
    </w:p>
    <w:p w14:paraId="66241DA9"/>
    <w:p w14:paraId="53730B80"/>
    <w:sectPr>
      <w:footerReference r:id="rId12" w:type="default"/>
      <w:pgSz w:w="11907" w:h="16840"/>
      <w:pgMar w:top="1440" w:right="1247" w:bottom="1440" w:left="1247" w:header="851" w:footer="992" w:gutter="0"/>
      <w:pgNumType w:fmt="decimal"/>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083AE97-4A13-4A10-BE9C-2810CD452EE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C4550DB7-5CCA-4B23-9FD3-D6279EEE8F2C}"/>
  </w:font>
  <w:font w:name="DotumChe">
    <w:altName w:val="Malgun Gothic"/>
    <w:panose1 w:val="00000000000000000000"/>
    <w:charset w:val="81"/>
    <w:family w:val="modern"/>
    <w:pitch w:val="default"/>
    <w:sig w:usb0="00000000" w:usb1="00000000" w:usb2="00000030" w:usb3="00000000" w:csb0="0008009F" w:csb1="00000000"/>
    <w:embedRegular r:id="rId3" w:fontKey="{CA37DE17-6A2B-4CA4-82A8-A9B3D627EB05}"/>
  </w:font>
  <w:font w:name="Malgun Gothic">
    <w:panose1 w:val="020B0503020000020004"/>
    <w:charset w:val="81"/>
    <w:family w:val="auto"/>
    <w:pitch w:val="default"/>
    <w:sig w:usb0="9000002F" w:usb1="29D77CFB" w:usb2="00000012" w:usb3="00000000" w:csb0="00080001" w:csb1="00000000"/>
  </w:font>
  <w:font w:name="Segoe UI Symbol">
    <w:panose1 w:val="020B0502040204020203"/>
    <w:charset w:val="00"/>
    <w:family w:val="swiss"/>
    <w:pitch w:val="default"/>
    <w:sig w:usb0="800001E3" w:usb1="1200FFEF" w:usb2="00040000" w:usb3="04000000" w:csb0="00000001" w:csb1="40000000"/>
    <w:embedRegular r:id="rId4" w:fontKey="{17D243C6-1C69-4454-BAFA-A7BF81100A80}"/>
  </w:font>
  <w:font w:name="@仿宋_GB2312">
    <w:panose1 w:val="02010609030101010101"/>
    <w:charset w:val="86"/>
    <w:family w:val="auto"/>
    <w:pitch w:val="default"/>
    <w:sig w:usb0="00000001" w:usb1="080E0000" w:usb2="00000000" w:usb3="00000000" w:csb0="00040000" w:csb1="00000000"/>
    <w:embedRegular r:id="rId5" w:fontKey="{BC0C27D2-492A-4B7D-ABEB-79D3DB62DCDE}"/>
  </w:font>
  <w:font w:name="方正仿宋_GB2312">
    <w:altName w:val="仿宋"/>
    <w:panose1 w:val="02000000000000000000"/>
    <w:charset w:val="86"/>
    <w:family w:val="auto"/>
    <w:pitch w:val="default"/>
    <w:sig w:usb0="00000000" w:usb1="00000000" w:usb2="00000012" w:usb3="00000000" w:csb0="00040001" w:csb1="00000000"/>
    <w:embedRegular r:id="rId6" w:fontKey="{08531FD0-F442-43F8-AB3A-2D025DD0C5BA}"/>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5EF20">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C6252">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8AC6252">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p w14:paraId="240C841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19D68">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F4608">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02B31">
    <w:pPr>
      <w:tabs>
        <w:tab w:val="left" w:pos="5241"/>
      </w:tabs>
      <w:spacing w:line="219" w:lineRule="auto"/>
      <w:rPr>
        <w:rFonts w:hint="eastAsia" w:ascii="宋体" w:hAnsi="宋体" w:cs="宋体"/>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5B973">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25B973">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DB87A">
    <w:pPr>
      <w:tabs>
        <w:tab w:val="left" w:pos="5441"/>
      </w:tabs>
      <w:spacing w:line="219" w:lineRule="auto"/>
      <w:ind w:firstLine="3724"/>
      <w:rPr>
        <w:rFonts w:hint="eastAsia" w:ascii="宋体" w:hAnsi="宋体" w:cs="宋体"/>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2B1CC">
                          <w:pPr>
                            <w:pStyle w:val="11"/>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E2B1CC">
                    <w:pPr>
                      <w:pStyle w:val="11"/>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59BA7F6">
      <w:pPr>
        <w:pStyle w:val="13"/>
      </w:pPr>
      <w:r>
        <w:rPr>
          <w:rStyle w:val="21"/>
        </w:rPr>
        <w:footnoteRef/>
      </w:r>
      <w:r>
        <w:rPr>
          <w:rFonts w:hint="eastAsia"/>
        </w:rPr>
        <w:t>解密、询标时间可以根据项目情况予以调整。其他内容如需调整，请联系优质采后予以办理。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7266D">
    <w:pPr>
      <w:spacing w:line="218" w:lineRule="auto"/>
      <w:ind w:firstLine="36"/>
      <w:rPr>
        <w:rFonts w:hint="eastAsia" w:ascii="宋体" w:hAnsi="宋体" w:cs="宋体"/>
        <w:sz w:val="18"/>
        <w:szCs w:val="18"/>
      </w:rPr>
    </w:pPr>
    <w:r>
      <w:drawing>
        <wp:anchor distT="0" distB="0" distL="0" distR="0" simplePos="0" relativeHeight="251659264" behindDoc="0" locked="0" layoutInCell="0" allowOverlap="1">
          <wp:simplePos x="0" y="0"/>
          <wp:positionH relativeFrom="page">
            <wp:posOffset>774065</wp:posOffset>
          </wp:positionH>
          <wp:positionV relativeFrom="page">
            <wp:posOffset>702310</wp:posOffset>
          </wp:positionV>
          <wp:extent cx="6013450" cy="8890"/>
          <wp:effectExtent l="0" t="0" r="0" b="0"/>
          <wp:wrapNone/>
          <wp:docPr id="2120628000" name="IM 4"/>
          <wp:cNvGraphicFramePr/>
          <a:graphic xmlns:a="http://schemas.openxmlformats.org/drawingml/2006/main">
            <a:graphicData uri="http://schemas.openxmlformats.org/drawingml/2006/picture">
              <pic:pic xmlns:pic="http://schemas.openxmlformats.org/drawingml/2006/picture">
                <pic:nvPicPr>
                  <pic:cNvPr id="2120628000" name="IM 4"/>
                  <pic:cNvPicPr/>
                </pic:nvPicPr>
                <pic:blipFill>
                  <a:blip r:embed="rId1"/>
                  <a:stretch>
                    <a:fillRect/>
                  </a:stretch>
                </pic:blipFill>
                <pic:spPr>
                  <a:xfrm>
                    <a:off x="0" y="0"/>
                    <a:ext cx="6013450" cy="889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E7611">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A529F">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7CD77">
    <w:pPr>
      <w:spacing w:line="218" w:lineRule="auto"/>
      <w:ind w:firstLine="36"/>
      <w:rPr>
        <w:rFonts w:hint="eastAsia" w:ascii="宋体" w:hAnsi="宋体" w:cs="宋体"/>
        <w:sz w:val="18"/>
        <w:szCs w:val="18"/>
      </w:rPr>
    </w:pPr>
    <w:r>
      <w:drawing>
        <wp:anchor distT="0" distB="0" distL="0" distR="0" simplePos="0" relativeHeight="251660288" behindDoc="0" locked="0" layoutInCell="0" allowOverlap="1">
          <wp:simplePos x="0" y="0"/>
          <wp:positionH relativeFrom="page">
            <wp:posOffset>774065</wp:posOffset>
          </wp:positionH>
          <wp:positionV relativeFrom="page">
            <wp:posOffset>702310</wp:posOffset>
          </wp:positionV>
          <wp:extent cx="6013450" cy="8890"/>
          <wp:effectExtent l="0" t="0" r="0" b="0"/>
          <wp:wrapNone/>
          <wp:docPr id="1295352707" name="IM 23"/>
          <wp:cNvGraphicFramePr/>
          <a:graphic xmlns:a="http://schemas.openxmlformats.org/drawingml/2006/main">
            <a:graphicData uri="http://schemas.openxmlformats.org/drawingml/2006/picture">
              <pic:pic xmlns:pic="http://schemas.openxmlformats.org/drawingml/2006/picture">
                <pic:nvPicPr>
                  <pic:cNvPr id="1295352707" name="IM 23"/>
                  <pic:cNvPicPr/>
                </pic:nvPicPr>
                <pic:blipFill>
                  <a:blip r:embed="rId1"/>
                  <a:stretch>
                    <a:fillRect/>
                  </a:stretch>
                </pic:blipFill>
                <pic:spPr>
                  <a:xfrm>
                    <a:off x="0" y="0"/>
                    <a:ext cx="6013450" cy="88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B47CD"/>
    <w:multiLevelType w:val="singleLevel"/>
    <w:tmpl w:val="B5DB47C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1151B"/>
    <w:rsid w:val="05FB46F3"/>
    <w:rsid w:val="08E462FB"/>
    <w:rsid w:val="0A7C2C7C"/>
    <w:rsid w:val="0E35096D"/>
    <w:rsid w:val="1097590F"/>
    <w:rsid w:val="133D279D"/>
    <w:rsid w:val="17263548"/>
    <w:rsid w:val="1D0934F0"/>
    <w:rsid w:val="1E29229C"/>
    <w:rsid w:val="1F9A0F77"/>
    <w:rsid w:val="204236FB"/>
    <w:rsid w:val="21025026"/>
    <w:rsid w:val="222930CB"/>
    <w:rsid w:val="25AF4428"/>
    <w:rsid w:val="266D4CF0"/>
    <w:rsid w:val="293B7327"/>
    <w:rsid w:val="29E67293"/>
    <w:rsid w:val="2D2C1130"/>
    <w:rsid w:val="2FDD2DFB"/>
    <w:rsid w:val="300C557A"/>
    <w:rsid w:val="32700042"/>
    <w:rsid w:val="33422F63"/>
    <w:rsid w:val="33F56325"/>
    <w:rsid w:val="340C5B48"/>
    <w:rsid w:val="3B1C5028"/>
    <w:rsid w:val="3F087854"/>
    <w:rsid w:val="40F40090"/>
    <w:rsid w:val="44AE67A8"/>
    <w:rsid w:val="46F56910"/>
    <w:rsid w:val="48E42798"/>
    <w:rsid w:val="4CD4074E"/>
    <w:rsid w:val="4F506DD9"/>
    <w:rsid w:val="56440D1A"/>
    <w:rsid w:val="56680EAC"/>
    <w:rsid w:val="57BE77E9"/>
    <w:rsid w:val="5AF03B47"/>
    <w:rsid w:val="5BC22E0D"/>
    <w:rsid w:val="5CDC7EFE"/>
    <w:rsid w:val="5DC94245"/>
    <w:rsid w:val="5F97010C"/>
    <w:rsid w:val="61FC7B7D"/>
    <w:rsid w:val="643248A8"/>
    <w:rsid w:val="67B51A77"/>
    <w:rsid w:val="67DF4D46"/>
    <w:rsid w:val="69A41DA4"/>
    <w:rsid w:val="6B1747F7"/>
    <w:rsid w:val="6B1C0A7D"/>
    <w:rsid w:val="779571D0"/>
    <w:rsid w:val="78FB1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jc w:val="center"/>
      <w:outlineLvl w:val="2"/>
    </w:pPr>
    <w:rPr>
      <w:rFonts w:ascii="宋体"/>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toc 7"/>
    <w:basedOn w:val="1"/>
    <w:next w:val="1"/>
    <w:unhideWhenUsed/>
    <w:qFormat/>
    <w:uiPriority w:val="39"/>
    <w:pPr>
      <w:ind w:left="1260"/>
      <w:jc w:val="left"/>
    </w:pPr>
    <w:rPr>
      <w:rFonts w:ascii="Calibri" w:hAnsi="Calibri" w:cs="Calibri"/>
      <w:kern w:val="2"/>
      <w:sz w:val="18"/>
      <w:szCs w:val="18"/>
    </w:rPr>
  </w:style>
  <w:style w:type="paragraph" w:styleId="5">
    <w:name w:val="annotation text"/>
    <w:basedOn w:val="1"/>
    <w:qFormat/>
    <w:uiPriority w:val="0"/>
    <w:pPr>
      <w:jc w:val="left"/>
    </w:pPr>
  </w:style>
  <w:style w:type="paragraph" w:styleId="6">
    <w:name w:val="Body Text"/>
    <w:basedOn w:val="1"/>
    <w:qFormat/>
    <w:uiPriority w:val="0"/>
    <w:rPr>
      <w:rFonts w:ascii="宋体" w:hAnsi="Arial"/>
      <w:sz w:val="28"/>
    </w:rPr>
  </w:style>
  <w:style w:type="paragraph" w:styleId="7">
    <w:name w:val="Body Text Indent"/>
    <w:basedOn w:val="1"/>
    <w:next w:val="8"/>
    <w:qFormat/>
    <w:uiPriority w:val="0"/>
    <w:pPr>
      <w:ind w:firstLine="645"/>
    </w:pPr>
    <w:rPr>
      <w:rFonts w:ascii="楷体_GB2312" w:eastAsia="楷体_GB2312"/>
      <w:sz w:val="32"/>
    </w:rPr>
  </w:style>
  <w:style w:type="paragraph" w:styleId="8">
    <w:name w:val="envelope return"/>
    <w:basedOn w:val="1"/>
    <w:next w:val="4"/>
    <w:qFormat/>
    <w:uiPriority w:val="0"/>
    <w:pPr>
      <w:snapToGrid w:val="0"/>
    </w:pPr>
    <w:rPr>
      <w:rFonts w:ascii="Arial" w:hAnsi="Arial"/>
    </w:rPr>
  </w:style>
  <w:style w:type="paragraph" w:styleId="9">
    <w:name w:val="Plain Text"/>
    <w:basedOn w:val="1"/>
    <w:qFormat/>
    <w:uiPriority w:val="0"/>
    <w:rPr>
      <w:rFonts w:ascii="宋体" w:hAnsi="Courier New"/>
    </w:rPr>
  </w:style>
  <w:style w:type="paragraph" w:styleId="10">
    <w:name w:val="Date"/>
    <w:basedOn w:val="1"/>
    <w:next w:val="1"/>
    <w:qFormat/>
    <w:uiPriority w:val="0"/>
    <w:rPr>
      <w:b/>
      <w:sz w:val="28"/>
    </w:rPr>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footnote text"/>
    <w:basedOn w:val="1"/>
    <w:qFormat/>
    <w:uiPriority w:val="0"/>
    <w:pPr>
      <w:snapToGrid w:val="0"/>
      <w:jc w:val="left"/>
    </w:pPr>
    <w:rPr>
      <w:sz w:val="18"/>
      <w:szCs w:val="18"/>
    </w:rPr>
  </w:style>
  <w:style w:type="paragraph" w:styleId="14">
    <w:name w:val="toc 2"/>
    <w:basedOn w:val="1"/>
    <w:next w:val="1"/>
    <w:qFormat/>
    <w:uiPriority w:val="39"/>
    <w:pPr>
      <w:ind w:left="210"/>
      <w:jc w:val="left"/>
    </w:pPr>
    <w:rPr>
      <w:smallCaps/>
      <w:sz w:val="28"/>
      <w:szCs w:val="24"/>
    </w:rPr>
  </w:style>
  <w:style w:type="paragraph" w:styleId="15">
    <w:name w:val="Body Text First Indent"/>
    <w:basedOn w:val="6"/>
    <w:next w:val="1"/>
    <w:qFormat/>
    <w:uiPriority w:val="0"/>
    <w:pPr>
      <w:autoSpaceDE w:val="0"/>
      <w:autoSpaceDN w:val="0"/>
      <w:adjustRightInd w:val="0"/>
      <w:spacing w:line="360" w:lineRule="auto"/>
      <w:ind w:right="-24" w:rightChars="-10" w:firstLine="425" w:firstLineChars="225"/>
    </w:pPr>
    <w:rPr>
      <w:rFonts w:ascii="Arial" w:eastAsia="仿宋_GB2312" w:cs="Arial"/>
      <w:kern w:val="0"/>
      <w:sz w:val="24"/>
      <w:szCs w:val="32"/>
    </w:rPr>
  </w:style>
  <w:style w:type="paragraph" w:styleId="16">
    <w:name w:val="Body Text First Indent 2"/>
    <w:basedOn w:val="7"/>
    <w:qFormat/>
    <w:uiPriority w:val="0"/>
    <w:pPr>
      <w:spacing w:after="120"/>
      <w:ind w:left="420" w:leftChars="200" w:firstLine="420" w:firstLineChars="200"/>
    </w:pPr>
    <w:rPr>
      <w:sz w:val="21"/>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footnote reference"/>
    <w:unhideWhenUsed/>
    <w:qFormat/>
    <w:uiPriority w:val="0"/>
    <w:rPr>
      <w:vertAlign w:val="superscript"/>
    </w:rPr>
  </w:style>
  <w:style w:type="paragraph" w:customStyle="1" w:styleId="22">
    <w:name w:val="正文（缩进）"/>
    <w:basedOn w:val="1"/>
    <w:qFormat/>
    <w:uiPriority w:val="0"/>
    <w:pPr>
      <w:widowControl/>
      <w:spacing w:before="156" w:after="156"/>
      <w:ind w:firstLine="480" w:firstLineChars="200"/>
      <w:jc w:val="left"/>
    </w:pPr>
    <w:rPr>
      <w:rFonts w:ascii="仿宋_GB2312" w:eastAsia="仿宋_GB2312"/>
      <w:kern w:val="0"/>
      <w:szCs w:val="24"/>
    </w:rPr>
  </w:style>
  <w:style w:type="paragraph" w:customStyle="1" w:styleId="23">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24">
    <w:name w:val="D&amp;L"/>
    <w:basedOn w:val="12"/>
    <w:qFormat/>
    <w:uiPriority w:val="99"/>
    <w:pPr>
      <w:pBdr>
        <w:bottom w:val="thinThickSmallGap" w:color="auto" w:sz="18" w:space="1"/>
      </w:pBdr>
      <w:adjustRightInd w:val="0"/>
      <w:snapToGrid/>
      <w:spacing w:line="240" w:lineRule="atLeast"/>
      <w:textAlignment w:val="baseline"/>
    </w:pPr>
    <w:rPr>
      <w:kern w:val="0"/>
      <w:sz w:val="24"/>
    </w:rPr>
  </w:style>
  <w:style w:type="paragraph" w:customStyle="1" w:styleId="25">
    <w:name w:val="Table Text"/>
    <w:basedOn w:val="1"/>
    <w:semiHidden/>
    <w:qFormat/>
    <w:uiPriority w:val="0"/>
    <w:rPr>
      <w:rFonts w:ascii="宋体" w:hAnsi="宋体" w:eastAsia="宋体" w:cs="宋体"/>
      <w:sz w:val="24"/>
      <w:szCs w:val="24"/>
      <w:lang w:val="en-US" w:eastAsia="en-US" w:bidi="ar-SA"/>
    </w:rPr>
  </w:style>
  <w:style w:type="table" w:customStyle="1" w:styleId="2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28579</Words>
  <Characters>30359</Characters>
  <Lines>0</Lines>
  <Paragraphs>0</Paragraphs>
  <TotalTime>20</TotalTime>
  <ScaleCrop>false</ScaleCrop>
  <LinksUpToDate>false</LinksUpToDate>
  <CharactersWithSpaces>30858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2026-07-21T08:11:00Z</dcterms:created>
  <dc:creator>龚舒杰</dc:creator>
  <cp:lastModifiedBy>走啊走的走累了</cp:lastModifiedBy>
  <cp:lastPrinted>2026-08-26T07:54:00Z</cp:lastPrinted>
  <dcterms:modified xsi:type="dcterms:W3CDTF">2026-08-28T02:57:25Z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DBC4F7FA16E64BE19C00F80F763F9420_13</vt:lpwstr>
  </property>
  <property fmtid="{D5CDD505-2E9C-101B-9397-08002B2CF9AE}" pid="4" name="KSOTemplateDocerSaveRecord">
    <vt:lpwstr>eyJoZGlkIjoiNjkzMDdiZWQ0Njk0ZDA2NGM5NzdiNjBiZjJhOGZjNTkiLCJ1c2VySWQiOiI0MjQyMDcwNjEifQ==</vt:lpwstr>
  </property>
</Properties>
</file>