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DB950A0">
      <w:pPr>
        <w:tabs>
          <w:tab w:val="left" w:pos="315"/>
          <w:tab w:val="left" w:pos="8820"/>
        </w:tabs>
        <w:spacing w:before="240" w:beforeLines="100" w:after="120" w:afterLines="50" w:line="500" w:lineRule="exact"/>
        <w:ind w:right="305" w:rightChars="127" w:firstLine="1044"/>
        <w:jc w:val="center"/>
        <w:rPr>
          <w:rFonts w:hint="eastAsia"/>
          <w:b/>
          <w:bCs/>
          <w:color w:val="000000" w:themeColor="text1"/>
          <w:sz w:val="52"/>
          <w:szCs w:val="52"/>
          <w:highlight w:val="none"/>
          <w:vertAlign w:val="superscript"/>
          <w14:textFill>
            <w14:solidFill>
              <w14:schemeClr w14:val="tx1"/>
            </w14:solidFill>
          </w14:textFill>
        </w:rPr>
      </w:pPr>
    </w:p>
    <w:p w14:paraId="3CDD1ED6">
      <w:pPr>
        <w:tabs>
          <w:tab w:val="left" w:pos="315"/>
          <w:tab w:val="left" w:pos="8820"/>
        </w:tabs>
        <w:spacing w:before="240" w:beforeLines="100" w:after="120" w:afterLines="50" w:line="500" w:lineRule="exact"/>
        <w:ind w:left="0" w:leftChars="0" w:right="305" w:rightChars="127" w:firstLine="0" w:firstLineChars="0"/>
        <w:jc w:val="center"/>
        <w:rPr>
          <w:rFonts w:hint="eastAsia"/>
          <w:b/>
          <w:bCs/>
          <w:color w:val="000000" w:themeColor="text1"/>
          <w:sz w:val="52"/>
          <w:szCs w:val="52"/>
          <w:highlight w:val="none"/>
          <w14:textFill>
            <w14:solidFill>
              <w14:schemeClr w14:val="tx1"/>
            </w14:solidFill>
          </w14:textFill>
        </w:rPr>
      </w:pPr>
      <w:bookmarkStart w:id="0" w:name="_Hlk9544796"/>
      <w:r>
        <w:rPr>
          <w:rFonts w:hint="eastAsia"/>
          <w:b/>
          <w:bCs/>
          <w:color w:val="000000" w:themeColor="text1"/>
          <w:sz w:val="52"/>
          <w:szCs w:val="52"/>
          <w:highlight w:val="none"/>
          <w14:textFill>
            <w14:solidFill>
              <w14:schemeClr w14:val="tx1"/>
            </w14:solidFill>
          </w14:textFill>
        </w:rPr>
        <w:t>服务类项目</w:t>
      </w:r>
    </w:p>
    <w:p w14:paraId="6F602188">
      <w:pPr>
        <w:tabs>
          <w:tab w:val="left" w:pos="315"/>
          <w:tab w:val="left" w:pos="8820"/>
        </w:tabs>
        <w:spacing w:before="240" w:beforeLines="100" w:after="120" w:afterLines="50" w:line="500" w:lineRule="exact"/>
        <w:ind w:left="0" w:leftChars="0" w:right="305" w:rightChars="127" w:firstLine="0" w:firstLineChars="0"/>
        <w:jc w:val="center"/>
        <w:rPr>
          <w:rFonts w:hint="eastAsia"/>
          <w:b/>
          <w:bCs/>
          <w:color w:val="000000" w:themeColor="text1"/>
          <w:sz w:val="52"/>
          <w:szCs w:val="52"/>
          <w:highlight w:val="none"/>
          <w14:textFill>
            <w14:solidFill>
              <w14:schemeClr w14:val="tx1"/>
            </w14:solidFill>
          </w14:textFill>
        </w:rPr>
      </w:pPr>
      <w:r>
        <w:rPr>
          <w:rFonts w:hint="eastAsia"/>
          <w:b/>
          <w:bCs/>
          <w:color w:val="000000" w:themeColor="text1"/>
          <w:sz w:val="52"/>
          <w:szCs w:val="52"/>
          <w:highlight w:val="none"/>
          <w:lang w:val="en-US" w:eastAsia="zh-CN"/>
          <w14:textFill>
            <w14:solidFill>
              <w14:schemeClr w14:val="tx1"/>
            </w14:solidFill>
          </w14:textFill>
        </w:rPr>
        <w:t>询比</w:t>
      </w:r>
      <w:r>
        <w:rPr>
          <w:rFonts w:hint="eastAsia"/>
          <w:b/>
          <w:bCs/>
          <w:color w:val="000000" w:themeColor="text1"/>
          <w:sz w:val="52"/>
          <w:szCs w:val="52"/>
          <w:highlight w:val="none"/>
          <w14:textFill>
            <w14:solidFill>
              <w14:schemeClr w14:val="tx1"/>
            </w14:solidFill>
          </w14:textFill>
        </w:rPr>
        <w:t>文件</w:t>
      </w:r>
    </w:p>
    <w:p w14:paraId="6C78F292">
      <w:pPr>
        <w:pStyle w:val="4"/>
        <w:ind w:firstLine="643"/>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p>
    <w:bookmarkEnd w:id="0"/>
    <w:p w14:paraId="2A0F1680">
      <w:pPr>
        <w:tabs>
          <w:tab w:val="left" w:pos="315"/>
          <w:tab w:val="left" w:pos="8820"/>
        </w:tabs>
        <w:spacing w:before="240" w:beforeLines="100" w:after="120" w:afterLines="50" w:line="500" w:lineRule="exact"/>
        <w:ind w:right="305" w:rightChars="127" w:firstLine="880"/>
        <w:jc w:val="center"/>
        <w:rPr>
          <w:rFonts w:hint="eastAsia"/>
          <w:bCs/>
          <w:color w:val="000000" w:themeColor="text1"/>
          <w:sz w:val="44"/>
          <w:szCs w:val="44"/>
          <w:highlight w:val="none"/>
          <w14:textFill>
            <w14:solidFill>
              <w14:schemeClr w14:val="tx1"/>
            </w14:solidFill>
          </w14:textFill>
        </w:rPr>
      </w:pPr>
    </w:p>
    <w:p w14:paraId="435045F8">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2122718E">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01A11EEC">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031654FA">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2EF730F7">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42D934F9">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624AED74">
      <w:pPr>
        <w:tabs>
          <w:tab w:val="left" w:pos="2410"/>
        </w:tabs>
        <w:autoSpaceDE w:val="0"/>
        <w:autoSpaceDN w:val="0"/>
        <w:adjustRightInd w:val="0"/>
        <w:snapToGrid w:val="0"/>
        <w:ind w:left="1770" w:leftChars="0" w:hanging="1770" w:hangingChars="490"/>
        <w:rPr>
          <w:rFonts w:hint="default"/>
          <w:b/>
          <w:color w:val="000000" w:themeColor="text1"/>
          <w:spacing w:val="20"/>
          <w:sz w:val="32"/>
          <w:szCs w:val="32"/>
          <w:highlight w:val="non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项目名称：桃花镇2026年度美国白蛾等重大林业有害生物监测防治</w:t>
      </w:r>
    </w:p>
    <w:p w14:paraId="5A019EDC">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lang w:eastAsia="zh-CN"/>
          <w14:textFill>
            <w14:solidFill>
              <w14:schemeClr w14:val="tx1"/>
            </w14:solidFill>
          </w14:textFill>
        </w:rPr>
        <w:t>2026PHBX212</w:t>
      </w:r>
    </w:p>
    <w:p w14:paraId="466B9F19">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业主单位：</w:t>
      </w:r>
      <w:r>
        <w:rPr>
          <w:rFonts w:hint="eastAsia"/>
          <w:b/>
          <w:color w:val="000000" w:themeColor="text1"/>
          <w:spacing w:val="20"/>
          <w:sz w:val="32"/>
          <w:szCs w:val="32"/>
          <w:highlight w:val="none"/>
          <w:lang w:eastAsia="zh-CN"/>
          <w14:textFill>
            <w14:solidFill>
              <w14:schemeClr w14:val="tx1"/>
            </w14:solidFill>
          </w14:textFill>
        </w:rPr>
        <w:t>肥西县桃花镇人民政府</w:t>
      </w:r>
    </w:p>
    <w:p w14:paraId="2804F272">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代理机构：</w:t>
      </w:r>
      <w:r>
        <w:rPr>
          <w:rFonts w:hint="eastAsia"/>
          <w:b/>
          <w:color w:val="000000" w:themeColor="text1"/>
          <w:spacing w:val="20"/>
          <w:sz w:val="32"/>
          <w:szCs w:val="32"/>
          <w:highlight w:val="none"/>
          <w:lang w:eastAsia="zh-CN"/>
          <w14:textFill>
            <w14:solidFill>
              <w14:schemeClr w14:val="tx1"/>
            </w14:solidFill>
          </w14:textFill>
        </w:rPr>
        <w:t>肥西县公共资源交易有限责任公司</w:t>
      </w:r>
    </w:p>
    <w:p w14:paraId="4BBEB975">
      <w:pPr>
        <w:tabs>
          <w:tab w:val="left" w:pos="2410"/>
        </w:tabs>
        <w:autoSpaceDE w:val="0"/>
        <w:autoSpaceDN w:val="0"/>
        <w:adjustRightInd w:val="0"/>
        <w:snapToGrid w:val="0"/>
        <w:ind w:firstLine="723"/>
        <w:jc w:val="center"/>
        <w:rPr>
          <w:rFonts w:hint="eastAsia"/>
          <w:b/>
          <w:color w:val="000000" w:themeColor="text1"/>
          <w:sz w:val="36"/>
          <w:highlight w:val="none"/>
          <w14:textFill>
            <w14:solidFill>
              <w14:schemeClr w14:val="tx1"/>
            </w14:solidFill>
          </w14:textFill>
        </w:rPr>
      </w:pPr>
    </w:p>
    <w:p w14:paraId="260BECEC">
      <w:pPr>
        <w:tabs>
          <w:tab w:val="left" w:pos="2410"/>
        </w:tabs>
        <w:autoSpaceDE w:val="0"/>
        <w:autoSpaceDN w:val="0"/>
        <w:adjustRightInd w:val="0"/>
        <w:snapToGrid w:val="0"/>
        <w:ind w:left="0" w:leftChars="0" w:firstLine="0" w:firstLineChars="0"/>
        <w:jc w:val="center"/>
        <w:rPr>
          <w:rFonts w:hint="eastAsia"/>
          <w:b/>
          <w:color w:val="000000" w:themeColor="text1"/>
          <w:sz w:val="36"/>
          <w:highlight w:val="none"/>
          <w14:textFill>
            <w14:solidFill>
              <w14:schemeClr w14:val="tx1"/>
            </w14:solidFill>
          </w14:textFill>
        </w:rPr>
      </w:pPr>
      <w:r>
        <w:rPr>
          <w:rFonts w:hint="eastAsia"/>
          <w:b/>
          <w:color w:val="000000" w:themeColor="text1"/>
          <w:sz w:val="36"/>
          <w:highlight w:val="none"/>
          <w14:textFill>
            <w14:solidFill>
              <w14:schemeClr w14:val="tx1"/>
            </w14:solidFill>
          </w14:textFill>
        </w:rPr>
        <w:t>202</w:t>
      </w:r>
      <w:r>
        <w:rPr>
          <w:rFonts w:hint="eastAsia"/>
          <w:b/>
          <w:color w:val="000000" w:themeColor="text1"/>
          <w:sz w:val="36"/>
          <w:highlight w:val="none"/>
          <w:lang w:val="en-US" w:eastAsia="zh-CN"/>
          <w14:textFill>
            <w14:solidFill>
              <w14:schemeClr w14:val="tx1"/>
            </w14:solidFill>
          </w14:textFill>
        </w:rPr>
        <w:t>6</w:t>
      </w:r>
      <w:r>
        <w:rPr>
          <w:rFonts w:hint="eastAsia"/>
          <w:b/>
          <w:color w:val="000000" w:themeColor="text1"/>
          <w:sz w:val="36"/>
          <w:highlight w:val="none"/>
          <w14:textFill>
            <w14:solidFill>
              <w14:schemeClr w14:val="tx1"/>
            </w14:solidFill>
          </w14:textFill>
        </w:rPr>
        <w:t>年</w:t>
      </w:r>
      <w:r>
        <w:rPr>
          <w:rFonts w:hint="eastAsia"/>
          <w:b/>
          <w:color w:val="000000" w:themeColor="text1"/>
          <w:sz w:val="36"/>
          <w:highlight w:val="none"/>
          <w:lang w:val="en-US" w:eastAsia="zh-CN"/>
          <w14:textFill>
            <w14:solidFill>
              <w14:schemeClr w14:val="tx1"/>
            </w14:solidFill>
          </w14:textFill>
        </w:rPr>
        <w:t>4</w:t>
      </w:r>
      <w:r>
        <w:rPr>
          <w:rFonts w:hint="eastAsia"/>
          <w:b/>
          <w:color w:val="000000" w:themeColor="text1"/>
          <w:sz w:val="36"/>
          <w:highlight w:val="none"/>
          <w14:textFill>
            <w14:solidFill>
              <w14:schemeClr w14:val="tx1"/>
            </w14:solidFill>
          </w14:textFill>
        </w:rPr>
        <w:t>月</w:t>
      </w:r>
      <w:r>
        <w:rPr>
          <w:b/>
          <w:color w:val="000000" w:themeColor="text1"/>
          <w:sz w:val="36"/>
          <w:highlight w:val="none"/>
          <w14:textFill>
            <w14:solidFill>
              <w14:schemeClr w14:val="tx1"/>
            </w14:solidFill>
          </w14:textFill>
        </w:rPr>
        <w:br w:type="page"/>
      </w:r>
    </w:p>
    <w:p w14:paraId="4DEAE0B6">
      <w:pPr>
        <w:tabs>
          <w:tab w:val="left" w:pos="2410"/>
        </w:tabs>
        <w:autoSpaceDE w:val="0"/>
        <w:autoSpaceDN w:val="0"/>
        <w:adjustRightInd w:val="0"/>
        <w:snapToGrid w:val="0"/>
        <w:ind w:firstLine="562"/>
        <w:jc w:val="center"/>
        <w:rPr>
          <w:rFonts w:hint="eastAsia"/>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2632CD6B">
      <w:pPr>
        <w:tabs>
          <w:tab w:val="left" w:pos="2410"/>
        </w:tabs>
        <w:autoSpaceDE w:val="0"/>
        <w:autoSpaceDN w:val="0"/>
        <w:adjustRightInd w:val="0"/>
        <w:snapToGrid w:val="0"/>
        <w:ind w:firstLine="562"/>
        <w:jc w:val="center"/>
        <w:rPr>
          <w:rFonts w:hint="eastAsia" w:ascii="宋体" w:hAnsi="宋体" w:eastAsia="宋体" w:cs="宋体"/>
          <w:b/>
          <w:color w:val="000000" w:themeColor="text1"/>
          <w:sz w:val="28"/>
          <w:highlight w:val="none"/>
          <w14:textFill>
            <w14:solidFill>
              <w14:schemeClr w14:val="tx1"/>
            </w14:solidFill>
          </w14:textFill>
        </w:rPr>
      </w:pPr>
    </w:p>
    <w:p w14:paraId="0C3AD579">
      <w:pPr>
        <w:pStyle w:val="15"/>
        <w:tabs>
          <w:tab w:val="right" w:leader="dot" w:pos="8859"/>
        </w:tabs>
        <w:ind w:left="0" w:firstLine="723" w:firstLineChars="300"/>
        <w:jc w:val="both"/>
        <w:rPr>
          <w:rFonts w:hint="eastAsia" w:ascii="宋体" w:hAnsi="宋体" w:eastAsia="宋体" w:cs="宋体"/>
          <w:color w:val="000000" w:themeColor="text1"/>
          <w:kern w:val="2"/>
          <w:sz w:val="28"/>
          <w:szCs w:val="28"/>
          <w:highlight w:val="none"/>
          <w14:textFill>
            <w14:solidFill>
              <w14:schemeClr w14:val="tx1"/>
            </w14:solidFill>
          </w14:textFill>
          <w14:ligatures w14:val="standardContextual"/>
        </w:rPr>
      </w:pP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TOC \o "1-2" \h \z \u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"_Toc192058170" </w:instrText>
      </w:r>
      <w:r>
        <w:rPr>
          <w:rFonts w:hint="eastAsia" w:ascii="宋体" w:hAnsi="宋体" w:eastAsia="宋体" w:cs="宋体"/>
          <w:sz w:val="28"/>
          <w:szCs w:val="28"/>
          <w:highlight w:val="none"/>
        </w:rPr>
        <w:fldChar w:fldCharType="separate"/>
      </w:r>
      <w:r>
        <w:rPr>
          <w:rStyle w:val="29"/>
          <w:rFonts w:hint="eastAsia" w:ascii="宋体" w:hAnsi="宋体" w:eastAsia="宋体" w:cs="宋体"/>
          <w:b/>
          <w:color w:val="000000" w:themeColor="text1"/>
          <w:sz w:val="28"/>
          <w:szCs w:val="28"/>
          <w:highlight w:val="none"/>
          <w14:textFill>
            <w14:solidFill>
              <w14:schemeClr w14:val="tx1"/>
            </w14:solidFill>
          </w14:textFill>
        </w:rPr>
        <w:t xml:space="preserve">第一章 </w:t>
      </w:r>
      <w:r>
        <w:rPr>
          <w:rStyle w:val="29"/>
          <w:rFonts w:hint="eastAsia" w:ascii="宋体" w:hAnsi="宋体" w:eastAsia="宋体" w:cs="宋体"/>
          <w:b/>
          <w:color w:val="000000" w:themeColor="text1"/>
          <w:sz w:val="28"/>
          <w:szCs w:val="28"/>
          <w:highlight w:val="none"/>
          <w:lang w:eastAsia="zh-CN"/>
          <w14:textFill>
            <w14:solidFill>
              <w14:schemeClr w14:val="tx1"/>
            </w14:solidFill>
          </w14:textFill>
        </w:rPr>
        <w:t>询比</w:t>
      </w:r>
      <w:r>
        <w:rPr>
          <w:rStyle w:val="29"/>
          <w:rFonts w:hint="eastAsia" w:ascii="宋体" w:hAnsi="宋体" w:eastAsia="宋体" w:cs="宋体"/>
          <w:b/>
          <w:color w:val="000000" w:themeColor="text1"/>
          <w:sz w:val="28"/>
          <w:szCs w:val="28"/>
          <w:highlight w:val="none"/>
          <w14:textFill>
            <w14:solidFill>
              <w14:schemeClr w14:val="tx1"/>
            </w14:solidFill>
          </w14:textFill>
        </w:rPr>
        <w:t>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_Toc192058170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94C77FB">
      <w:pPr>
        <w:pStyle w:val="15"/>
        <w:tabs>
          <w:tab w:val="right" w:leader="dot" w:pos="8859"/>
        </w:tabs>
        <w:ind w:firstLine="440"/>
        <w:jc w:val="both"/>
        <w:rPr>
          <w:rFonts w:hint="eastAsia" w:ascii="宋体" w:hAnsi="宋体" w:eastAsia="宋体" w:cs="宋体"/>
          <w:color w:val="000000" w:themeColor="text1"/>
          <w:kern w:val="2"/>
          <w:sz w:val="28"/>
          <w:szCs w:val="28"/>
          <w:highlight w:val="none"/>
          <w14:textFill>
            <w14:solidFill>
              <w14:schemeClr w14:val="tx1"/>
            </w14:solidFill>
          </w14:textFill>
          <w14:ligatures w14:val="standardContextual"/>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"_Toc192058171" </w:instrText>
      </w:r>
      <w:r>
        <w:rPr>
          <w:rFonts w:hint="eastAsia" w:ascii="宋体" w:hAnsi="宋体" w:eastAsia="宋体" w:cs="宋体"/>
          <w:sz w:val="28"/>
          <w:szCs w:val="28"/>
          <w:highlight w:val="none"/>
        </w:rPr>
        <w:fldChar w:fldCharType="separate"/>
      </w:r>
      <w:r>
        <w:rPr>
          <w:rStyle w:val="29"/>
          <w:rFonts w:hint="eastAsia" w:ascii="宋体" w:hAnsi="宋体" w:eastAsia="宋体" w:cs="宋体"/>
          <w:b/>
          <w:color w:val="000000" w:themeColor="text1"/>
          <w:sz w:val="28"/>
          <w:szCs w:val="28"/>
          <w:highlight w:val="none"/>
          <w14:textFill>
            <w14:solidFill>
              <w14:schemeClr w14:val="tx1"/>
            </w14:solidFill>
          </w14:textFill>
        </w:rPr>
        <w:t>第二章 供应商须知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_Toc192058171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C2EB334">
      <w:pPr>
        <w:pStyle w:val="15"/>
        <w:tabs>
          <w:tab w:val="right" w:leader="dot" w:pos="8859"/>
        </w:tabs>
        <w:ind w:firstLine="440"/>
        <w:jc w:val="both"/>
        <w:rPr>
          <w:rFonts w:hint="eastAsia" w:ascii="宋体" w:hAnsi="宋体" w:eastAsia="宋体" w:cs="宋体"/>
          <w:color w:val="000000" w:themeColor="text1"/>
          <w:kern w:val="2"/>
          <w:sz w:val="28"/>
          <w:szCs w:val="28"/>
          <w:highlight w:val="none"/>
          <w14:textFill>
            <w14:solidFill>
              <w14:schemeClr w14:val="tx1"/>
            </w14:solidFill>
          </w14:textFill>
          <w14:ligatures w14:val="standardContextual"/>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"_Toc192058172" </w:instrText>
      </w:r>
      <w:r>
        <w:rPr>
          <w:rFonts w:hint="eastAsia" w:ascii="宋体" w:hAnsi="宋体" w:eastAsia="宋体" w:cs="宋体"/>
          <w:sz w:val="28"/>
          <w:szCs w:val="28"/>
          <w:highlight w:val="none"/>
        </w:rPr>
        <w:fldChar w:fldCharType="separate"/>
      </w:r>
      <w:r>
        <w:rPr>
          <w:rStyle w:val="29"/>
          <w:rFonts w:hint="eastAsia" w:ascii="宋体" w:hAnsi="宋体" w:eastAsia="宋体" w:cs="宋体"/>
          <w:b/>
          <w:color w:val="000000" w:themeColor="text1"/>
          <w:sz w:val="28"/>
          <w:szCs w:val="28"/>
          <w:highlight w:val="none"/>
          <w14:textFill>
            <w14:solidFill>
              <w14:schemeClr w14:val="tx1"/>
            </w14:solidFill>
          </w14:textFill>
        </w:rPr>
        <w:t>第三章 业主单位要求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_Toc192058172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D5869E8">
      <w:pPr>
        <w:pStyle w:val="15"/>
        <w:tabs>
          <w:tab w:val="right" w:leader="dot" w:pos="8859"/>
        </w:tabs>
        <w:ind w:firstLine="440"/>
        <w:jc w:val="both"/>
        <w:rPr>
          <w:rFonts w:hint="eastAsia" w:ascii="宋体" w:hAnsi="宋体" w:eastAsia="宋体" w:cs="宋体"/>
          <w:color w:val="000000" w:themeColor="text1"/>
          <w:kern w:val="2"/>
          <w:sz w:val="28"/>
          <w:szCs w:val="28"/>
          <w:highlight w:val="none"/>
          <w14:textFill>
            <w14:solidFill>
              <w14:schemeClr w14:val="tx1"/>
            </w14:solidFill>
          </w14:textFill>
          <w14:ligatures w14:val="standardContextual"/>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"_Toc192058173" </w:instrText>
      </w:r>
      <w:r>
        <w:rPr>
          <w:rFonts w:hint="eastAsia" w:ascii="宋体" w:hAnsi="宋体" w:eastAsia="宋体" w:cs="宋体"/>
          <w:sz w:val="28"/>
          <w:szCs w:val="28"/>
          <w:highlight w:val="none"/>
        </w:rPr>
        <w:fldChar w:fldCharType="separate"/>
      </w:r>
      <w:r>
        <w:rPr>
          <w:rStyle w:val="29"/>
          <w:rFonts w:hint="eastAsia" w:ascii="宋体" w:hAnsi="宋体" w:eastAsia="宋体" w:cs="宋体"/>
          <w:b/>
          <w:color w:val="000000" w:themeColor="text1"/>
          <w:sz w:val="28"/>
          <w:szCs w:val="28"/>
          <w:highlight w:val="none"/>
          <w14:textFill>
            <w14:solidFill>
              <w14:schemeClr w14:val="tx1"/>
            </w14:solidFill>
          </w14:textFill>
        </w:rPr>
        <w:t>第四章 评审方法和标准</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_Toc192058173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28</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58A06ED">
      <w:pPr>
        <w:pStyle w:val="15"/>
        <w:tabs>
          <w:tab w:val="right" w:leader="dot" w:pos="8859"/>
        </w:tabs>
        <w:ind w:firstLine="440"/>
        <w:jc w:val="both"/>
        <w:rPr>
          <w:rFonts w:hint="eastAsia" w:ascii="宋体" w:hAnsi="宋体" w:eastAsia="宋体" w:cs="宋体"/>
          <w:color w:val="000000" w:themeColor="text1"/>
          <w:kern w:val="2"/>
          <w:sz w:val="28"/>
          <w:szCs w:val="28"/>
          <w:highlight w:val="none"/>
          <w14:textFill>
            <w14:solidFill>
              <w14:schemeClr w14:val="tx1"/>
            </w14:solidFill>
          </w14:textFill>
          <w14:ligatures w14:val="standardContextual"/>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"_Toc192058174" </w:instrText>
      </w:r>
      <w:r>
        <w:rPr>
          <w:rFonts w:hint="eastAsia" w:ascii="宋体" w:hAnsi="宋体" w:eastAsia="宋体" w:cs="宋体"/>
          <w:sz w:val="28"/>
          <w:szCs w:val="28"/>
          <w:highlight w:val="none"/>
        </w:rPr>
        <w:fldChar w:fldCharType="separate"/>
      </w:r>
      <w:r>
        <w:rPr>
          <w:rStyle w:val="29"/>
          <w:rFonts w:hint="eastAsia" w:ascii="宋体" w:hAnsi="宋体" w:eastAsia="宋体" w:cs="宋体"/>
          <w:b/>
          <w:color w:val="000000" w:themeColor="text1"/>
          <w:sz w:val="28"/>
          <w:szCs w:val="28"/>
          <w:highlight w:val="none"/>
          <w14:textFill>
            <w14:solidFill>
              <w14:schemeClr w14:val="tx1"/>
            </w14:solidFill>
          </w14:textFill>
        </w:rPr>
        <w:t>第五章 合同</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_Toc192058174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38E5F4A0">
      <w:pPr>
        <w:pStyle w:val="15"/>
        <w:tabs>
          <w:tab w:val="right" w:leader="dot" w:pos="8859"/>
        </w:tabs>
        <w:ind w:firstLine="440"/>
        <w:jc w:val="both"/>
        <w:rPr>
          <w:rFonts w:hint="eastAsia" w:ascii="宋体" w:hAnsi="宋体" w:eastAsia="宋体" w:cs="宋体"/>
          <w:color w:val="000000" w:themeColor="text1"/>
          <w:kern w:val="2"/>
          <w:szCs w:val="24"/>
          <w:highlight w:val="none"/>
          <w14:textFill>
            <w14:solidFill>
              <w14:schemeClr w14:val="tx1"/>
            </w14:solidFill>
          </w14:textFill>
          <w14:ligatures w14:val="standardContextual"/>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"_Toc192058175" </w:instrText>
      </w:r>
      <w:r>
        <w:rPr>
          <w:rFonts w:hint="eastAsia" w:ascii="宋体" w:hAnsi="宋体" w:eastAsia="宋体" w:cs="宋体"/>
          <w:sz w:val="28"/>
          <w:szCs w:val="28"/>
          <w:highlight w:val="none"/>
        </w:rPr>
        <w:fldChar w:fldCharType="separate"/>
      </w:r>
      <w:r>
        <w:rPr>
          <w:rStyle w:val="29"/>
          <w:rFonts w:hint="eastAsia" w:ascii="宋体" w:hAnsi="宋体" w:eastAsia="宋体" w:cs="宋体"/>
          <w:b/>
          <w:color w:val="000000" w:themeColor="text1"/>
          <w:sz w:val="28"/>
          <w:szCs w:val="28"/>
          <w:highlight w:val="none"/>
          <w14:textFill>
            <w14:solidFill>
              <w14:schemeClr w14:val="tx1"/>
            </w14:solidFill>
          </w14:textFill>
        </w:rPr>
        <w:t>第六章 响应文件格式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_Toc192058175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40</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3FA97DC2">
      <w:pPr>
        <w:pStyle w:val="15"/>
        <w:tabs>
          <w:tab w:val="right" w:leader="dot" w:pos="8296"/>
        </w:tabs>
        <w:ind w:firstLine="440"/>
        <w:jc w:val="both"/>
        <w:rPr>
          <w:rFonts w:hint="eastAsia" w:asciiTheme="minorEastAsia" w:hAnsiTheme="minorEastAsia"/>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end"/>
      </w:r>
    </w:p>
    <w:p w14:paraId="4A377694">
      <w:pPr>
        <w:pStyle w:val="35"/>
        <w:ind w:left="180" w:leftChars="75" w:firstLine="480"/>
        <w:rPr>
          <w:rFonts w:hint="eastAsia" w:asciiTheme="minorEastAsia" w:hAnsiTheme="minorEastAsia" w:eastAsiaTheme="minorEastAsia"/>
          <w:color w:val="000000" w:themeColor="text1"/>
          <w:sz w:val="28"/>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pgBorders>
            <w:top w:val="none" w:sz="0" w:space="0"/>
            <w:left w:val="none" w:sz="0" w:space="0"/>
            <w:bottom w:val="none" w:sz="0" w:space="0"/>
            <w:right w:val="none" w:sz="0" w:space="0"/>
          </w:pgBorders>
          <w:pgNumType w:fmt="decimal" w:start="1"/>
          <w:cols w:space="720" w:num="1"/>
          <w:docGrid w:linePitch="462" w:charSpace="0"/>
        </w:sectPr>
      </w:pPr>
      <w:r>
        <w:rPr>
          <w:rFonts w:hint="eastAsia"/>
          <w:color w:val="000000" w:themeColor="text1"/>
          <w:highlight w:val="none"/>
          <w14:textFill>
            <w14:solidFill>
              <w14:schemeClr w14:val="tx1"/>
            </w14:solidFill>
          </w14:textFill>
        </w:rPr>
        <w:br w:type="page"/>
      </w:r>
    </w:p>
    <w:p w14:paraId="0A14D35F">
      <w:pPr>
        <w:numPr>
          <w:ilvl w:val="0"/>
          <w:numId w:val="1"/>
        </w:num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bookmarkStart w:id="1" w:name="_Toc192058170"/>
      <w:bookmarkStart w:id="2" w:name="_Hlk193096165"/>
      <w:r>
        <w:rPr>
          <w:rFonts w:hint="eastAsia" w:asciiTheme="minorEastAsia" w:hAnsiTheme="minorEastAsia" w:eastAsiaTheme="minorEastAsia"/>
          <w:b/>
          <w:color w:val="000000" w:themeColor="text1"/>
          <w:sz w:val="28"/>
          <w:highlight w:val="none"/>
          <w:lang w:eastAsia="zh-CN"/>
          <w14:textFill>
            <w14:solidFill>
              <w14:schemeClr w14:val="tx1"/>
            </w14:solidFill>
          </w14:textFill>
        </w:rPr>
        <w:t>询比</w:t>
      </w:r>
      <w:r>
        <w:rPr>
          <w:rFonts w:hint="eastAsia" w:asciiTheme="minorEastAsia" w:hAnsiTheme="minorEastAsia" w:eastAsiaTheme="minorEastAsia"/>
          <w:b/>
          <w:color w:val="000000" w:themeColor="text1"/>
          <w:sz w:val="28"/>
          <w:highlight w:val="none"/>
          <w14:textFill>
            <w14:solidFill>
              <w14:schemeClr w14:val="tx1"/>
            </w14:solidFill>
          </w14:textFill>
        </w:rPr>
        <w:t>公告</w:t>
      </w:r>
      <w:bookmarkEnd w:id="1"/>
    </w:p>
    <w:p w14:paraId="5CA7474B">
      <w:pPr>
        <w:pStyle w:val="36"/>
        <w:widowControl w:val="0"/>
        <w:autoSpaceDE w:val="0"/>
        <w:autoSpaceDN w:val="0"/>
        <w:adjustRightInd w:val="0"/>
        <w:spacing w:before="93" w:beforeLines="30" w:after="93" w:afterLines="30"/>
        <w:jc w:val="both"/>
        <w:rPr>
          <w:rFonts w:hint="eastAsia"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肥西县公共资源交易有限责任公司</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受</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肥西县桃花镇人民政府</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委托，现对</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桃花镇2026年度美国白蛾等重大林业有害生物监测防治</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进行</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询比</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，欢迎具备条件的供应商参加</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询比</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w:t>
      </w:r>
    </w:p>
    <w:p w14:paraId="1CA1F15A">
      <w:pPr>
        <w:keepNext w:val="0"/>
        <w:keepLines w:val="0"/>
        <w:pageBreakBefore w:val="0"/>
        <w:widowControl w:val="0"/>
        <w:kinsoku/>
        <w:wordWrap/>
        <w:overflowPunct/>
        <w:topLinePunct w:val="0"/>
        <w:bidi w:val="0"/>
        <w:spacing w:before="93" w:beforeLines="30" w:after="93" w:afterLines="30" w:line="440" w:lineRule="exact"/>
        <w:ind w:firstLine="482"/>
        <w:textAlignment w:val="auto"/>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1.项目名称及内容</w:t>
      </w:r>
    </w:p>
    <w:p w14:paraId="5BB0A93E">
      <w:pPr>
        <w:keepNext w:val="0"/>
        <w:keepLines w:val="0"/>
        <w:pageBreakBefore w:val="0"/>
        <w:widowControl w:val="0"/>
        <w:kinsoku/>
        <w:wordWrap/>
        <w:overflowPunct/>
        <w:topLinePunct w:val="0"/>
        <w:autoSpaceDE w:val="0"/>
        <w:autoSpaceDN w:val="0"/>
        <w:bidi w:val="0"/>
        <w:adjustRightInd w:val="0"/>
        <w:spacing w:before="93" w:beforeLines="30" w:after="93" w:afterLines="30" w:line="440" w:lineRule="exact"/>
        <w:ind w:firstLine="480"/>
        <w:jc w:val="left"/>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1.1 项目编号：</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2026PHBX212</w:t>
      </w:r>
    </w:p>
    <w:p w14:paraId="25E9C5D9">
      <w:pPr>
        <w:keepNext w:val="0"/>
        <w:keepLines w:val="0"/>
        <w:pageBreakBefore w:val="0"/>
        <w:widowControl w:val="0"/>
        <w:kinsoku/>
        <w:wordWrap/>
        <w:overflowPunct/>
        <w:topLinePunct w:val="0"/>
        <w:autoSpaceDE w:val="0"/>
        <w:autoSpaceDN w:val="0"/>
        <w:bidi w:val="0"/>
        <w:adjustRightInd w:val="0"/>
        <w:spacing w:before="93" w:beforeLines="30" w:after="93" w:afterLines="30" w:line="440" w:lineRule="exact"/>
        <w:ind w:firstLine="480"/>
        <w:jc w:val="left"/>
        <w:textAlignment w:val="auto"/>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1.2 项目名称：</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桃花镇2026年度美国白蛾等重大林业有害生物监测防治</w:t>
      </w:r>
    </w:p>
    <w:p w14:paraId="5336FA81">
      <w:pPr>
        <w:keepNext w:val="0"/>
        <w:keepLines w:val="0"/>
        <w:pageBreakBefore w:val="0"/>
        <w:widowControl w:val="0"/>
        <w:kinsoku/>
        <w:wordWrap/>
        <w:overflowPunct/>
        <w:topLinePunct w:val="0"/>
        <w:autoSpaceDE w:val="0"/>
        <w:autoSpaceDN w:val="0"/>
        <w:bidi w:val="0"/>
        <w:adjustRightInd w:val="0"/>
        <w:spacing w:before="93" w:beforeLines="30" w:after="93" w:afterLines="30" w:line="440" w:lineRule="exact"/>
        <w:ind w:firstLine="480"/>
        <w:jc w:val="left"/>
        <w:textAlignment w:val="auto"/>
        <w:rPr>
          <w:rFonts w:hint="eastAsia" w:eastAsia="宋体" w:asciiTheme="majorEastAsia" w:hAnsi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1.3 项目地点：</w:t>
      </w:r>
      <w:r>
        <w:rPr>
          <w:rFonts w:hint="eastAsia" w:cs="宋体"/>
          <w:bCs/>
          <w:szCs w:val="28"/>
          <w:highlight w:val="none"/>
        </w:rPr>
        <w:t>肥西县</w:t>
      </w:r>
    </w:p>
    <w:p w14:paraId="4B98F317">
      <w:pPr>
        <w:keepNext w:val="0"/>
        <w:keepLines w:val="0"/>
        <w:pageBreakBefore w:val="0"/>
        <w:widowControl w:val="0"/>
        <w:kinsoku/>
        <w:wordWrap/>
        <w:overflowPunct/>
        <w:topLinePunct w:val="0"/>
        <w:autoSpaceDE w:val="0"/>
        <w:autoSpaceDN w:val="0"/>
        <w:bidi w:val="0"/>
        <w:adjustRightInd w:val="0"/>
        <w:spacing w:before="93" w:beforeLines="30" w:after="93" w:afterLines="30" w:line="440" w:lineRule="exact"/>
        <w:ind w:firstLine="480"/>
        <w:jc w:val="left"/>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1.4 项目单位：</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肥西县桃花镇人民政府</w:t>
      </w:r>
    </w:p>
    <w:p w14:paraId="5A17D5E5">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hint="default" w:asciiTheme="majorEastAsia" w:hAnsiTheme="majorEastAsia" w:eastAsiaTheme="majorEastAsia" w:cstheme="majorEastAsia"/>
          <w:color w:val="000000" w:themeColor="text1"/>
          <w:kern w:val="2"/>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1.5 项</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目概况：桃花镇2026年度美国白蛾等重大林业有害生物监测防治</w:t>
      </w:r>
      <w:r>
        <w:rPr>
          <w:rFonts w:hint="eastAsia" w:asciiTheme="majorEastAsia" w:hAnsiTheme="majorEastAsia" w:eastAsiaTheme="majorEastAsia" w:cstheme="majorEastAsia"/>
          <w:color w:val="000000" w:themeColor="text1"/>
          <w:kern w:val="2"/>
          <w:highlight w:val="none"/>
          <w:lang w:val="en-US" w:eastAsia="zh-CN"/>
          <w14:textFill>
            <w14:solidFill>
              <w14:schemeClr w14:val="tx1"/>
            </w14:solidFill>
          </w14:textFill>
        </w:rPr>
        <w:t>，详见项目需求。</w:t>
      </w:r>
    </w:p>
    <w:p w14:paraId="69042B65">
      <w:pPr>
        <w:keepNext w:val="0"/>
        <w:keepLines w:val="0"/>
        <w:pageBreakBefore w:val="0"/>
        <w:widowControl w:val="0"/>
        <w:kinsoku/>
        <w:wordWrap/>
        <w:overflowPunct/>
        <w:topLinePunct w:val="0"/>
        <w:autoSpaceDE w:val="0"/>
        <w:autoSpaceDN w:val="0"/>
        <w:bidi w:val="0"/>
        <w:adjustRightInd w:val="0"/>
        <w:spacing w:before="93" w:beforeLines="30" w:after="93" w:afterLines="30" w:line="440" w:lineRule="exact"/>
        <w:ind w:firstLine="480"/>
        <w:jc w:val="left"/>
        <w:textAlignment w:val="auto"/>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1.6 资金来源：</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财政资金</w:t>
      </w:r>
    </w:p>
    <w:p w14:paraId="645FB800">
      <w:pPr>
        <w:keepNext w:val="0"/>
        <w:keepLines w:val="0"/>
        <w:pageBreakBefore w:val="0"/>
        <w:widowControl w:val="0"/>
        <w:kinsoku/>
        <w:wordWrap/>
        <w:overflowPunct/>
        <w:topLinePunct w:val="0"/>
        <w:autoSpaceDE w:val="0"/>
        <w:autoSpaceDN w:val="0"/>
        <w:bidi w:val="0"/>
        <w:adjustRightInd w:val="0"/>
        <w:spacing w:before="93" w:beforeLines="30" w:after="93" w:afterLines="30" w:line="440" w:lineRule="exact"/>
        <w:ind w:firstLine="480"/>
        <w:jc w:val="left"/>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1.7 项目预算</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（最高限价）：4.9396万元</w:t>
      </w:r>
    </w:p>
    <w:p w14:paraId="2C6346F7">
      <w:pPr>
        <w:keepNext w:val="0"/>
        <w:keepLines w:val="0"/>
        <w:pageBreakBefore w:val="0"/>
        <w:widowControl w:val="0"/>
        <w:kinsoku/>
        <w:wordWrap/>
        <w:overflowPunct/>
        <w:topLinePunct w:val="0"/>
        <w:autoSpaceDE w:val="0"/>
        <w:autoSpaceDN w:val="0"/>
        <w:bidi w:val="0"/>
        <w:adjustRightInd w:val="0"/>
        <w:spacing w:before="93" w:beforeLines="30" w:after="93" w:afterLines="30" w:line="440" w:lineRule="exact"/>
        <w:ind w:firstLine="480"/>
        <w:jc w:val="left"/>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1.8 项目类别：服务类</w:t>
      </w:r>
    </w:p>
    <w:p w14:paraId="30B7A8FB">
      <w:pPr>
        <w:keepNext w:val="0"/>
        <w:keepLines w:val="0"/>
        <w:pageBreakBefore w:val="0"/>
        <w:widowControl w:val="0"/>
        <w:kinsoku/>
        <w:wordWrap/>
        <w:overflowPunct/>
        <w:topLinePunct w:val="0"/>
        <w:autoSpaceDE w:val="0"/>
        <w:autoSpaceDN w:val="0"/>
        <w:bidi w:val="0"/>
        <w:adjustRightInd w:val="0"/>
        <w:spacing w:before="93" w:beforeLines="30" w:after="93" w:afterLines="30" w:line="440" w:lineRule="exact"/>
        <w:ind w:firstLine="480"/>
        <w:jc w:val="left"/>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1.9 包别划分：共分1个包</w:t>
      </w:r>
    </w:p>
    <w:p w14:paraId="4E5C1463">
      <w:pPr>
        <w:keepNext w:val="0"/>
        <w:keepLines w:val="0"/>
        <w:pageBreakBefore w:val="0"/>
        <w:widowControl w:val="0"/>
        <w:kinsoku/>
        <w:wordWrap/>
        <w:overflowPunct/>
        <w:topLinePunct w:val="0"/>
        <w:bidi w:val="0"/>
        <w:spacing w:before="93" w:beforeLines="30" w:after="93" w:afterLines="30" w:line="440" w:lineRule="exact"/>
        <w:ind w:firstLine="482"/>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2.供应商资格要求</w:t>
      </w:r>
    </w:p>
    <w:p w14:paraId="7BDBFBF6">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2.1供应商具有独立承担民事责任的能力</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w:t>
      </w:r>
    </w:p>
    <w:p w14:paraId="449CB639">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2.2供应商资质要求：</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无</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p>
    <w:p w14:paraId="508C0A4F">
      <w:pPr>
        <w:pStyle w:val="6"/>
        <w:keepNext w:val="0"/>
        <w:keepLines w:val="0"/>
        <w:pageBreakBefore w:val="0"/>
        <w:widowControl w:val="0"/>
        <w:kinsoku/>
        <w:wordWrap/>
        <w:overflowPunct/>
        <w:topLinePunct w:val="0"/>
        <w:bidi w:val="0"/>
        <w:spacing w:line="440" w:lineRule="exact"/>
        <w:textAlignment w:val="auto"/>
        <w:rPr>
          <w:rFonts w:hint="eastAsia"/>
          <w:lang w:val="en-US" w:eastAsia="zh-CN"/>
        </w:rPr>
      </w:pP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2.3供应商业绩要求：无。</w:t>
      </w:r>
    </w:p>
    <w:p w14:paraId="149CAB29">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cs="宋体"/>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本项目</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不接受</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联合体参与</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询比</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p>
    <w:p w14:paraId="54077581">
      <w:pPr>
        <w:keepNext w:val="0"/>
        <w:keepLines w:val="0"/>
        <w:pageBreakBefore w:val="0"/>
        <w:widowControl w:val="0"/>
        <w:kinsoku/>
        <w:wordWrap/>
        <w:overflowPunct/>
        <w:topLinePunct w:val="0"/>
        <w:bidi w:val="0"/>
        <w:spacing w:before="93" w:beforeLines="30" w:after="93" w:afterLines="30" w:line="440" w:lineRule="exact"/>
        <w:ind w:firstLine="482"/>
        <w:textAlignment w:val="auto"/>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3.</w:t>
      </w:r>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询比</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文件的获取</w:t>
      </w:r>
    </w:p>
    <w:p w14:paraId="0F2EF208">
      <w:pPr>
        <w:keepNext w:val="0"/>
        <w:keepLines w:val="0"/>
        <w:pageBreakBefore w:val="0"/>
        <w:widowControl w:val="0"/>
        <w:kinsoku/>
        <w:wordWrap/>
        <w:overflowPunct/>
        <w:topLinePunct w:val="0"/>
        <w:bidi w:val="0"/>
        <w:adjustRightInd w:val="0"/>
        <w:snapToGrid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3.1 获取时间：202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30</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日至</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询比</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w:t>
      </w:r>
    </w:p>
    <w:p w14:paraId="4FCD4330">
      <w:pPr>
        <w:keepNext w:val="0"/>
        <w:keepLines w:val="0"/>
        <w:pageBreakBefore w:val="0"/>
        <w:widowControl w:val="0"/>
        <w:kinsoku/>
        <w:wordWrap/>
        <w:overflowPunct/>
        <w:topLinePunct w:val="0"/>
        <w:bidi w:val="0"/>
        <w:adjustRightInd w:val="0"/>
        <w:snapToGrid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3.2 获取地点：优质采云采购平台（http://www.youzhicai.com/）</w:t>
      </w:r>
    </w:p>
    <w:p w14:paraId="02DB9E3C">
      <w:pPr>
        <w:keepNext w:val="0"/>
        <w:keepLines w:val="0"/>
        <w:pageBreakBefore w:val="0"/>
        <w:widowControl w:val="0"/>
        <w:kinsoku/>
        <w:wordWrap/>
        <w:overflowPunct/>
        <w:topLinePunct w:val="0"/>
        <w:bidi w:val="0"/>
        <w:adjustRightInd w:val="0"/>
        <w:snapToGrid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3.3 获取方式：在线下载</w:t>
      </w:r>
    </w:p>
    <w:p w14:paraId="0C584083">
      <w:pPr>
        <w:keepNext w:val="0"/>
        <w:keepLines w:val="0"/>
        <w:pageBreakBefore w:val="0"/>
        <w:widowControl w:val="0"/>
        <w:kinsoku/>
        <w:wordWrap/>
        <w:overflowPunct/>
        <w:topLinePunct w:val="0"/>
        <w:bidi w:val="0"/>
        <w:spacing w:before="93" w:beforeLines="30" w:after="93" w:afterLines="30" w:line="440" w:lineRule="exact"/>
        <w:ind w:firstLine="482"/>
        <w:textAlignment w:val="auto"/>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4.响应文件提交截止时间</w:t>
      </w:r>
    </w:p>
    <w:p w14:paraId="26ACEEC9">
      <w:pPr>
        <w:keepNext w:val="0"/>
        <w:keepLines w:val="0"/>
        <w:pageBreakBefore w:val="0"/>
        <w:widowControl w:val="0"/>
        <w:kinsoku/>
        <w:wordWrap/>
        <w:overflowPunct/>
        <w:topLinePunct w:val="0"/>
        <w:bidi w:val="0"/>
        <w:adjustRightInd w:val="0"/>
        <w:snapToGrid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同</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询比</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w:t>
      </w:r>
    </w:p>
    <w:p w14:paraId="1799F9AB">
      <w:pPr>
        <w:keepNext w:val="0"/>
        <w:keepLines w:val="0"/>
        <w:pageBreakBefore w:val="0"/>
        <w:widowControl w:val="0"/>
        <w:kinsoku/>
        <w:wordWrap/>
        <w:overflowPunct/>
        <w:topLinePunct w:val="0"/>
        <w:bidi w:val="0"/>
        <w:spacing w:before="93" w:beforeLines="30" w:after="93" w:afterLines="30" w:line="440" w:lineRule="exact"/>
        <w:ind w:firstLine="482"/>
        <w:textAlignment w:val="auto"/>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5.</w:t>
      </w:r>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询比</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时间及地点</w:t>
      </w:r>
    </w:p>
    <w:p w14:paraId="07F7DE34">
      <w:pPr>
        <w:keepNext w:val="0"/>
        <w:keepLines w:val="0"/>
        <w:pageBreakBefore w:val="0"/>
        <w:widowControl w:val="0"/>
        <w:kinsoku/>
        <w:wordWrap/>
        <w:overflowPunct/>
        <w:topLinePunct w:val="0"/>
        <w:bidi w:val="0"/>
        <w:adjustRightInd w:val="0"/>
        <w:snapToGrid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5.1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询比</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时间：202</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15</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0</w:t>
      </w:r>
    </w:p>
    <w:p w14:paraId="15F43EB0">
      <w:pPr>
        <w:keepNext w:val="0"/>
        <w:keepLines w:val="0"/>
        <w:pageBreakBefore w:val="0"/>
        <w:widowControl w:val="0"/>
        <w:kinsoku/>
        <w:wordWrap/>
        <w:overflowPunct/>
        <w:topLinePunct w:val="0"/>
        <w:bidi w:val="0"/>
        <w:adjustRightInd w:val="0"/>
        <w:snapToGrid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5.2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询比</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地点：优质采云采购平台（http://www.youzhicai.com/）</w:t>
      </w:r>
    </w:p>
    <w:p w14:paraId="0473B0A6">
      <w:pPr>
        <w:keepNext w:val="0"/>
        <w:keepLines w:val="0"/>
        <w:pageBreakBefore w:val="0"/>
        <w:widowControl w:val="0"/>
        <w:kinsoku/>
        <w:wordWrap/>
        <w:overflowPunct/>
        <w:topLinePunct w:val="0"/>
        <w:bidi w:val="0"/>
        <w:spacing w:before="93" w:beforeLines="30" w:after="93" w:afterLines="30" w:line="440" w:lineRule="exact"/>
        <w:ind w:firstLine="482"/>
        <w:textAlignment w:val="auto"/>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6.发布公告的媒介</w:t>
      </w:r>
    </w:p>
    <w:p w14:paraId="7BDFA4E6">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本次</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询比</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公告同时在肥西县公共资源交易有限责任公司、优质采云采购平台、安徽省招标投标信息网、中国采购与招标网上发布。</w:t>
      </w:r>
    </w:p>
    <w:p w14:paraId="6834EAF0">
      <w:pPr>
        <w:keepNext w:val="0"/>
        <w:keepLines w:val="0"/>
        <w:pageBreakBefore w:val="0"/>
        <w:widowControl w:val="0"/>
        <w:kinsoku/>
        <w:wordWrap/>
        <w:overflowPunct/>
        <w:topLinePunct w:val="0"/>
        <w:bidi w:val="0"/>
        <w:spacing w:before="93" w:beforeLines="30" w:after="93" w:afterLines="30" w:line="440" w:lineRule="exact"/>
        <w:ind w:firstLine="482"/>
        <w:textAlignment w:val="auto"/>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7.联系方式</w:t>
      </w:r>
    </w:p>
    <w:p w14:paraId="1CE1CC0B">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7.1 业主单位</w:t>
      </w:r>
    </w:p>
    <w:p w14:paraId="41A40AE6">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业主单位：</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肥西县桃花镇人民政府</w:t>
      </w:r>
    </w:p>
    <w:p w14:paraId="44D856A5">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地址：</w:t>
      </w:r>
      <w:r>
        <w:rPr>
          <w:rFonts w:hint="eastAsia" w:ascii="宋体" w:hAnsi="宋体" w:eastAsia="宋体" w:cs="宋体"/>
          <w:i w:val="0"/>
          <w:iCs w:val="0"/>
          <w:caps w:val="0"/>
          <w:color w:val="333333"/>
          <w:spacing w:val="0"/>
          <w:sz w:val="24"/>
          <w:szCs w:val="24"/>
          <w:shd w:val="clear" w:fill="FFFFFF"/>
        </w:rPr>
        <w:t>肥西县高新技术产业开发区柏堰科技园玉兰大道40号</w:t>
      </w:r>
    </w:p>
    <w:p w14:paraId="01DD5C6C">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张工</w:t>
      </w:r>
    </w:p>
    <w:p w14:paraId="453626DB">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电  话：18005604939</w:t>
      </w:r>
    </w:p>
    <w:p w14:paraId="10C1D723">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7.2 代理机构</w:t>
      </w:r>
    </w:p>
    <w:p w14:paraId="3961C8EE">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代理机构名称：</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肥西县公共资源交易有限责任公司</w:t>
      </w:r>
    </w:p>
    <w:p w14:paraId="315943CA">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地址：肥西县上派镇紫石路与佛光路交叉口肥光办公区3号楼2楼</w:t>
      </w:r>
    </w:p>
    <w:p w14:paraId="48630FDA">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谭</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工</w:t>
      </w:r>
    </w:p>
    <w:p w14:paraId="13440A3E">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电话：0551-</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68825</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007</w:t>
      </w:r>
    </w:p>
    <w:p w14:paraId="58DFB336">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7.3 监督管理部门</w:t>
      </w:r>
    </w:p>
    <w:p w14:paraId="22C23E45">
      <w:pPr>
        <w:spacing w:line="360" w:lineRule="auto"/>
        <w:ind w:firstLine="435"/>
        <w:rPr>
          <w:rFonts w:hint="default" w:asciiTheme="majorEastAsia" w:hAnsiTheme="majorEastAsia" w:eastAsiaTheme="majorEastAsia" w:cstheme="majorEastAsia"/>
          <w:b/>
          <w:sz w:val="24"/>
          <w:szCs w:val="24"/>
          <w:highlight w:val="none"/>
          <w:u w:val="none"/>
          <w:lang w:val="en-US" w:eastAsia="zh-CN"/>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监督管理部门：</w:t>
      </w:r>
      <w:r>
        <w:rPr>
          <w:rFonts w:hint="eastAsia" w:asciiTheme="majorEastAsia" w:hAnsiTheme="majorEastAsia" w:eastAsiaTheme="majorEastAsia" w:cstheme="majorEastAsia"/>
          <w:sz w:val="24"/>
          <w:szCs w:val="24"/>
          <w:highlight w:val="none"/>
          <w:u w:val="none"/>
          <w:lang w:val="en-US" w:eastAsia="zh-CN"/>
        </w:rPr>
        <w:t>肥西县桃花镇纪委</w:t>
      </w:r>
    </w:p>
    <w:p w14:paraId="22AC3727">
      <w:pPr>
        <w:spacing w:line="360" w:lineRule="auto"/>
        <w:ind w:firstLine="435"/>
        <w:rPr>
          <w:rFonts w:hint="eastAsia" w:asciiTheme="majorEastAsia" w:hAnsiTheme="majorEastAsia" w:eastAsiaTheme="majorEastAsia" w:cstheme="majorEastAsia"/>
          <w:b/>
          <w:color w:val="FF0000"/>
          <w:sz w:val="24"/>
          <w:szCs w:val="24"/>
          <w:highlight w:val="none"/>
          <w:u w:val="none"/>
        </w:rPr>
      </w:pPr>
      <w:r>
        <w:rPr>
          <w:rFonts w:hint="eastAsia" w:asciiTheme="majorEastAsia" w:hAnsiTheme="majorEastAsia" w:eastAsiaTheme="majorEastAsia" w:cstheme="majorEastAsia"/>
          <w:sz w:val="24"/>
          <w:szCs w:val="24"/>
          <w:highlight w:val="none"/>
          <w:u w:val="none"/>
        </w:rPr>
        <w:t>地  址：肥西县高新技术产业开发区柏堰科技园玉兰大道40号</w:t>
      </w:r>
    </w:p>
    <w:p w14:paraId="11F3D02D">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sz w:val="24"/>
          <w:szCs w:val="24"/>
          <w:highlight w:val="none"/>
          <w:u w:val="none"/>
        </w:rPr>
        <w:t>电  话：0551-63846918</w:t>
      </w:r>
    </w:p>
    <w:p w14:paraId="50E010F8">
      <w:pPr>
        <w:keepNext w:val="0"/>
        <w:keepLines w:val="0"/>
        <w:pageBreakBefore w:val="0"/>
        <w:widowControl w:val="0"/>
        <w:kinsoku/>
        <w:wordWrap/>
        <w:overflowPunct/>
        <w:topLinePunct w:val="0"/>
        <w:bidi w:val="0"/>
        <w:spacing w:before="93" w:beforeLines="30" w:after="93" w:afterLines="30" w:line="440" w:lineRule="exact"/>
        <w:ind w:firstLine="482"/>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Cs w:val="24"/>
          <w:highlight w:val="none"/>
          <w14:textFill>
            <w14:solidFill>
              <w14:schemeClr w14:val="tx1"/>
            </w14:solidFill>
          </w14:textFill>
        </w:rPr>
        <w:t>8.其他事项说明</w:t>
      </w:r>
    </w:p>
    <w:p w14:paraId="2B0BE210">
      <w:pPr>
        <w:keepNext w:val="0"/>
        <w:keepLines w:val="0"/>
        <w:pageBreakBefore w:val="0"/>
        <w:widowControl w:val="0"/>
        <w:kinsoku/>
        <w:wordWrap/>
        <w:overflowPunct/>
        <w:topLinePunct w:val="0"/>
        <w:bidi w:val="0"/>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8.1 电子化交易要求：</w:t>
      </w:r>
    </w:p>
    <w:bookmarkEnd w:id="2"/>
    <w:p w14:paraId="5EF5FB6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（1）潜在供应商须登录“优质采云采购平台”（网址：http://www.youzhicai.com/，以下称“优质采平台”）参与本项目</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活动。首次登录须办理注册手续，请务必选择注册为“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角色”类型。注册流程见优质采平台“用户注册”栏目，咨询电话：400-0099-555。因未及时办理注册手续影响参加</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活动的，责任自负。</w:t>
      </w:r>
    </w:p>
    <w:p w14:paraId="16730BC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（2）已注册的潜在供应商可登录优质采平台获取</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文件，本项目的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文件及其他资料（含澄清、答疑及相关补充文件）通过优质采平台发布，业主单位/代理机构不再另行书面通知，潜在供应商应及时关注、查阅优质采平台。因未及时查看导致不利后果的，责任自负。</w:t>
      </w:r>
    </w:p>
    <w:p w14:paraId="279655C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（3）已注册的潜在供应商若注册信息发生变更（如：与初始注册信息不一致），应及时网上提交变更申请。因未及时变更导致不利后果的，责任自负。</w:t>
      </w:r>
    </w:p>
    <w:p w14:paraId="4065E5D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（4）本项目采用全流程电子化</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46B2665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（5）响应文件必须使用“优质采</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制作工具”制作生成并上传。下载地址：http://toolcdn.youzhicai.com/tools/BidderTools.zip，使用说明书及视频教程下载地址:http://file.youzhicai.com/files/BidderHelp.rar。</w:t>
      </w:r>
    </w:p>
    <w:p w14:paraId="60DBBD10">
      <w:pPr>
        <w:keepNext w:val="0"/>
        <w:keepLines w:val="0"/>
        <w:pageBreakBefore w:val="0"/>
        <w:widowControl w:val="0"/>
        <w:kinsoku/>
        <w:wordWrap/>
        <w:overflowPunct/>
        <w:topLinePunct w:val="0"/>
        <w:autoSpaceDE/>
        <w:autoSpaceDN/>
        <w:bidi w:val="0"/>
        <w:adjustRightInd/>
        <w:snapToGrid/>
        <w:spacing w:before="93" w:beforeLines="30" w:after="93" w:afterLines="30" w:line="440" w:lineRule="exact"/>
        <w:ind w:firstLine="480"/>
        <w:textAlignment w:val="auto"/>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宋体" w:hAnsi="宋体" w:eastAsia="宋体" w:cs="宋体"/>
          <w:color w:val="auto"/>
          <w:sz w:val="24"/>
          <w:szCs w:val="24"/>
          <w:highlight w:val="none"/>
        </w:rPr>
        <w:t>3. 供应商应合理安排</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文件获取时间，特别是网络速度慢的地区防止在系统关闭前网络拥堵无法操作。如果因计算机及网络故障造成无法完成</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文件获取，责任自负。</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br w:type="page"/>
      </w:r>
    </w:p>
    <w:p w14:paraId="1D3F881A">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3" w:name="_Toc192058171"/>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供应商</w:t>
      </w:r>
      <w:r>
        <w:rPr>
          <w:rFonts w:asciiTheme="minorEastAsia" w:hAnsiTheme="minorEastAsia" w:eastAsiaTheme="minorEastAsia"/>
          <w:b/>
          <w:color w:val="000000" w:themeColor="text1"/>
          <w:sz w:val="28"/>
          <w:highlight w:val="none"/>
          <w14:textFill>
            <w14:solidFill>
              <w14:schemeClr w14:val="tx1"/>
            </w14:solidFill>
          </w14:textFill>
        </w:rPr>
        <w:t>须知</w:t>
      </w:r>
      <w:bookmarkEnd w:id="3"/>
    </w:p>
    <w:p w14:paraId="7142313A">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w:t>
      </w:r>
      <w:r>
        <w:rPr>
          <w:rFonts w:hint="eastAsia" w:asciiTheme="minorEastAsia" w:hAnsiTheme="minorEastAsia" w:eastAsiaTheme="minorEastAsia"/>
          <w:b/>
          <w:color w:val="000000" w:themeColor="text1"/>
          <w:highlight w:val="none"/>
          <w14:textFill>
            <w14:solidFill>
              <w14:schemeClr w14:val="tx1"/>
            </w14:solidFill>
          </w14:textFill>
        </w:rPr>
        <w:t>知前附表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33"/>
        <w:gridCol w:w="6176"/>
      </w:tblGrid>
      <w:tr w14:paraId="32A2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610C713">
            <w:pPr>
              <w:pStyle w:val="37"/>
              <w:rPr>
                <w:rFonts w:hint="eastAsia"/>
                <w:b/>
                <w:bCs w:val="0"/>
                <w:highlight w:val="none"/>
              </w:rPr>
            </w:pPr>
            <w:r>
              <w:rPr>
                <w:rFonts w:hint="eastAsia"/>
                <w:b/>
                <w:bCs w:val="0"/>
                <w:highlight w:val="none"/>
              </w:rPr>
              <w:t>条款号</w:t>
            </w:r>
          </w:p>
        </w:tc>
        <w:tc>
          <w:tcPr>
            <w:tcW w:w="782" w:type="pct"/>
            <w:vAlign w:val="center"/>
          </w:tcPr>
          <w:p w14:paraId="0F1392FD">
            <w:pPr>
              <w:pStyle w:val="37"/>
              <w:rPr>
                <w:rFonts w:hint="eastAsia"/>
                <w:b/>
                <w:bCs w:val="0"/>
                <w:highlight w:val="none"/>
              </w:rPr>
            </w:pPr>
            <w:r>
              <w:rPr>
                <w:rFonts w:hint="eastAsia"/>
                <w:b/>
                <w:bCs w:val="0"/>
                <w:highlight w:val="none"/>
              </w:rPr>
              <w:t>条款名称</w:t>
            </w:r>
          </w:p>
        </w:tc>
        <w:tc>
          <w:tcPr>
            <w:tcW w:w="3623" w:type="pct"/>
            <w:vAlign w:val="center"/>
          </w:tcPr>
          <w:p w14:paraId="74D67E30">
            <w:pPr>
              <w:pStyle w:val="37"/>
              <w:rPr>
                <w:rFonts w:hint="eastAsia"/>
                <w:b/>
                <w:bCs w:val="0"/>
                <w:highlight w:val="none"/>
              </w:rPr>
            </w:pPr>
            <w:r>
              <w:rPr>
                <w:rFonts w:hint="eastAsia"/>
                <w:b/>
                <w:bCs w:val="0"/>
                <w:highlight w:val="none"/>
              </w:rPr>
              <w:t>内容、说明与要求</w:t>
            </w:r>
          </w:p>
        </w:tc>
      </w:tr>
      <w:tr w14:paraId="025B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36FE314">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pct"/>
            <w:vAlign w:val="center"/>
          </w:tcPr>
          <w:p w14:paraId="5308F56D">
            <w:pPr>
              <w:pStyle w:val="37"/>
              <w:rPr>
                <w:rFonts w:hint="eastAsia"/>
                <w:b/>
                <w:highlight w:val="none"/>
              </w:rPr>
            </w:pPr>
            <w:r>
              <w:rPr>
                <w:rFonts w:hint="eastAsia"/>
                <w:highlight w:val="none"/>
              </w:rPr>
              <w:t>服务地点</w:t>
            </w:r>
          </w:p>
        </w:tc>
        <w:tc>
          <w:tcPr>
            <w:tcW w:w="3623" w:type="pct"/>
            <w:vAlign w:val="center"/>
          </w:tcPr>
          <w:p w14:paraId="5938798F">
            <w:pPr>
              <w:pStyle w:val="37"/>
              <w:rPr>
                <w:rFonts w:hint="eastAsia"/>
                <w:highlight w:val="none"/>
              </w:rPr>
            </w:pPr>
            <w:r>
              <w:rPr>
                <w:rFonts w:hint="eastAsia"/>
                <w:highlight w:val="none"/>
              </w:rPr>
              <w:t>肥西县</w:t>
            </w:r>
          </w:p>
        </w:tc>
      </w:tr>
      <w:tr w14:paraId="03ED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4F3919F">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pct"/>
            <w:vAlign w:val="center"/>
          </w:tcPr>
          <w:p w14:paraId="1B467EC0">
            <w:pPr>
              <w:pStyle w:val="37"/>
              <w:rPr>
                <w:rFonts w:hint="eastAsia"/>
                <w:b/>
                <w:highlight w:val="none"/>
              </w:rPr>
            </w:pPr>
            <w:r>
              <w:rPr>
                <w:rFonts w:hint="eastAsia"/>
                <w:highlight w:val="none"/>
              </w:rPr>
              <w:t>服务期限</w:t>
            </w:r>
          </w:p>
        </w:tc>
        <w:tc>
          <w:tcPr>
            <w:tcW w:w="3623" w:type="pct"/>
            <w:vAlign w:val="center"/>
          </w:tcPr>
          <w:p w14:paraId="786818C5">
            <w:pPr>
              <w:pStyle w:val="39"/>
              <w:rPr>
                <w:rFonts w:hint="default" w:eastAsia="宋体"/>
                <w:highlight w:val="none"/>
                <w:lang w:val="en-US" w:eastAsia="zh-CN"/>
              </w:rPr>
            </w:pPr>
            <w:r>
              <w:rPr>
                <w:rFonts w:hint="default" w:eastAsia="宋体"/>
                <w:highlight w:val="none"/>
                <w:lang w:val="en-US" w:eastAsia="zh-CN"/>
              </w:rPr>
              <w:t>合同签订之日起一年</w:t>
            </w:r>
          </w:p>
        </w:tc>
      </w:tr>
      <w:tr w14:paraId="4CEC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75BAC60">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pct"/>
            <w:vAlign w:val="center"/>
          </w:tcPr>
          <w:p w14:paraId="3572CC7A">
            <w:pPr>
              <w:pStyle w:val="37"/>
              <w:rPr>
                <w:rFonts w:hint="eastAsia"/>
                <w:b/>
                <w:highlight w:val="none"/>
              </w:rPr>
            </w:pPr>
            <w:r>
              <w:rPr>
                <w:rFonts w:hint="eastAsia"/>
                <w:highlight w:val="none"/>
              </w:rPr>
              <w:t>现场踏勘</w:t>
            </w:r>
          </w:p>
        </w:tc>
        <w:tc>
          <w:tcPr>
            <w:tcW w:w="3623" w:type="pct"/>
            <w:vAlign w:val="center"/>
          </w:tcPr>
          <w:p w14:paraId="5CBB54CC">
            <w:pPr>
              <w:ind w:firstLine="0" w:firstLineChars="0"/>
              <w:rPr>
                <w:rFonts w:hint="eastAsia"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lang w:eastAsia="zh-CN"/>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自行踏勘</w:t>
            </w:r>
          </w:p>
          <w:p w14:paraId="6129465B">
            <w:pPr>
              <w:ind w:firstLine="0" w:firstLineChars="0"/>
              <w:rPr>
                <w:rFonts w:hint="eastAsia"/>
                <w:highlight w:val="none"/>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集中组织</w:t>
            </w:r>
          </w:p>
        </w:tc>
      </w:tr>
      <w:tr w14:paraId="6373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BFFB228">
            <w:pPr>
              <w:pStyle w:val="38"/>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782" w:type="pct"/>
            <w:vAlign w:val="center"/>
          </w:tcPr>
          <w:p w14:paraId="79E13A14">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供应商提出疑问截止时间</w:t>
            </w:r>
          </w:p>
        </w:tc>
        <w:tc>
          <w:tcPr>
            <w:tcW w:w="3623" w:type="pct"/>
          </w:tcPr>
          <w:p w14:paraId="7EAB6209">
            <w:pPr>
              <w:spacing w:line="440" w:lineRule="exact"/>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（1）时间：</w:t>
            </w:r>
            <w:r>
              <w:rPr>
                <w:rFonts w:hint="eastAsia" w:cs="宋体"/>
                <w:b/>
                <w:color w:val="000000" w:themeColor="text1"/>
                <w:kern w:val="2"/>
                <w:szCs w:val="24"/>
                <w:highlight w:val="none"/>
                <w:u w:val="single"/>
                <w14:textFill>
                  <w14:solidFill>
                    <w14:schemeClr w14:val="tx1"/>
                  </w14:solidFill>
                </w14:textFill>
              </w:rPr>
              <w:t>202</w:t>
            </w:r>
            <w:r>
              <w:rPr>
                <w:rFonts w:hint="eastAsia" w:cs="宋体"/>
                <w:b/>
                <w:color w:val="000000" w:themeColor="text1"/>
                <w:kern w:val="2"/>
                <w:szCs w:val="24"/>
                <w:highlight w:val="none"/>
                <w:u w:val="single"/>
                <w:lang w:val="en-US" w:eastAsia="zh-CN"/>
                <w14:textFill>
                  <w14:solidFill>
                    <w14:schemeClr w14:val="tx1"/>
                  </w14:solidFill>
                </w14:textFill>
              </w:rPr>
              <w:t>6</w:t>
            </w:r>
            <w:r>
              <w:rPr>
                <w:rFonts w:hint="eastAsia" w:cs="宋体"/>
                <w:b/>
                <w:color w:val="000000" w:themeColor="text1"/>
                <w:kern w:val="2"/>
                <w:szCs w:val="24"/>
                <w:highlight w:val="none"/>
                <w14:textFill>
                  <w14:solidFill>
                    <w14:schemeClr w14:val="tx1"/>
                  </w14:solidFill>
                </w14:textFill>
              </w:rPr>
              <w:t>年</w:t>
            </w:r>
            <w:r>
              <w:rPr>
                <w:rFonts w:hint="eastAsia" w:cs="宋体"/>
                <w:b/>
                <w:color w:val="000000" w:themeColor="text1"/>
                <w:kern w:val="2"/>
                <w:szCs w:val="24"/>
                <w:highlight w:val="none"/>
                <w:u w:val="single"/>
                <w:lang w:val="en-US" w:eastAsia="zh-CN"/>
                <w14:textFill>
                  <w14:solidFill>
                    <w14:schemeClr w14:val="tx1"/>
                  </w14:solidFill>
                </w14:textFill>
              </w:rPr>
              <w:t xml:space="preserve"> 5 </w:t>
            </w:r>
            <w:r>
              <w:rPr>
                <w:rFonts w:hint="eastAsia" w:cs="宋体"/>
                <w:b/>
                <w:color w:val="000000" w:themeColor="text1"/>
                <w:kern w:val="2"/>
                <w:szCs w:val="24"/>
                <w:highlight w:val="none"/>
                <w14:textFill>
                  <w14:solidFill>
                    <w14:schemeClr w14:val="tx1"/>
                  </w14:solidFill>
                </w14:textFill>
              </w:rPr>
              <w:t>月</w:t>
            </w:r>
            <w:r>
              <w:rPr>
                <w:rFonts w:hint="eastAsia" w:cs="宋体"/>
                <w:b/>
                <w:color w:val="000000" w:themeColor="text1"/>
                <w:kern w:val="2"/>
                <w:szCs w:val="24"/>
                <w:highlight w:val="none"/>
                <w:u w:val="single"/>
                <w:lang w:val="en-US" w:eastAsia="zh-CN"/>
                <w14:textFill>
                  <w14:solidFill>
                    <w14:schemeClr w14:val="tx1"/>
                  </w14:solidFill>
                </w14:textFill>
              </w:rPr>
              <w:t xml:space="preserve"> 8</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14:textFill>
                  <w14:solidFill>
                    <w14:schemeClr w14:val="tx1"/>
                  </w14:solidFill>
                </w14:textFill>
              </w:rPr>
              <w:t>日</w:t>
            </w:r>
            <w:r>
              <w:rPr>
                <w:rFonts w:hint="eastAsia" w:cs="宋体"/>
                <w:b/>
                <w:color w:val="000000" w:themeColor="text1"/>
                <w:kern w:val="2"/>
                <w:szCs w:val="24"/>
                <w:highlight w:val="none"/>
                <w:u w:val="single"/>
                <w14:textFill>
                  <w14:solidFill>
                    <w14:schemeClr w14:val="tx1"/>
                  </w14:solidFill>
                </w14:textFill>
              </w:rPr>
              <w:t>17</w:t>
            </w:r>
            <w:r>
              <w:rPr>
                <w:rFonts w:hint="eastAsia" w:cs="宋体"/>
                <w:b/>
                <w:color w:val="000000" w:themeColor="text1"/>
                <w:kern w:val="2"/>
                <w:szCs w:val="24"/>
                <w:highlight w:val="none"/>
                <w14:textFill>
                  <w14:solidFill>
                    <w14:schemeClr w14:val="tx1"/>
                  </w14:solidFill>
                </w14:textFill>
              </w:rPr>
              <w:t>时</w:t>
            </w:r>
            <w:r>
              <w:rPr>
                <w:rFonts w:hint="eastAsia" w:cs="宋体"/>
                <w:b/>
                <w:color w:val="000000" w:themeColor="text1"/>
                <w:kern w:val="2"/>
                <w:szCs w:val="24"/>
                <w:highlight w:val="none"/>
                <w:u w:val="single"/>
                <w14:textFill>
                  <w14:solidFill>
                    <w14:schemeClr w14:val="tx1"/>
                  </w14:solidFill>
                </w14:textFill>
              </w:rPr>
              <w:t>30</w:t>
            </w:r>
            <w:r>
              <w:rPr>
                <w:rFonts w:hint="eastAsia" w:cs="宋体"/>
                <w:b/>
                <w:color w:val="000000" w:themeColor="text1"/>
                <w:kern w:val="2"/>
                <w:szCs w:val="24"/>
                <w:highlight w:val="none"/>
                <w14:textFill>
                  <w14:solidFill>
                    <w14:schemeClr w14:val="tx1"/>
                  </w14:solidFill>
                </w14:textFill>
              </w:rPr>
              <w:t>分。</w:t>
            </w:r>
          </w:p>
          <w:p w14:paraId="2B377547">
            <w:pPr>
              <w:spacing w:line="440" w:lineRule="exact"/>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（2）形式：通过</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优质采云采购平台</w:t>
            </w:r>
            <w:r>
              <w:rPr>
                <w:rFonts w:hint="eastAsia" w:cs="宋体"/>
                <w:bCs/>
                <w:color w:val="000000" w:themeColor="text1"/>
                <w:szCs w:val="24"/>
                <w:highlight w:val="none"/>
                <w14:textFill>
                  <w14:solidFill>
                    <w14:schemeClr w14:val="tx1"/>
                  </w14:solidFill>
                </w14:textFill>
              </w:rPr>
              <w:t>提交。</w:t>
            </w:r>
          </w:p>
          <w:p w14:paraId="767418F4">
            <w:pPr>
              <w:spacing w:line="440" w:lineRule="exact"/>
              <w:ind w:firstLine="0" w:firstLineChars="0"/>
              <w:rPr>
                <w:rFonts w:hint="eastAsia"/>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（3）供应商请注意：</w:t>
            </w:r>
            <w:r>
              <w:rPr>
                <w:rFonts w:hint="eastAsia"/>
                <w:color w:val="000000" w:themeColor="text1"/>
                <w:szCs w:val="24"/>
                <w:highlight w:val="none"/>
                <w:lang w:eastAsia="zh-CN"/>
                <w14:textFill>
                  <w14:solidFill>
                    <w14:schemeClr w14:val="tx1"/>
                  </w14:solidFill>
                </w14:textFill>
              </w:rPr>
              <w:t>肥西县公共资源交易有限责任公司</w:t>
            </w:r>
            <w:r>
              <w:rPr>
                <w:rFonts w:hint="eastAsia"/>
                <w:color w:val="000000" w:themeColor="text1"/>
                <w:szCs w:val="24"/>
                <w:highlight w:val="none"/>
                <w14:textFill>
                  <w14:solidFill>
                    <w14:schemeClr w14:val="tx1"/>
                  </w14:solidFill>
                </w14:textFill>
              </w:rPr>
              <w:t>对</w:t>
            </w:r>
            <w:r>
              <w:rPr>
                <w:rFonts w:hint="eastAsia"/>
                <w:color w:val="000000" w:themeColor="text1"/>
                <w:szCs w:val="24"/>
                <w:highlight w:val="none"/>
                <w:lang w:eastAsia="zh-CN"/>
                <w14:textFill>
                  <w14:solidFill>
                    <w14:schemeClr w14:val="tx1"/>
                  </w14:solidFill>
                </w14:textFill>
              </w:rPr>
              <w:t>询比</w:t>
            </w:r>
            <w:r>
              <w:rPr>
                <w:rFonts w:hint="eastAsia"/>
                <w:color w:val="000000" w:themeColor="text1"/>
                <w:szCs w:val="24"/>
                <w:highlight w:val="none"/>
                <w14:textFill>
                  <w14:solidFill>
                    <w14:schemeClr w14:val="tx1"/>
                  </w14:solidFill>
                </w14:textFill>
              </w:rPr>
              <w:t>文件进行的澄清、更正或更改，将在网站上及时发布，该公告内容为</w:t>
            </w:r>
            <w:r>
              <w:rPr>
                <w:rFonts w:hint="eastAsia"/>
                <w:color w:val="000000" w:themeColor="text1"/>
                <w:szCs w:val="24"/>
                <w:highlight w:val="none"/>
                <w:lang w:eastAsia="zh-CN"/>
                <w14:textFill>
                  <w14:solidFill>
                    <w14:schemeClr w14:val="tx1"/>
                  </w14:solidFill>
                </w14:textFill>
              </w:rPr>
              <w:t>询比</w:t>
            </w:r>
            <w:r>
              <w:rPr>
                <w:rFonts w:hint="eastAsia"/>
                <w:color w:val="000000" w:themeColor="text1"/>
                <w:szCs w:val="24"/>
                <w:highlight w:val="none"/>
                <w14:textFill>
                  <w14:solidFill>
                    <w14:schemeClr w14:val="tx1"/>
                  </w14:solidFill>
                </w14:textFill>
              </w:rPr>
              <w:t>文件的组成部分，对供应商具有同样约束力效力</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供应商应主动上网查询。</w:t>
            </w:r>
            <w:r>
              <w:rPr>
                <w:rFonts w:hint="eastAsia"/>
                <w:color w:val="000000" w:themeColor="text1"/>
                <w:szCs w:val="24"/>
                <w:highlight w:val="none"/>
                <w:lang w:eastAsia="zh-CN"/>
                <w14:textFill>
                  <w14:solidFill>
                    <w14:schemeClr w14:val="tx1"/>
                  </w14:solidFill>
                </w14:textFill>
              </w:rPr>
              <w:t>肥西县公共资源交易有限责任公司</w:t>
            </w:r>
            <w:r>
              <w:rPr>
                <w:rFonts w:hint="eastAsia"/>
                <w:color w:val="000000" w:themeColor="text1"/>
                <w:szCs w:val="24"/>
                <w:highlight w:val="none"/>
                <w14:textFill>
                  <w14:solidFill>
                    <w14:schemeClr w14:val="tx1"/>
                  </w14:solidFill>
                </w14:textFill>
              </w:rPr>
              <w:t>不承担供应商未及时关注相关信息引发的相关责任。</w:t>
            </w:r>
          </w:p>
        </w:tc>
      </w:tr>
      <w:tr w14:paraId="223F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95C83F3">
            <w:pPr>
              <w:pStyle w:val="38"/>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782" w:type="pct"/>
            <w:vAlign w:val="center"/>
          </w:tcPr>
          <w:p w14:paraId="28251087">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的其他材料</w:t>
            </w:r>
          </w:p>
        </w:tc>
        <w:tc>
          <w:tcPr>
            <w:tcW w:w="3623" w:type="pct"/>
            <w:vAlign w:val="center"/>
          </w:tcPr>
          <w:p w14:paraId="73957DB0">
            <w:pPr>
              <w:adjustRightInd w:val="0"/>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sym w:font="Wingdings 2" w:char="F052"/>
            </w:r>
            <w:r>
              <w:rPr>
                <w:rFonts w:hint="eastAsia" w:asciiTheme="minorEastAsia" w:hAnsiTheme="minorEastAsia" w:eastAsiaTheme="minorEastAsia"/>
                <w:color w:val="000000" w:themeColor="text1"/>
                <w:highlight w:val="none"/>
                <w14:textFill>
                  <w14:solidFill>
                    <w14:schemeClr w14:val="tx1"/>
                  </w14:solidFill>
                </w14:textFill>
              </w:rPr>
              <w:t xml:space="preserve">无  </w:t>
            </w:r>
            <w:r>
              <w:rPr>
                <w:rFonts w:hint="eastAsia" w:cs="宋体"/>
                <w:bCs/>
                <w:color w:val="000000" w:themeColor="text1"/>
                <w:szCs w:val="24"/>
                <w:highlight w:val="none"/>
                <w14:textFill>
                  <w14:solidFill>
                    <w14:schemeClr w14:val="tx1"/>
                  </w14:solidFill>
                </w14:textFill>
              </w:rPr>
              <w:t>□图纸  □其他：</w:t>
            </w:r>
            <w:r>
              <w:rPr>
                <w:rFonts w:hint="eastAsia" w:cs="宋体"/>
                <w:bCs/>
                <w:color w:val="000000" w:themeColor="text1"/>
                <w:szCs w:val="24"/>
                <w:highlight w:val="none"/>
                <w:u w:val="single"/>
                <w14:textFill>
                  <w14:solidFill>
                    <w14:schemeClr w14:val="tx1"/>
                  </w14:solidFill>
                </w14:textFill>
              </w:rPr>
              <w:t xml:space="preserve">        </w:t>
            </w:r>
          </w:p>
          <w:p w14:paraId="26CAD162">
            <w:pPr>
              <w:adjustRightInd w:val="0"/>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获得方式：</w:t>
            </w:r>
          </w:p>
          <w:p w14:paraId="47FCA4C4">
            <w:pPr>
              <w:pStyle w:val="37"/>
              <w:rPr>
                <w:rFonts w:hint="eastAsia"/>
                <w:b/>
                <w:highlight w:val="none"/>
              </w:rPr>
            </w:pPr>
            <w:r>
              <w:rPr>
                <w:rFonts w:hint="eastAsia"/>
                <w:highlight w:val="none"/>
              </w:rPr>
              <w:t>上述资料请供应商在获取</w:t>
            </w:r>
            <w:r>
              <w:rPr>
                <w:rFonts w:hint="eastAsia"/>
                <w:highlight w:val="none"/>
                <w:lang w:eastAsia="zh-CN"/>
              </w:rPr>
              <w:t>询比</w:t>
            </w:r>
            <w:r>
              <w:rPr>
                <w:rFonts w:hint="eastAsia"/>
                <w:highlight w:val="none"/>
              </w:rPr>
              <w:t>文件后，自行登录电子交易系统下载本项目附件。</w:t>
            </w:r>
          </w:p>
        </w:tc>
      </w:tr>
      <w:tr w14:paraId="0CB8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A2B9ADD">
            <w:pPr>
              <w:pStyle w:val="38"/>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782" w:type="pct"/>
            <w:vAlign w:val="center"/>
          </w:tcPr>
          <w:p w14:paraId="56F37981">
            <w:pPr>
              <w:pStyle w:val="38"/>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保证金及</w:t>
            </w:r>
            <w:r>
              <w:rPr>
                <w:rFonts w:hint="eastAsia"/>
                <w:color w:val="000000" w:themeColor="text1"/>
                <w:highlight w:val="none"/>
                <w:lang w:eastAsia="zh-CN"/>
                <w14:textFill>
                  <w14:solidFill>
                    <w14:schemeClr w14:val="tx1"/>
                  </w14:solidFill>
                </w14:textFill>
              </w:rPr>
              <w:t>电子交易服务费</w:t>
            </w:r>
          </w:p>
        </w:tc>
        <w:tc>
          <w:tcPr>
            <w:tcW w:w="3623" w:type="pct"/>
            <w:vAlign w:val="center"/>
          </w:tcPr>
          <w:p w14:paraId="272FBA7A">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w:t>
            </w:r>
            <w:r>
              <w:rPr>
                <w:rFonts w:hint="eastAsia" w:cs="宋体"/>
                <w:color w:val="000000" w:themeColor="text1"/>
                <w:highlight w:val="none"/>
                <w:lang w:eastAsia="zh-CN"/>
                <w14:textFill>
                  <w14:solidFill>
                    <w14:schemeClr w14:val="tx1"/>
                  </w14:solidFill>
                </w14:textFill>
              </w:rPr>
              <w:t>询比</w:t>
            </w:r>
            <w:r>
              <w:rPr>
                <w:rFonts w:hint="eastAsia" w:cs="宋体"/>
                <w:color w:val="000000" w:themeColor="text1"/>
                <w:highlight w:val="none"/>
                <w14:textFill>
                  <w14:solidFill>
                    <w14:schemeClr w14:val="tx1"/>
                  </w14:solidFill>
                </w14:textFill>
              </w:rPr>
              <w:t>保证金：</w:t>
            </w:r>
            <w:r>
              <w:rPr>
                <w:rFonts w:ascii="Segoe UI Symbol" w:hAnsi="Segoe UI Symbol" w:cs="Segoe UI Symbol"/>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xml:space="preserve">不要求  </w:t>
            </w:r>
            <w:r>
              <w:rPr>
                <w:rFonts w:hint="eastAsia" w:ascii="Segoe UI Symbol" w:hAnsi="Segoe UI Symbol" w:cs="Segoe UI Symbol"/>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要求</w:t>
            </w:r>
          </w:p>
          <w:p w14:paraId="1BEAFA5B">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w:t>
            </w:r>
          </w:p>
          <w:p w14:paraId="6E913E9B">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 xml:space="preserve">不要求  </w:t>
            </w:r>
            <w:r>
              <w:rPr>
                <w:rFonts w:hint="eastAsia" w:ascii="Segoe UI Symbol" w:hAnsi="Segoe UI Symbol" w:cs="Segoe UI Symbol"/>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要求</w:t>
            </w:r>
          </w:p>
          <w:p w14:paraId="3398FF9F">
            <w:pPr>
              <w:ind w:firstLine="0" w:firstLineChars="0"/>
              <w:rPr>
                <w:rFonts w:hint="eastAsia"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的形式：</w:t>
            </w:r>
            <w:r>
              <w:rPr>
                <w:rFonts w:hint="eastAsia" w:ascii="Segoe UI Symbol" w:hAnsi="Segoe UI Symbol" w:cs="Segoe UI Symbol"/>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银行转账  ☑银行电汇</w:t>
            </w:r>
          </w:p>
          <w:p w14:paraId="4AD76665">
            <w:pPr>
              <w:snapToGrid w:val="0"/>
              <w:spacing w:line="460" w:lineRule="exact"/>
              <w:ind w:firstLine="0" w:firstLineChars="0"/>
              <w:rPr>
                <w:rFonts w:hint="eastAsia"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的金额：</w:t>
            </w:r>
            <w:r>
              <w:rPr>
                <w:rFonts w:cs="宋体"/>
                <w:b/>
                <w:bCs/>
                <w:color w:val="000000" w:themeColor="text1"/>
                <w:szCs w:val="24"/>
                <w:highlight w:val="none"/>
                <w14:textFill>
                  <w14:solidFill>
                    <w14:schemeClr w14:val="tx1"/>
                  </w14:solidFill>
                </w14:textFill>
              </w:rPr>
              <w:t>人民币</w:t>
            </w:r>
            <w:r>
              <w:rPr>
                <w:rFonts w:hint="eastAsia" w:cs="宋体"/>
                <w:b/>
                <w:bCs/>
                <w:color w:val="000000" w:themeColor="text1"/>
                <w:szCs w:val="24"/>
                <w:highlight w:val="none"/>
                <w14:textFill>
                  <w14:solidFill>
                    <w14:schemeClr w14:val="tx1"/>
                  </w14:solidFill>
                </w14:textFill>
              </w:rPr>
              <w:t>200</w:t>
            </w:r>
            <w:r>
              <w:rPr>
                <w:rFonts w:cs="宋体"/>
                <w:b/>
                <w:bCs/>
                <w:color w:val="000000" w:themeColor="text1"/>
                <w:szCs w:val="24"/>
                <w:highlight w:val="none"/>
                <w14:textFill>
                  <w14:solidFill>
                    <w14:schemeClr w14:val="tx1"/>
                  </w14:solidFill>
                </w14:textFill>
              </w:rPr>
              <w:t>元（售后不退）</w:t>
            </w:r>
          </w:p>
          <w:p w14:paraId="09D0B3ED">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递交要求：</w:t>
            </w:r>
          </w:p>
          <w:p w14:paraId="1E23A7AE">
            <w:pPr>
              <w:ind w:firstLine="0" w:firstLineChars="0"/>
              <w:jc w:val="left"/>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val="en-US" w:eastAsia="zh-CN"/>
                <w14:textFill>
                  <w14:solidFill>
                    <w14:schemeClr w14:val="tx1"/>
                  </w14:solidFill>
                </w14:textFill>
              </w:rPr>
              <w:t>1.</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的到账截止时间：</w:t>
            </w:r>
            <w:r>
              <w:rPr>
                <w:rFonts w:hint="eastAsia" w:cs="宋体"/>
                <w:color w:val="000000" w:themeColor="text1"/>
                <w:szCs w:val="24"/>
                <w:highlight w:val="none"/>
                <w:lang w:eastAsia="zh-CN"/>
                <w14:textFill>
                  <w14:solidFill>
                    <w14:schemeClr w14:val="tx1"/>
                  </w14:solidFill>
                </w14:textFill>
              </w:rPr>
              <w:t>询比</w:t>
            </w:r>
            <w:r>
              <w:rPr>
                <w:rFonts w:hint="eastAsia" w:cs="宋体"/>
                <w:color w:val="000000" w:themeColor="text1"/>
                <w:szCs w:val="24"/>
                <w:highlight w:val="none"/>
                <w14:textFill>
                  <w14:solidFill>
                    <w14:schemeClr w14:val="tx1"/>
                  </w14:solidFill>
                </w14:textFill>
              </w:rPr>
              <w:t>截止时间。</w:t>
            </w:r>
          </w:p>
          <w:p w14:paraId="1FD3D458">
            <w:pPr>
              <w:ind w:firstLine="0" w:firstLineChars="0"/>
              <w:jc w:val="left"/>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val="en-US" w:eastAsia="zh-CN"/>
                <w14:textFill>
                  <w14:solidFill>
                    <w14:schemeClr w14:val="tx1"/>
                  </w14:solidFill>
                </w14:textFill>
              </w:rPr>
              <w:t>2.</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应当从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账户转出，转出保证金的账户与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val="en-US" w:eastAsia="zh-CN"/>
                <w14:textFill>
                  <w14:solidFill>
                    <w14:schemeClr w14:val="tx1"/>
                  </w14:solidFill>
                </w14:textFill>
              </w:rPr>
              <w:t>名称</w:t>
            </w:r>
            <w:r>
              <w:rPr>
                <w:rFonts w:hint="eastAsia" w:cs="宋体"/>
                <w:color w:val="000000" w:themeColor="text1"/>
                <w:szCs w:val="24"/>
                <w:highlight w:val="none"/>
                <w14:textFill>
                  <w14:solidFill>
                    <w14:schemeClr w14:val="tx1"/>
                  </w14:solidFill>
                </w14:textFill>
              </w:rPr>
              <w:t>不一致的，视为未按</w:t>
            </w:r>
            <w:r>
              <w:rPr>
                <w:rFonts w:hint="eastAsia" w:cs="宋体"/>
                <w:color w:val="000000" w:themeColor="text1"/>
                <w:szCs w:val="24"/>
                <w:highlight w:val="none"/>
                <w:lang w:eastAsia="zh-CN"/>
                <w14:textFill>
                  <w14:solidFill>
                    <w14:schemeClr w14:val="tx1"/>
                  </w14:solidFill>
                </w14:textFill>
              </w:rPr>
              <w:t>询比</w:t>
            </w:r>
            <w:r>
              <w:rPr>
                <w:rFonts w:hint="eastAsia" w:cs="宋体"/>
                <w:color w:val="000000" w:themeColor="text1"/>
                <w:szCs w:val="24"/>
                <w:highlight w:val="none"/>
                <w14:textFill>
                  <w14:solidFill>
                    <w14:schemeClr w14:val="tx1"/>
                  </w14:solidFill>
                </w14:textFill>
              </w:rPr>
              <w:t>文件规定要求递交</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w:t>
            </w:r>
          </w:p>
          <w:p w14:paraId="184849CB">
            <w:pPr>
              <w:ind w:firstLine="0" w:firstLineChars="0"/>
              <w:jc w:val="left"/>
              <w:rPr>
                <w:rFonts w:hint="eastAsia" w:cs="宋体"/>
                <w:b/>
                <w:bCs/>
                <w:color w:val="000000" w:themeColor="text1"/>
                <w:szCs w:val="24"/>
                <w:highlight w:val="none"/>
                <w14:textFill>
                  <w14:solidFill>
                    <w14:schemeClr w14:val="tx1"/>
                  </w14:solidFill>
                </w14:textFill>
              </w:rPr>
            </w:pPr>
            <w:r>
              <w:rPr>
                <w:rFonts w:hint="eastAsia" w:cs="宋体"/>
                <w:b/>
                <w:bCs/>
                <w:color w:val="000000" w:themeColor="text1"/>
                <w:szCs w:val="24"/>
                <w:highlight w:val="none"/>
                <w:lang w:val="en-US" w:eastAsia="zh-CN"/>
                <w14:textFill>
                  <w14:solidFill>
                    <w14:schemeClr w14:val="tx1"/>
                  </w14:solidFill>
                </w14:textFill>
              </w:rPr>
              <w:t>3.</w:t>
            </w:r>
            <w:r>
              <w:rPr>
                <w:rFonts w:hint="eastAsia" w:cs="宋体"/>
                <w:b/>
                <w:bCs/>
                <w:color w:val="000000" w:themeColor="text1"/>
                <w:szCs w:val="24"/>
                <w:highlight w:val="none"/>
                <w14:textFill>
                  <w14:solidFill>
                    <w14:schemeClr w14:val="tx1"/>
                  </w14:solidFill>
                </w14:textFill>
              </w:rPr>
              <w:t>转入的开户银行及账号：</w:t>
            </w:r>
          </w:p>
          <w:p w14:paraId="4ABC3EA0">
            <w:pPr>
              <w:snapToGrid w:val="0"/>
              <w:spacing w:line="460" w:lineRule="exact"/>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开户银行：广发银行合肥肥西支行</w:t>
            </w:r>
          </w:p>
          <w:p w14:paraId="44B73BAD">
            <w:pPr>
              <w:snapToGrid w:val="0"/>
              <w:spacing w:line="460" w:lineRule="exact"/>
              <w:ind w:firstLine="0" w:firstLineChars="0"/>
              <w:rPr>
                <w:rFonts w:hint="eastAsia" w:eastAsia="宋体" w:cs="宋体"/>
                <w:color w:val="000000" w:themeColor="text1"/>
                <w:szCs w:val="24"/>
                <w:highlight w:val="none"/>
                <w:lang w:eastAsia="zh-CN"/>
                <w14:textFill>
                  <w14:solidFill>
                    <w14:schemeClr w14:val="tx1"/>
                  </w14:solidFill>
                </w14:textFill>
              </w:rPr>
            </w:pPr>
            <w:r>
              <w:rPr>
                <w:rFonts w:hint="eastAsia" w:cs="宋体"/>
                <w:color w:val="000000" w:themeColor="text1"/>
                <w:szCs w:val="24"/>
                <w:highlight w:val="none"/>
                <w14:textFill>
                  <w14:solidFill>
                    <w14:schemeClr w14:val="tx1"/>
                  </w14:solidFill>
                </w14:textFill>
              </w:rPr>
              <w:t>开户名：</w:t>
            </w:r>
            <w:r>
              <w:rPr>
                <w:rFonts w:hint="eastAsia" w:cs="宋体"/>
                <w:color w:val="000000" w:themeColor="text1"/>
                <w:szCs w:val="24"/>
                <w:highlight w:val="none"/>
                <w:lang w:eastAsia="zh-CN"/>
                <w14:textFill>
                  <w14:solidFill>
                    <w14:schemeClr w14:val="tx1"/>
                  </w14:solidFill>
                </w14:textFill>
              </w:rPr>
              <w:t>肥西县公共资源交易有限责任公司</w:t>
            </w:r>
          </w:p>
          <w:p w14:paraId="446BB79C">
            <w:pPr>
              <w:snapToGrid w:val="0"/>
              <w:spacing w:line="460" w:lineRule="exact"/>
              <w:ind w:firstLine="0" w:firstLineChars="0"/>
              <w:rPr>
                <w:rFonts w:hint="eastAsia" w:cs="宋体"/>
                <w:b/>
                <w:bCs/>
                <w:color w:val="000000" w:themeColor="text1"/>
                <w:szCs w:val="24"/>
                <w:highlight w:val="none"/>
                <w:lang w:eastAsia="zh-CN"/>
                <w14:textFill>
                  <w14:solidFill>
                    <w14:schemeClr w14:val="tx1"/>
                  </w14:solidFill>
                </w14:textFill>
              </w:rPr>
            </w:pPr>
            <w:r>
              <w:rPr>
                <w:rFonts w:hint="eastAsia" w:cs="宋体"/>
                <w:b/>
                <w:bCs/>
                <w:color w:val="000000" w:themeColor="text1"/>
                <w:szCs w:val="24"/>
                <w:highlight w:val="none"/>
                <w:lang w:eastAsia="zh-CN"/>
                <w14:textFill>
                  <w14:solidFill>
                    <w14:schemeClr w14:val="tx1"/>
                  </w14:solidFill>
                </w14:textFill>
              </w:rPr>
              <w:t>账号：6232594999000547065</w:t>
            </w:r>
          </w:p>
          <w:p w14:paraId="3E3474AA">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bookmarkStart w:id="164" w:name="_GoBack"/>
            <w:bookmarkEnd w:id="164"/>
          </w:p>
          <w:p w14:paraId="3B760FE5">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w:t>
            </w:r>
            <w:r>
              <w:rPr>
                <w:rFonts w:hint="eastAsia" w:cs="@仿宋_GB2312"/>
                <w:b w:val="0"/>
                <w:bCs w:val="0"/>
                <w:kern w:val="2"/>
                <w:sz w:val="24"/>
                <w:szCs w:val="18"/>
                <w:highlight w:val="none"/>
                <w:lang w:val="en-US" w:eastAsia="zh-CN" w:bidi="ar-SA"/>
              </w:rPr>
              <w:t>1</w:t>
            </w:r>
            <w:r>
              <w:rPr>
                <w:rFonts w:hint="eastAsia" w:ascii="宋体" w:hAnsi="宋体" w:eastAsia="宋体" w:cs="@仿宋_GB2312"/>
                <w:b w:val="0"/>
                <w:bCs w:val="0"/>
                <w:kern w:val="2"/>
                <w:sz w:val="24"/>
                <w:szCs w:val="18"/>
                <w:highlight w:val="none"/>
                <w:lang w:val="en-US" w:eastAsia="zh-CN" w:bidi="ar-SA"/>
              </w:rPr>
              <w:t>）凡转账到其他项目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账户的，视为未按招标文件规定要求交纳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4ACEB403">
            <w:pPr>
              <w:snapToGrid w:val="0"/>
              <w:spacing w:line="460" w:lineRule="exact"/>
              <w:ind w:firstLine="0" w:firstLineChars="0"/>
              <w:rPr>
                <w:rFonts w:hint="eastAsia" w:cs="宋体"/>
                <w:color w:val="000000" w:themeColor="text1"/>
                <w:szCs w:val="24"/>
                <w:highlight w:val="none"/>
                <w14:textFill>
                  <w14:solidFill>
                    <w14:schemeClr w14:val="tx1"/>
                  </w14:solidFill>
                </w14:textFill>
              </w:rPr>
            </w:pPr>
            <w:r>
              <w:rPr>
                <w:rFonts w:hint="eastAsia" w:ascii="宋体" w:hAnsi="宋体" w:eastAsia="宋体" w:cs="@仿宋_GB2312"/>
                <w:b w:val="0"/>
                <w:bCs w:val="0"/>
                <w:kern w:val="2"/>
                <w:sz w:val="24"/>
                <w:szCs w:val="18"/>
                <w:highlight w:val="none"/>
                <w:lang w:val="en-US" w:eastAsia="zh-CN" w:bidi="ar-SA"/>
              </w:rPr>
              <w:t>（</w:t>
            </w:r>
            <w:r>
              <w:rPr>
                <w:rFonts w:hint="eastAsia" w:cs="@仿宋_GB2312"/>
                <w:b w:val="0"/>
                <w:bCs w:val="0"/>
                <w:kern w:val="2"/>
                <w:sz w:val="24"/>
                <w:szCs w:val="18"/>
                <w:highlight w:val="none"/>
                <w:lang w:val="en-US" w:eastAsia="zh-CN" w:bidi="ar-SA"/>
              </w:rPr>
              <w:t>2</w:t>
            </w:r>
            <w:r>
              <w:rPr>
                <w:rFonts w:hint="eastAsia" w:ascii="宋体" w:hAnsi="宋体" w:eastAsia="宋体" w:cs="@仿宋_GB2312"/>
                <w:b w:val="0"/>
                <w:bCs w:val="0"/>
                <w:kern w:val="2"/>
                <w:sz w:val="24"/>
                <w:szCs w:val="18"/>
                <w:highlight w:val="none"/>
                <w:lang w:val="en-US" w:eastAsia="zh-CN" w:bidi="ar-SA"/>
              </w:rPr>
              <w:t>）供应商参与本项目多个标段</w:t>
            </w:r>
            <w:r>
              <w:rPr>
                <w:rFonts w:hint="eastAsia" w:cs="@仿宋_GB2312"/>
                <w:b w:val="0"/>
                <w:bCs w:val="0"/>
                <w:kern w:val="2"/>
                <w:sz w:val="24"/>
                <w:szCs w:val="18"/>
                <w:highlight w:val="none"/>
                <w:lang w:val="en-US" w:eastAsia="zh-CN" w:bidi="ar-SA"/>
              </w:rPr>
              <w:t>询比</w:t>
            </w:r>
            <w:r>
              <w:rPr>
                <w:rFonts w:hint="eastAsia" w:ascii="宋体" w:hAnsi="宋体" w:eastAsia="宋体" w:cs="@仿宋_GB2312"/>
                <w:b w:val="0"/>
                <w:bCs w:val="0"/>
                <w:kern w:val="2"/>
                <w:sz w:val="24"/>
                <w:szCs w:val="18"/>
                <w:highlight w:val="none"/>
                <w:lang w:val="en-US" w:eastAsia="zh-CN" w:bidi="ar-SA"/>
              </w:rPr>
              <w:t>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的标段，其响应无效。</w:t>
            </w:r>
          </w:p>
        </w:tc>
      </w:tr>
      <w:tr w14:paraId="03AF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3ECC578">
            <w:pPr>
              <w:pStyle w:val="38"/>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782" w:type="pct"/>
            <w:vAlign w:val="center"/>
          </w:tcPr>
          <w:p w14:paraId="7C3F7BEA">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现场提交的其他材料要求</w:t>
            </w:r>
          </w:p>
        </w:tc>
        <w:tc>
          <w:tcPr>
            <w:tcW w:w="3623" w:type="pct"/>
            <w:vAlign w:val="center"/>
          </w:tcPr>
          <w:p w14:paraId="1FECC7F7">
            <w:pPr>
              <w:pStyle w:val="37"/>
              <w:rPr>
                <w:rFonts w:hint="eastAsia"/>
                <w:highlight w:val="none"/>
              </w:rPr>
            </w:pPr>
            <w:r>
              <w:rPr>
                <w:rFonts w:hint="eastAsia"/>
                <w:highlight w:val="none"/>
              </w:rPr>
              <w:t>无</w:t>
            </w:r>
          </w:p>
        </w:tc>
      </w:tr>
      <w:tr w14:paraId="59A4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9FE4941">
            <w:pPr>
              <w:pStyle w:val="38"/>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782" w:type="pct"/>
            <w:vAlign w:val="center"/>
          </w:tcPr>
          <w:p w14:paraId="73D45F5B">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响应文件解密时间</w:t>
            </w:r>
          </w:p>
        </w:tc>
        <w:tc>
          <w:tcPr>
            <w:tcW w:w="3623" w:type="pct"/>
            <w:vAlign w:val="center"/>
          </w:tcPr>
          <w:p w14:paraId="4A9472B8">
            <w:pPr>
              <w:pStyle w:val="37"/>
              <w:rPr>
                <w:rFonts w:hint="eastAsia"/>
                <w:b/>
                <w:highlight w:val="none"/>
              </w:rPr>
            </w:pPr>
            <w:r>
              <w:rPr>
                <w:rFonts w:hint="eastAsia"/>
                <w:highlight w:val="none"/>
              </w:rPr>
              <w:t>响应文件提交截止时间后30分钟内（以系统解密倒计时为准）</w:t>
            </w:r>
          </w:p>
        </w:tc>
      </w:tr>
      <w:tr w14:paraId="1188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restart"/>
            <w:vAlign w:val="center"/>
          </w:tcPr>
          <w:p w14:paraId="50C65693">
            <w:pPr>
              <w:pStyle w:val="38"/>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782" w:type="pct"/>
            <w:vMerge w:val="restart"/>
            <w:vAlign w:val="center"/>
          </w:tcPr>
          <w:p w14:paraId="080E7F85">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确定成交候选人和成交人</w:t>
            </w:r>
          </w:p>
        </w:tc>
        <w:tc>
          <w:tcPr>
            <w:tcW w:w="3623" w:type="pct"/>
            <w:vAlign w:val="center"/>
          </w:tcPr>
          <w:p w14:paraId="5DF7E8A3">
            <w:pPr>
              <w:pStyle w:val="37"/>
              <w:rPr>
                <w:rFonts w:hint="eastAsia"/>
                <w:b/>
                <w:highlight w:val="none"/>
                <w:u w:val="single"/>
              </w:rPr>
            </w:pPr>
            <w:r>
              <w:rPr>
                <w:rFonts w:hint="eastAsia"/>
                <w:highlight w:val="none"/>
              </w:rPr>
              <w:t>评审委员会推荐成交候选人的数量：</w:t>
            </w:r>
            <w:r>
              <w:rPr>
                <w:rFonts w:hint="eastAsia"/>
                <w:highlight w:val="none"/>
                <w:u w:val="single"/>
              </w:rPr>
              <w:t>1家</w:t>
            </w:r>
          </w:p>
        </w:tc>
      </w:tr>
      <w:tr w14:paraId="7A0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continue"/>
            <w:vAlign w:val="center"/>
          </w:tcPr>
          <w:p w14:paraId="2DC01EB2">
            <w:pPr>
              <w:pStyle w:val="38"/>
              <w:ind w:firstLine="0" w:firstLineChars="0"/>
              <w:rPr>
                <w:rFonts w:hint="eastAsia"/>
                <w:color w:val="000000" w:themeColor="text1"/>
                <w:highlight w:val="none"/>
                <w14:textFill>
                  <w14:solidFill>
                    <w14:schemeClr w14:val="tx1"/>
                  </w14:solidFill>
                </w14:textFill>
              </w:rPr>
            </w:pPr>
          </w:p>
        </w:tc>
        <w:tc>
          <w:tcPr>
            <w:tcW w:w="782" w:type="pct"/>
            <w:vMerge w:val="continue"/>
            <w:vAlign w:val="center"/>
          </w:tcPr>
          <w:p w14:paraId="266FC567">
            <w:pPr>
              <w:pStyle w:val="38"/>
              <w:ind w:firstLine="0" w:firstLineChars="0"/>
              <w:rPr>
                <w:rFonts w:hint="eastAsia"/>
                <w:color w:val="000000" w:themeColor="text1"/>
                <w:highlight w:val="none"/>
                <w14:textFill>
                  <w14:solidFill>
                    <w14:schemeClr w14:val="tx1"/>
                  </w14:solidFill>
                </w14:textFill>
              </w:rPr>
            </w:pPr>
          </w:p>
        </w:tc>
        <w:tc>
          <w:tcPr>
            <w:tcW w:w="3623" w:type="pct"/>
            <w:vAlign w:val="center"/>
          </w:tcPr>
          <w:p w14:paraId="2DCC1460">
            <w:pPr>
              <w:pStyle w:val="37"/>
              <w:rPr>
                <w:rFonts w:hint="eastAsia"/>
                <w:b/>
                <w:highlight w:val="none"/>
              </w:rPr>
            </w:pPr>
            <w:r>
              <w:rPr>
                <w:rFonts w:hint="eastAsia"/>
                <w:highlight w:val="none"/>
              </w:rPr>
              <w:t>确定成交人：</w:t>
            </w:r>
          </w:p>
          <w:p w14:paraId="6D61869C">
            <w:pPr>
              <w:pStyle w:val="37"/>
              <w:rPr>
                <w:rFonts w:hint="eastAsia"/>
                <w:b/>
                <w:highlight w:val="none"/>
              </w:rPr>
            </w:pPr>
            <w:r>
              <w:rPr>
                <w:rFonts w:hint="eastAsia"/>
                <w:highlight w:val="none"/>
              </w:rPr>
              <w:sym w:font="Wingdings 2" w:char="0052"/>
            </w:r>
            <w:r>
              <w:rPr>
                <w:rFonts w:hint="eastAsia"/>
                <w:highlight w:val="none"/>
              </w:rPr>
              <w:t xml:space="preserve">业主单位委托评审委员会确定     </w:t>
            </w:r>
          </w:p>
          <w:p w14:paraId="38B0BD24">
            <w:pPr>
              <w:pStyle w:val="37"/>
              <w:rPr>
                <w:rFonts w:hint="eastAsia"/>
                <w:b/>
                <w:highlight w:val="none"/>
              </w:rPr>
            </w:pPr>
            <w:r>
              <w:rPr>
                <w:rFonts w:hint="eastAsia"/>
                <w:highlight w:val="none"/>
              </w:rPr>
              <w:sym w:font="Wingdings 2" w:char="00A3"/>
            </w:r>
            <w:r>
              <w:rPr>
                <w:rFonts w:hint="eastAsia"/>
                <w:highlight w:val="none"/>
              </w:rPr>
              <w:t>业主单位确定</w:t>
            </w:r>
          </w:p>
        </w:tc>
      </w:tr>
      <w:tr w14:paraId="6D12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C8CF2F7">
            <w:pPr>
              <w:pStyle w:val="38"/>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782" w:type="pct"/>
            <w:vAlign w:val="center"/>
          </w:tcPr>
          <w:p w14:paraId="0C08F498">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成交通知书发出的形式</w:t>
            </w:r>
          </w:p>
        </w:tc>
        <w:tc>
          <w:tcPr>
            <w:tcW w:w="3623" w:type="pct"/>
            <w:vAlign w:val="center"/>
          </w:tcPr>
          <w:p w14:paraId="1278C02D">
            <w:pPr>
              <w:pStyle w:val="37"/>
              <w:rPr>
                <w:rFonts w:hint="eastAsia"/>
                <w:b/>
                <w:highlight w:val="none"/>
              </w:rPr>
            </w:pPr>
            <w:r>
              <w:rPr>
                <w:rFonts w:ascii="Segoe UI Symbol" w:hAnsi="Segoe UI Symbol" w:cs="Segoe UI Symbol"/>
                <w:highlight w:val="none"/>
              </w:rPr>
              <w:t>☑</w:t>
            </w:r>
            <w:r>
              <w:rPr>
                <w:rFonts w:hint="eastAsia"/>
                <w:highlight w:val="none"/>
              </w:rPr>
              <w:t xml:space="preserve">书面     </w:t>
            </w:r>
            <w:r>
              <w:rPr>
                <w:rFonts w:hint="eastAsia"/>
                <w:highlight w:val="none"/>
              </w:rPr>
              <w:sym w:font="Wingdings" w:char="00A8"/>
            </w:r>
            <w:r>
              <w:rPr>
                <w:rFonts w:hint="eastAsia"/>
                <w:highlight w:val="none"/>
              </w:rPr>
              <w:t>数据电文</w:t>
            </w:r>
          </w:p>
        </w:tc>
      </w:tr>
      <w:tr w14:paraId="57C3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7CFAB6D">
            <w:pPr>
              <w:pStyle w:val="38"/>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782" w:type="pct"/>
            <w:vAlign w:val="center"/>
          </w:tcPr>
          <w:p w14:paraId="7C9F2CFD">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告知</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结果的形式</w:t>
            </w:r>
          </w:p>
        </w:tc>
        <w:tc>
          <w:tcPr>
            <w:tcW w:w="3623" w:type="pct"/>
            <w:vAlign w:val="center"/>
          </w:tcPr>
          <w:p w14:paraId="4E9C53D1">
            <w:pPr>
              <w:pStyle w:val="37"/>
              <w:rPr>
                <w:rFonts w:hint="eastAsia"/>
                <w:b/>
                <w:highlight w:val="none"/>
              </w:rPr>
            </w:pPr>
            <w:r>
              <w:rPr>
                <w:rFonts w:hint="eastAsia"/>
                <w:highlight w:val="none"/>
              </w:rPr>
              <w:sym w:font="Wingdings" w:char="F0FE"/>
            </w:r>
            <w:r>
              <w:rPr>
                <w:rFonts w:hint="eastAsia"/>
                <w:highlight w:val="none"/>
              </w:rPr>
              <w:t>供应商自行登录系统查看</w:t>
            </w:r>
          </w:p>
          <w:p w14:paraId="2990DF73">
            <w:pPr>
              <w:pStyle w:val="37"/>
              <w:rPr>
                <w:rFonts w:hint="eastAsia"/>
                <w:b/>
                <w:highlight w:val="none"/>
              </w:rPr>
            </w:pPr>
            <w:r>
              <w:rPr>
                <w:rFonts w:hint="eastAsia"/>
                <w:highlight w:val="none"/>
              </w:rPr>
              <w:t>□</w:t>
            </w:r>
            <w:r>
              <w:rPr>
                <w:rFonts w:hint="eastAsia"/>
                <w:highlight w:val="none"/>
                <w:lang w:eastAsia="zh-CN"/>
              </w:rPr>
              <w:t>询比</w:t>
            </w:r>
            <w:r>
              <w:rPr>
                <w:rFonts w:hint="eastAsia"/>
                <w:highlight w:val="none"/>
              </w:rPr>
              <w:t>现场告知</w:t>
            </w:r>
          </w:p>
        </w:tc>
      </w:tr>
      <w:tr w14:paraId="0CE5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A48B464">
            <w:pPr>
              <w:pStyle w:val="38"/>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p>
        </w:tc>
        <w:tc>
          <w:tcPr>
            <w:tcW w:w="782" w:type="pct"/>
            <w:vAlign w:val="center"/>
          </w:tcPr>
          <w:p w14:paraId="07B163A1">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w:t>
            </w:r>
          </w:p>
        </w:tc>
        <w:tc>
          <w:tcPr>
            <w:tcW w:w="3623" w:type="pct"/>
          </w:tcPr>
          <w:p w14:paraId="1C1411AE">
            <w:pPr>
              <w:snapToGrid w:val="0"/>
              <w:ind w:firstLine="0" w:firstLineChars="0"/>
              <w:rPr>
                <w:rFonts w:hint="eastAsia" w:cs="宋体"/>
                <w:snapToGrid w:val="0"/>
                <w:color w:val="000000" w:themeColor="text1"/>
                <w:szCs w:val="24"/>
                <w:highlight w:val="none"/>
                <w14:textFill>
                  <w14:solidFill>
                    <w14:schemeClr w14:val="tx1"/>
                  </w14:solidFill>
                </w14:textFill>
              </w:rPr>
            </w:pPr>
            <w:r>
              <w:rPr>
                <w:rFonts w:hint="eastAsia" w:cs="宋体"/>
                <w:color w:val="000000" w:themeColor="text1"/>
                <w:szCs w:val="24"/>
                <w:highlight w:val="none"/>
                <w:lang w:eastAsia="zh-CN"/>
                <w14:textFill>
                  <w14:solidFill>
                    <w14:schemeClr w14:val="tx1"/>
                  </w14:solidFill>
                </w14:textFill>
              </w:rPr>
              <w:t>□</w:t>
            </w:r>
            <w:r>
              <w:rPr>
                <w:rFonts w:hint="eastAsia" w:cs="宋体"/>
                <w:color w:val="000000" w:themeColor="text1"/>
                <w:szCs w:val="24"/>
                <w:highlight w:val="none"/>
                <w14:textFill>
                  <w14:solidFill>
                    <w14:schemeClr w14:val="tx1"/>
                  </w14:solidFill>
                </w14:textFill>
              </w:rPr>
              <w:t xml:space="preserve">收取     </w:t>
            </w:r>
            <w:r>
              <w:rPr>
                <w:rFonts w:hint="eastAsia"/>
                <w:color w:val="000000" w:themeColor="text1"/>
                <w:highlight w:val="none"/>
                <w14:textFill>
                  <w14:solidFill>
                    <w14:schemeClr w14:val="tx1"/>
                  </w14:solidFill>
                </w14:textFill>
              </w:rPr>
              <w:sym w:font="Wingdings" w:char="00FE"/>
            </w:r>
            <w:r>
              <w:rPr>
                <w:rFonts w:hint="eastAsia" w:cs="宋体"/>
                <w:color w:val="000000" w:themeColor="text1"/>
                <w:szCs w:val="24"/>
                <w:highlight w:val="none"/>
                <w14:textFill>
                  <w14:solidFill>
                    <w14:schemeClr w14:val="tx1"/>
                  </w14:solidFill>
                </w14:textFill>
              </w:rPr>
              <w:t>不收取</w:t>
            </w:r>
          </w:p>
          <w:p w14:paraId="7F882EE8">
            <w:pPr>
              <w:snapToGrid w:val="0"/>
              <w:ind w:firstLine="0" w:firstLineChars="0"/>
              <w:jc w:val="left"/>
              <w:rPr>
                <w:rFonts w:hint="eastAsia" w:cs="宋体"/>
                <w:bCs/>
                <w:snapToGrid w:val="0"/>
                <w:color w:val="000000" w:themeColor="text1"/>
                <w:szCs w:val="24"/>
                <w:highlight w:val="none"/>
                <w14:textFill>
                  <w14:solidFill>
                    <w14:schemeClr w14:val="tx1"/>
                  </w14:solidFill>
                </w14:textFill>
              </w:rPr>
            </w:pPr>
            <w:r>
              <w:rPr>
                <w:rFonts w:hint="eastAsia" w:cs="宋体"/>
                <w:snapToGrid w:val="0"/>
                <w:color w:val="000000" w:themeColor="text1"/>
                <w:szCs w:val="24"/>
                <w:highlight w:val="none"/>
                <w14:textFill>
                  <w14:solidFill>
                    <w14:schemeClr w14:val="tx1"/>
                  </w14:solidFill>
                </w14:textFill>
              </w:rPr>
              <w:t>（1）金额：</w:t>
            </w:r>
            <w:r>
              <w:rPr>
                <w:rFonts w:hint="eastAsia" w:cs="宋体"/>
                <w:snapToGrid w:val="0"/>
                <w:color w:val="000000" w:themeColor="text1"/>
                <w:szCs w:val="24"/>
                <w:highlight w:val="none"/>
                <w:lang w:val="en-US" w:eastAsia="zh-CN"/>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□定额收取</w:t>
            </w:r>
            <w:r>
              <w:rPr>
                <w:rFonts w:hint="eastAsia" w:cs="宋体"/>
                <w:color w:val="000000" w:themeColor="text1"/>
                <w:szCs w:val="24"/>
                <w:highlight w:val="none"/>
                <w:u w:val="single"/>
                <w14:textFill>
                  <w14:solidFill>
                    <w14:schemeClr w14:val="tx1"/>
                  </w14:solidFill>
                </w14:textFill>
              </w:rPr>
              <w:t xml:space="preserve">    </w:t>
            </w:r>
          </w:p>
          <w:p w14:paraId="7261EEF4">
            <w:pPr>
              <w:snapToGrid w:val="0"/>
              <w:ind w:firstLine="0" w:firstLineChars="0"/>
              <w:rPr>
                <w:rFonts w:hint="eastAsia" w:cs="宋体"/>
                <w:color w:val="000000" w:themeColor="text1"/>
                <w:szCs w:val="24"/>
                <w:highlight w:val="none"/>
                <w14:textFill>
                  <w14:solidFill>
                    <w14:schemeClr w14:val="tx1"/>
                  </w14:solidFill>
                </w14:textFill>
              </w:rPr>
            </w:pPr>
            <w:r>
              <w:rPr>
                <w:rFonts w:hint="eastAsia" w:cs="宋体"/>
                <w:bCs/>
                <w:snapToGrid w:val="0"/>
                <w:color w:val="000000" w:themeColor="text1"/>
                <w:szCs w:val="24"/>
                <w:highlight w:val="none"/>
                <w14:textFill>
                  <w14:solidFill>
                    <w14:schemeClr w14:val="tx1"/>
                  </w14:solidFill>
                </w14:textFill>
              </w:rPr>
              <w:t>（2）缴纳形式</w:t>
            </w:r>
            <w:r>
              <w:rPr>
                <w:rFonts w:hint="eastAsia" w:cs="宋体"/>
                <w:color w:val="000000" w:themeColor="text1"/>
                <w:szCs w:val="24"/>
                <w:highlight w:val="none"/>
                <w14:textFill>
                  <w14:solidFill>
                    <w14:schemeClr w14:val="tx1"/>
                  </w14:solidFill>
                </w14:textFill>
              </w:rPr>
              <w:t>：</w:t>
            </w:r>
            <w:r>
              <w:rPr>
                <w:rFonts w:hint="eastAsia" w:cs="宋体"/>
                <w:color w:val="000000" w:themeColor="text1"/>
                <w:szCs w:val="24"/>
                <w:highlight w:val="none"/>
                <w14:textFill>
                  <w14:solidFill>
                    <w14:schemeClr w14:val="tx1"/>
                  </w14:solidFill>
                </w14:textFill>
              </w:rPr>
              <w:sym w:font="Wingdings 2" w:char="0052"/>
            </w:r>
            <w:r>
              <w:rPr>
                <w:rFonts w:hint="eastAsia" w:cs="宋体"/>
                <w:color w:val="000000" w:themeColor="text1"/>
                <w:szCs w:val="24"/>
                <w:highlight w:val="none"/>
                <w14:textFill>
                  <w14:solidFill>
                    <w14:schemeClr w14:val="tx1"/>
                  </w14:solidFill>
                </w14:textFill>
              </w:rPr>
              <w:t xml:space="preserve">银行转账  </w:t>
            </w:r>
            <w:r>
              <w:rPr>
                <w:rFonts w:hint="eastAsia" w:cs="宋体"/>
                <w:color w:val="000000" w:themeColor="text1"/>
                <w:szCs w:val="24"/>
                <w:highlight w:val="none"/>
                <w14:textFill>
                  <w14:solidFill>
                    <w14:schemeClr w14:val="tx1"/>
                  </w14:solidFill>
                </w14:textFill>
              </w:rPr>
              <w:sym w:font="Wingdings 2" w:char="0052"/>
            </w:r>
            <w:r>
              <w:rPr>
                <w:rFonts w:hint="eastAsia" w:cs="宋体"/>
                <w:color w:val="000000" w:themeColor="text1"/>
                <w:szCs w:val="24"/>
                <w:highlight w:val="none"/>
                <w14:textFill>
                  <w14:solidFill>
                    <w14:schemeClr w14:val="tx1"/>
                  </w14:solidFill>
                </w14:textFill>
              </w:rPr>
              <w:t xml:space="preserve">银行电汇  </w:t>
            </w:r>
            <w:r>
              <w:rPr>
                <w:rFonts w:hint="eastAsia" w:cs="宋体"/>
                <w:color w:val="000000" w:themeColor="text1"/>
                <w:szCs w:val="24"/>
                <w:highlight w:val="none"/>
                <w14:textFill>
                  <w14:solidFill>
                    <w14:schemeClr w14:val="tx1"/>
                  </w14:solidFill>
                </w14:textFill>
              </w:rPr>
              <w:sym w:font="Wingdings 2" w:char="0052"/>
            </w:r>
            <w:r>
              <w:rPr>
                <w:rFonts w:hint="eastAsia" w:cs="宋体"/>
                <w:color w:val="000000" w:themeColor="text1"/>
                <w:szCs w:val="24"/>
                <w:highlight w:val="none"/>
                <w14:textFill>
                  <w14:solidFill>
                    <w14:schemeClr w14:val="tx1"/>
                  </w14:solidFill>
                </w14:textFill>
              </w:rPr>
              <w:t>银行保函</w:t>
            </w:r>
          </w:p>
          <w:p w14:paraId="03D24F2B">
            <w:pPr>
              <w:snapToGrid w:val="0"/>
              <w:ind w:firstLine="0" w:firstLineChars="0"/>
              <w:rPr>
                <w:rFonts w:hint="eastAsia" w:cs="宋体"/>
                <w:b/>
                <w:bCs/>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（3）具体要求：采用银行保函的，应为不可撤销、不可转让的见索即付独立保函。</w:t>
            </w:r>
          </w:p>
          <w:p w14:paraId="7A6445AC">
            <w:pPr>
              <w:pStyle w:val="37"/>
              <w:rPr>
                <w:rFonts w:hint="eastAsia"/>
                <w:b/>
                <w:highlight w:val="none"/>
                <w:u w:val="single"/>
              </w:rPr>
            </w:pPr>
            <w:r>
              <w:rPr>
                <w:rFonts w:hint="eastAsia"/>
                <w:highlight w:val="none"/>
              </w:rPr>
              <w:t>（4）收取单位：</w:t>
            </w:r>
            <w:r>
              <w:rPr>
                <w:rFonts w:hint="eastAsia"/>
                <w:highlight w:val="none"/>
                <w:u w:val="single"/>
              </w:rPr>
              <w:t xml:space="preserve">    </w:t>
            </w:r>
          </w:p>
          <w:p w14:paraId="54570273">
            <w:pPr>
              <w:pStyle w:val="37"/>
              <w:rPr>
                <w:rFonts w:hint="eastAsia" w:eastAsia="宋体"/>
                <w:b/>
                <w:highlight w:val="none"/>
                <w:lang w:eastAsia="zh-CN"/>
              </w:rPr>
            </w:pPr>
            <w:r>
              <w:rPr>
                <w:rFonts w:hint="eastAsia"/>
                <w:highlight w:val="none"/>
              </w:rPr>
              <w:t>（5）缴纳时间：</w:t>
            </w:r>
            <w:r>
              <w:rPr>
                <w:rFonts w:hint="eastAsia"/>
                <w:highlight w:val="none"/>
                <w:u w:val="single"/>
              </w:rPr>
              <w:t xml:space="preserve">    </w:t>
            </w:r>
          </w:p>
          <w:p w14:paraId="21E6D04D">
            <w:pPr>
              <w:pStyle w:val="37"/>
              <w:rPr>
                <w:rFonts w:hint="eastAsia"/>
                <w:b/>
                <w:highlight w:val="none"/>
                <w:u w:val="single"/>
              </w:rPr>
            </w:pPr>
            <w:r>
              <w:rPr>
                <w:rFonts w:hint="eastAsia"/>
                <w:highlight w:val="none"/>
              </w:rPr>
              <w:t>（6）</w:t>
            </w:r>
            <w:r>
              <w:rPr>
                <w:rFonts w:hint="eastAsia"/>
                <w:color w:val="auto"/>
                <w:highlight w:val="none"/>
              </w:rPr>
              <w:t>退还时间：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p>
        </w:tc>
      </w:tr>
      <w:tr w14:paraId="6DE7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CE7D008">
            <w:pPr>
              <w:pStyle w:val="38"/>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p>
        </w:tc>
        <w:tc>
          <w:tcPr>
            <w:tcW w:w="782" w:type="pct"/>
            <w:vAlign w:val="center"/>
          </w:tcPr>
          <w:p w14:paraId="3C49C4BC">
            <w:pPr>
              <w:pStyle w:val="38"/>
              <w:ind w:firstLine="0" w:firstLineChars="0"/>
              <w:rPr>
                <w:rFonts w:hint="eastAsia"/>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代理服务费</w:t>
            </w:r>
          </w:p>
        </w:tc>
        <w:tc>
          <w:tcPr>
            <w:tcW w:w="3623" w:type="pct"/>
            <w:vAlign w:val="center"/>
          </w:tcPr>
          <w:p w14:paraId="643CDD39">
            <w:pPr>
              <w:pStyle w:val="37"/>
              <w:rPr>
                <w:rFonts w:hint="eastAsia"/>
                <w:b/>
                <w:highlight w:val="none"/>
              </w:rPr>
            </w:pPr>
            <w:r>
              <w:rPr>
                <w:rFonts w:hint="eastAsia"/>
                <w:highlight w:val="none"/>
              </w:rPr>
              <w:t>（1）金额：</w:t>
            </w:r>
          </w:p>
          <w:p w14:paraId="5BA39DDF">
            <w:pPr>
              <w:pStyle w:val="37"/>
              <w:rPr>
                <w:rFonts w:hint="eastAsia"/>
                <w:b/>
                <w:highlight w:val="none"/>
              </w:rPr>
            </w:pPr>
            <w:r>
              <w:rPr>
                <w:rFonts w:hint="eastAsia"/>
                <w:highlight w:val="none"/>
                <w:lang w:eastAsia="zh-CN"/>
              </w:rPr>
              <w:t>☑</w:t>
            </w:r>
            <w:r>
              <w:rPr>
                <w:rFonts w:hint="eastAsia"/>
                <w:highlight w:val="none"/>
              </w:rPr>
              <w:t>定额收取：人民币</w:t>
            </w:r>
            <w:r>
              <w:rPr>
                <w:rFonts w:hint="eastAsia"/>
                <w:highlight w:val="none"/>
                <w:u w:val="single"/>
                <w:lang w:val="en-US" w:eastAsia="zh-CN"/>
              </w:rPr>
              <w:t>2400</w:t>
            </w:r>
            <w:r>
              <w:rPr>
                <w:rFonts w:hint="eastAsia"/>
                <w:highlight w:val="none"/>
              </w:rPr>
              <w:t>元</w:t>
            </w:r>
          </w:p>
          <w:p w14:paraId="3BAD49F1">
            <w:pPr>
              <w:pStyle w:val="37"/>
              <w:rPr>
                <w:rFonts w:hint="eastAsia"/>
                <w:highlight w:val="none"/>
              </w:rPr>
            </w:pPr>
            <w:r>
              <w:rPr>
                <w:rFonts w:hint="eastAsia" w:ascii="Segoe UI Symbol" w:hAnsi="Segoe UI Symbol" w:cs="Segoe UI Symbol"/>
                <w:highlight w:val="none"/>
                <w:lang w:eastAsia="zh-CN"/>
              </w:rPr>
              <w:t>□</w:t>
            </w:r>
            <w:r>
              <w:rPr>
                <w:rFonts w:hint="eastAsia"/>
                <w:highlight w:val="none"/>
              </w:rPr>
              <w:t>按下列标准收取：</w:t>
            </w:r>
          </w:p>
          <w:p w14:paraId="6240BBB1">
            <w:pPr>
              <w:pStyle w:val="37"/>
              <w:rPr>
                <w:rFonts w:hint="eastAsia"/>
                <w:highlight w:val="none"/>
              </w:rPr>
            </w:pPr>
            <w:r>
              <w:rPr>
                <w:rFonts w:hint="eastAsia"/>
                <w:highlight w:val="none"/>
              </w:rPr>
              <w:t>代理服务费以预算金额为计算基数，具体收取金额为附件 1 对应表格相应招标类别，每标段收取金额不足4000 元的按照 4000元最低标准收取。</w:t>
            </w:r>
          </w:p>
          <w:p w14:paraId="5A8ABF13">
            <w:pPr>
              <w:pStyle w:val="37"/>
              <w:rPr>
                <w:rFonts w:hint="eastAsia"/>
                <w:highlight w:val="none"/>
              </w:rPr>
            </w:pPr>
            <w:r>
              <w:rPr>
                <w:rFonts w:hint="eastAsia"/>
                <w:highlight w:val="none"/>
              </w:rPr>
              <w:t>详见附件1《代理服务费收费标准》，不足4000元按4000元收取。</w:t>
            </w:r>
          </w:p>
          <w:p w14:paraId="337E3C2D">
            <w:pPr>
              <w:pStyle w:val="37"/>
              <w:rPr>
                <w:rFonts w:hint="eastAsia"/>
                <w:b/>
                <w:highlight w:val="none"/>
              </w:rPr>
            </w:pPr>
            <w:r>
              <w:rPr>
                <w:rFonts w:hint="eastAsia"/>
                <w:highlight w:val="none"/>
              </w:rPr>
              <w:t>（2）支付方式：</w:t>
            </w:r>
            <w:r>
              <w:rPr>
                <w:rFonts w:ascii="Segoe UI Symbol" w:hAnsi="Segoe UI Symbol" w:cs="Segoe UI Symbol"/>
                <w:highlight w:val="none"/>
              </w:rPr>
              <w:t>☑</w:t>
            </w:r>
            <w:r>
              <w:rPr>
                <w:highlight w:val="none"/>
              </w:rPr>
              <w:t>转账/电汇</w:t>
            </w:r>
          </w:p>
          <w:p w14:paraId="5136CF2C">
            <w:pPr>
              <w:ind w:firstLine="0" w:firstLineChars="0"/>
              <w:rPr>
                <w:rFonts w:hint="eastAsia" w:cs="宋体"/>
                <w:color w:val="000000" w:themeColor="text1"/>
                <w:szCs w:val="24"/>
                <w:highlight w:val="none"/>
                <w14:textFill>
                  <w14:solidFill>
                    <w14:schemeClr w14:val="tx1"/>
                  </w14:solidFill>
                </w14:textFill>
              </w:rPr>
            </w:pPr>
            <w:r>
              <w:rPr>
                <w:rFonts w:hint="eastAsia" w:cs="楷体"/>
                <w:bCs/>
                <w:snapToGrid w:val="0"/>
                <w:color w:val="000000" w:themeColor="text1"/>
                <w:szCs w:val="24"/>
                <w:highlight w:val="none"/>
                <w14:textFill>
                  <w14:solidFill>
                    <w14:schemeClr w14:val="tx1"/>
                  </w14:solidFill>
                </w14:textFill>
              </w:rPr>
              <w:t>备注：以上相关费用，供应商在报价单中不单列，包含在报价中，业主单位不再单独计量支付。</w:t>
            </w:r>
          </w:p>
        </w:tc>
      </w:tr>
      <w:tr w14:paraId="2AEA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ADEB686">
            <w:pPr>
              <w:pStyle w:val="38"/>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4</w:t>
            </w:r>
          </w:p>
        </w:tc>
        <w:tc>
          <w:tcPr>
            <w:tcW w:w="782" w:type="pct"/>
            <w:vAlign w:val="center"/>
          </w:tcPr>
          <w:p w14:paraId="7B677B58">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补充约定</w:t>
            </w:r>
          </w:p>
        </w:tc>
        <w:tc>
          <w:tcPr>
            <w:tcW w:w="3623" w:type="pct"/>
            <w:vAlign w:val="center"/>
          </w:tcPr>
          <w:p w14:paraId="0320890B">
            <w:pPr>
              <w:numPr>
                <w:ilvl w:val="255"/>
                <w:numId w:val="0"/>
              </w:numPr>
              <w:adjustRightInd w:val="0"/>
              <w:snapToGrid w:val="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（1）通过初审的供应商为3家及以上的，按</w:t>
            </w:r>
            <w:r>
              <w:rPr>
                <w:rFonts w:hint="eastAsia" w:cs="宋体"/>
                <w:color w:val="000000" w:themeColor="text1"/>
                <w:szCs w:val="24"/>
                <w:highlight w:val="none"/>
                <w:lang w:eastAsia="zh-CN"/>
                <w14:textFill>
                  <w14:solidFill>
                    <w14:schemeClr w14:val="tx1"/>
                  </w14:solidFill>
                </w14:textFill>
              </w:rPr>
              <w:t>询比</w:t>
            </w:r>
            <w:r>
              <w:rPr>
                <w:rFonts w:hint="eastAsia" w:cs="宋体"/>
                <w:color w:val="000000" w:themeColor="text1"/>
                <w:szCs w:val="24"/>
                <w:highlight w:val="none"/>
                <w14:textFill>
                  <w14:solidFill>
                    <w14:schemeClr w14:val="tx1"/>
                  </w14:solidFill>
                </w14:textFill>
              </w:rPr>
              <w:t>文件约定进行评审并确定结果；</w:t>
            </w:r>
          </w:p>
          <w:p w14:paraId="4E71A324">
            <w:pPr>
              <w:adjustRightInd w:val="0"/>
              <w:snapToGrid w:val="0"/>
              <w:ind w:firstLine="0" w:firstLineChars="0"/>
              <w:rPr>
                <w:rFonts w:hint="eastAsia"/>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（2）通过初审的供应商不足3家的，项目</w:t>
            </w:r>
            <w:r>
              <w:rPr>
                <w:rFonts w:hint="eastAsia" w:cs="宋体"/>
                <w:color w:val="000000" w:themeColor="text1"/>
                <w:szCs w:val="24"/>
                <w:highlight w:val="none"/>
                <w:lang w:eastAsia="zh-CN"/>
                <w14:textFill>
                  <w14:solidFill>
                    <w14:schemeClr w14:val="tx1"/>
                  </w14:solidFill>
                </w14:textFill>
              </w:rPr>
              <w:t>询比</w:t>
            </w:r>
            <w:r>
              <w:rPr>
                <w:rFonts w:hint="eastAsia" w:cs="宋体"/>
                <w:color w:val="000000" w:themeColor="text1"/>
                <w:szCs w:val="24"/>
                <w:highlight w:val="none"/>
                <w14:textFill>
                  <w14:solidFill>
                    <w14:schemeClr w14:val="tx1"/>
                  </w14:solidFill>
                </w14:textFill>
              </w:rPr>
              <w:t>失败。</w:t>
            </w:r>
          </w:p>
        </w:tc>
      </w:tr>
      <w:tr w14:paraId="1A05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BFE5062">
            <w:pPr>
              <w:pStyle w:val="38"/>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5</w:t>
            </w:r>
          </w:p>
        </w:tc>
        <w:tc>
          <w:tcPr>
            <w:tcW w:w="782" w:type="pct"/>
            <w:vAlign w:val="center"/>
          </w:tcPr>
          <w:p w14:paraId="588A50E8">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报价须知</w:t>
            </w:r>
          </w:p>
        </w:tc>
        <w:tc>
          <w:tcPr>
            <w:tcW w:w="3623" w:type="pct"/>
            <w:vAlign w:val="center"/>
          </w:tcPr>
          <w:p w14:paraId="452A1A6B">
            <w:pPr>
              <w:ind w:firstLine="0" w:firstLineChars="0"/>
              <w:rPr>
                <w:rFonts w:hint="eastAsia" w:cs="宋体"/>
                <w:color w:val="000000" w:themeColor="text1"/>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供应商最终报价不得高于</w:t>
            </w:r>
            <w:r>
              <w:rPr>
                <w:rFonts w:hint="eastAsia" w:cs="宋体"/>
                <w:bCs/>
                <w:color w:val="000000" w:themeColor="text1"/>
                <w:kern w:val="2"/>
                <w:szCs w:val="24"/>
                <w:highlight w:val="none"/>
                <w:lang w:eastAsia="zh-CN"/>
                <w14:textFill>
                  <w14:solidFill>
                    <w14:schemeClr w14:val="tx1"/>
                  </w14:solidFill>
                </w14:textFill>
              </w:rPr>
              <w:t>询比</w:t>
            </w:r>
            <w:r>
              <w:rPr>
                <w:rFonts w:hint="eastAsia" w:cs="宋体"/>
                <w:bCs/>
                <w:color w:val="000000" w:themeColor="text1"/>
                <w:kern w:val="2"/>
                <w:szCs w:val="24"/>
                <w:highlight w:val="none"/>
                <w14:textFill>
                  <w14:solidFill>
                    <w14:schemeClr w14:val="tx1"/>
                  </w14:solidFill>
                </w14:textFill>
              </w:rPr>
              <w:t>文件（公告）列明的项目预算、最高限价，否则其响应文件将被否决。</w:t>
            </w:r>
          </w:p>
        </w:tc>
      </w:tr>
      <w:tr w14:paraId="572A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156E07F">
            <w:pPr>
              <w:pStyle w:val="38"/>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6</w:t>
            </w:r>
          </w:p>
        </w:tc>
        <w:tc>
          <w:tcPr>
            <w:tcW w:w="782" w:type="pct"/>
            <w:vAlign w:val="center"/>
          </w:tcPr>
          <w:p w14:paraId="5FEB5DB7">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重要说明</w:t>
            </w:r>
          </w:p>
        </w:tc>
        <w:tc>
          <w:tcPr>
            <w:tcW w:w="3623" w:type="pct"/>
            <w:vAlign w:val="center"/>
          </w:tcPr>
          <w:p w14:paraId="0909C6F8">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（1）成交人应在规定期限内提交履约保证金并与业主单位签订合同，若成交人未能在规定期限内提交履约保证金或签订合同，业主单位有权取消成交人成交资格；</w:t>
            </w:r>
          </w:p>
          <w:p w14:paraId="2BA638CB">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（2）合同签订后，成交人存在规定时间内不组织人员进场开工，不履行合同义务等情况，业主单位有权解除合同，并追究违约责任；</w:t>
            </w:r>
          </w:p>
          <w:p w14:paraId="40D7B054">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（3）成交人在成交项目发生投诉、信访举报案件、履约存在争议时，拒绝协助配合有关部门调查案件的，业主单位可以取消其成交资格或解除合同，并追究其违约责任。</w:t>
            </w:r>
          </w:p>
          <w:p w14:paraId="23B47A91">
            <w:pPr>
              <w:pStyle w:val="4"/>
              <w:spacing w:before="0" w:after="0" w:line="360" w:lineRule="auto"/>
              <w:ind w:firstLine="0" w:firstLineChars="0"/>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（4）供应商参与</w:t>
            </w:r>
            <w:r>
              <w:rPr>
                <w:rFonts w:hint="eastAsia" w:cs="宋体"/>
                <w:b w:val="0"/>
                <w:bCs w:val="0"/>
                <w:color w:val="000000" w:themeColor="text1"/>
                <w:sz w:val="24"/>
                <w:szCs w:val="24"/>
                <w:highlight w:val="none"/>
                <w:lang w:eastAsia="zh-CN"/>
                <w14:textFill>
                  <w14:solidFill>
                    <w14:schemeClr w14:val="tx1"/>
                  </w14:solidFill>
                </w14:textFill>
              </w:rPr>
              <w:t>询比</w:t>
            </w:r>
            <w:r>
              <w:rPr>
                <w:rFonts w:hint="eastAsia" w:cs="宋体"/>
                <w:b w:val="0"/>
                <w:bCs w:val="0"/>
                <w:color w:val="000000" w:themeColor="text1"/>
                <w:sz w:val="24"/>
                <w:szCs w:val="24"/>
                <w:highlight w:val="none"/>
                <w14:textFill>
                  <w14:solidFill>
                    <w14:schemeClr w14:val="tx1"/>
                  </w14:solidFill>
                </w14:textFill>
              </w:rPr>
              <w:t>，应当诚信守法、公平竞争。如有以提供虚假材料（包括但不限于虚假技术参数响应、虚假业绩、虚假证书、虚假检测报告等）、串通参与</w:t>
            </w:r>
            <w:r>
              <w:rPr>
                <w:rFonts w:hint="eastAsia" w:cs="宋体"/>
                <w:b w:val="0"/>
                <w:bCs w:val="0"/>
                <w:color w:val="000000" w:themeColor="text1"/>
                <w:sz w:val="24"/>
                <w:szCs w:val="24"/>
                <w:highlight w:val="none"/>
                <w:lang w:eastAsia="zh-CN"/>
                <w14:textFill>
                  <w14:solidFill>
                    <w14:schemeClr w14:val="tx1"/>
                  </w14:solidFill>
                </w14:textFill>
              </w:rPr>
              <w:t>询比</w:t>
            </w:r>
            <w:r>
              <w:rPr>
                <w:rFonts w:hint="eastAsia" w:cs="宋体"/>
                <w:b w:val="0"/>
                <w:bCs w:val="0"/>
                <w:color w:val="000000" w:themeColor="text1"/>
                <w:sz w:val="24"/>
                <w:szCs w:val="24"/>
                <w:highlight w:val="none"/>
                <w14:textFill>
                  <w14:solidFill>
                    <w14:schemeClr w14:val="tx1"/>
                  </w14:solidFill>
                </w14:textFill>
              </w:rPr>
              <w:t>、隐瞒失信信息等谋取成交的行为，一经发现，业主单位可以取消其成交资格或解除合同，并追究其违约责任。</w:t>
            </w:r>
          </w:p>
        </w:tc>
      </w:tr>
      <w:tr w14:paraId="3B78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C7D7BE7">
            <w:pPr>
              <w:pStyle w:val="38"/>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17</w:t>
            </w:r>
          </w:p>
        </w:tc>
        <w:tc>
          <w:tcPr>
            <w:tcW w:w="782" w:type="pct"/>
            <w:vAlign w:val="center"/>
          </w:tcPr>
          <w:p w14:paraId="7EC9592C">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w:t>
            </w:r>
          </w:p>
        </w:tc>
        <w:tc>
          <w:tcPr>
            <w:tcW w:w="3623" w:type="pct"/>
            <w:vAlign w:val="center"/>
          </w:tcPr>
          <w:p w14:paraId="4810A3C7">
            <w:pPr>
              <w:widowControl/>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本</w:t>
            </w:r>
            <w:r>
              <w:rPr>
                <w:rFonts w:hint="eastAsia" w:cs="宋体"/>
                <w:bCs/>
                <w:color w:val="000000" w:themeColor="text1"/>
                <w:szCs w:val="24"/>
                <w:highlight w:val="none"/>
                <w:lang w:eastAsia="zh-CN"/>
                <w14:textFill>
                  <w14:solidFill>
                    <w14:schemeClr w14:val="tx1"/>
                  </w14:solidFill>
                </w14:textFill>
              </w:rPr>
              <w:t>询比</w:t>
            </w:r>
            <w:r>
              <w:rPr>
                <w:rFonts w:hint="eastAsia" w:cs="宋体"/>
                <w:bCs/>
                <w:color w:val="000000" w:themeColor="text1"/>
                <w:szCs w:val="24"/>
                <w:highlight w:val="none"/>
                <w14:textFill>
                  <w14:solidFill>
                    <w14:schemeClr w14:val="tx1"/>
                  </w14:solidFill>
                </w14:textFill>
              </w:rPr>
              <w:t>项目实行全流程电子化交易，除</w:t>
            </w:r>
            <w:r>
              <w:rPr>
                <w:rFonts w:hint="eastAsia" w:cs="宋体"/>
                <w:bCs/>
                <w:color w:val="000000" w:themeColor="text1"/>
                <w:szCs w:val="24"/>
                <w:highlight w:val="none"/>
                <w:lang w:eastAsia="zh-CN"/>
                <w14:textFill>
                  <w14:solidFill>
                    <w14:schemeClr w14:val="tx1"/>
                  </w14:solidFill>
                </w14:textFill>
              </w:rPr>
              <w:t>询比</w:t>
            </w:r>
            <w:r>
              <w:rPr>
                <w:rFonts w:hint="eastAsia" w:cs="宋体"/>
                <w:bCs/>
                <w:color w:val="000000" w:themeColor="text1"/>
                <w:szCs w:val="24"/>
                <w:highlight w:val="none"/>
                <w14:textFill>
                  <w14:solidFill>
                    <w14:schemeClr w14:val="tx1"/>
                  </w14:solidFill>
                </w14:textFill>
              </w:rPr>
              <w:t>文件另有规定外，电子交易操作要求见附件《全流程电子招标采购具体要求》。</w:t>
            </w:r>
          </w:p>
        </w:tc>
      </w:tr>
      <w:tr w14:paraId="3D54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75A20C2">
            <w:pPr>
              <w:pStyle w:val="38"/>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c>
          <w:tcPr>
            <w:tcW w:w="782" w:type="pct"/>
            <w:vAlign w:val="center"/>
          </w:tcPr>
          <w:p w14:paraId="466E917D">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解释权</w:t>
            </w:r>
          </w:p>
        </w:tc>
        <w:tc>
          <w:tcPr>
            <w:tcW w:w="3623" w:type="pct"/>
            <w:vAlign w:val="center"/>
          </w:tcPr>
          <w:p w14:paraId="55202D33">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（1）构成本</w:t>
            </w:r>
            <w:r>
              <w:rPr>
                <w:rFonts w:hint="eastAsia" w:cs="宋体"/>
                <w:bCs/>
                <w:color w:val="000000" w:themeColor="text1"/>
                <w:szCs w:val="24"/>
                <w:highlight w:val="none"/>
                <w:lang w:eastAsia="zh-CN"/>
                <w14:textFill>
                  <w14:solidFill>
                    <w14:schemeClr w14:val="tx1"/>
                  </w14:solidFill>
                </w14:textFill>
              </w:rPr>
              <w:t>询比</w:t>
            </w:r>
            <w:r>
              <w:rPr>
                <w:rFonts w:hint="eastAsia" w:cs="宋体"/>
                <w:bCs/>
                <w:color w:val="000000" w:themeColor="text1"/>
                <w:szCs w:val="24"/>
                <w:highlight w:val="none"/>
                <w14:textFill>
                  <w14:solidFill>
                    <w14:schemeClr w14:val="tx1"/>
                  </w14:solidFill>
                </w14:textFill>
              </w:rPr>
              <w:t>文件的各个组成文件应互为解释，互为说明；</w:t>
            </w:r>
          </w:p>
          <w:p w14:paraId="467194E3">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（2）同一组成文件中就同一事项的规定或约定不一致的，以编排顺序在后者为准；</w:t>
            </w:r>
          </w:p>
          <w:p w14:paraId="48632EAE">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54A9F049">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（4）除</w:t>
            </w:r>
            <w:r>
              <w:rPr>
                <w:rFonts w:hint="eastAsia" w:cs="宋体"/>
                <w:bCs/>
                <w:color w:val="000000" w:themeColor="text1"/>
                <w:szCs w:val="24"/>
                <w:highlight w:val="none"/>
                <w:lang w:eastAsia="zh-CN"/>
                <w14:textFill>
                  <w14:solidFill>
                    <w14:schemeClr w14:val="tx1"/>
                  </w14:solidFill>
                </w14:textFill>
              </w:rPr>
              <w:t>询比</w:t>
            </w:r>
            <w:r>
              <w:rPr>
                <w:rFonts w:hint="eastAsia" w:cs="宋体"/>
                <w:bCs/>
                <w:color w:val="000000" w:themeColor="text1"/>
                <w:szCs w:val="24"/>
                <w:highlight w:val="none"/>
                <w14:textFill>
                  <w14:solidFill>
                    <w14:schemeClr w14:val="tx1"/>
                  </w14:solidFill>
                </w14:textFill>
              </w:rPr>
              <w:t>文件中有特别规定外，仅适用于</w:t>
            </w:r>
            <w:r>
              <w:rPr>
                <w:rFonts w:hint="eastAsia" w:cs="宋体"/>
                <w:bCs/>
                <w:color w:val="000000" w:themeColor="text1"/>
                <w:szCs w:val="24"/>
                <w:highlight w:val="none"/>
                <w:lang w:eastAsia="zh-CN"/>
                <w14:textFill>
                  <w14:solidFill>
                    <w14:schemeClr w14:val="tx1"/>
                  </w14:solidFill>
                </w14:textFill>
              </w:rPr>
              <w:t>询比</w:t>
            </w:r>
            <w:r>
              <w:rPr>
                <w:rFonts w:hint="eastAsia" w:cs="宋体"/>
                <w:bCs/>
                <w:color w:val="000000" w:themeColor="text1"/>
                <w:szCs w:val="24"/>
                <w:highlight w:val="none"/>
                <w14:textFill>
                  <w14:solidFill>
                    <w14:schemeClr w14:val="tx1"/>
                  </w14:solidFill>
                </w14:textFill>
              </w:rPr>
              <w:t>及响应文件提交阶段的规定，按</w:t>
            </w:r>
            <w:r>
              <w:rPr>
                <w:rFonts w:hint="eastAsia" w:cs="宋体"/>
                <w:bCs/>
                <w:color w:val="000000" w:themeColor="text1"/>
                <w:szCs w:val="24"/>
                <w:highlight w:val="none"/>
                <w:lang w:eastAsia="zh-CN"/>
                <w14:textFill>
                  <w14:solidFill>
                    <w14:schemeClr w14:val="tx1"/>
                  </w14:solidFill>
                </w14:textFill>
              </w:rPr>
              <w:t>询比</w:t>
            </w:r>
            <w:r>
              <w:rPr>
                <w:rFonts w:hint="eastAsia" w:cs="宋体"/>
                <w:bCs/>
                <w:color w:val="000000" w:themeColor="text1"/>
                <w:szCs w:val="24"/>
                <w:highlight w:val="none"/>
                <w14:textFill>
                  <w14:solidFill>
                    <w14:schemeClr w14:val="tx1"/>
                  </w14:solidFill>
                </w14:textFill>
              </w:rPr>
              <w:t>公告、供应商须知前附表、供应商须知正文、评审方法和标准、响应文件格式的先后顺序解释；</w:t>
            </w:r>
          </w:p>
          <w:p w14:paraId="206C90D5">
            <w:pPr>
              <w:ind w:firstLine="0" w:firstLineChars="0"/>
              <w:rPr>
                <w:rFonts w:hint="eastAsia" w:cs="宋体"/>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（5）</w:t>
            </w:r>
            <w:r>
              <w:rPr>
                <w:rFonts w:hint="eastAsia" w:cs="宋体"/>
                <w:color w:val="000000" w:themeColor="text1"/>
                <w:szCs w:val="24"/>
                <w:highlight w:val="none"/>
                <w14:textFill>
                  <w14:solidFill>
                    <w14:schemeClr w14:val="tx1"/>
                  </w14:solidFill>
                </w14:textFill>
              </w:rPr>
              <w:t>有澄清的部分以最终的澄清更正内容为准；</w:t>
            </w:r>
          </w:p>
          <w:p w14:paraId="6BF92C9D">
            <w:pPr>
              <w:pStyle w:val="37"/>
              <w:rPr>
                <w:rFonts w:hint="eastAsia"/>
                <w:b/>
                <w:highlight w:val="none"/>
              </w:rPr>
            </w:pPr>
            <w:r>
              <w:rPr>
                <w:rFonts w:hint="eastAsia"/>
                <w:highlight w:val="none"/>
              </w:rPr>
              <w:t>（6）按本款前述规定仍不能形成结论的，由业主单位负责解释。</w:t>
            </w:r>
          </w:p>
        </w:tc>
      </w:tr>
      <w:tr w14:paraId="3750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F2D958C">
            <w:pPr>
              <w:pStyle w:val="38"/>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19</w:t>
            </w:r>
          </w:p>
        </w:tc>
        <w:tc>
          <w:tcPr>
            <w:tcW w:w="782" w:type="pct"/>
            <w:vAlign w:val="center"/>
          </w:tcPr>
          <w:p w14:paraId="1FF81373">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其他补充</w:t>
            </w:r>
          </w:p>
          <w:p w14:paraId="354C9101">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c>
          <w:tcPr>
            <w:tcW w:w="3623" w:type="pct"/>
            <w:vAlign w:val="center"/>
          </w:tcPr>
          <w:p w14:paraId="3E09CFEC">
            <w:pPr>
              <w:pStyle w:val="37"/>
              <w:rPr>
                <w:rFonts w:hint="eastAsia"/>
                <w:b/>
                <w:highlight w:val="none"/>
              </w:rPr>
            </w:pPr>
            <w:r>
              <w:rPr>
                <w:rFonts w:hint="eastAsia"/>
                <w:highlight w:val="none"/>
              </w:rPr>
              <w:t>供应商不得与</w:t>
            </w:r>
            <w:r>
              <w:rPr>
                <w:rFonts w:hint="eastAsia"/>
                <w:highlight w:val="none"/>
                <w:lang w:val="zh-CN"/>
              </w:rPr>
              <w:t>本</w:t>
            </w:r>
            <w:r>
              <w:rPr>
                <w:rFonts w:hint="eastAsia"/>
                <w:highlight w:val="none"/>
              </w:rPr>
              <w:t>包</w:t>
            </w:r>
            <w:r>
              <w:rPr>
                <w:rFonts w:hint="eastAsia"/>
                <w:highlight w:val="none"/>
                <w:lang w:val="zh-CN"/>
              </w:rPr>
              <w:t>的其他供应商存在</w:t>
            </w:r>
            <w:r>
              <w:rPr>
                <w:rFonts w:hint="eastAsia"/>
                <w:highlight w:val="none"/>
              </w:rPr>
              <w:t>单位负责人为同一人或者存在直接控股、管理关系的情形</w:t>
            </w:r>
            <w:r>
              <w:rPr>
                <w:rFonts w:hint="eastAsia"/>
                <w:highlight w:val="none"/>
                <w:lang w:val="zh-CN"/>
              </w:rPr>
              <w:t>。</w:t>
            </w:r>
          </w:p>
        </w:tc>
      </w:tr>
      <w:tr w14:paraId="1B30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27F58B0">
            <w:pPr>
              <w:pStyle w:val="38"/>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782" w:type="pct"/>
            <w:vAlign w:val="center"/>
          </w:tcPr>
          <w:p w14:paraId="438599FC">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同义词语</w:t>
            </w:r>
          </w:p>
        </w:tc>
        <w:tc>
          <w:tcPr>
            <w:tcW w:w="3623" w:type="pct"/>
            <w:vAlign w:val="center"/>
          </w:tcPr>
          <w:p w14:paraId="09EA0FC0">
            <w:pPr>
              <w:pStyle w:val="37"/>
              <w:rPr>
                <w:rFonts w:hint="eastAsia"/>
                <w:b/>
                <w:highlight w:val="none"/>
              </w:rPr>
            </w:pPr>
            <w:r>
              <w:rPr>
                <w:rFonts w:hint="eastAsia"/>
                <w:highlight w:val="none"/>
              </w:rPr>
              <w:t>构成</w:t>
            </w:r>
            <w:r>
              <w:rPr>
                <w:rFonts w:hint="eastAsia"/>
                <w:highlight w:val="none"/>
                <w:lang w:eastAsia="zh-CN"/>
              </w:rPr>
              <w:t>询比</w:t>
            </w:r>
            <w:r>
              <w:rPr>
                <w:rFonts w:hint="eastAsia"/>
                <w:highlight w:val="none"/>
              </w:rPr>
              <w:t>文件组成部分的“供应商须知”、“评审方法和标准”、“响应文件格式”等章节中的“参审单位”，等同于</w:t>
            </w:r>
            <w:r>
              <w:rPr>
                <w:rFonts w:hint="eastAsia"/>
                <w:highlight w:val="none"/>
                <w:lang w:eastAsia="zh-CN"/>
              </w:rPr>
              <w:t>询比</w:t>
            </w:r>
            <w:r>
              <w:rPr>
                <w:rFonts w:hint="eastAsia"/>
                <w:highlight w:val="none"/>
              </w:rPr>
              <w:t>阶段的“供应商”。</w:t>
            </w:r>
          </w:p>
        </w:tc>
      </w:tr>
      <w:tr w14:paraId="6EBA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0F7C0B0">
            <w:pPr>
              <w:pStyle w:val="38"/>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p>
        </w:tc>
        <w:tc>
          <w:tcPr>
            <w:tcW w:w="782" w:type="pct"/>
            <w:vAlign w:val="center"/>
          </w:tcPr>
          <w:p w14:paraId="10536221">
            <w:pPr>
              <w:pStyle w:val="38"/>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有效期</w:t>
            </w:r>
          </w:p>
        </w:tc>
        <w:tc>
          <w:tcPr>
            <w:tcW w:w="3623" w:type="pct"/>
            <w:vAlign w:val="center"/>
          </w:tcPr>
          <w:p w14:paraId="7AE616F8">
            <w:pPr>
              <w:pStyle w:val="37"/>
              <w:rPr>
                <w:rFonts w:hint="eastAsia"/>
                <w:highlight w:val="none"/>
              </w:rPr>
            </w:pPr>
            <w:r>
              <w:rPr>
                <w:rFonts w:hint="eastAsia"/>
                <w:highlight w:val="none"/>
              </w:rPr>
              <w:t>120天</w:t>
            </w:r>
          </w:p>
        </w:tc>
      </w:tr>
    </w:tbl>
    <w:p w14:paraId="6D1B9891">
      <w:pPr>
        <w:pStyle w:val="35"/>
        <w:ind w:left="360" w:firstLine="480"/>
        <w:rPr>
          <w:color w:val="000000" w:themeColor="text1"/>
          <w:highlight w:val="none"/>
          <w14:textFill>
            <w14:solidFill>
              <w14:schemeClr w14:val="tx1"/>
            </w14:solidFill>
          </w14:textFill>
        </w:rPr>
      </w:pPr>
      <w:bookmarkStart w:id="4" w:name="_Toc14925"/>
      <w:bookmarkStart w:id="5" w:name="_Toc4558"/>
      <w:r>
        <w:rPr>
          <w:rFonts w:hint="eastAsia"/>
          <w:color w:val="000000" w:themeColor="text1"/>
          <w:highlight w:val="none"/>
          <w14:textFill>
            <w14:solidFill>
              <w14:schemeClr w14:val="tx1"/>
            </w14:solidFill>
          </w14:textFill>
        </w:rPr>
        <w:br w:type="page"/>
      </w:r>
    </w:p>
    <w:p w14:paraId="4C617E7F">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附件1 代理服务费</w:t>
      </w:r>
      <w:bookmarkEnd w:id="4"/>
      <w:r>
        <w:rPr>
          <w:rFonts w:hint="eastAsia" w:asciiTheme="minorEastAsia" w:hAnsiTheme="minorEastAsia" w:eastAsiaTheme="minorEastAsia"/>
          <w:b/>
          <w:color w:val="000000" w:themeColor="text1"/>
          <w:highlight w:val="none"/>
          <w14:textFill>
            <w14:solidFill>
              <w14:schemeClr w14:val="tx1"/>
            </w14:solidFill>
          </w14:textFill>
        </w:rPr>
        <w:t xml:space="preserve">收费标准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FEE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8FC81B4">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19"/>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0A42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5F7C9B2">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成交金额（万元）</w:t>
                  </w:r>
                </w:p>
              </w:tc>
              <w:tc>
                <w:tcPr>
                  <w:tcW w:w="2025" w:type="dxa"/>
                  <w:vAlign w:val="center"/>
                </w:tcPr>
                <w:p w14:paraId="5AC8C22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货物</w:t>
                  </w:r>
                </w:p>
              </w:tc>
              <w:tc>
                <w:tcPr>
                  <w:tcW w:w="1888" w:type="dxa"/>
                  <w:vAlign w:val="center"/>
                </w:tcPr>
                <w:p w14:paraId="1B662156">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服务</w:t>
                  </w:r>
                </w:p>
              </w:tc>
              <w:tc>
                <w:tcPr>
                  <w:tcW w:w="2287" w:type="dxa"/>
                  <w:vAlign w:val="center"/>
                </w:tcPr>
                <w:p w14:paraId="1A1DD30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工程施工/总承包</w:t>
                  </w:r>
                </w:p>
              </w:tc>
            </w:tr>
            <w:tr w14:paraId="62FA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63AF86B">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100以下</w:t>
                  </w:r>
                </w:p>
              </w:tc>
              <w:tc>
                <w:tcPr>
                  <w:tcW w:w="2025" w:type="dxa"/>
                  <w:vAlign w:val="center"/>
                </w:tcPr>
                <w:p w14:paraId="568D01F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1888" w:type="dxa"/>
                  <w:vAlign w:val="center"/>
                </w:tcPr>
                <w:p w14:paraId="3A6B8BD5">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2287" w:type="dxa"/>
                  <w:vAlign w:val="center"/>
                </w:tcPr>
                <w:p w14:paraId="05778A3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w:t>
                  </w:r>
                </w:p>
              </w:tc>
            </w:tr>
            <w:tr w14:paraId="2CB1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318A30EB">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100-500</w:t>
                  </w:r>
                </w:p>
              </w:tc>
              <w:tc>
                <w:tcPr>
                  <w:tcW w:w="2025" w:type="dxa"/>
                  <w:vAlign w:val="center"/>
                </w:tcPr>
                <w:p w14:paraId="175889B5">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w:t>
                  </w:r>
                </w:p>
              </w:tc>
              <w:tc>
                <w:tcPr>
                  <w:tcW w:w="1888" w:type="dxa"/>
                  <w:vAlign w:val="center"/>
                </w:tcPr>
                <w:p w14:paraId="064537C4">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2287" w:type="dxa"/>
                  <w:vAlign w:val="center"/>
                </w:tcPr>
                <w:p w14:paraId="46CDB300">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0.7%</w:t>
                  </w:r>
                </w:p>
              </w:tc>
            </w:tr>
            <w:tr w14:paraId="5EC8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E668025">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500-1000</w:t>
                  </w:r>
                </w:p>
              </w:tc>
              <w:tc>
                <w:tcPr>
                  <w:tcW w:w="2025" w:type="dxa"/>
                  <w:vAlign w:val="center"/>
                </w:tcPr>
                <w:p w14:paraId="2B55F389">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1888" w:type="dxa"/>
                  <w:vAlign w:val="center"/>
                </w:tcPr>
                <w:p w14:paraId="4978A69D">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0.45%</w:t>
                  </w:r>
                </w:p>
              </w:tc>
              <w:tc>
                <w:tcPr>
                  <w:tcW w:w="2287" w:type="dxa"/>
                  <w:vAlign w:val="center"/>
                </w:tcPr>
                <w:p w14:paraId="21D31FB8">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0.55%</w:t>
                  </w:r>
                </w:p>
              </w:tc>
            </w:tr>
            <w:tr w14:paraId="2638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742015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1000-5000</w:t>
                  </w:r>
                </w:p>
              </w:tc>
              <w:tc>
                <w:tcPr>
                  <w:tcW w:w="2025" w:type="dxa"/>
                  <w:vAlign w:val="center"/>
                </w:tcPr>
                <w:p w14:paraId="5240E97F">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w:t>
                  </w:r>
                </w:p>
              </w:tc>
              <w:tc>
                <w:tcPr>
                  <w:tcW w:w="1888" w:type="dxa"/>
                  <w:vAlign w:val="center"/>
                </w:tcPr>
                <w:p w14:paraId="26AC96F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2287" w:type="dxa"/>
                  <w:vAlign w:val="center"/>
                </w:tcPr>
                <w:p w14:paraId="7866E2DB">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0.35%</w:t>
                  </w:r>
                </w:p>
              </w:tc>
            </w:tr>
            <w:tr w14:paraId="1741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119472D">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5000-10000</w:t>
                  </w:r>
                </w:p>
              </w:tc>
              <w:tc>
                <w:tcPr>
                  <w:tcW w:w="2025" w:type="dxa"/>
                  <w:vAlign w:val="center"/>
                </w:tcPr>
                <w:p w14:paraId="075776E5">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1888" w:type="dxa"/>
                  <w:vAlign w:val="center"/>
                </w:tcPr>
                <w:p w14:paraId="046E202C">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0.1%</w:t>
                  </w:r>
                </w:p>
              </w:tc>
              <w:tc>
                <w:tcPr>
                  <w:tcW w:w="2287" w:type="dxa"/>
                  <w:vAlign w:val="center"/>
                </w:tcPr>
                <w:p w14:paraId="6BA1D388">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w:t>
                  </w:r>
                </w:p>
              </w:tc>
            </w:tr>
            <w:tr w14:paraId="7547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45D3768">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10000-100000</w:t>
                  </w:r>
                </w:p>
              </w:tc>
              <w:tc>
                <w:tcPr>
                  <w:tcW w:w="2025" w:type="dxa"/>
                  <w:vAlign w:val="center"/>
                </w:tcPr>
                <w:p w14:paraId="599F6311">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1888" w:type="dxa"/>
                  <w:vAlign w:val="center"/>
                </w:tcPr>
                <w:p w14:paraId="7E4FFFEB">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2287" w:type="dxa"/>
                  <w:vAlign w:val="center"/>
                </w:tcPr>
                <w:p w14:paraId="7BC36878">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r>
            <w:tr w14:paraId="3360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BE1E6C9">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100000以上</w:t>
                  </w:r>
                </w:p>
              </w:tc>
              <w:tc>
                <w:tcPr>
                  <w:tcW w:w="2025" w:type="dxa"/>
                  <w:vAlign w:val="center"/>
                </w:tcPr>
                <w:p w14:paraId="0547863A">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1888" w:type="dxa"/>
                  <w:vAlign w:val="center"/>
                </w:tcPr>
                <w:p w14:paraId="77C7B199">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2287" w:type="dxa"/>
                  <w:vAlign w:val="center"/>
                </w:tcPr>
                <w:p w14:paraId="20C69636">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r>
          </w:tbl>
          <w:p w14:paraId="1E33802F">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具体收取金额为上表（代理服务费收费标准）相应项目类别收费标准*100%，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计算代理服务费收取金额如下：</w:t>
            </w:r>
          </w:p>
          <w:p w14:paraId="5981F437">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100万元×1.5％＝1.5万元</w:t>
            </w:r>
          </w:p>
          <w:p w14:paraId="7BF7001E">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（500－100）万元×0.8％＝3.2万元</w:t>
            </w:r>
          </w:p>
          <w:p w14:paraId="2C856377">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（1000－500）万元×0.45％＝2.25万元</w:t>
            </w:r>
          </w:p>
          <w:p w14:paraId="792C4FD1">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（5000－1000）万元×0.25％＝10万元</w:t>
            </w:r>
          </w:p>
          <w:p w14:paraId="73832260">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（6000－5000）万元×0.1％＝1万元</w:t>
            </w:r>
          </w:p>
          <w:p w14:paraId="1D96F341">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合计收费＝1.5＋3.2＋2.25＋10＋1＝17.95(万元)</w:t>
            </w:r>
          </w:p>
          <w:p w14:paraId="0B7F6664">
            <w:pPr>
              <w:pStyle w:val="40"/>
              <w:adjustRightInd w:val="0"/>
              <w:snapToGrid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0BE8346C">
      <w:pPr>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br w:type="page"/>
      </w:r>
      <w:bookmarkEnd w:id="5"/>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须知</w:t>
      </w:r>
      <w:r>
        <w:rPr>
          <w:rFonts w:hint="eastAsia" w:asciiTheme="minorEastAsia" w:hAnsiTheme="minorEastAsia" w:eastAsiaTheme="minorEastAsia"/>
          <w:b/>
          <w:color w:val="000000" w:themeColor="text1"/>
          <w:highlight w:val="none"/>
          <w14:textFill>
            <w14:solidFill>
              <w14:schemeClr w14:val="tx1"/>
            </w14:solidFill>
          </w14:textFill>
        </w:rPr>
        <w:t>正文</w:t>
      </w:r>
    </w:p>
    <w:p w14:paraId="409E87B1">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1.有关定义</w:t>
      </w:r>
    </w:p>
    <w:p w14:paraId="7BE64F5F">
      <w:pPr>
        <w:ind w:firstLine="480"/>
        <w:outlineLvl w:val="3"/>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本项目的交易方式为</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询比</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，业主单位为项目实施建设的发包人（甲方），供应商为参与</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询比</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的主体，成交人为参与</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询比</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，并获得项目实施的承包人（乙方）。</w:t>
      </w:r>
    </w:p>
    <w:p w14:paraId="1BC0D724">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2.资金来源</w:t>
      </w:r>
    </w:p>
    <w:p w14:paraId="258783F8">
      <w:pPr>
        <w:ind w:firstLine="482"/>
        <w:outlineLvl w:val="3"/>
        <w:rPr>
          <w:rFonts w:hint="eastAsia" w:asciiTheme="minorEastAsia" w:hAnsiTheme="minorEastAsia" w:eastAsiaTheme="minorEastAsia" w:cstheme="minorEastAsia"/>
          <w:b w:val="0"/>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highlight w:val="none"/>
          <w:lang w:val="en-US" w:eastAsia="zh-CN"/>
          <w14:textFill>
            <w14:solidFill>
              <w14:schemeClr w14:val="tx1"/>
            </w14:solidFill>
          </w14:textFill>
        </w:rPr>
        <w:t>财政资金。</w:t>
      </w:r>
    </w:p>
    <w:p w14:paraId="6A430C3A">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b/>
          <w:color w:val="000000" w:themeColor="text1"/>
          <w:highlight w:val="none"/>
          <w14:textFill>
            <w14:solidFill>
              <w14:schemeClr w14:val="tx1"/>
            </w14:solidFill>
          </w14:textFill>
        </w:rPr>
        <w:t>费用</w:t>
      </w:r>
    </w:p>
    <w:p w14:paraId="52E08EA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的结果如何，供应商应承担其所有与准备和参加</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有关的费用。</w:t>
      </w:r>
    </w:p>
    <w:p w14:paraId="742664F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4.</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b/>
          <w:color w:val="000000" w:themeColor="text1"/>
          <w:highlight w:val="none"/>
          <w14:textFill>
            <w14:solidFill>
              <w14:schemeClr w14:val="tx1"/>
            </w14:solidFill>
          </w14:textFill>
        </w:rPr>
        <w:t>文件的澄清与修改</w:t>
      </w:r>
    </w:p>
    <w:p w14:paraId="19655AD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4.1供应商如对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文件内容有疑问，按供应商须知前附表规定提出。</w:t>
      </w:r>
    </w:p>
    <w:p w14:paraId="3B58731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4.2业主单位可主动或在解答供应商提出的问题时对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文件进行澄清或者修改。代理机构将在优质采云采购平台</w:t>
      </w:r>
      <w:r>
        <w:rPr>
          <w:rFonts w:hint="eastAsia" w:cs="宋体"/>
          <w:color w:val="000000" w:themeColor="text1"/>
          <w:szCs w:val="18"/>
          <w:highlight w:val="none"/>
          <w14:textFill>
            <w14:solidFill>
              <w14:schemeClr w14:val="tx1"/>
            </w14:solidFill>
          </w14:textFill>
        </w:rPr>
        <w:t>（http://www.youzhicai.com/）</w:t>
      </w:r>
      <w:r>
        <w:rPr>
          <w:rFonts w:hint="eastAsia" w:asciiTheme="minorEastAsia" w:hAnsiTheme="minorEastAsia" w:eastAsiaTheme="minorEastAsia" w:cstheme="minorEastAsia"/>
          <w:color w:val="000000" w:themeColor="text1"/>
          <w:highlight w:val="none"/>
          <w14:textFill>
            <w14:solidFill>
              <w14:schemeClr w14:val="tx1"/>
            </w14:solidFill>
          </w14:textFill>
        </w:rPr>
        <w:t>澄清或修改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文件，供应商应主动上网查询。代理机构和业主单位不承担供应商未及时关注相关信息引发的相关责任。</w:t>
      </w:r>
    </w:p>
    <w:p w14:paraId="6F5B6A2A">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4.3任何人或任何组织向供应商提供的任何书面或口头资料，未经代理机构在网上发布或书面通知，均作无效处理，不得作为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文件的组成部分。代理机构对供应商由此而做出的推论、理解和结论概不负责。</w:t>
      </w:r>
    </w:p>
    <w:p w14:paraId="78874009">
      <w:pPr>
        <w:ind w:firstLine="480"/>
        <w:rPr>
          <w:rFonts w:hint="eastAsia" w:asciiTheme="minorEastAsia" w:hAnsiTheme="minorEastAsia" w:eastAsiaTheme="minorEastAsia" w:cstheme="minorEastAsia"/>
          <w:i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4.4对于没有提出疑问又参与了本项目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的供应商将被视为完全认同本</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文件（含澄清、修改等内容）</w:t>
      </w:r>
      <w:r>
        <w:rPr>
          <w:rFonts w:hint="eastAsia" w:asciiTheme="minorEastAsia" w:hAnsiTheme="minorEastAsia" w:eastAsiaTheme="minorEastAsia" w:cstheme="minorEastAsia"/>
          <w:iCs/>
          <w:color w:val="000000" w:themeColor="text1"/>
          <w:highlight w:val="none"/>
          <w14:textFill>
            <w14:solidFill>
              <w14:schemeClr w14:val="tx1"/>
            </w14:solidFill>
          </w14:textFill>
        </w:rPr>
        <w:t>。</w:t>
      </w:r>
    </w:p>
    <w:p w14:paraId="533A8EFA">
      <w:pPr>
        <w:numPr>
          <w:ilvl w:val="0"/>
          <w:numId w:val="2"/>
        </w:num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b/>
          <w:color w:val="000000" w:themeColor="text1"/>
          <w:highlight w:val="none"/>
          <w14:textFill>
            <w14:solidFill>
              <w14:schemeClr w14:val="tx1"/>
            </w14:solidFill>
          </w14:textFill>
        </w:rPr>
        <w:t>范围及响应文件中标准和计量单位的使用</w:t>
      </w:r>
    </w:p>
    <w:p w14:paraId="4AB0BB7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5.1项目有分包的，供应商可参与其中某一个或多个分包的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，成交包数详见供应商须知前附表中规定。</w:t>
      </w:r>
    </w:p>
    <w:p w14:paraId="0F0C27F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5.2无论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文件中是否要求，供应商所承担项目及伴随的货物和服务均应符合国家强制性标准。</w:t>
      </w:r>
    </w:p>
    <w:p w14:paraId="4548C94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5.3供应商与代理机构之间与</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有关的所有往来通知、函件和响应文件均用中文表述。供应商随响应文件提供的证明文件和资料可以为其他语言，但必须附中文译文。翻译的中文资料与外文资料如果出现差异时，以中文为准。</w:t>
      </w:r>
    </w:p>
    <w:p w14:paraId="0F22A5F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5.4除</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文件中有特殊要求外，响应文件中所使用的计量单位，应采用中华人民共和国法定计量单位。</w:t>
      </w:r>
    </w:p>
    <w:p w14:paraId="32AC60AC">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6.响应文件构成</w:t>
      </w:r>
    </w:p>
    <w:p w14:paraId="682D4A15">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6.1供应商应完整地按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文件提供的响应文件格式及</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文件评审要求编写响应文件，具体内容详见第六章响应文件格式的相关内容。</w:t>
      </w:r>
    </w:p>
    <w:p w14:paraId="7513CA1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6.2上述文件应按照</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文件规定的格式填写、签署和盖章。</w:t>
      </w:r>
    </w:p>
    <w:p w14:paraId="2DC07834">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7.报价</w:t>
      </w:r>
    </w:p>
    <w:p w14:paraId="7A68B9A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的报价应当包括满足本次</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全部</w:t>
      </w:r>
      <w:r>
        <w:rPr>
          <w:rFonts w:hint="eastAsia"/>
          <w:color w:val="000000" w:themeColor="text1"/>
          <w:highlight w:val="none"/>
          <w14:textFill>
            <w14:solidFill>
              <w14:schemeClr w14:val="tx1"/>
            </w14:solidFill>
          </w14:textFill>
        </w:rPr>
        <w:t>内容。所有报价均应以人民币报价，</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报价应遵守《中华人民共和国价格法》。</w:t>
      </w:r>
    </w:p>
    <w:p w14:paraId="0EFF230B">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应在分项报价表上标明</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工程的单价（如适用）和总价，未标明的视同包含在</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报价中。</w:t>
      </w:r>
    </w:p>
    <w:p w14:paraId="770C6A3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报价不得高于</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文件（公告）列明的项目预算</w:t>
      </w:r>
      <w:r>
        <w:rPr>
          <w:rFonts w:hint="eastAsia"/>
          <w:color w:val="000000" w:themeColor="text1"/>
          <w:highlight w:val="none"/>
          <w14:textFill>
            <w14:solidFill>
              <w14:schemeClr w14:val="tx1"/>
            </w14:solidFill>
          </w14:textFill>
        </w:rPr>
        <w:t>、最高限价（控制价）</w:t>
      </w:r>
      <w:r>
        <w:rPr>
          <w:color w:val="000000" w:themeColor="text1"/>
          <w:highlight w:val="none"/>
          <w14:textFill>
            <w14:solidFill>
              <w14:schemeClr w14:val="tx1"/>
            </w14:solidFill>
          </w14:textFill>
        </w:rPr>
        <w:t>，否则其响应文件将被认定为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55E35D8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4报价</w:t>
      </w:r>
      <w:r>
        <w:rPr>
          <w:color w:val="000000" w:themeColor="text1"/>
          <w:highlight w:val="none"/>
          <w14:textFill>
            <w14:solidFill>
              <w14:schemeClr w14:val="tx1"/>
            </w14:solidFill>
          </w14:textFill>
        </w:rPr>
        <w:t>在合同履行过程中是固定不变的，不得以任何理由予以变更。任何包含价格调整要求的</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，其</w:t>
      </w:r>
      <w:r>
        <w:rPr>
          <w:rFonts w:hint="eastAsia"/>
          <w:color w:val="000000" w:themeColor="text1"/>
          <w:highlight w:val="none"/>
          <w14:textFill>
            <w14:solidFill>
              <w14:schemeClr w14:val="tx1"/>
            </w14:solidFill>
          </w14:textFill>
        </w:rPr>
        <w:t>响应文件将被认定为</w:t>
      </w:r>
      <w:r>
        <w:rPr>
          <w:rFonts w:hint="eastAsia"/>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44307723">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不接受具有附加条件的报价。</w:t>
      </w:r>
    </w:p>
    <w:p w14:paraId="4DB598DE">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8.</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b/>
          <w:color w:val="000000" w:themeColor="text1"/>
          <w:highlight w:val="none"/>
          <w14:textFill>
            <w14:solidFill>
              <w14:schemeClr w14:val="tx1"/>
            </w14:solidFill>
          </w14:textFill>
        </w:rPr>
        <w:t>有效期</w:t>
      </w:r>
    </w:p>
    <w:p w14:paraId="57DE3000">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有效期为从响应文件提交截止之日算起的日历天数，</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有效期详见</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须知前附表。</w:t>
      </w:r>
    </w:p>
    <w:p w14:paraId="7DC5940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.2在</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有效期内，</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保持有效，</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不得要求撤销或修改其响应文件。</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有效期不满足要求的响应，其响应文件将被认定为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774F9858">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.3为保证有充分时间签订合同，</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可根据实际情况，在原</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有效期截止之前，要求</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延长</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有效期。接受该要求的</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将不会被要求和允许修正其响应文件。</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可以拒绝延长</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有效期的要求，且不承担任何责任。上述要求和答复都应以书面形式提交。</w:t>
      </w:r>
    </w:p>
    <w:p w14:paraId="49CAFD3B">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9.响应文件的制作</w:t>
      </w:r>
    </w:p>
    <w:p w14:paraId="5B4A8D87">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9.1.本项目采用全流程电子化方式，</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必须递交电子响应文件，并对电子响应文件进行电子签章并使用CA锁进行加密，在</w:t>
      </w:r>
      <w:r>
        <w:rPr>
          <w:rFonts w:hint="eastAsia" w:cs="宋体"/>
          <w:color w:val="000000" w:themeColor="text1"/>
          <w:highlight w:val="none"/>
          <w:lang w:eastAsia="zh-CN"/>
          <w14:textFill>
            <w14:solidFill>
              <w14:schemeClr w14:val="tx1"/>
            </w14:solidFill>
          </w14:textFill>
        </w:rPr>
        <w:t>询比</w:t>
      </w:r>
      <w:r>
        <w:rPr>
          <w:rFonts w:hint="eastAsia" w:cs="宋体"/>
          <w:color w:val="000000" w:themeColor="text1"/>
          <w:highlight w:val="none"/>
          <w14:textFill>
            <w14:solidFill>
              <w14:schemeClr w14:val="tx1"/>
            </w14:solidFill>
          </w14:textFill>
        </w:rPr>
        <w:t>文件规定的响应截止时间前使用“优质采投标工具客户端”完成上传。</w:t>
      </w:r>
    </w:p>
    <w:p w14:paraId="690C30BA">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9.2.全流程电</w:t>
      </w:r>
      <w:r>
        <w:rPr>
          <w:rFonts w:hint="eastAsia" w:cs="宋体"/>
          <w:color w:val="000000" w:themeColor="text1"/>
          <w:highlight w:val="none"/>
          <w:lang w:eastAsia="zh-CN"/>
          <w14:textFill>
            <w14:solidFill>
              <w14:schemeClr w14:val="tx1"/>
            </w14:solidFill>
          </w14:textFill>
        </w:rPr>
        <w:t>询比</w:t>
      </w:r>
      <w:r>
        <w:rPr>
          <w:rFonts w:hint="eastAsia" w:cs="宋体"/>
          <w:color w:val="000000" w:themeColor="text1"/>
          <w:highlight w:val="none"/>
          <w14:textFill>
            <w14:solidFill>
              <w14:schemeClr w14:val="tx1"/>
            </w14:solidFill>
          </w14:textFill>
        </w:rPr>
        <w:t>项目</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必须上传CA锁加密的电子响应文件，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下载</w:t>
      </w:r>
      <w:r>
        <w:rPr>
          <w:rFonts w:hint="eastAsia" w:cs="宋体"/>
          <w:color w:val="000000" w:themeColor="text1"/>
          <w:highlight w:val="none"/>
          <w:lang w:eastAsia="zh-CN"/>
          <w14:textFill>
            <w14:solidFill>
              <w14:schemeClr w14:val="tx1"/>
            </w14:solidFill>
          </w14:textFill>
        </w:rPr>
        <w:t>询比</w:t>
      </w:r>
      <w:r>
        <w:rPr>
          <w:rFonts w:hint="eastAsia" w:cs="宋体"/>
          <w:color w:val="000000" w:themeColor="text1"/>
          <w:highlight w:val="none"/>
          <w14:textFill>
            <w14:solidFill>
              <w14:schemeClr w14:val="tx1"/>
            </w14:solidFill>
          </w14:textFill>
        </w:rPr>
        <w:t>文件后，如未在</w:t>
      </w:r>
      <w:r>
        <w:rPr>
          <w:rFonts w:hint="eastAsia" w:cs="宋体"/>
          <w:color w:val="000000" w:themeColor="text1"/>
          <w:highlight w:val="none"/>
          <w:lang w:eastAsia="zh-CN"/>
          <w14:textFill>
            <w14:solidFill>
              <w14:schemeClr w14:val="tx1"/>
            </w14:solidFill>
          </w14:textFill>
        </w:rPr>
        <w:t>询比</w:t>
      </w:r>
      <w:r>
        <w:rPr>
          <w:rFonts w:hint="eastAsia" w:cs="宋体"/>
          <w:color w:val="000000" w:themeColor="text1"/>
          <w:highlight w:val="none"/>
          <w14:textFill>
            <w14:solidFill>
              <w14:schemeClr w14:val="tx1"/>
            </w14:solidFill>
          </w14:textFill>
        </w:rPr>
        <w:t>文件规定的响应文件递交截止时间前上传电子响应文件，视为无效；</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在响应文件递交截止时间前，可以对其所递交的电子响应文件进行撤回，修改后重新上传（具体操作详见教程）；</w:t>
      </w:r>
    </w:p>
    <w:p w14:paraId="53E58CA0">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9.3.响应文件递交截止时间以优质采云采购平台（</w:t>
      </w:r>
      <w:r>
        <w:rPr>
          <w:rFonts w:hint="eastAsia" w:cs="宋体"/>
          <w:color w:val="000000" w:themeColor="text1"/>
          <w:szCs w:val="18"/>
          <w:highlight w:val="none"/>
          <w14:textFill>
            <w14:solidFill>
              <w14:schemeClr w14:val="tx1"/>
            </w14:solidFill>
          </w14:textFill>
        </w:rPr>
        <w:t>http://www.youzhicai.com/</w:t>
      </w:r>
      <w:r>
        <w:rPr>
          <w:rFonts w:hint="eastAsia" w:cs="宋体"/>
          <w:color w:val="000000" w:themeColor="text1"/>
          <w:highlight w:val="none"/>
          <w14:textFill>
            <w14:solidFill>
              <w14:schemeClr w14:val="tx1"/>
            </w14:solidFill>
          </w14:textFill>
        </w:rPr>
        <w:t>）系统的时间为准，逾期系统将自动关闭，电子响应文件未完成上传的，视为没有递交响应文件；</w:t>
      </w:r>
    </w:p>
    <w:p w14:paraId="163D39C5">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9.4.响应文件可远程解密，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无需到达</w:t>
      </w:r>
      <w:r>
        <w:rPr>
          <w:rFonts w:hint="eastAsia" w:cs="宋体"/>
          <w:color w:val="000000" w:themeColor="text1"/>
          <w:highlight w:val="none"/>
          <w:lang w:eastAsia="zh-CN"/>
          <w14:textFill>
            <w14:solidFill>
              <w14:schemeClr w14:val="tx1"/>
            </w14:solidFill>
          </w14:textFill>
        </w:rPr>
        <w:t>询比</w:t>
      </w:r>
      <w:r>
        <w:rPr>
          <w:rFonts w:hint="eastAsia" w:cs="宋体"/>
          <w:color w:val="000000" w:themeColor="text1"/>
          <w:highlight w:val="none"/>
          <w14:textFill>
            <w14:solidFill>
              <w14:schemeClr w14:val="tx1"/>
            </w14:solidFill>
          </w14:textFill>
        </w:rPr>
        <w:t>现场。</w:t>
      </w:r>
      <w:r>
        <w:rPr>
          <w:rFonts w:hint="eastAsia" w:cs="宋体"/>
          <w:color w:val="000000" w:themeColor="text1"/>
          <w:highlight w:val="none"/>
          <w:lang w:eastAsia="zh-CN"/>
          <w14:textFill>
            <w14:solidFill>
              <w14:schemeClr w14:val="tx1"/>
            </w14:solidFill>
          </w14:textFill>
        </w:rPr>
        <w:t>询比</w:t>
      </w:r>
      <w:r>
        <w:rPr>
          <w:rFonts w:hint="eastAsia" w:cs="宋体"/>
          <w:color w:val="000000" w:themeColor="text1"/>
          <w:highlight w:val="none"/>
          <w14:textFill>
            <w14:solidFill>
              <w14:schemeClr w14:val="tx1"/>
            </w14:solidFill>
          </w14:textFill>
        </w:rPr>
        <w:t>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须知”中另有规定的，从其规定。</w:t>
      </w:r>
    </w:p>
    <w:p w14:paraId="21F38EA6">
      <w:pPr>
        <w:ind w:firstLine="480"/>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9.5.</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highlight w:val="none"/>
          <w14:textFill>
            <w14:solidFill>
              <w14:schemeClr w14:val="tx1"/>
            </w14:solidFill>
          </w14:textFill>
        </w:rPr>
        <w:t>在制作、上传电子响应文件过程中，若存在技术操作问题，请及时联系优质采云采购平台客服人员，客服电话：400-0099-555，0551-62220164，0551-62220012。</w:t>
      </w:r>
    </w:p>
    <w:p w14:paraId="2FABC47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10.响应文件提交截止时间</w:t>
      </w:r>
    </w:p>
    <w:p w14:paraId="1F884897">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10.1供应商应在供应商须知前附表中规定的响应文件提交截止时间前，在网上提交加密电子响应文件。</w:t>
      </w:r>
    </w:p>
    <w:p w14:paraId="1B22A2A8">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10.2供应商在</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文件规定的响应文件提交截止时间前上传了网上加密电子响应文件，但未在规定时间内进行解密的，响应无效。</w:t>
      </w:r>
    </w:p>
    <w:p w14:paraId="76DC762A">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10.3业主单位和代理机构延迟响应文件提交截止时间的，在此情况下，业主单位、代理机构和供应商受响应文件提交截止时间制约的所有权利和义务均应延长至新的截止时间。</w:t>
      </w:r>
    </w:p>
    <w:p w14:paraId="6CAC7221">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11.响应文件的提交、修改与撤回</w:t>
      </w:r>
    </w:p>
    <w:p w14:paraId="7AAA6223">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11.1供应商应当在第一章“</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邀请”规定的响应文件提交截止时间前，将加密的响应文件在优质采云采购平台（http://www.youzhicai.com/）上传。</w:t>
      </w:r>
    </w:p>
    <w:p w14:paraId="5C906C2E">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1DBBA968">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11.3供应商应在供应商须知前附表规定的解密时间前（以优质采云采购平台（http://www.youzhicai.com/）系统的解密倒计时为准）对本单位的响应文件进行解密，代理机构工作人员解密所有响应文件。</w:t>
      </w:r>
    </w:p>
    <w:p w14:paraId="5BCCE67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11.4在响应文件提交截止时间之后，供应商不得对其响应文件做任何修改。但属于评审委员会在评审中发现的计算错误并进行核实的修改、按照</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文件的变动情况和评审委员会的要求重新提交响应文件的，不在此列。</w:t>
      </w:r>
    </w:p>
    <w:p w14:paraId="4900820C">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12.评审委员会</w:t>
      </w:r>
    </w:p>
    <w:p w14:paraId="6740A1DE">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57325508">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12.2评审委员会根据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文件规定的评审方法和标准对供应商提交的响应文件进行评审，从质量和服务均能满足</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文件实质性响应要求的供应商中推荐成交候选人，并编写评审报告。</w:t>
      </w:r>
    </w:p>
    <w:p w14:paraId="35F6D07E">
      <w:pPr>
        <w:ind w:firstLine="482"/>
        <w:outlineLvl w:val="3"/>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13</w:t>
      </w:r>
      <w:r>
        <w:rPr>
          <w:rFonts w:asciiTheme="minorEastAsia" w:hAnsiTheme="minorEastAsia" w:eastAsiaTheme="minorEastAsia" w:cstheme="minorEastAsia"/>
          <w:b/>
          <w:color w:val="000000" w:themeColor="text1"/>
          <w:highlight w:val="none"/>
          <w14:textFill>
            <w14:solidFill>
              <w14:schemeClr w14:val="tx1"/>
            </w14:solidFill>
          </w14:textFill>
        </w:rPr>
        <w:t>.响应文件的评审与</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询比</w:t>
      </w:r>
    </w:p>
    <w:p w14:paraId="24301730">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和代理机构将在</w:t>
      </w:r>
      <w:r>
        <w:rPr>
          <w:rFonts w:hint="eastAsia"/>
          <w:color w:val="000000" w:themeColor="text1"/>
          <w:szCs w:val="18"/>
          <w:highlight w:val="none"/>
          <w:u w:val="single"/>
          <w14:textFill>
            <w14:solidFill>
              <w14:schemeClr w14:val="tx1"/>
            </w14:solidFill>
          </w14:textFill>
        </w:rPr>
        <w:t>参审单位</w:t>
      </w:r>
      <w:r>
        <w:rPr>
          <w:color w:val="000000" w:themeColor="text1"/>
          <w:highlight w:val="none"/>
          <w:u w:val="single"/>
          <w14:textFill>
            <w14:solidFill>
              <w14:schemeClr w14:val="tx1"/>
            </w14:solidFill>
          </w14:textFill>
        </w:rPr>
        <w:t>须知前附表</w:t>
      </w:r>
      <w:r>
        <w:rPr>
          <w:rFonts w:hint="eastAsia"/>
          <w:color w:val="000000" w:themeColor="text1"/>
          <w:highlight w:val="none"/>
          <w14:textFill>
            <w14:solidFill>
              <w14:schemeClr w14:val="tx1"/>
            </w14:solidFill>
          </w14:textFill>
        </w:rPr>
        <w:t>规定的时间和地点组织</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w:t>
      </w:r>
    </w:p>
    <w:p w14:paraId="0562D086">
      <w:pPr>
        <w:ind w:firstLine="480"/>
        <w:rPr>
          <w:rFonts w:hint="eastAsia" w:eastAsia="宋体"/>
          <w:color w:val="000000" w:themeColor="text1"/>
          <w:highlight w:val="none"/>
          <w:lang w:eastAsia="zh-CN"/>
          <w14:textFill>
            <w14:solidFill>
              <w14:schemeClr w14:val="tx1"/>
            </w14:solidFill>
          </w14:textFill>
        </w:rPr>
      </w:pPr>
      <w:r>
        <w:rPr>
          <w:rFonts w:ascii="宋体" w:hAnsi="宋体" w:eastAsia="宋体" w:cs="宋体"/>
          <w:sz w:val="24"/>
          <w:szCs w:val="24"/>
        </w:rPr>
        <w:t>13.2询比活动采用最低评标价法评审。</w:t>
      </w:r>
      <w:r>
        <w:rPr>
          <w:rFonts w:ascii="宋体" w:hAnsi="宋体" w:eastAsia="宋体" w:cs="宋体"/>
          <w:sz w:val="24"/>
          <w:szCs w:val="24"/>
        </w:rPr>
        <w:br w:type="textWrapping"/>
      </w:r>
      <w:r>
        <w:rPr>
          <w:rFonts w:ascii="宋体" w:hAnsi="宋体" w:eastAsia="宋体" w:cs="宋体"/>
          <w:sz w:val="24"/>
          <w:szCs w:val="24"/>
        </w:rPr>
        <w:t>最低评审价法，是指响应文件满足询比文件全部实质性要求，且报价最低的供应商为成交候选人的评审方法</w:t>
      </w:r>
      <w:r>
        <w:rPr>
          <w:rFonts w:hint="eastAsia" w:ascii="宋体" w:hAnsi="宋体" w:eastAsia="宋体" w:cs="宋体"/>
          <w:sz w:val="24"/>
          <w:szCs w:val="24"/>
          <w:lang w:eastAsia="zh-CN"/>
        </w:rPr>
        <w:t>。</w:t>
      </w:r>
    </w:p>
    <w:p w14:paraId="3F36C6D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小组将按照</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文件规定的</w:t>
      </w:r>
      <w:r>
        <w:rPr>
          <w:color w:val="000000" w:themeColor="text1"/>
          <w:highlight w:val="none"/>
          <w14:textFill>
            <w14:solidFill>
              <w14:schemeClr w14:val="tx1"/>
            </w14:solidFill>
          </w14:textFill>
        </w:rPr>
        <w:t>评审</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r>
        <w:rPr>
          <w:rFonts w:hint="eastAsia"/>
          <w:color w:val="000000" w:themeColor="text1"/>
          <w:highlight w:val="none"/>
          <w14:textFill>
            <w14:solidFill>
              <w14:schemeClr w14:val="tx1"/>
            </w14:solidFill>
          </w14:textFill>
        </w:rPr>
        <w:t>和标准对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独立进行评审。评审程序如下：</w:t>
      </w:r>
    </w:p>
    <w:p w14:paraId="41F4DB0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13.3.1</w:t>
      </w:r>
      <w:r>
        <w:rPr>
          <w:rFonts w:hint="eastAsia"/>
          <w:b/>
          <w:color w:val="000000" w:themeColor="text1"/>
          <w:highlight w:val="none"/>
          <w14:textFill>
            <w14:solidFill>
              <w14:schemeClr w14:val="tx1"/>
            </w14:solidFill>
          </w14:textFill>
        </w:rPr>
        <w:t>初审</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小组对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必须满足和实质性响应的内容进行评审，</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未实质性响应</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文件要求导致响应无效的，</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小组将以书面询问的方式告知有关</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w:t>
      </w:r>
    </w:p>
    <w:p w14:paraId="58E31D56">
      <w:pPr>
        <w:ind w:firstLine="470" w:firstLineChars="196"/>
        <w:rPr>
          <w:rFonts w:hint="eastAsia"/>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代理机构将在响应文件提交截止时间后至评审结束前查询</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的信用记录。</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存在不良信用记录的，其响应文件将被认定为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5E58E9EF">
      <w:pPr>
        <w:ind w:firstLine="470" w:firstLineChars="196"/>
        <w:rPr>
          <w:rFonts w:hint="eastAsia"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13.3.1.1信用信息查询渠道：</w:t>
      </w:r>
    </w:p>
    <w:p w14:paraId="18085F19">
      <w:pPr>
        <w:ind w:firstLine="480"/>
        <w:rPr>
          <w:rFonts w:hint="eastAsia" w:cs="宋体"/>
          <w:color w:val="000000" w:themeColor="text1"/>
          <w:szCs w:val="24"/>
          <w:highlight w:val="none"/>
          <w14:textFill>
            <w14:solidFill>
              <w14:schemeClr w14:val="tx1"/>
            </w14:solidFill>
          </w14:textFill>
        </w:rPr>
      </w:pPr>
      <w:bookmarkStart w:id="6" w:name="_Hlk192058264"/>
      <w:r>
        <w:rPr>
          <w:rFonts w:hint="eastAsia" w:cs="宋体"/>
          <w:color w:val="000000" w:themeColor="text1"/>
          <w:szCs w:val="24"/>
          <w:highlight w:val="none"/>
          <w14:textFill>
            <w14:solidFill>
              <w14:schemeClr w14:val="tx1"/>
            </w14:solidFill>
          </w14:textFill>
        </w:rPr>
        <w:t>（</w:t>
      </w:r>
      <w:r>
        <w:rPr>
          <w:rFonts w:hint="eastAsia" w:cs="宋体"/>
          <w:color w:val="000000" w:themeColor="text1"/>
          <w:szCs w:val="24"/>
          <w:highlight w:val="none"/>
          <w:lang w:val="en-US" w:eastAsia="zh-CN"/>
          <w14:textFill>
            <w14:solidFill>
              <w14:schemeClr w14:val="tx1"/>
            </w14:solidFill>
          </w14:textFill>
        </w:rPr>
        <w:t>1</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6C6FAE5C">
      <w:pPr>
        <w:ind w:firstLine="480"/>
        <w:rPr>
          <w:rFonts w:hint="eastAsia"/>
          <w:color w:val="000000" w:themeColor="text1"/>
          <w:highlight w:val="none"/>
          <w:lang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hint="eastAsia" w:cs="宋体"/>
          <w:color w:val="000000" w:themeColor="text1"/>
          <w:szCs w:val="24"/>
          <w:highlight w:val="none"/>
          <w:lang w:val="en-US" w:eastAsia="zh-CN"/>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）在“信用中国”网站（http://www.creditchina.gov.cn/）中被列入重大税收违法案件当事人名单；</w:t>
      </w:r>
    </w:p>
    <w:bookmarkEnd w:id="6"/>
    <w:p w14:paraId="21A38B75">
      <w:pPr>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以联合体形式参加</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的，联合体任何成员存在以上不良信用记录的，联合体</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7521A33E">
      <w:pPr>
        <w:ind w:firstLine="480"/>
        <w:jc w:val="left"/>
        <w:rPr>
          <w:rFonts w:hint="eastAsia"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13.3.1.2</w:t>
      </w:r>
      <w:r>
        <w:rPr>
          <w:rFonts w:cs="宋体"/>
          <w:color w:val="000000" w:themeColor="text1"/>
          <w:kern w:val="21"/>
          <w:szCs w:val="24"/>
          <w:highlight w:val="none"/>
          <w:lang w:bidi="ar"/>
          <w14:textFill>
            <w14:solidFill>
              <w14:schemeClr w14:val="tx1"/>
            </w14:solidFill>
          </w14:textFill>
        </w:rPr>
        <w:t>参审单位不良信用记录以业主单位或代理机构查询结果为准</w:t>
      </w:r>
      <w:r>
        <w:rPr>
          <w:rFonts w:hint="eastAsia" w:cs="宋体"/>
          <w:color w:val="000000" w:themeColor="text1"/>
          <w:kern w:val="21"/>
          <w:szCs w:val="24"/>
          <w:highlight w:val="none"/>
          <w:lang w:bidi="ar"/>
          <w14:textFill>
            <w14:solidFill>
              <w14:schemeClr w14:val="tx1"/>
            </w14:solidFill>
          </w14:textFill>
        </w:rPr>
        <w:t>。</w:t>
      </w:r>
    </w:p>
    <w:p w14:paraId="4E5D7C07">
      <w:pPr>
        <w:ind w:firstLine="480"/>
        <w:jc w:val="left"/>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在本</w:t>
      </w:r>
      <w:r>
        <w:rPr>
          <w:rFonts w:hint="eastAsia" w:cs="宋体"/>
          <w:color w:val="000000" w:themeColor="text1"/>
          <w:szCs w:val="24"/>
          <w:highlight w:val="none"/>
          <w:lang w:eastAsia="zh-CN" w:bidi="ar"/>
          <w14:textFill>
            <w14:solidFill>
              <w14:schemeClr w14:val="tx1"/>
            </w14:solidFill>
          </w14:textFill>
        </w:rPr>
        <w:t>询比</w:t>
      </w:r>
      <w:r>
        <w:rPr>
          <w:rFonts w:hint="eastAsia" w:cs="宋体"/>
          <w:color w:val="000000" w:themeColor="text1"/>
          <w:szCs w:val="24"/>
          <w:highlight w:val="none"/>
          <w:lang w:bidi="ar"/>
          <w14:textFill>
            <w14:solidFill>
              <w14:schemeClr w14:val="tx1"/>
            </w14:solidFill>
          </w14:textFill>
        </w:rPr>
        <w:t>文件规定的查询时间之外，网站信息发生的任何变更均不作为初审依据。</w:t>
      </w:r>
    </w:p>
    <w:p w14:paraId="59179DEE">
      <w:pPr>
        <w:ind w:firstLine="480"/>
        <w:jc w:val="left"/>
        <w:rPr>
          <w:rFonts w:hint="eastAsia"/>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自行提供的与网站信息不一致的其他证明材料亦不作为初审依据。</w:t>
      </w:r>
    </w:p>
    <w:p w14:paraId="6DC52BE3">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13.4相关说明。</w:t>
      </w:r>
    </w:p>
    <w:p w14:paraId="77FA360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13.4.1为保证</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活动顺利进行，</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 xml:space="preserve">可派相关技术人员进行网上答疑； </w:t>
      </w:r>
    </w:p>
    <w:p w14:paraId="16F1D15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13.4.2</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小组根据与</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情况可能实质性变动</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文件</w:t>
      </w:r>
      <w:r>
        <w:rPr>
          <w:color w:val="000000" w:themeColor="text1"/>
          <w:highlight w:val="none"/>
          <w14:textFill>
            <w14:solidFill>
              <w14:schemeClr w14:val="tx1"/>
            </w14:solidFill>
          </w14:textFill>
        </w:rPr>
        <w:t>的内容，包括</w:t>
      </w:r>
      <w:r>
        <w:rPr>
          <w:rFonts w:hint="eastAsia"/>
          <w:color w:val="000000" w:themeColor="text1"/>
          <w:highlight w:val="none"/>
          <w14:textFill>
            <w14:solidFill>
              <w14:schemeClr w14:val="tx1"/>
            </w14:solidFill>
          </w14:textFill>
        </w:rPr>
        <w:t>项目需求</w:t>
      </w:r>
      <w:r>
        <w:rPr>
          <w:color w:val="000000" w:themeColor="text1"/>
          <w:highlight w:val="none"/>
          <w14:textFill>
            <w14:solidFill>
              <w14:schemeClr w14:val="tx1"/>
            </w14:solidFill>
          </w14:textFill>
        </w:rPr>
        <w:t>中的技术、服务要求以及合同草案条款。</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文件有实质性变动的，</w:t>
      </w:r>
      <w:r>
        <w:rPr>
          <w:rFonts w:hint="eastAsia"/>
          <w:color w:val="000000" w:themeColor="text1"/>
          <w:highlight w:val="none"/>
          <w14:textFill>
            <w14:solidFill>
              <w14:schemeClr w14:val="tx1"/>
            </w14:solidFill>
          </w14:textFill>
        </w:rPr>
        <w:t>经</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代表确认作为</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文件的有效组成部分，</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小组</w:t>
      </w:r>
      <w:r>
        <w:rPr>
          <w:rFonts w:hint="eastAsia"/>
          <w:color w:val="000000" w:themeColor="text1"/>
          <w:highlight w:val="none"/>
          <w14:textFill>
            <w14:solidFill>
              <w14:schemeClr w14:val="tx1"/>
            </w14:solidFill>
          </w14:textFill>
        </w:rPr>
        <w:t>将</w:t>
      </w:r>
      <w:r>
        <w:rPr>
          <w:color w:val="000000" w:themeColor="text1"/>
          <w:highlight w:val="none"/>
          <w14:textFill>
            <w14:solidFill>
              <w14:schemeClr w14:val="tx1"/>
            </w14:solidFill>
          </w14:textFill>
        </w:rPr>
        <w:t>以书面形式通知所有参加</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w:t>
      </w:r>
    </w:p>
    <w:p w14:paraId="6E400C1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13.4.3</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小组发现</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的报价或者某些分项报价明显低于其他通过初审的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的报价，有可能影响产品质量和不能诚信履约的，应当要求其在合理的时间内提供书面说明，必要时提交相关证明材料；</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不能证明其报价合理性的，其响应文件将被认定为响应无效。</w:t>
      </w:r>
    </w:p>
    <w:p w14:paraId="6AB9547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13.4.4</w:t>
      </w:r>
      <w:r>
        <w:rPr>
          <w:color w:val="000000" w:themeColor="text1"/>
          <w:highlight w:val="none"/>
          <w14:textFill>
            <w14:solidFill>
              <w14:schemeClr w14:val="tx1"/>
            </w14:solidFill>
          </w14:textFill>
        </w:rPr>
        <w:t>无论何种原因，即使</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时携带了证书材料的原件，但响应文件中未提供与之内容完全一致的</w:t>
      </w:r>
      <w:r>
        <w:rPr>
          <w:rFonts w:hint="eastAsia"/>
          <w:color w:val="000000" w:themeColor="text1"/>
          <w:highlight w:val="none"/>
          <w14:textFill>
            <w14:solidFill>
              <w14:schemeClr w14:val="tx1"/>
            </w14:solidFill>
          </w14:textFill>
        </w:rPr>
        <w:t>扫描件</w:t>
      </w:r>
      <w:r>
        <w:rPr>
          <w:color w:val="000000" w:themeColor="text1"/>
          <w:highlight w:val="none"/>
          <w14:textFill>
            <w14:solidFill>
              <w14:schemeClr w14:val="tx1"/>
            </w14:solidFill>
          </w14:textFill>
        </w:rPr>
        <w:t>或影印件的，</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小组可以视同其未提供。</w:t>
      </w:r>
    </w:p>
    <w:p w14:paraId="4575C3B3">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13.4.5</w:t>
      </w:r>
      <w:r>
        <w:rPr>
          <w:rFonts w:hint="eastAsia"/>
          <w:color w:val="000000" w:themeColor="text1"/>
          <w:highlight w:val="none"/>
          <w:lang w:eastAsia="zh-CN"/>
          <w14:textFill>
            <w14:solidFill>
              <w14:schemeClr w14:val="tx1"/>
            </w14:solidFill>
          </w14:textFill>
        </w:rPr>
        <w:t>询比</w:t>
      </w:r>
      <w:r>
        <w:rPr>
          <w:color w:val="000000" w:themeColor="text1"/>
          <w:highlight w:val="none"/>
          <w14:textFill>
            <w14:solidFill>
              <w14:schemeClr w14:val="tx1"/>
            </w14:solidFill>
          </w14:textFill>
        </w:rPr>
        <w:t>小组决定响应文件的响应性及符合性只根据响应文件本身的内容，而不寻求其他外部证据。</w:t>
      </w:r>
    </w:p>
    <w:p w14:paraId="1751D8B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授权</w:t>
      </w:r>
      <w:r>
        <w:rPr>
          <w:color w:val="000000" w:themeColor="text1"/>
          <w:highlight w:val="none"/>
          <w14:textFill>
            <w14:solidFill>
              <w14:schemeClr w14:val="tx1"/>
            </w14:solidFill>
          </w14:textFill>
        </w:rPr>
        <w:t>代表对</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过程</w:t>
      </w:r>
      <w:r>
        <w:rPr>
          <w:color w:val="000000" w:themeColor="text1"/>
          <w:highlight w:val="none"/>
          <w14:textFill>
            <w14:solidFill>
              <w14:schemeClr w14:val="tx1"/>
            </w14:solidFill>
          </w14:textFill>
        </w:rPr>
        <w:t>有疑义，以及认为</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相关工作人员有需要回避的情形的，应当场提出询问或者回避申请</w:t>
      </w:r>
      <w:r>
        <w:rPr>
          <w:rFonts w:hint="eastAsia"/>
          <w:color w:val="000000" w:themeColor="text1"/>
          <w:highlight w:val="none"/>
          <w14:textFill>
            <w14:solidFill>
              <w14:schemeClr w14:val="tx1"/>
            </w14:solidFill>
          </w14:textFill>
        </w:rPr>
        <w:t>，并说明理由。</w:t>
      </w:r>
      <w:r>
        <w:rPr>
          <w:color w:val="000000" w:themeColor="text1"/>
          <w:highlight w:val="none"/>
          <w14:textFill>
            <w14:solidFill>
              <w14:schemeClr w14:val="tx1"/>
            </w14:solidFill>
          </w14:textFill>
        </w:rPr>
        <w:t xml:space="preserve"> </w:t>
      </w:r>
    </w:p>
    <w:p w14:paraId="38630A7A">
      <w:pPr>
        <w:ind w:firstLine="482"/>
        <w:outlineLvl w:val="3"/>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14.终止</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询比</w:t>
      </w:r>
    </w:p>
    <w:p w14:paraId="7B8C48D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出现下列情况之一时，业主单位和代理机构有权宣布终止</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，并将理由通知所有供应商：</w:t>
      </w:r>
    </w:p>
    <w:p w14:paraId="101581EB">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w:t>
      </w:r>
      <w:r>
        <w:rPr>
          <w:rFonts w:hint="eastAsia" w:cs="@仿宋_GB2312" w:asciiTheme="minorEastAsia" w:hAnsiTheme="minorEastAsia" w:eastAsiaTheme="minorEastAsia"/>
          <w:color w:val="000000" w:themeColor="text1"/>
          <w:kern w:val="2"/>
          <w:szCs w:val="24"/>
          <w:highlight w:val="none"/>
          <w14:textFill>
            <w14:solidFill>
              <w14:schemeClr w14:val="tx1"/>
            </w14:solidFill>
          </w14:textFill>
        </w:rPr>
        <w:t>通过初审的供应商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不足规定数量，导致本次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缺乏竞争的；</w:t>
      </w:r>
    </w:p>
    <w:p w14:paraId="56B9C21E">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14.2出现影响公正的违法、违规行为的；</w:t>
      </w:r>
    </w:p>
    <w:p w14:paraId="610222F4">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14.3因重大变故，交易任务取消的；</w:t>
      </w:r>
    </w:p>
    <w:p w14:paraId="752F3A9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文件有重大漏洞，导致无法继续评审的；</w:t>
      </w:r>
    </w:p>
    <w:p w14:paraId="71511754">
      <w:pPr>
        <w:ind w:firstLine="48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14.5法律法规规定的其他情形。</w:t>
      </w:r>
    </w:p>
    <w:p w14:paraId="03DE4D2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15.响应文件的澄清、说明或更正</w:t>
      </w:r>
    </w:p>
    <w:p w14:paraId="7CA19B9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0D509D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096713B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60C6F14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16.最终报价</w:t>
      </w:r>
    </w:p>
    <w:p w14:paraId="569B6B1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16.1本次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一次性报价。</w:t>
      </w:r>
    </w:p>
    <w:p w14:paraId="766899C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16.2最终报价是供应商响应文件的有效组成部分，最终报价也是签订合同的依据。</w:t>
      </w:r>
    </w:p>
    <w:p w14:paraId="54F1C229">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16.4本项目的服务地点为本须知前附表所述，供应商可到项目现场踏勘以充分了解项目位置、情况及任何其他足以影响</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报价的情况，任何因忽视或误解项目场地情况而导致的索赔或服务期限延长申请将不被批准。对于受项目现场场地限制，如需要另外寻找场地解决临时住宿，由此所产生的费用应包含在</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报价范围内，业主单位不再承担该费用。</w:t>
      </w:r>
    </w:p>
    <w:p w14:paraId="74D3660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16.5本项目不接受</w:t>
      </w:r>
      <w:r>
        <w:rPr>
          <w:rFonts w:hint="eastAsia" w:asciiTheme="minorEastAsia" w:hAnsiTheme="minorEastAsia" w:eastAsiaTheme="minorEastAsia" w:cstheme="minorEastAsia"/>
          <w:color w:val="000000" w:themeColor="text1"/>
          <w:kern w:val="2"/>
          <w:highlight w:val="none"/>
          <w:lang w:val="en-US" w:eastAsia="zh-CN"/>
          <w14:textFill>
            <w14:solidFill>
              <w14:schemeClr w14:val="tx1"/>
            </w14:solidFill>
          </w14:textFill>
        </w:rPr>
        <w:t>具有附加条件的报价</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w:t>
      </w:r>
    </w:p>
    <w:p w14:paraId="3B1F2C2E">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17.成交候选人的推荐原则</w:t>
      </w:r>
    </w:p>
    <w:p w14:paraId="3F25789C">
      <w:pPr>
        <w:ind w:firstLine="480"/>
        <w:rPr>
          <w:rFonts w:hint="eastAsia" w:ascii="宋体" w:hAnsi="宋体" w:eastAsia="宋体" w:cs="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询比小组应当按询比文件规定的标准和方法提出独立评审意见，推荐中标候选人。</w:t>
      </w:r>
    </w:p>
    <w:p w14:paraId="306CDBD0">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17.2凡发现成交候选人有下列行为之一的，成交无效，并移交监管部门依法处理：</w:t>
      </w:r>
    </w:p>
    <w:p w14:paraId="2A4B6CA1">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17.2.1有下列情形之一的，属于</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70761BD5">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17.2.1.1</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之间协商报价等响应文件的实质性内容；</w:t>
      </w:r>
    </w:p>
    <w:p w14:paraId="2C844BB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17.2.1.2</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之间约定成交人；</w:t>
      </w:r>
    </w:p>
    <w:p w14:paraId="7DD1EAF5">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17.2.1.3</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之间约定部分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放弃</w:t>
      </w:r>
      <w:r>
        <w:rPr>
          <w:rFonts w:hint="eastAsia" w:cs="宋体"/>
          <w:color w:val="000000" w:themeColor="text1"/>
          <w:szCs w:val="24"/>
          <w:highlight w:val="none"/>
          <w:lang w:eastAsia="zh-CN" w:bidi="ar"/>
          <w14:textFill>
            <w14:solidFill>
              <w14:schemeClr w14:val="tx1"/>
            </w14:solidFill>
          </w14:textFill>
        </w:rPr>
        <w:t>询比</w:t>
      </w:r>
      <w:r>
        <w:rPr>
          <w:rFonts w:hint="eastAsia" w:cs="宋体"/>
          <w:color w:val="000000" w:themeColor="text1"/>
          <w:szCs w:val="24"/>
          <w:highlight w:val="none"/>
          <w:lang w:bidi="ar"/>
          <w14:textFill>
            <w14:solidFill>
              <w14:schemeClr w14:val="tx1"/>
            </w14:solidFill>
          </w14:textFill>
        </w:rPr>
        <w:t>或者成交；</w:t>
      </w:r>
    </w:p>
    <w:p w14:paraId="6CE95093">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17.2.1.4属于同一集团、协会、商会等组织成员的</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按照该组织要求协同</w:t>
      </w:r>
      <w:r>
        <w:rPr>
          <w:rFonts w:hint="eastAsia" w:cs="宋体"/>
          <w:color w:val="000000" w:themeColor="text1"/>
          <w:szCs w:val="24"/>
          <w:highlight w:val="none"/>
          <w:lang w:eastAsia="zh-CN" w:bidi="ar"/>
          <w14:textFill>
            <w14:solidFill>
              <w14:schemeClr w14:val="tx1"/>
            </w14:solidFill>
          </w14:textFill>
        </w:rPr>
        <w:t>询比</w:t>
      </w:r>
      <w:r>
        <w:rPr>
          <w:rFonts w:hint="eastAsia" w:cs="宋体"/>
          <w:color w:val="000000" w:themeColor="text1"/>
          <w:szCs w:val="24"/>
          <w:highlight w:val="none"/>
          <w:lang w:bidi="ar"/>
          <w14:textFill>
            <w14:solidFill>
              <w14:schemeClr w14:val="tx1"/>
            </w14:solidFill>
          </w14:textFill>
        </w:rPr>
        <w:t>；</w:t>
      </w:r>
    </w:p>
    <w:p w14:paraId="1A313C7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之间为谋取成交或者排斥特定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而采取的其他联合行动。</w:t>
      </w:r>
    </w:p>
    <w:p w14:paraId="47AC4775">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17.2.2有下列情形之一的，视为</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55695C57">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17.2.2.1不同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的响应文件由同一单位或者个人编制；</w:t>
      </w:r>
    </w:p>
    <w:p w14:paraId="394AF3D5">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17.2.2.2不同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委托同一单位或者个人办理</w:t>
      </w:r>
      <w:r>
        <w:rPr>
          <w:rFonts w:hint="eastAsia" w:cs="宋体"/>
          <w:color w:val="000000" w:themeColor="text1"/>
          <w:szCs w:val="24"/>
          <w:highlight w:val="none"/>
          <w:lang w:eastAsia="zh-CN" w:bidi="ar"/>
          <w14:textFill>
            <w14:solidFill>
              <w14:schemeClr w14:val="tx1"/>
            </w14:solidFill>
          </w14:textFill>
        </w:rPr>
        <w:t>询比</w:t>
      </w:r>
      <w:r>
        <w:rPr>
          <w:rFonts w:hint="eastAsia" w:cs="宋体"/>
          <w:color w:val="000000" w:themeColor="text1"/>
          <w:szCs w:val="24"/>
          <w:highlight w:val="none"/>
          <w:lang w:bidi="ar"/>
          <w14:textFill>
            <w14:solidFill>
              <w14:schemeClr w14:val="tx1"/>
            </w14:solidFill>
          </w14:textFill>
        </w:rPr>
        <w:t>事宜；</w:t>
      </w:r>
    </w:p>
    <w:p w14:paraId="390716A7">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17.2.2.3不同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的响应文件载明的项目管理成员为同一人；</w:t>
      </w:r>
    </w:p>
    <w:p w14:paraId="68CCF3FF">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17.2.2.4不同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的响应文件异常一致或者报价呈规律性差异；</w:t>
      </w:r>
    </w:p>
    <w:p w14:paraId="325A211D">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17.2.2.5不同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的响应文件相互混装；</w:t>
      </w:r>
    </w:p>
    <w:p w14:paraId="65B1AA3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17.2.2.6不同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w:t>
      </w:r>
      <w:r>
        <w:rPr>
          <w:rFonts w:hint="eastAsia" w:cs="宋体"/>
          <w:color w:val="000000" w:themeColor="text1"/>
          <w:szCs w:val="24"/>
          <w:highlight w:val="none"/>
          <w:lang w:eastAsia="zh-CN" w:bidi="ar"/>
          <w14:textFill>
            <w14:solidFill>
              <w14:schemeClr w14:val="tx1"/>
            </w14:solidFill>
          </w14:textFill>
        </w:rPr>
        <w:t>询比</w:t>
      </w:r>
      <w:r>
        <w:rPr>
          <w:rFonts w:hint="eastAsia" w:cs="宋体"/>
          <w:color w:val="000000" w:themeColor="text1"/>
          <w:szCs w:val="24"/>
          <w:highlight w:val="none"/>
          <w:lang w:bidi="ar"/>
          <w14:textFill>
            <w14:solidFill>
              <w14:schemeClr w14:val="tx1"/>
            </w14:solidFill>
          </w14:textFill>
        </w:rPr>
        <w:t>保证金从同一单位或者个人的账户转出。</w:t>
      </w:r>
    </w:p>
    <w:p w14:paraId="40E7244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17.2.3有下列情形之一的，属于</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串通：</w:t>
      </w:r>
    </w:p>
    <w:p w14:paraId="3370BC59">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17.2.3.1</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w:t>
      </w:r>
      <w:r>
        <w:rPr>
          <w:rFonts w:hint="eastAsia" w:cs="宋体"/>
          <w:color w:val="000000" w:themeColor="text1"/>
          <w:szCs w:val="24"/>
          <w:highlight w:val="none"/>
          <w:lang w:eastAsia="zh-CN" w:bidi="ar"/>
          <w14:textFill>
            <w14:solidFill>
              <w14:schemeClr w14:val="tx1"/>
            </w14:solidFill>
          </w14:textFill>
        </w:rPr>
        <w:t>询比</w:t>
      </w:r>
      <w:r>
        <w:rPr>
          <w:rFonts w:hint="eastAsia" w:cs="宋体"/>
          <w:color w:val="000000" w:themeColor="text1"/>
          <w:szCs w:val="24"/>
          <w:highlight w:val="none"/>
          <w:lang w:bidi="ar"/>
          <w14:textFill>
            <w14:solidFill>
              <w14:schemeClr w14:val="tx1"/>
            </w14:solidFill>
          </w14:textFill>
        </w:rPr>
        <w:t>前开启响应文件并将有关信息泄露给其他</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w:t>
      </w:r>
    </w:p>
    <w:p w14:paraId="24D9D2A3">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直接或者间接向</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泄露标底、评审委员会成员等信息；</w:t>
      </w:r>
    </w:p>
    <w:p w14:paraId="19B1C048">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压低或者抬高报价；</w:t>
      </w:r>
    </w:p>
    <w:p w14:paraId="5E1B4D4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17.2.3.4</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授意</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撤换、修改响应文件；</w:t>
      </w:r>
    </w:p>
    <w:p w14:paraId="0E85332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17.2.3.5</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成交提供方便；</w:t>
      </w:r>
    </w:p>
    <w:p w14:paraId="571AB33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17.2.3.6</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为谋求特定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成交而采取的其他串通行为。</w:t>
      </w:r>
    </w:p>
    <w:p w14:paraId="507F8121">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17.2.4使用通过受让或者租借等方式获取的资格、资质证书参与</w:t>
      </w:r>
      <w:r>
        <w:rPr>
          <w:rFonts w:hint="eastAsia" w:cs="宋体"/>
          <w:color w:val="000000" w:themeColor="text1"/>
          <w:szCs w:val="24"/>
          <w:highlight w:val="none"/>
          <w:lang w:eastAsia="zh-CN" w:bidi="ar"/>
          <w14:textFill>
            <w14:solidFill>
              <w14:schemeClr w14:val="tx1"/>
            </w14:solidFill>
          </w14:textFill>
        </w:rPr>
        <w:t>询比</w:t>
      </w:r>
      <w:r>
        <w:rPr>
          <w:rFonts w:hint="eastAsia" w:cs="宋体"/>
          <w:color w:val="000000" w:themeColor="text1"/>
          <w:szCs w:val="24"/>
          <w:highlight w:val="none"/>
          <w:lang w:bidi="ar"/>
          <w14:textFill>
            <w14:solidFill>
              <w14:schemeClr w14:val="tx1"/>
            </w14:solidFill>
          </w14:textFill>
        </w:rPr>
        <w:t>的，</w:t>
      </w:r>
    </w:p>
    <w:p w14:paraId="4BE81BCF">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有下列情形之一的，属于以其他方式弄虚作假的行为：</w:t>
      </w:r>
    </w:p>
    <w:p w14:paraId="26164D17">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17.2.5.1使用伪造、变造的许可证件；</w:t>
      </w:r>
    </w:p>
    <w:p w14:paraId="6A1D65B7">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17.2.5.2提供虚假的财务状况或者业绩；</w:t>
      </w:r>
    </w:p>
    <w:p w14:paraId="76C6FA93">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17.2.5.3提供虚假的项目负责人或者主要技术人员简历、劳动关系证明；</w:t>
      </w:r>
    </w:p>
    <w:p w14:paraId="495ED03D">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17.2.5.4提供虚假的信用状况；</w:t>
      </w:r>
    </w:p>
    <w:p w14:paraId="6117E35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17.2.5.5其他弄虚作假的行为。</w:t>
      </w:r>
    </w:p>
    <w:p w14:paraId="41129331">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17.2.6其他违反法规和规章强制性规定的行为。</w:t>
      </w:r>
    </w:p>
    <w:p w14:paraId="7C0CD6F1">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18.确定成交候选人和成交人</w:t>
      </w:r>
    </w:p>
    <w:p w14:paraId="1C71C04A">
      <w:pPr>
        <w:ind w:firstLine="470" w:firstLineChars="19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2E75B0CE">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19.编写评审报告</w:t>
      </w:r>
    </w:p>
    <w:p w14:paraId="77EB93BE">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44FCFE0F">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20.保密要求</w:t>
      </w:r>
    </w:p>
    <w:p w14:paraId="075D991E">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20.1评审将在严格保密的情况下进行。</w:t>
      </w:r>
    </w:p>
    <w:p w14:paraId="0469622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20.2有关人员应当遵守评审工作纪律，不得泄露评审文件、评审情况和评审中获悉的国家秘密、商业秘密等。</w:t>
      </w:r>
    </w:p>
    <w:p w14:paraId="2C52F078">
      <w:pPr>
        <w:ind w:firstLine="482"/>
        <w:outlineLvl w:val="3"/>
        <w:rPr>
          <w:rFonts w:hint="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21.成交候选人和成交结果公示</w:t>
      </w:r>
    </w:p>
    <w:p w14:paraId="7CEA30CE">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21.1</w:t>
      </w:r>
      <w:r>
        <w:rPr>
          <w:rFonts w:hint="eastAsia" w:cs="宋体"/>
          <w:color w:val="000000" w:themeColor="text1"/>
          <w:szCs w:val="24"/>
          <w:highlight w:val="none"/>
          <w:lang w:eastAsia="zh-CN" w:bidi="ar"/>
          <w14:textFill>
            <w14:solidFill>
              <w14:schemeClr w14:val="tx1"/>
            </w14:solidFill>
          </w14:textFill>
        </w:rPr>
        <w:t>询比</w:t>
      </w:r>
      <w:r>
        <w:rPr>
          <w:rFonts w:hint="eastAsia" w:cs="宋体"/>
          <w:color w:val="000000" w:themeColor="text1"/>
          <w:szCs w:val="24"/>
          <w:highlight w:val="none"/>
          <w:lang w:bidi="ar"/>
          <w14:textFill>
            <w14:solidFill>
              <w14:schemeClr w14:val="tx1"/>
            </w14:solidFill>
          </w14:textFill>
        </w:rPr>
        <w:t>结束后，代理机构将在</w:t>
      </w:r>
      <w:r>
        <w:rPr>
          <w:rFonts w:hint="eastAsia"/>
          <w:color w:val="000000" w:themeColor="text1"/>
          <w:highlight w:val="none"/>
          <w14:textFill>
            <w14:solidFill>
              <w14:schemeClr w14:val="tx1"/>
            </w14:solidFill>
          </w14:textFill>
        </w:rPr>
        <w:t>发布</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公告的媒介上</w:t>
      </w:r>
      <w:r>
        <w:rPr>
          <w:rFonts w:hint="eastAsia" w:cs="宋体"/>
          <w:color w:val="000000" w:themeColor="text1"/>
          <w:szCs w:val="24"/>
          <w:highlight w:val="none"/>
          <w:lang w:bidi="ar"/>
          <w14:textFill>
            <w14:solidFill>
              <w14:schemeClr w14:val="tx1"/>
            </w14:solidFill>
          </w14:textFill>
        </w:rPr>
        <w:t>发布成交候选人公示和成交结果公示。</w:t>
      </w:r>
    </w:p>
    <w:p w14:paraId="754F0471">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在收到评审报告之日起3日内，依法公示成交候选人。</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在确定成交人之日起3日内，依法公示成交结果。</w:t>
      </w:r>
    </w:p>
    <w:p w14:paraId="399A7F8C">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22.</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b/>
          <w:color w:val="000000" w:themeColor="text1"/>
          <w:highlight w:val="none"/>
          <w14:textFill>
            <w14:solidFill>
              <w14:schemeClr w14:val="tx1"/>
            </w14:solidFill>
          </w14:textFill>
        </w:rPr>
        <w:t>结果的异议、投诉</w:t>
      </w:r>
    </w:p>
    <w:p w14:paraId="3432F9A4">
      <w:pPr>
        <w:ind w:firstLine="48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22.1对于</w:t>
      </w:r>
      <w:r>
        <w:rPr>
          <w:rFonts w:hint="eastAsia" w:cs="宋体"/>
          <w:color w:val="000000" w:themeColor="text1"/>
          <w:kern w:val="2"/>
          <w:szCs w:val="24"/>
          <w:highlight w:val="none"/>
          <w:lang w:eastAsia="zh-CN"/>
          <w14:textFill>
            <w14:solidFill>
              <w14:schemeClr w14:val="tx1"/>
            </w14:solidFill>
          </w14:textFill>
        </w:rPr>
        <w:t>询比</w:t>
      </w:r>
      <w:r>
        <w:rPr>
          <w:rFonts w:hint="eastAsia" w:cs="宋体"/>
          <w:color w:val="000000" w:themeColor="text1"/>
          <w:kern w:val="2"/>
          <w:szCs w:val="24"/>
          <w:highlight w:val="none"/>
          <w14:textFill>
            <w14:solidFill>
              <w14:schemeClr w14:val="tx1"/>
            </w14:solidFill>
          </w14:textFill>
        </w:rPr>
        <w:t>结果有异议的，应在成交结果公告规定的时间内向业主单位或代理机构提出。</w:t>
      </w:r>
    </w:p>
    <w:p w14:paraId="5F47D621">
      <w:pPr>
        <w:ind w:firstLine="480"/>
        <w:rPr>
          <w:rFonts w:hint="eastAsia"/>
          <w:color w:val="000000" w:themeColor="text1"/>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22.2对于异议答复不满意的，应在收到异议答复之日起3日内向</w:t>
      </w:r>
      <w:r>
        <w:rPr>
          <w:rFonts w:hint="eastAsia" w:cs="宋体"/>
          <w:color w:val="000000" w:themeColor="text1"/>
          <w:kern w:val="2"/>
          <w:szCs w:val="24"/>
          <w:highlight w:val="none"/>
          <w:lang w:eastAsia="zh-CN"/>
          <w14:textFill>
            <w14:solidFill>
              <w14:schemeClr w14:val="tx1"/>
            </w14:solidFill>
          </w14:textFill>
        </w:rPr>
        <w:t>询比</w:t>
      </w:r>
      <w:r>
        <w:rPr>
          <w:rFonts w:hint="eastAsia" w:cs="宋体"/>
          <w:color w:val="000000" w:themeColor="text1"/>
          <w:kern w:val="2"/>
          <w:szCs w:val="24"/>
          <w:highlight w:val="none"/>
          <w14:textFill>
            <w14:solidFill>
              <w14:schemeClr w14:val="tx1"/>
            </w14:solidFill>
          </w14:textFill>
        </w:rPr>
        <w:t>公告载明的监督管理部门提出。</w:t>
      </w:r>
    </w:p>
    <w:p w14:paraId="50655264">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23.成交通知书</w:t>
      </w:r>
    </w:p>
    <w:p w14:paraId="5C30062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23.1代理机构发布成交结果公告的同时以供应商须知前附表规定的形式向成交人发出成交通知书。</w:t>
      </w:r>
    </w:p>
    <w:p w14:paraId="09A5CDC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23.2成交通知书对业主单位和成交人具有同等法律效力。成交通知书发出以后，业主单位改变成交结果或者成交人放弃成交资格，应当承担相应的法律责任。</w:t>
      </w:r>
    </w:p>
    <w:p w14:paraId="3184DC4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23.3成交通知书是合同的组成部分。</w:t>
      </w:r>
    </w:p>
    <w:p w14:paraId="10CED92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24.告知</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b/>
          <w:color w:val="000000" w:themeColor="text1"/>
          <w:highlight w:val="none"/>
          <w14:textFill>
            <w14:solidFill>
              <w14:schemeClr w14:val="tx1"/>
            </w14:solidFill>
          </w14:textFill>
        </w:rPr>
        <w:t>结果</w:t>
      </w:r>
    </w:p>
    <w:p w14:paraId="16745C7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24.1成交结果公告发布后，供应商自行登录系统查询结果信息。</w:t>
      </w:r>
    </w:p>
    <w:p w14:paraId="2B6B41B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24.2代理机构对未成交的供应商不做未成交原因的解释。</w:t>
      </w:r>
    </w:p>
    <w:p w14:paraId="3BDE5C09">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25.履约保证金</w:t>
      </w:r>
    </w:p>
    <w:p w14:paraId="51F183CF">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25.1成交人应按照</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须知前附表规定缴纳履约保证金。</w:t>
      </w:r>
    </w:p>
    <w:p w14:paraId="365CA88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cs="宋体" w:eastAsiaTheme="minorEastAsia"/>
          <w:color w:val="000000" w:themeColor="text1"/>
          <w:szCs w:val="24"/>
          <w:highlight w:val="none"/>
          <w:lang w:bidi="ar"/>
          <w14:textFill>
            <w14:solidFill>
              <w14:schemeClr w14:val="tx1"/>
            </w14:solidFill>
          </w14:textFill>
        </w:rPr>
        <w:t>25.2</w:t>
      </w:r>
      <w:r>
        <w:rPr>
          <w:rFonts w:hint="eastAsia" w:asciiTheme="minorEastAsia" w:hAnsiTheme="minorEastAsia" w:eastAsiaTheme="minorEastAsia" w:cstheme="minorEastAsia"/>
          <w:color w:val="000000" w:themeColor="text1"/>
          <w:highlight w:val="none"/>
          <w14:textFill>
            <w14:solidFill>
              <w14:schemeClr w14:val="tx1"/>
            </w14:solidFill>
          </w14:textFill>
        </w:rPr>
        <w:t>如果成交人没有按照供应商须知前附表中履约保证金的规定执行，将视为放弃成交资格。在此情况下，业主单位可确定下一成交候选人为成交人，也可以重新开展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66BD0E97">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26.代理费用</w:t>
      </w:r>
    </w:p>
    <w:p w14:paraId="39D3CCFB">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成交人放弃成交资格的，</w:t>
      </w:r>
      <w:r>
        <w:rPr>
          <w:rFonts w:hint="eastAsia" w:asciiTheme="minorEastAsia" w:hAnsiTheme="minorEastAsia" w:eastAsiaTheme="minorEastAsia" w:cstheme="minorEastAsia"/>
          <w:color w:val="000000" w:themeColor="text1"/>
          <w:highlight w:val="none"/>
          <w14:textFill>
            <w14:solidFill>
              <w14:schemeClr w14:val="tx1"/>
            </w14:solidFill>
          </w14:textFill>
        </w:rPr>
        <w:t>本</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项目应收取的</w:t>
      </w:r>
      <w:r>
        <w:rPr>
          <w:rFonts w:hint="eastAsia"/>
          <w:color w:val="000000" w:themeColor="text1"/>
          <w:szCs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由其承担。</w:t>
      </w:r>
    </w:p>
    <w:p w14:paraId="4792EC53">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代理费收取账户信息：</w:t>
      </w:r>
    </w:p>
    <w:p w14:paraId="3FF593E3">
      <w:pPr>
        <w:spacing w:line="360" w:lineRule="auto"/>
        <w:ind w:firstLine="435"/>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户名：肥西县公共资源交易有限责任公司</w:t>
      </w:r>
    </w:p>
    <w:p w14:paraId="766C068E">
      <w:pPr>
        <w:spacing w:line="360" w:lineRule="auto"/>
        <w:ind w:firstLine="435"/>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账号：179746801939</w:t>
      </w:r>
    </w:p>
    <w:p w14:paraId="2DBF5116">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开户行：中国银行股份有限公司肥西支行</w:t>
      </w:r>
    </w:p>
    <w:p w14:paraId="1311305C">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27.签订合同</w:t>
      </w:r>
    </w:p>
    <w:p w14:paraId="1F7CD6D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27.1业主单位与成交人应当在成交通知书发出后及时签订合同。</w:t>
      </w:r>
    </w:p>
    <w:p w14:paraId="2D122C0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27.2</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文件、成交人的响应文件及其澄清文件等，均为签订合同的依据。</w:t>
      </w:r>
    </w:p>
    <w:p w14:paraId="37B1B38D">
      <w:pPr>
        <w:ind w:firstLine="470" w:firstLineChars="19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27.3成交人拒绝与业主单位签订合同的，业主单位可以按照评审报告推荐的成交候选人名单排序，确定下一成交候选人为成交人，也可以重新开展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活动。成交人拒绝签订合同的不得参加对该项目重新开展的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活动。</w:t>
      </w:r>
    </w:p>
    <w:p w14:paraId="6A5E7991">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28.廉洁自律规定</w:t>
      </w:r>
    </w:p>
    <w:p w14:paraId="212E305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28.1代理机构工作人员不得以不正当手段获取代理业务，不得与业主单位、供应商恶意串通。</w:t>
      </w:r>
    </w:p>
    <w:p w14:paraId="06D51CD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28.2代理机构工作人员不得接受业主单位或者供应商组织的宴请、旅游、娱乐，不得收受礼品、现金、有价证券等，不得向业主单位或者供应商报销应当由个人承担的费用。</w:t>
      </w:r>
    </w:p>
    <w:p w14:paraId="18D78A5D">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29</w:t>
      </w:r>
      <w:r>
        <w:rPr>
          <w:rFonts w:asciiTheme="minorEastAsia" w:hAnsiTheme="minorEastAsia" w:eastAsiaTheme="minorEastAsia" w:cstheme="minorEastAsia"/>
          <w:b/>
          <w:color w:val="000000" w:themeColor="text1"/>
          <w:highlight w:val="none"/>
          <w14:textFill>
            <w14:solidFill>
              <w14:schemeClr w14:val="tx1"/>
            </w14:solidFill>
          </w14:textFill>
        </w:rPr>
        <w:t>.</w:t>
      </w:r>
      <w:r>
        <w:rPr>
          <w:rFonts w:hint="eastAsia" w:asciiTheme="minorEastAsia" w:hAnsiTheme="minorEastAsia" w:eastAsiaTheme="minorEastAsia" w:cstheme="minorEastAsia"/>
          <w:b/>
          <w:color w:val="000000" w:themeColor="text1"/>
          <w:highlight w:val="none"/>
          <w14:textFill>
            <w14:solidFill>
              <w14:schemeClr w14:val="tx1"/>
            </w14:solidFill>
          </w14:textFill>
        </w:rPr>
        <w:t>异议的提出与接收</w:t>
      </w:r>
    </w:p>
    <w:p w14:paraId="6859F398">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认为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文件、</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询比</w:t>
      </w:r>
      <w:r>
        <w:rPr>
          <w:rFonts w:hint="eastAsia" w:asciiTheme="minorEastAsia" w:hAnsiTheme="minorEastAsia" w:eastAsiaTheme="minorEastAsia" w:cstheme="minorEastAsia"/>
          <w:color w:val="000000" w:themeColor="text1"/>
          <w:highlight w:val="none"/>
          <w14:textFill>
            <w14:solidFill>
              <w14:schemeClr w14:val="tx1"/>
            </w14:solidFill>
          </w14:textFill>
        </w:rPr>
        <w:t>过程和成交结果使自己的权益受到损害的，可以在知道或者应知其权益受到损害之日起三日内，以书面形式向业主单位或其委托的代理机构提出异议。</w:t>
      </w:r>
    </w:p>
    <w:p w14:paraId="5379A11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29.2异议应以书面形式实名提出，书面异议材料应当包括以下内容：</w:t>
      </w:r>
    </w:p>
    <w:p w14:paraId="6C699D6B">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29.3异议人的名称、地址、有效联系方式；</w:t>
      </w:r>
    </w:p>
    <w:p w14:paraId="4A91D95A">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29.5项目名称、项目编号、包别号（如有）；</w:t>
      </w:r>
    </w:p>
    <w:p w14:paraId="19DBE18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29.6被异议人名称；</w:t>
      </w:r>
    </w:p>
    <w:p w14:paraId="73BB297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29.7具体的异议事项、基本事实及必要的证明材料；</w:t>
      </w:r>
    </w:p>
    <w:p w14:paraId="1CE33C0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29.8明确的请求及主张；</w:t>
      </w:r>
    </w:p>
    <w:p w14:paraId="1C01BE6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29.9提起异议的日期。</w:t>
      </w:r>
    </w:p>
    <w:p w14:paraId="130B3B0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异议人为法人或者其他组织的，应当由法定代表人或其委托代理人（需有委托授权书）签字并加盖公章。异议人需要修改、补充异议材料的，应当在异议期内提交修改或补充材料。</w:t>
      </w:r>
    </w:p>
    <w:p w14:paraId="57AE942B">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29.10代理机构异议函接收部门、联系电话和通讯地址，见参审单位须知前附表。</w:t>
      </w:r>
    </w:p>
    <w:p w14:paraId="75467340">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30.需要补充的其他内容</w:t>
      </w:r>
    </w:p>
    <w:p w14:paraId="3B24701A">
      <w:pPr>
        <w:shd w:val="clear" w:fill="FFFFFF" w:themeFill="background1"/>
        <w:ind w:firstLine="48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需要补充的其他内容，见供应商须知前附表</w:t>
      </w:r>
      <w:r>
        <w:rPr>
          <w:rFonts w:hint="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br w:type="page"/>
      </w:r>
    </w:p>
    <w:p w14:paraId="1E48978A">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7" w:name="_Toc192058172"/>
      <w:r>
        <w:rPr>
          <w:rFonts w:hint="eastAsia" w:asciiTheme="minorEastAsia" w:hAnsiTheme="minorEastAsia" w:eastAsiaTheme="minorEastAsia"/>
          <w:b/>
          <w:color w:val="000000" w:themeColor="text1"/>
          <w:sz w:val="28"/>
          <w:highlight w:val="none"/>
          <w14:textFill>
            <w14:solidFill>
              <w14:schemeClr w14:val="tx1"/>
            </w14:solidFill>
          </w14:textFill>
        </w:rPr>
        <w:t>第三章  业主单位要求</w:t>
      </w:r>
      <w:bookmarkEnd w:id="7"/>
    </w:p>
    <w:p w14:paraId="6EE3E217">
      <w:pPr>
        <w:ind w:firstLine="480"/>
        <w:rPr>
          <w:rFonts w:ascii="Times New Roman" w:hAnsi="Times New Roman"/>
          <w:color w:val="000000" w:themeColor="text1"/>
          <w:szCs w:val="24"/>
          <w:highlight w:val="none"/>
          <w14:textFill>
            <w14:solidFill>
              <w14:schemeClr w14:val="tx1"/>
            </w14:solidFill>
          </w14:textFill>
        </w:rPr>
      </w:pPr>
      <w:bookmarkStart w:id="8" w:name="_Toc482188637"/>
      <w:r>
        <w:rPr>
          <w:rFonts w:hint="eastAsia" w:ascii="Times New Roman" w:hAnsi="Times New Roman"/>
          <w:color w:val="000000" w:themeColor="text1"/>
          <w:szCs w:val="24"/>
          <w:highlight w:val="none"/>
          <w14:textFill>
            <w14:solidFill>
              <w14:schemeClr w14:val="tx1"/>
            </w14:solidFill>
          </w14:textFill>
        </w:rPr>
        <w:t>本说明中提出的技术方案仅为参考，如无明确限制，供应商可以进行优化，提供满足用户实际需要的更优（或者性能实质上不低于的）服务方案，且此方案须经</w:t>
      </w:r>
      <w:r>
        <w:rPr>
          <w:rFonts w:hint="eastAsia" w:ascii="Times New Roman" w:hAnsi="Times New Roman"/>
          <w:color w:val="000000" w:themeColor="text1"/>
          <w:szCs w:val="24"/>
          <w:highlight w:val="none"/>
          <w:lang w:eastAsia="zh-CN"/>
          <w14:textFill>
            <w14:solidFill>
              <w14:schemeClr w14:val="tx1"/>
            </w14:solidFill>
          </w14:textFill>
        </w:rPr>
        <w:t>询比</w:t>
      </w:r>
      <w:r>
        <w:rPr>
          <w:rFonts w:hint="eastAsia" w:ascii="Times New Roman" w:hAnsi="Times New Roman"/>
          <w:color w:val="000000" w:themeColor="text1"/>
          <w:szCs w:val="24"/>
          <w:highlight w:val="none"/>
          <w14:textFill>
            <w14:solidFill>
              <w14:schemeClr w14:val="tx1"/>
            </w14:solidFill>
          </w14:textFill>
        </w:rPr>
        <w:t>小组评审认可。</w:t>
      </w:r>
    </w:p>
    <w:p w14:paraId="7EA03A9F">
      <w:pPr>
        <w:ind w:firstLine="482"/>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一、采购需求前附表</w:t>
      </w:r>
    </w:p>
    <w:tbl>
      <w:tblPr>
        <w:tblStyle w:val="19"/>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758"/>
        <w:gridCol w:w="6391"/>
      </w:tblGrid>
      <w:tr w14:paraId="66F1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7F7AB479">
            <w:pPr>
              <w:ind w:firstLine="0" w:firstLineChars="0"/>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989" w:type="pct"/>
            <w:vAlign w:val="center"/>
          </w:tcPr>
          <w:p w14:paraId="3C0718CB">
            <w:pPr>
              <w:ind w:firstLine="0" w:firstLineChars="0"/>
              <w:jc w:val="center"/>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条款名称</w:t>
            </w:r>
          </w:p>
        </w:tc>
        <w:tc>
          <w:tcPr>
            <w:tcW w:w="3595" w:type="pct"/>
            <w:vAlign w:val="center"/>
          </w:tcPr>
          <w:p w14:paraId="445890F0">
            <w:pPr>
              <w:ind w:firstLineChars="83"/>
              <w:jc w:val="center"/>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内容、说明与要求</w:t>
            </w:r>
          </w:p>
        </w:tc>
      </w:tr>
      <w:tr w14:paraId="485E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3474ABEE">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w:t>
            </w:r>
          </w:p>
        </w:tc>
        <w:tc>
          <w:tcPr>
            <w:tcW w:w="989" w:type="pct"/>
            <w:vAlign w:val="center"/>
          </w:tcPr>
          <w:p w14:paraId="523F7682">
            <w:pPr>
              <w:ind w:firstLine="0" w:firstLineChars="0"/>
              <w:rPr>
                <w:rFonts w:hint="eastAsia" w:cs="宋体"/>
                <w:bCs/>
                <w:color w:val="000000" w:themeColor="text1"/>
                <w:szCs w:val="24"/>
                <w:highlight w:val="none"/>
                <w14:textFill>
                  <w14:solidFill>
                    <w14:schemeClr w14:val="tx1"/>
                  </w14:solidFill>
                </w14:textFill>
              </w:rPr>
            </w:pPr>
            <w:r>
              <w:rPr>
                <w:rFonts w:hint="eastAsia"/>
                <w:bCs/>
                <w:color w:val="000000" w:themeColor="text1"/>
                <w:szCs w:val="32"/>
                <w:highlight w:val="none"/>
                <w14:textFill>
                  <w14:solidFill>
                    <w14:schemeClr w14:val="tx1"/>
                  </w14:solidFill>
                </w14:textFill>
              </w:rPr>
              <w:t>付款方式</w:t>
            </w:r>
          </w:p>
        </w:tc>
        <w:tc>
          <w:tcPr>
            <w:tcW w:w="6391" w:type="dxa"/>
            <w:vAlign w:val="center"/>
          </w:tcPr>
          <w:p w14:paraId="028BB7CC">
            <w:pPr>
              <w:pStyle w:val="37"/>
              <w:widowControl w:val="0"/>
              <w:spacing w:beforeAutospacing="0" w:afterAutospacing="0" w:line="360" w:lineRule="auto"/>
              <w:jc w:val="both"/>
              <w:rPr>
                <w:rFonts w:hint="eastAsia" w:ascii="宋体" w:hAnsi="宋体" w:eastAsia="宋体" w:cs="宋体"/>
                <w:b w:val="0"/>
                <w:bCs/>
                <w:color w:val="auto"/>
                <w:kern w:val="0"/>
                <w:sz w:val="24"/>
                <w:szCs w:val="24"/>
                <w:u w:val="none"/>
                <w:lang w:val="en-US" w:eastAsia="zh-CN" w:bidi="ar-SA"/>
              </w:rPr>
            </w:pPr>
            <w:r>
              <w:rPr>
                <w:rFonts w:hint="eastAsia" w:ascii="宋体" w:hAnsi="宋体" w:eastAsia="宋体" w:cs="宋体"/>
                <w:b w:val="0"/>
                <w:bCs/>
                <w:color w:val="auto"/>
                <w:kern w:val="0"/>
                <w:sz w:val="24"/>
                <w:szCs w:val="24"/>
                <w:u w:val="none"/>
                <w:lang w:val="en-US" w:eastAsia="zh-CN" w:bidi="ar-SA"/>
              </w:rPr>
              <w:t>按照合同要求按时、按质、按量完成监测和资料上报任务，在完成第一次统防统治经验收组验收合格后付当年度合同金额的50%，完成年度所有任务并通过验收后，一次性支付年度合同款余款。</w:t>
            </w:r>
          </w:p>
          <w:p w14:paraId="7C4208C3">
            <w:pPr>
              <w:pStyle w:val="37"/>
              <w:widowControl w:val="0"/>
              <w:spacing w:beforeAutospacing="0" w:afterAutospacing="0" w:line="360" w:lineRule="auto"/>
              <w:ind w:firstLine="0" w:firstLineChars="0"/>
              <w:jc w:val="both"/>
              <w:rPr>
                <w:rFonts w:hint="eastAsia" w:eastAsia="宋体"/>
                <w:bCs/>
                <w:color w:val="000000" w:themeColor="text1"/>
                <w:szCs w:val="28"/>
                <w:highlight w:val="none"/>
                <w:lang w:eastAsia="zh-CN"/>
                <w14:textFill>
                  <w14:solidFill>
                    <w14:schemeClr w14:val="tx1"/>
                  </w14:solidFill>
                </w14:textFill>
              </w:rPr>
            </w:pPr>
            <w:r>
              <w:rPr>
                <w:rFonts w:hint="eastAsia" w:ascii="宋体" w:hAnsi="宋体" w:cs="宋体"/>
                <w:b/>
                <w:bCs w:val="0"/>
                <w:color w:val="auto"/>
                <w:kern w:val="0"/>
                <w:sz w:val="24"/>
                <w:szCs w:val="24"/>
                <w:u w:val="none"/>
                <w:lang w:val="en-US" w:eastAsia="zh-CN" w:bidi="ar-SA"/>
              </w:rPr>
              <w:t>（备注：本年度开展应急防治，每月监测情况需上报</w:t>
            </w:r>
            <w:r>
              <w:rPr>
                <w:rFonts w:hint="eastAsia" w:cs="宋体"/>
                <w:b/>
                <w:bCs w:val="0"/>
                <w:color w:val="auto"/>
                <w:kern w:val="0"/>
                <w:sz w:val="24"/>
                <w:szCs w:val="24"/>
                <w:u w:val="none"/>
                <w:lang w:val="en-US" w:eastAsia="zh-CN" w:bidi="ar-SA"/>
              </w:rPr>
              <w:t>肥西</w:t>
            </w:r>
            <w:r>
              <w:rPr>
                <w:rFonts w:hint="eastAsia" w:ascii="宋体" w:hAnsi="宋体" w:cs="宋体"/>
                <w:b/>
                <w:bCs w:val="0"/>
                <w:color w:val="auto"/>
                <w:kern w:val="0"/>
                <w:sz w:val="24"/>
                <w:szCs w:val="24"/>
                <w:u w:val="none"/>
                <w:lang w:val="en-US" w:eastAsia="zh-CN" w:bidi="ar-SA"/>
              </w:rPr>
              <w:t>县林园中心，</w:t>
            </w:r>
            <w:r>
              <w:rPr>
                <w:rFonts w:hint="eastAsia" w:ascii="宋体" w:hAnsi="宋体" w:eastAsia="宋体" w:cs="宋体"/>
                <w:b/>
                <w:bCs w:val="0"/>
                <w:color w:val="auto"/>
                <w:kern w:val="0"/>
                <w:sz w:val="24"/>
                <w:szCs w:val="24"/>
                <w:u w:val="none"/>
                <w:lang w:val="en-US" w:eastAsia="zh-CN" w:bidi="ar-SA"/>
              </w:rPr>
              <w:t>经</w:t>
            </w:r>
            <w:r>
              <w:rPr>
                <w:rFonts w:hint="eastAsia" w:cs="宋体"/>
                <w:b/>
                <w:bCs w:val="0"/>
                <w:color w:val="auto"/>
                <w:kern w:val="0"/>
                <w:sz w:val="24"/>
                <w:szCs w:val="24"/>
                <w:u w:val="none"/>
                <w:lang w:val="en-US" w:eastAsia="zh-CN" w:bidi="ar-SA"/>
              </w:rPr>
              <w:t>肥西</w:t>
            </w:r>
            <w:r>
              <w:rPr>
                <w:rFonts w:hint="eastAsia" w:ascii="宋体" w:hAnsi="宋体" w:eastAsia="宋体" w:cs="宋体"/>
                <w:b/>
                <w:bCs w:val="0"/>
                <w:color w:val="auto"/>
                <w:kern w:val="0"/>
                <w:sz w:val="24"/>
                <w:szCs w:val="24"/>
                <w:u w:val="none"/>
                <w:lang w:val="en-US" w:eastAsia="zh-CN" w:bidi="ar-SA"/>
              </w:rPr>
              <w:t>县林园中心汇总研判后报</w:t>
            </w:r>
            <w:r>
              <w:rPr>
                <w:rFonts w:hint="eastAsia" w:cs="宋体"/>
                <w:b/>
                <w:bCs w:val="0"/>
                <w:color w:val="auto"/>
                <w:kern w:val="0"/>
                <w:sz w:val="24"/>
                <w:szCs w:val="24"/>
                <w:u w:val="none"/>
                <w:lang w:val="en-US" w:eastAsia="zh-CN" w:bidi="ar-SA"/>
              </w:rPr>
              <w:t>肥西</w:t>
            </w:r>
            <w:r>
              <w:rPr>
                <w:rFonts w:hint="eastAsia" w:ascii="宋体" w:hAnsi="宋体" w:eastAsia="宋体" w:cs="宋体"/>
                <w:b/>
                <w:bCs w:val="0"/>
                <w:color w:val="auto"/>
                <w:kern w:val="0"/>
                <w:sz w:val="24"/>
                <w:szCs w:val="24"/>
                <w:u w:val="none"/>
                <w:lang w:val="en-US" w:eastAsia="zh-CN" w:bidi="ar-SA"/>
              </w:rPr>
              <w:t>县政府批准是否需要开展地面防治，若不需要开展地面防治任务，</w:t>
            </w:r>
            <w:r>
              <w:rPr>
                <w:rFonts w:hint="eastAsia" w:ascii="宋体" w:hAnsi="宋体" w:cs="宋体"/>
                <w:b/>
                <w:bCs w:val="0"/>
                <w:color w:val="auto"/>
                <w:kern w:val="0"/>
                <w:sz w:val="24"/>
                <w:szCs w:val="24"/>
                <w:u w:val="none"/>
                <w:lang w:val="en-US" w:eastAsia="zh-CN" w:bidi="ar-SA"/>
              </w:rPr>
              <w:t>监测费用</w:t>
            </w:r>
            <w:r>
              <w:rPr>
                <w:rFonts w:hint="eastAsia" w:ascii="宋体" w:hAnsi="宋体" w:eastAsia="宋体" w:cs="宋体"/>
                <w:b/>
                <w:bCs w:val="0"/>
                <w:color w:val="auto"/>
                <w:kern w:val="0"/>
                <w:sz w:val="24"/>
                <w:szCs w:val="24"/>
                <w:u w:val="none"/>
                <w:lang w:val="en-US" w:eastAsia="zh-CN" w:bidi="ar-SA"/>
              </w:rPr>
              <w:t>将根据</w:t>
            </w:r>
            <w:r>
              <w:rPr>
                <w:rFonts w:hint="eastAsia" w:ascii="宋体" w:hAnsi="宋体" w:cs="宋体"/>
                <w:b/>
                <w:bCs w:val="0"/>
                <w:color w:val="auto"/>
                <w:kern w:val="0"/>
                <w:sz w:val="24"/>
                <w:szCs w:val="24"/>
                <w:u w:val="none"/>
                <w:lang w:val="en-US" w:eastAsia="zh-CN" w:bidi="ar-SA"/>
              </w:rPr>
              <w:t>年底统一通过验收合格后，一次性</w:t>
            </w:r>
            <w:r>
              <w:rPr>
                <w:rFonts w:hint="eastAsia" w:ascii="宋体" w:hAnsi="宋体" w:eastAsia="宋体" w:cs="宋体"/>
                <w:b/>
                <w:bCs w:val="0"/>
                <w:color w:val="auto"/>
                <w:kern w:val="0"/>
                <w:sz w:val="24"/>
                <w:szCs w:val="24"/>
                <w:u w:val="none"/>
                <w:lang w:val="en-US" w:eastAsia="zh-CN" w:bidi="ar-SA"/>
              </w:rPr>
              <w:t>支付合同</w:t>
            </w:r>
            <w:r>
              <w:rPr>
                <w:rFonts w:hint="eastAsia" w:ascii="宋体" w:hAnsi="宋体" w:cs="宋体"/>
                <w:b/>
                <w:bCs w:val="0"/>
                <w:color w:val="auto"/>
                <w:kern w:val="0"/>
                <w:sz w:val="24"/>
                <w:szCs w:val="24"/>
                <w:u w:val="none"/>
                <w:lang w:val="en-US" w:eastAsia="zh-CN" w:bidi="ar-SA"/>
              </w:rPr>
              <w:t>内监测费100%）</w:t>
            </w:r>
            <w:r>
              <w:rPr>
                <w:rFonts w:hint="eastAsia" w:ascii="宋体" w:hAnsi="宋体" w:eastAsia="宋体" w:cs="宋体"/>
                <w:b/>
                <w:bCs w:val="0"/>
                <w:color w:val="auto"/>
                <w:kern w:val="0"/>
                <w:sz w:val="24"/>
                <w:szCs w:val="24"/>
                <w:u w:val="none"/>
                <w:lang w:val="en-US" w:eastAsia="zh-CN" w:bidi="ar-SA"/>
              </w:rPr>
              <w:t>。</w:t>
            </w:r>
          </w:p>
        </w:tc>
      </w:tr>
      <w:tr w14:paraId="6CA5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3B88ADDC">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w:t>
            </w:r>
          </w:p>
        </w:tc>
        <w:tc>
          <w:tcPr>
            <w:tcW w:w="989" w:type="pct"/>
            <w:vAlign w:val="center"/>
          </w:tcPr>
          <w:p w14:paraId="5211A152">
            <w:p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服务地点</w:t>
            </w:r>
          </w:p>
        </w:tc>
        <w:tc>
          <w:tcPr>
            <w:tcW w:w="6391" w:type="dxa"/>
            <w:vAlign w:val="center"/>
          </w:tcPr>
          <w:p w14:paraId="74334F81">
            <w:pPr>
              <w:pStyle w:val="37"/>
              <w:widowControl w:val="0"/>
              <w:spacing w:beforeAutospacing="0" w:afterAutospacing="0" w:line="360" w:lineRule="auto"/>
              <w:ind w:firstLine="0" w:firstLineChars="0"/>
              <w:jc w:val="both"/>
              <w:rPr>
                <w:rFonts w:hint="eastAsia"/>
                <w:bCs/>
                <w:color w:val="000000" w:themeColor="text1"/>
                <w:szCs w:val="28"/>
                <w:highlight w:val="none"/>
                <w14:textFill>
                  <w14:solidFill>
                    <w14:schemeClr w14:val="tx1"/>
                  </w14:solidFill>
                </w14:textFill>
              </w:rPr>
            </w:pPr>
            <w:r>
              <w:rPr>
                <w:rFonts w:hint="eastAsia" w:ascii="宋体" w:hAnsi="宋体" w:eastAsia="宋体" w:cs="宋体"/>
                <w:b w:val="0"/>
                <w:sz w:val="24"/>
                <w:u w:val="none"/>
                <w:lang w:val="en-US" w:eastAsia="zh-CN"/>
              </w:rPr>
              <w:t>业主方（委托方）指定地点</w:t>
            </w:r>
          </w:p>
        </w:tc>
      </w:tr>
      <w:tr w14:paraId="4417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0B2A1AFC">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w:t>
            </w:r>
          </w:p>
        </w:tc>
        <w:tc>
          <w:tcPr>
            <w:tcW w:w="989" w:type="pct"/>
            <w:vAlign w:val="center"/>
          </w:tcPr>
          <w:p w14:paraId="46376F0F">
            <w:p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服务期限</w:t>
            </w:r>
          </w:p>
        </w:tc>
        <w:tc>
          <w:tcPr>
            <w:tcW w:w="3595" w:type="pct"/>
            <w:vAlign w:val="center"/>
          </w:tcPr>
          <w:p w14:paraId="254F8C2A">
            <w:p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合同签订之日起一年</w:t>
            </w:r>
          </w:p>
        </w:tc>
      </w:tr>
      <w:bookmarkEnd w:id="8"/>
    </w:tbl>
    <w:p w14:paraId="5128C33F">
      <w:pPr>
        <w:pStyle w:val="4"/>
        <w:keepNext w:val="0"/>
        <w:keepLines w:val="0"/>
        <w:pageBreakBefore w:val="0"/>
        <w:widowControl w:val="0"/>
        <w:kinsoku/>
        <w:wordWrap/>
        <w:overflowPunct/>
        <w:topLinePunct w:val="0"/>
        <w:bidi w:val="0"/>
        <w:snapToGrid/>
        <w:spacing w:before="0" w:after="0" w:line="480" w:lineRule="exact"/>
        <w:ind w:firstLine="482" w:firstLineChars="200"/>
        <w:jc w:val="both"/>
        <w:textAlignment w:val="auto"/>
        <w:rPr>
          <w:rFonts w:hint="eastAsia" w:ascii="宋体" w:hAnsi="宋体" w:eastAsia="宋体" w:cs="宋体"/>
          <w:b w:val="0"/>
          <w:bCs w:val="0"/>
          <w:sz w:val="24"/>
          <w:szCs w:val="20"/>
          <w:highlight w:val="none"/>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rPr>
        <w:t>、项目范围和内容</w:t>
      </w:r>
    </w:p>
    <w:p w14:paraId="7606B808">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1、项目范围：肥西县</w:t>
      </w:r>
      <w:r>
        <w:rPr>
          <w:rFonts w:hint="eastAsia" w:ascii="宋体" w:hAnsi="宋体" w:eastAsia="宋体" w:cs="宋体"/>
          <w:kern w:val="0"/>
          <w:sz w:val="24"/>
          <w:szCs w:val="24"/>
          <w:lang w:eastAsia="zh-CN"/>
        </w:rPr>
        <w:t>桃花镇</w:t>
      </w:r>
    </w:p>
    <w:p w14:paraId="6FD8FBB5">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2、项目内容：</w:t>
      </w:r>
    </w:p>
    <w:p w14:paraId="0D55C687">
      <w:pPr>
        <w:pStyle w:val="47"/>
        <w:keepNext w:val="0"/>
        <w:keepLines w:val="0"/>
        <w:pageBreakBefore w:val="0"/>
        <w:widowControl w:val="0"/>
        <w:kinsoku/>
        <w:wordWrap/>
        <w:overflowPunct/>
        <w:topLinePunct w:val="0"/>
        <w:bidi w:val="0"/>
        <w:snapToGrid/>
        <w:spacing w:line="480" w:lineRule="exact"/>
        <w:ind w:left="0" w:leftChars="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按照国家林业局LT/T2516-2015《林业有害生物监测预报技术规范》、服务</w:t>
      </w:r>
      <w:r>
        <w:rPr>
          <w:rFonts w:hint="eastAsia" w:ascii="宋体" w:hAnsi="宋体" w:eastAsia="宋体" w:cs="宋体"/>
          <w:kern w:val="0"/>
          <w:sz w:val="24"/>
          <w:szCs w:val="24"/>
          <w:lang w:eastAsia="zh-CN"/>
        </w:rPr>
        <w:t>需</w:t>
      </w:r>
      <w:r>
        <w:rPr>
          <w:rFonts w:hint="eastAsia" w:ascii="宋体" w:hAnsi="宋体" w:eastAsia="宋体" w:cs="宋体"/>
          <w:kern w:val="0"/>
          <w:sz w:val="24"/>
          <w:szCs w:val="24"/>
        </w:rPr>
        <w:t>求制订监测方案,足量设置监测点,及时实行动态监测，根据采购人监测内容和数据需求，按时上报各类调查表</w:t>
      </w:r>
      <w:r>
        <w:rPr>
          <w:rFonts w:hint="eastAsia" w:ascii="宋体" w:hAnsi="宋体" w:eastAsia="宋体" w:cs="宋体"/>
          <w:kern w:val="0"/>
          <w:sz w:val="24"/>
          <w:szCs w:val="24"/>
          <w:lang w:eastAsia="zh-CN"/>
        </w:rPr>
        <w:t>。</w:t>
      </w:r>
    </w:p>
    <w:p w14:paraId="4DBB2F6E">
      <w:pPr>
        <w:pStyle w:val="47"/>
        <w:keepNext w:val="0"/>
        <w:keepLines w:val="0"/>
        <w:pageBreakBefore w:val="0"/>
        <w:widowControl w:val="0"/>
        <w:kinsoku/>
        <w:wordWrap/>
        <w:overflowPunct/>
        <w:topLinePunct w:val="0"/>
        <w:bidi w:val="0"/>
        <w:snapToGrid/>
        <w:spacing w:line="48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根据林业有害生物发生规律及相关技术规程，以准确掌握的病虫情发生实际情况为基础，制定防治实施计划或方案报采购人审核同意后，按照确定的防治区域和时间开展防治,防治面积由防治区域所在乡镇(园区)林业管理部门共同确认，防治对象以发生程度为中等以上的、严重影响重点路段、重点区域绿化美化和林木健康的食叶类、刺吸类害虫，道路防治使用喷雾垂直距离≥25米、水平距离≥50米的大型车载喷雾设备，片林防治因地制宜配备担架式喷雾机、烟雾机等各种防治机械，在一个防治适期的5天内完成一轮防治作业，确保防治及时有效。</w:t>
      </w:r>
    </w:p>
    <w:p w14:paraId="284E2A13">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防治药剂符合相关技术标准，“三证”齐全(生产许可证、农药登记证或临时登记证、农药标准)，且在有效期内的农药，于年度开展防治前的一周内足量购置存放在采购人仓库，4-11月间根据病虫害防治需要领取开展防治作业。</w:t>
      </w:r>
    </w:p>
    <w:p w14:paraId="6C8C27E5">
      <w:pPr>
        <w:pStyle w:val="4"/>
        <w:keepNext w:val="0"/>
        <w:keepLines w:val="0"/>
        <w:pageBreakBefore w:val="0"/>
        <w:widowControl w:val="0"/>
        <w:kinsoku/>
        <w:wordWrap/>
        <w:overflowPunct/>
        <w:topLinePunct w:val="0"/>
        <w:bidi w:val="0"/>
        <w:snapToGrid/>
        <w:spacing w:before="0" w:after="0" w:line="48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三、服务需求</w:t>
      </w:r>
    </w:p>
    <w:p w14:paraId="79EB989D">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（一）工作任务</w:t>
      </w:r>
    </w:p>
    <w:p w14:paraId="38D87BDD">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（1）监测任务</w:t>
      </w:r>
    </w:p>
    <w:p w14:paraId="530F428F">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一是美国白蛾成虫监测。主要采用美国白蛾诱捕器的方式进行监测，我镇共设置诱捕器30套。</w:t>
      </w:r>
    </w:p>
    <w:p w14:paraId="19679F57">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二是美国白蛾幼虫监测。主要采用人工踏查及设置标准地的方式进行监测，我镇共设置标准地9个。</w:t>
      </w:r>
    </w:p>
    <w:p w14:paraId="70C6262B">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三是美国白蛾蛹期调查。主要采用人工踏查方式进行监测。</w:t>
      </w:r>
    </w:p>
    <w:p w14:paraId="113ABA43">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四是杨树病虫害监测。主要采用人工踏查及设置标准地的方式进行监测，我镇共设置标准地2个。</w:t>
      </w:r>
    </w:p>
    <w:p w14:paraId="41F812FB">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五是常见绿化树种病虫害监测。主要采用人工踏查及设置标准地的方式进行监测，我镇共设置标准地3个。</w:t>
      </w:r>
    </w:p>
    <w:p w14:paraId="2961B715">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（2）开展应急除治</w:t>
      </w:r>
    </w:p>
    <w:p w14:paraId="6330F200">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2026年度我镇美国白蛾防治面积共1092亩。实行防治报批制，根据美国白蛾等病虫害发生情况，由各乡镇、园区上报防治计划，县林园中心汇总研判后报县政府批准。</w:t>
      </w:r>
    </w:p>
    <w:p w14:paraId="6794148F">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（二）监测任务要求</w:t>
      </w:r>
    </w:p>
    <w:p w14:paraId="7B2EEC86">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1.美国白蛾成虫调查</w:t>
      </w:r>
    </w:p>
    <w:p w14:paraId="3E244E01">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调查对象：美国白蛾成虫，俗名秋幕毛虫，是我国森林植物检疫害虫。该虫在安徽一年发生3代，以蛹越冬。美国白蛾繁殖力强、传播快、食性杂、寄生范围广，主要危害（喜食、寄主）法梧、杨树、樱花、枫杨、桑树、枸树、柳树、榆树等。</w:t>
      </w:r>
    </w:p>
    <w:p w14:paraId="2A7AC183">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调查方式：采用美国白蛾诱捕器调查。可根据喜食树种分布等情况将诱捕器设置于道路两旁及苗圃中喜食树种的中部，每个诱捕器辐射半径为200米。同时将每个诱捕器进行GPS定位，记录地理坐标并记录挂设树种、位置信息等，完善美国白蛾成虫监测点信息表。</w:t>
      </w:r>
    </w:p>
    <w:p w14:paraId="5A23EAA5">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（3）调查期间：越冬代成虫监测期为4月10日-5月20日；第一代成虫监测期为6月10日-7月20日；第二代成虫监测期为8月10日至9月20日。</w:t>
      </w:r>
    </w:p>
    <w:p w14:paraId="0F203FD3">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（4）调查频次：每两天一轮，实现诱捕器调查全覆盖。主要识别并记录每个诱捕器内的美国白蛾成虫数，填写现场调查表。</w:t>
      </w:r>
    </w:p>
    <w:p w14:paraId="1CC24010">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（5）虫情上报：调查期内每7天上报虫情监测情况，如发现10头以上成虫，应立即上报。</w:t>
      </w:r>
    </w:p>
    <w:p w14:paraId="52779C34">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2.美国白蛾幼虫调查</w:t>
      </w:r>
    </w:p>
    <w:p w14:paraId="7DF557ED">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(1)调查对象：美国白蛾幼虫。</w:t>
      </w:r>
    </w:p>
    <w:p w14:paraId="080D3959">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调查方式：人工踏查及设置监测标准地（标准地面积不小于3亩，寄主树种不少于100株，调查寄主树种株数不少20株；道路标准地长度不低于100米，寄主树种不少于100株，调查寄主树种株数不少于20株。）。记录确定的地理位置、面积、树种等信息，完善标准地信息表。</w:t>
      </w:r>
    </w:p>
    <w:p w14:paraId="3AF92D44">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(3)调查期间：</w:t>
      </w:r>
      <w:r>
        <w:rPr>
          <w:rFonts w:hint="eastAsia" w:ascii="宋体" w:hAnsi="宋体" w:eastAsia="宋体" w:cs="宋体"/>
          <w:kern w:val="0"/>
          <w:sz w:val="24"/>
          <w:szCs w:val="24"/>
        </w:rPr>
        <w:t>5月20日至6月30日、7月20至8月20日、9月1日至9月30日</w:t>
      </w:r>
      <w:r>
        <w:rPr>
          <w:rFonts w:hint="eastAsia" w:ascii="宋体" w:hAnsi="宋体" w:eastAsia="宋体" w:cs="宋体"/>
          <w:kern w:val="0"/>
          <w:sz w:val="24"/>
          <w:szCs w:val="24"/>
          <w:lang w:eastAsia="zh-CN"/>
        </w:rPr>
        <w:t>。</w:t>
      </w:r>
    </w:p>
    <w:p w14:paraId="331CA75A">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(4)调查频次：每两天一轮，实现标准地全覆盖；根据属地范围内喜食树种的分布，设计踏查路线，每7天一轮。主要记录网幕数量，掌握分布范围和发生危害面积，并填写现场调查表。</w:t>
      </w:r>
    </w:p>
    <w:p w14:paraId="6853E4ED">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(5)虫情上报：调查期内每15天上报虫情监测情况，如发现幼虫立即上报。</w:t>
      </w:r>
    </w:p>
    <w:p w14:paraId="4EE434AE">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3.美国白蛾蛹期调查</w:t>
      </w:r>
    </w:p>
    <w:p w14:paraId="60A92864">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(1)调查对象：美国白蛾蛹。</w:t>
      </w:r>
    </w:p>
    <w:p w14:paraId="0BD09A5E">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(2)调查方式：人工踏查（监测点附近树根部土壤的观察及挖掘）。根据第二代美国白蛾成虫期监测结果，重点对单个诱捕器诱集虫口超过10头的监测点，进行调查。</w:t>
      </w:r>
    </w:p>
    <w:p w14:paraId="0940025D">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highlight w:val="yellow"/>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highlight w:val="none"/>
          <w:lang w:val="en-US" w:eastAsia="zh-CN"/>
        </w:rPr>
        <w:t>调查期间：</w:t>
      </w:r>
      <w:r>
        <w:rPr>
          <w:rFonts w:hint="eastAsia" w:ascii="宋体" w:hAnsi="宋体" w:eastAsia="宋体" w:cs="宋体"/>
          <w:kern w:val="0"/>
          <w:sz w:val="24"/>
          <w:szCs w:val="24"/>
          <w:highlight w:val="none"/>
        </w:rPr>
        <w:t>10月1日至11月30日</w:t>
      </w:r>
    </w:p>
    <w:p w14:paraId="42DFEC69">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(4)调查频次：每7天1轮。</w:t>
      </w:r>
    </w:p>
    <w:p w14:paraId="55A2A549">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(5)虫情上报：调查期内每15天上报虫情监测情况，如发现蛹及卵，应立即上报。</w:t>
      </w:r>
    </w:p>
    <w:p w14:paraId="71E36373">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4.杨树病虫害</w:t>
      </w:r>
    </w:p>
    <w:p w14:paraId="26912AAA">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(1)调查对象：包括但不限于杨小舟蛾、杨扇舟蛾、仁扇舟蛾、杨二尾舟蛾、春尺蠖、桑天牛、叶甲、叶蜂、杨树黑斑病、杨树锈病等。</w:t>
      </w:r>
    </w:p>
    <w:p w14:paraId="4379D5F5">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调查方式：人工踏查及设置监测标准地（标准地面积不小于3亩，杨树不少于100株，调查杨树株数不少20株；道路标准地长度不低于100米，杨树不少于100株，调查杨树株数不少于20株）。记录确定的地理位置、面积、树种等信息，完善标准地信息表。</w:t>
      </w:r>
    </w:p>
    <w:p w14:paraId="74F83BAD">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(3)调查期间：4月至10月期间，调查天数不少于180天。</w:t>
      </w:r>
    </w:p>
    <w:p w14:paraId="19AD1153">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(4)调查频次：每7天1轮。</w:t>
      </w:r>
    </w:p>
    <w:p w14:paraId="09D20857">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(5)虫情上报：调查期内每15天上报虫情监测情况，如发现较大面积危害，应立即上报。</w:t>
      </w:r>
    </w:p>
    <w:p w14:paraId="03229AC8">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5.常见绿化树种病虫害监测</w:t>
      </w:r>
    </w:p>
    <w:p w14:paraId="5A346F28">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调查对象：悬铃木方翅网蝽白粉病、锈病、煤污病、叶斑病、蚜虫、蚧虫、螨虫、栾树多态毛蚜、黄杨绢野螟、星天牛、光肩星天牛、桑天牛、桃红颈天牛、云斑天牛、樟巢螟、樟脊冠网蝽、朴盾木虱、刺蛾、袋蛾等。寄主树种为法梧、香樟、栾树、榉树、乌桕、重阳木、朴树、红叶李、桂花、樱花、女贞、柳树、石楠、黄杨等。</w:t>
      </w:r>
    </w:p>
    <w:p w14:paraId="7B4AE34D">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调查方式：人工踏查及设置监测标准地（标准地面积不小于3亩，寄主树种不少于100株，调查株数不少20株；道路标准地长度不低于100米，寄主树种不少于100株，调查株数不少于20株）。记录确定的地理位置、面积、树种等信息，完善标准地信息表。</w:t>
      </w:r>
    </w:p>
    <w:p w14:paraId="7C45988C">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(3)调查期间：4月至10月期间，调查天数不少于180天。</w:t>
      </w:r>
    </w:p>
    <w:p w14:paraId="57807C28">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(4)调查频次：每7天1轮。</w:t>
      </w:r>
    </w:p>
    <w:p w14:paraId="389BF67C">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(5)虫情上报：调查期内每15天上报虫情监测情况，如发现较大面积危害，应立即上报。</w:t>
      </w:r>
    </w:p>
    <w:p w14:paraId="33D03E71">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（三）防治任务要求</w:t>
      </w:r>
    </w:p>
    <w:p w14:paraId="6CEFED0E">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1.防治区域规划</w:t>
      </w:r>
    </w:p>
    <w:p w14:paraId="1C2BB184">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开展应急除治。实行防治报批制，根据美国白蛾等病虫害发生情况，由各乡镇、园区上报防治计划，县林园中心汇总研判后报县政府批准。防治在县林业主管部门的指导监督下，科学划定防治区域。具体为由属地政府拟定防治区域，报县林业主管部门备案，县林业主管部门可统筹规划，及时指导纠正。</w:t>
      </w:r>
    </w:p>
    <w:p w14:paraId="7216C765">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2.参考防治药品</w:t>
      </w:r>
    </w:p>
    <w:p w14:paraId="70E76F05">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甲维·灭幼脲、烟碱·苦参碱等“三证齐全”的药剂。</w:t>
      </w:r>
    </w:p>
    <w:p w14:paraId="2401D0BA">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3.作业要求</w:t>
      </w:r>
    </w:p>
    <w:p w14:paraId="6EFCEABD">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(1)作业雾滴要穿透到外层林木，从树冠到基部枝条均匀喷洒，确保防治效果。同时在发现美国白蛾网幕时，须及时剪出做无害化处理，并在网幕周围50米范围内，集中喷淋。</w:t>
      </w:r>
    </w:p>
    <w:p w14:paraId="770C895D">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(2)美国白蛾网幕剪出</w:t>
      </w:r>
    </w:p>
    <w:p w14:paraId="20D3B540">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在美国白蛾幼虫期，对发现的美国白蛾幼虫网幕，按照技术规程剪出，在剪出前先喷洒农药，在尽量不破坏网幕的情况下，剪下网幕；对剪下来的网幕，用喷药设备对着剪下来的枝条喷药，进行无害化处理，防止疫情扩散。防治时发现网幕及时剪出，做无害化处理，并集中施药。</w:t>
      </w:r>
    </w:p>
    <w:p w14:paraId="6DA672BC">
      <w:pPr>
        <w:pStyle w:val="4"/>
        <w:keepNext w:val="0"/>
        <w:keepLines w:val="0"/>
        <w:pageBreakBefore w:val="0"/>
        <w:widowControl w:val="0"/>
        <w:kinsoku/>
        <w:wordWrap/>
        <w:overflowPunct/>
        <w:topLinePunct w:val="0"/>
        <w:bidi w:val="0"/>
        <w:snapToGrid/>
        <w:spacing w:before="0" w:after="0" w:line="48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四、验收工作</w:t>
      </w:r>
    </w:p>
    <w:p w14:paraId="04A380F0">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（一）验收时间</w:t>
      </w:r>
    </w:p>
    <w:p w14:paraId="6A00D2AE">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6月15日前，完成阶段性调查监测工作，由验收组按验收方案进行检查验收；全年所有监测防治任务完成，内业和外业自查合格后，组织开展年度验收工作。</w:t>
      </w:r>
    </w:p>
    <w:p w14:paraId="0F2D276C">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验收人员</w:t>
      </w:r>
    </w:p>
    <w:p w14:paraId="236C571D">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由属地乡镇、中标人共同制定质量验收方案，邀请县林业主管部门人员、有关森防专家等组成验收组，开展验收工作,组织现场抽查，验收费用由中标人承担。</w:t>
      </w:r>
    </w:p>
    <w:p w14:paraId="0EDB3B6A">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（三）</w:t>
      </w:r>
      <w:r>
        <w:rPr>
          <w:rFonts w:hint="eastAsia" w:ascii="宋体" w:hAnsi="宋体" w:eastAsia="宋体" w:cs="宋体"/>
          <w:kern w:val="0"/>
          <w:sz w:val="24"/>
          <w:szCs w:val="24"/>
        </w:rPr>
        <w:t>验收内容</w:t>
      </w:r>
    </w:p>
    <w:p w14:paraId="24B3B784">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严格按照国家林业局 LT/T2516-2015《林业有害生物监测预报技术规范》、合同服务内容中关于监测、防治的标准和要求，以及省、市业务主管部门的相关规定执行。</w:t>
      </w:r>
    </w:p>
    <w:p w14:paraId="05C189ED">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w:t>
      </w:r>
      <w:r>
        <w:rPr>
          <w:rFonts w:hint="eastAsia" w:ascii="宋体" w:hAnsi="宋体" w:eastAsia="宋体" w:cs="宋体"/>
          <w:kern w:val="0"/>
          <w:sz w:val="24"/>
          <w:szCs w:val="24"/>
        </w:rPr>
        <w:t>验收标准</w:t>
      </w:r>
    </w:p>
    <w:p w14:paraId="330BAC38">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1.监测方面。完成合同约定及县林业主管部门要求的监测任务。</w:t>
      </w:r>
    </w:p>
    <w:p w14:paraId="037599FF">
      <w:pPr>
        <w:pStyle w:val="47"/>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b/>
          <w:sz w:val="24"/>
          <w:szCs w:val="24"/>
          <w:lang w:eastAsia="zh-CN"/>
        </w:rPr>
      </w:pPr>
      <w:r>
        <w:rPr>
          <w:rFonts w:hint="eastAsia" w:ascii="宋体" w:hAnsi="宋体" w:eastAsia="宋体" w:cs="宋体"/>
          <w:kern w:val="0"/>
          <w:sz w:val="24"/>
          <w:szCs w:val="24"/>
          <w:lang w:val="en-US" w:eastAsia="zh-CN"/>
        </w:rPr>
        <w:t>2.防治方面。除病害及生理性落叶原因外，防治效果达到以下标准为合格：食叶类害虫防治后林木平均叶片保存率不低于90%、虫株率低于2%；刺吸类害虫防治后叶片保存率90%以上，虫口密度等于或小于5头/10cm²，否则应及时加以补防，直至达到要求。</w:t>
      </w:r>
    </w:p>
    <w:p w14:paraId="12D77734">
      <w:pPr>
        <w:keepNext w:val="0"/>
        <w:keepLines w:val="0"/>
        <w:pageBreakBefore w:val="0"/>
        <w:widowControl w:val="0"/>
        <w:kinsoku/>
        <w:wordWrap/>
        <w:overflowPunct/>
        <w:topLinePunct w:val="0"/>
        <w:bidi w:val="0"/>
        <w:snapToGrid/>
        <w:spacing w:line="480" w:lineRule="exact"/>
        <w:ind w:firstLine="482" w:firstLineChars="200"/>
        <w:textAlignment w:val="auto"/>
        <w:rPr>
          <w:rFonts w:hint="default" w:ascii="宋体" w:hAnsi="宋体" w:eastAsia="宋体" w:cs="宋体"/>
          <w:b/>
          <w:color w:val="auto"/>
          <w:sz w:val="24"/>
          <w:szCs w:val="24"/>
          <w:lang w:val="en-US" w:eastAsia="zh-CN"/>
        </w:rPr>
      </w:pPr>
      <w:r>
        <w:rPr>
          <w:rFonts w:hint="eastAsia" w:ascii="宋体" w:hAnsi="宋体" w:eastAsia="宋体" w:cs="宋体"/>
          <w:b/>
          <w:sz w:val="24"/>
          <w:szCs w:val="24"/>
          <w:lang w:eastAsia="zh-CN"/>
        </w:rPr>
        <w:t>五、报价要求</w:t>
      </w:r>
      <w:r>
        <w:rPr>
          <w:rFonts w:hint="eastAsia" w:cs="宋体"/>
          <w:b/>
          <w:sz w:val="24"/>
          <w:szCs w:val="24"/>
          <w:lang w:val="en-US" w:eastAsia="zh-CN"/>
        </w:rPr>
        <w:t xml:space="preserve">  </w:t>
      </w:r>
    </w:p>
    <w:p w14:paraId="27C12035">
      <w:pPr>
        <w:pStyle w:val="16"/>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0"/>
          <w:highlight w:val="none"/>
          <w:lang w:val="en-US" w:eastAsia="zh-CN"/>
        </w:rPr>
      </w:pPr>
      <w:r>
        <w:rPr>
          <w:rFonts w:hint="eastAsia" w:ascii="宋体" w:hAnsi="宋体" w:eastAsia="宋体" w:cs="宋体"/>
          <w:color w:val="auto"/>
          <w:kern w:val="0"/>
          <w:sz w:val="24"/>
          <w:szCs w:val="24"/>
          <w:lang w:val="en-US" w:eastAsia="zh-CN" w:bidi="ar-SA"/>
        </w:rPr>
        <w:t>本项目采用</w:t>
      </w:r>
      <w:r>
        <w:rPr>
          <w:rFonts w:hint="default" w:ascii="宋体" w:hAnsi="宋体" w:eastAsia="宋体" w:cs="宋体"/>
          <w:color w:val="auto"/>
          <w:kern w:val="0"/>
          <w:sz w:val="24"/>
          <w:szCs w:val="24"/>
          <w:lang w:val="en-US" w:eastAsia="zh-CN" w:bidi="ar-SA"/>
        </w:rPr>
        <w:t>总价报价</w:t>
      </w:r>
      <w:r>
        <w:rPr>
          <w:rFonts w:hint="eastAsia" w:ascii="宋体" w:hAnsi="宋体" w:eastAsia="宋体" w:cs="宋体"/>
          <w:color w:val="auto"/>
          <w:kern w:val="0"/>
          <w:sz w:val="24"/>
          <w:szCs w:val="24"/>
          <w:lang w:val="en-US" w:eastAsia="zh-CN" w:bidi="ar-SA"/>
        </w:rPr>
        <w:t>，</w:t>
      </w:r>
      <w:r>
        <w:rPr>
          <w:rFonts w:hint="default" w:ascii="宋体" w:hAnsi="宋体" w:eastAsia="宋体" w:cs="宋体"/>
          <w:color w:val="auto"/>
          <w:kern w:val="0"/>
          <w:sz w:val="24"/>
          <w:szCs w:val="24"/>
          <w:lang w:val="en-US" w:eastAsia="zh-CN" w:bidi="ar-SA"/>
        </w:rPr>
        <w:t>报价为完成该货物的全部费用，包括但不限于供应货物过程中发生的人工费、材料费、机械费、交通费、各项补助费用、税金、管理费、利润及合同期内价格风险等。合同期内</w:t>
      </w:r>
      <w:r>
        <w:rPr>
          <w:rFonts w:hint="eastAsia" w:ascii="宋体" w:hAnsi="宋体" w:eastAsia="宋体" w:cs="宋体"/>
          <w:color w:val="auto"/>
          <w:kern w:val="0"/>
          <w:sz w:val="24"/>
          <w:szCs w:val="24"/>
          <w:lang w:val="en-US" w:eastAsia="zh-CN" w:bidi="ar-SA"/>
        </w:rPr>
        <w:t>成交人</w:t>
      </w:r>
      <w:r>
        <w:rPr>
          <w:rFonts w:hint="default" w:ascii="宋体" w:hAnsi="宋体" w:eastAsia="宋体" w:cs="宋体"/>
          <w:color w:val="auto"/>
          <w:kern w:val="0"/>
          <w:sz w:val="24"/>
          <w:szCs w:val="24"/>
          <w:lang w:val="en-US" w:eastAsia="zh-CN" w:bidi="ar-SA"/>
        </w:rPr>
        <w:t>不得因为市场价格波动拒绝</w:t>
      </w:r>
      <w:r>
        <w:rPr>
          <w:rFonts w:hint="eastAsia" w:ascii="宋体" w:hAnsi="宋体" w:eastAsia="宋体" w:cs="宋体"/>
          <w:color w:val="auto"/>
          <w:kern w:val="0"/>
          <w:sz w:val="24"/>
          <w:szCs w:val="24"/>
          <w:lang w:val="en-US" w:eastAsia="zh-CN" w:bidi="ar-SA"/>
        </w:rPr>
        <w:t>服务</w:t>
      </w:r>
      <w:r>
        <w:rPr>
          <w:rFonts w:hint="default" w:ascii="宋体" w:hAnsi="宋体" w:eastAsia="宋体" w:cs="宋体"/>
          <w:color w:val="auto"/>
          <w:kern w:val="0"/>
          <w:sz w:val="24"/>
          <w:szCs w:val="24"/>
          <w:lang w:val="en-US" w:eastAsia="zh-CN" w:bidi="ar-SA"/>
        </w:rPr>
        <w:t>。</w:t>
      </w:r>
    </w:p>
    <w:p w14:paraId="523AEAA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b/>
          <w:bCs/>
          <w:i w:val="0"/>
          <w:iCs w:val="0"/>
          <w:caps w:val="0"/>
          <w:color w:val="0F1115"/>
          <w:spacing w:val="0"/>
          <w:kern w:val="2"/>
          <w:sz w:val="24"/>
          <w:szCs w:val="24"/>
          <w:highlight w:val="none"/>
          <w:shd w:val="clear" w:fill="FFFFFF"/>
          <w:lang w:val="en-US" w:eastAsia="zh-CN" w:bidi="ar-SA"/>
        </w:rPr>
      </w:pPr>
    </w:p>
    <w:p w14:paraId="07D5D784">
      <w:pPr>
        <w:rPr>
          <w:rFonts w:hint="eastAsia" w:ascii="宋体" w:hAnsi="宋体" w:eastAsia="宋体" w:cs="宋体"/>
          <w:b/>
          <w:bCs/>
          <w:i w:val="0"/>
          <w:iCs w:val="0"/>
          <w:caps w:val="0"/>
          <w:color w:val="0F1115"/>
          <w:spacing w:val="0"/>
          <w:kern w:val="2"/>
          <w:sz w:val="24"/>
          <w:szCs w:val="24"/>
          <w:highlight w:val="none"/>
          <w:shd w:val="clear" w:fill="FFFFFF"/>
          <w:lang w:val="en-US" w:eastAsia="zh-CN" w:bidi="ar-SA"/>
        </w:rPr>
      </w:pPr>
      <w:r>
        <w:rPr>
          <w:rFonts w:hint="eastAsia" w:ascii="宋体" w:hAnsi="宋体" w:eastAsia="宋体" w:cs="宋体"/>
          <w:b/>
          <w:bCs/>
          <w:i w:val="0"/>
          <w:iCs w:val="0"/>
          <w:caps w:val="0"/>
          <w:color w:val="0F1115"/>
          <w:spacing w:val="0"/>
          <w:kern w:val="2"/>
          <w:sz w:val="24"/>
          <w:szCs w:val="24"/>
          <w:highlight w:val="none"/>
          <w:shd w:val="clear" w:fill="FFFFFF"/>
          <w:lang w:val="en-US" w:eastAsia="zh-CN" w:bidi="ar-SA"/>
        </w:rPr>
        <w:br w:type="page"/>
      </w:r>
    </w:p>
    <w:p w14:paraId="6F887C95">
      <w:pPr>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jc w:val="both"/>
        <w:textAlignment w:val="auto"/>
        <w:rPr>
          <w:rFonts w:hint="eastAsia" w:ascii="宋体" w:hAnsi="宋体" w:eastAsia="宋体" w:cs="宋体"/>
          <w:b/>
          <w:bCs/>
          <w:i w:val="0"/>
          <w:iCs w:val="0"/>
          <w:caps w:val="0"/>
          <w:color w:val="0F1115"/>
          <w:spacing w:val="0"/>
          <w:kern w:val="2"/>
          <w:sz w:val="24"/>
          <w:szCs w:val="24"/>
          <w:highlight w:val="none"/>
          <w:shd w:val="clear" w:fill="FFFFFF"/>
          <w:lang w:val="en-US" w:eastAsia="zh-CN" w:bidi="ar-SA"/>
        </w:rPr>
      </w:pPr>
    </w:p>
    <w:p w14:paraId="5CEA7743">
      <w:pPr>
        <w:ind w:left="0" w:leftChars="0" w:firstLine="0" w:firstLineChars="0"/>
        <w:jc w:val="center"/>
        <w:outlineLvl w:val="9"/>
        <w:rPr>
          <w:rFonts w:hint="eastAsia" w:asciiTheme="minorEastAsia" w:hAnsiTheme="minorEastAsia" w:eastAsiaTheme="minorEastAsia"/>
          <w:b/>
          <w:color w:val="000000" w:themeColor="text1"/>
          <w:sz w:val="28"/>
          <w:highlight w:val="none"/>
          <w14:textFill>
            <w14:solidFill>
              <w14:schemeClr w14:val="tx1"/>
            </w14:solidFill>
          </w14:textFill>
        </w:rPr>
      </w:pPr>
      <w:bookmarkStart w:id="9" w:name="_Toc192058173"/>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9"/>
    </w:p>
    <w:p w14:paraId="51F59448">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1.为了做好</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桃花镇2026年度美国白蛾等重大林业有害生物监测防治</w:t>
      </w:r>
      <w:r>
        <w:rPr>
          <w:rFonts w:hint="eastAsia" w:asciiTheme="minorEastAsia" w:hAnsiTheme="minorEastAsia" w:eastAsiaTheme="minorEastAsia"/>
          <w:b w:val="0"/>
          <w:bCs/>
          <w:color w:val="000000" w:themeColor="text1"/>
          <w:highlight w:val="none"/>
          <w14:textFill>
            <w14:solidFill>
              <w14:schemeClr w14:val="tx1"/>
            </w14:solidFill>
          </w14:textFill>
        </w:rPr>
        <w:t>（项目编号：</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2026PHBX212</w:t>
      </w:r>
      <w:r>
        <w:rPr>
          <w:rFonts w:hint="eastAsia" w:asciiTheme="minorEastAsia" w:hAnsiTheme="minorEastAsia" w:eastAsiaTheme="minorEastAsia"/>
          <w:b w:val="0"/>
          <w:bCs/>
          <w:color w:val="000000" w:themeColor="text1"/>
          <w:highlight w:val="none"/>
          <w14:textFill>
            <w14:solidFill>
              <w14:schemeClr w14:val="tx1"/>
            </w14:solidFill>
          </w14:textFill>
        </w:rPr>
        <w:t>）的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与评审工作，保证项目评审工作的正常有序进行，维护业主单位、供应商的合法权益，遵循公平、公正、科学和择优的原则，制定评审方法与标准。</w:t>
      </w:r>
    </w:p>
    <w:p w14:paraId="6851ED0E">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2.本次项目采用最低评标价法作为对供应商响应文件的比较方法。</w:t>
      </w:r>
    </w:p>
    <w:p w14:paraId="04E9F459">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3.本项目将依法组建</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小组，负责本项目的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与评审工作。</w:t>
      </w:r>
    </w:p>
    <w:p w14:paraId="6053E4B4">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小组按照“客观公正，实事求是”的原则，评价参加本次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的供应商所提供的产品或服务价格、性能、质量、服务及对</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文件的符合性及响应性。</w:t>
      </w:r>
    </w:p>
    <w:p w14:paraId="5496381F">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小组应认真研究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文件，至少应了解和熟悉以下内容：</w:t>
      </w:r>
    </w:p>
    <w:p w14:paraId="354539D8">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5.1</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的目标；</w:t>
      </w:r>
    </w:p>
    <w:p w14:paraId="52795FB8">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5.2</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项目的范围和性质；</w:t>
      </w:r>
    </w:p>
    <w:p w14:paraId="7F032A2B">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5.3</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文件中规定的主要技术要求、标准和商务条款；</w:t>
      </w:r>
    </w:p>
    <w:p w14:paraId="4563A24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文件规定的评审标准、评审方法和在评审过程中考虑的相关因素。</w:t>
      </w:r>
    </w:p>
    <w:p w14:paraId="06DE3516">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6.有效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应符合以下原则：</w:t>
      </w:r>
    </w:p>
    <w:p w14:paraId="0404B1AE">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6.1满足</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文件的实质性要求；</w:t>
      </w:r>
    </w:p>
    <w:p w14:paraId="45C7AA6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6.2无重大偏离、保留或业主单位不能接受的附加条件；</w:t>
      </w:r>
    </w:p>
    <w:p w14:paraId="63F6795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6.3通过</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有效性评审；</w:t>
      </w:r>
    </w:p>
    <w:p w14:paraId="0FDBA05B">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小组依据</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文件认定的其他原则。</w:t>
      </w:r>
    </w:p>
    <w:p w14:paraId="2AE2D82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7.</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小组对所有响应文件均采用相同程序和标准，进行评定。</w:t>
      </w:r>
    </w:p>
    <w:p w14:paraId="4329861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8.</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小组发现供应商的响应文件中对同类问题表述不一致、前后矛盾、有明显文字和计算错误的内容、有可能不符合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文件规定等情况需要澄清时，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小组将以询标的方式告知并要求供应商进行必要的澄清、说明或补正。</w:t>
      </w:r>
    </w:p>
    <w:p w14:paraId="1D275B82">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对于询标后判定的结论（如通过或不通过），</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小组应提出充足的理由，根据</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文件给定的评审指标进行判定，并予以书面记录。</w:t>
      </w:r>
    </w:p>
    <w:p w14:paraId="444F4F7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小组独立评审后，对供应商某项评审指标如有不同意见，按照少数服从多数的原则，确定该项评审指标的最终结论。</w:t>
      </w:r>
    </w:p>
    <w:p w14:paraId="62686BD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9.评审程序</w:t>
      </w:r>
    </w:p>
    <w:p w14:paraId="74AC1EF1">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本项目采用最低评标价法进行评审，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小组遵循规定的评审原则，对供应商进行初审，确定</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成交</w:t>
      </w:r>
      <w:r>
        <w:rPr>
          <w:rFonts w:hint="eastAsia" w:asciiTheme="minorEastAsia" w:hAnsiTheme="minorEastAsia" w:eastAsiaTheme="minorEastAsia"/>
          <w:b w:val="0"/>
          <w:bCs/>
          <w:color w:val="000000" w:themeColor="text1"/>
          <w:highlight w:val="none"/>
          <w14:textFill>
            <w14:solidFill>
              <w14:schemeClr w14:val="tx1"/>
            </w14:solidFill>
          </w14:textFill>
        </w:rPr>
        <w:t>候选人。</w:t>
      </w:r>
    </w:p>
    <w:p w14:paraId="6DB0B8B4">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9.1初审</w:t>
      </w:r>
    </w:p>
    <w:p w14:paraId="79420601">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小组按下表内容对所有供应商进行初审：</w:t>
      </w:r>
    </w:p>
    <w:tbl>
      <w:tblPr>
        <w:tblStyle w:val="19"/>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029"/>
        <w:gridCol w:w="2443"/>
        <w:gridCol w:w="4137"/>
      </w:tblGrid>
      <w:tr w14:paraId="0122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446BB70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029" w:type="dxa"/>
            <w:tcBorders>
              <w:bottom w:val="single" w:color="auto" w:sz="4" w:space="0"/>
            </w:tcBorders>
            <w:vAlign w:val="center"/>
          </w:tcPr>
          <w:p w14:paraId="6336388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指标名称</w:t>
            </w:r>
          </w:p>
        </w:tc>
        <w:tc>
          <w:tcPr>
            <w:tcW w:w="2443" w:type="dxa"/>
            <w:tcBorders>
              <w:bottom w:val="single" w:color="auto" w:sz="4" w:space="0"/>
            </w:tcBorders>
            <w:vAlign w:val="center"/>
          </w:tcPr>
          <w:p w14:paraId="775909E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指标要求</w:t>
            </w:r>
          </w:p>
        </w:tc>
        <w:tc>
          <w:tcPr>
            <w:tcW w:w="4137" w:type="dxa"/>
            <w:tcBorders>
              <w:bottom w:val="single" w:color="auto" w:sz="4" w:space="0"/>
            </w:tcBorders>
            <w:vAlign w:val="center"/>
          </w:tcPr>
          <w:p w14:paraId="06B360F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响应文件格式及提交资料要求</w:t>
            </w:r>
          </w:p>
        </w:tc>
      </w:tr>
      <w:tr w14:paraId="13FB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399A75A4">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29" w:type="dxa"/>
            <w:tcBorders>
              <w:bottom w:val="single" w:color="auto" w:sz="4" w:space="0"/>
            </w:tcBorders>
            <w:vAlign w:val="center"/>
          </w:tcPr>
          <w:p w14:paraId="1BD58ACE">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营业执照或事业单位法人证书</w:t>
            </w:r>
          </w:p>
        </w:tc>
        <w:tc>
          <w:tcPr>
            <w:tcW w:w="2443" w:type="dxa"/>
            <w:tcBorders>
              <w:bottom w:val="single" w:color="auto" w:sz="4" w:space="0"/>
            </w:tcBorders>
            <w:vAlign w:val="center"/>
          </w:tcPr>
          <w:p w14:paraId="320C1291">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合法有效</w:t>
            </w:r>
          </w:p>
        </w:tc>
        <w:tc>
          <w:tcPr>
            <w:tcW w:w="4137" w:type="dxa"/>
            <w:tcBorders>
              <w:bottom w:val="single" w:color="auto" w:sz="4" w:space="0"/>
            </w:tcBorders>
            <w:vAlign w:val="center"/>
          </w:tcPr>
          <w:p w14:paraId="768D0324">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提供有效的营业执照（或事业单位法人证书）的扫描件，应完整地体现出营业执照（或事业单位法人证书）的全部内容。</w:t>
            </w:r>
          </w:p>
        </w:tc>
      </w:tr>
      <w:tr w14:paraId="482F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126F34D">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29" w:type="dxa"/>
            <w:vAlign w:val="center"/>
          </w:tcPr>
          <w:p w14:paraId="10BDF417">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cs="宋体"/>
                <w:sz w:val="24"/>
                <w:szCs w:val="24"/>
                <w:highlight w:val="none"/>
                <w:lang w:eastAsia="zh-CN"/>
              </w:rPr>
              <w:t>询比</w:t>
            </w:r>
            <w:r>
              <w:rPr>
                <w:rFonts w:hint="eastAsia" w:cs="宋体"/>
                <w:sz w:val="24"/>
                <w:szCs w:val="24"/>
                <w:highlight w:val="none"/>
                <w:lang w:val="en-US" w:eastAsia="zh-CN"/>
              </w:rPr>
              <w:t>响应</w:t>
            </w:r>
            <w:r>
              <w:rPr>
                <w:rFonts w:hint="eastAsia" w:ascii="宋体" w:hAnsi="宋体" w:eastAsia="宋体" w:cs="宋体"/>
                <w:sz w:val="24"/>
                <w:szCs w:val="24"/>
                <w:highlight w:val="none"/>
              </w:rPr>
              <w:t>函</w:t>
            </w:r>
          </w:p>
        </w:tc>
        <w:tc>
          <w:tcPr>
            <w:tcW w:w="2443" w:type="dxa"/>
            <w:vAlign w:val="center"/>
          </w:tcPr>
          <w:p w14:paraId="3530446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询比</w:t>
            </w:r>
            <w:r>
              <w:rPr>
                <w:rFonts w:hint="eastAsia" w:ascii="宋体" w:hAnsi="宋体" w:eastAsia="宋体" w:cs="宋体"/>
                <w:sz w:val="24"/>
                <w:szCs w:val="24"/>
                <w:highlight w:val="none"/>
              </w:rPr>
              <w:t>文件要求</w:t>
            </w:r>
          </w:p>
        </w:tc>
        <w:tc>
          <w:tcPr>
            <w:tcW w:w="4137" w:type="dxa"/>
            <w:vAlign w:val="center"/>
          </w:tcPr>
          <w:p w14:paraId="5CB6F42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详见第七章响应文件格式</w:t>
            </w:r>
          </w:p>
        </w:tc>
      </w:tr>
      <w:tr w14:paraId="0A9A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20" w:type="dxa"/>
            <w:shd w:val="clear" w:color="auto" w:fill="auto"/>
            <w:vAlign w:val="center"/>
          </w:tcPr>
          <w:p w14:paraId="0BF8390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bidi="ar-SA"/>
              </w:rPr>
            </w:pPr>
            <w:r>
              <w:rPr>
                <w:rFonts w:hint="eastAsia" w:cs="宋体"/>
                <w:strike w:val="0"/>
                <w:sz w:val="24"/>
                <w:szCs w:val="24"/>
                <w:highlight w:val="none"/>
                <w:lang w:val="en-US" w:eastAsia="zh-CN" w:bidi="ar-SA"/>
              </w:rPr>
              <w:t>3</w:t>
            </w:r>
          </w:p>
        </w:tc>
        <w:tc>
          <w:tcPr>
            <w:tcW w:w="2029" w:type="dxa"/>
            <w:vAlign w:val="center"/>
          </w:tcPr>
          <w:p w14:paraId="10892161">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cs="宋体"/>
                <w:sz w:val="24"/>
                <w:szCs w:val="24"/>
                <w:highlight w:val="none"/>
                <w:lang w:eastAsia="zh-CN"/>
              </w:rPr>
              <w:t>询比</w:t>
            </w:r>
            <w:r>
              <w:rPr>
                <w:rFonts w:hint="eastAsia" w:ascii="宋体" w:hAnsi="宋体" w:eastAsia="宋体" w:cs="宋体"/>
                <w:sz w:val="24"/>
                <w:szCs w:val="24"/>
                <w:highlight w:val="none"/>
              </w:rPr>
              <w:t>授权书</w:t>
            </w:r>
          </w:p>
        </w:tc>
        <w:tc>
          <w:tcPr>
            <w:tcW w:w="2443" w:type="dxa"/>
            <w:vAlign w:val="center"/>
          </w:tcPr>
          <w:p w14:paraId="48F33F68">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询比</w:t>
            </w:r>
            <w:r>
              <w:rPr>
                <w:rFonts w:hint="eastAsia" w:ascii="宋体" w:hAnsi="宋体" w:eastAsia="宋体" w:cs="宋体"/>
                <w:sz w:val="24"/>
                <w:szCs w:val="24"/>
                <w:highlight w:val="none"/>
              </w:rPr>
              <w:t>文件要求</w:t>
            </w:r>
          </w:p>
        </w:tc>
        <w:tc>
          <w:tcPr>
            <w:tcW w:w="4137" w:type="dxa"/>
            <w:vAlign w:val="center"/>
          </w:tcPr>
          <w:p w14:paraId="68B0734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详见第七章响应文件格式“</w:t>
            </w:r>
            <w:r>
              <w:rPr>
                <w:rFonts w:hint="eastAsia" w:cs="宋体"/>
                <w:sz w:val="24"/>
                <w:szCs w:val="24"/>
                <w:highlight w:val="none"/>
                <w:lang w:eastAsia="zh-CN"/>
              </w:rPr>
              <w:t>询比</w:t>
            </w:r>
            <w:r>
              <w:rPr>
                <w:rFonts w:hint="eastAsia" w:ascii="宋体" w:hAnsi="宋体" w:eastAsia="宋体" w:cs="宋体"/>
                <w:sz w:val="24"/>
                <w:szCs w:val="24"/>
                <w:highlight w:val="none"/>
              </w:rPr>
              <w:t>授权书”</w:t>
            </w:r>
          </w:p>
        </w:tc>
      </w:tr>
      <w:tr w14:paraId="50E8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510D4804">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trike/>
                <w:sz w:val="24"/>
                <w:szCs w:val="24"/>
                <w:highlight w:val="none"/>
                <w:lang w:val="en-US" w:eastAsia="zh-CN" w:bidi="ar-SA"/>
              </w:rPr>
            </w:pPr>
            <w:r>
              <w:rPr>
                <w:rFonts w:hint="eastAsia" w:cs="宋体"/>
                <w:sz w:val="24"/>
                <w:szCs w:val="24"/>
                <w:highlight w:val="none"/>
                <w:lang w:val="en-US" w:eastAsia="zh-CN" w:bidi="ar-SA"/>
              </w:rPr>
              <w:t>4</w:t>
            </w:r>
          </w:p>
        </w:tc>
        <w:tc>
          <w:tcPr>
            <w:tcW w:w="2029" w:type="dxa"/>
            <w:vAlign w:val="center"/>
          </w:tcPr>
          <w:p w14:paraId="32D8F341">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电子交易服务费</w:t>
            </w:r>
          </w:p>
        </w:tc>
        <w:tc>
          <w:tcPr>
            <w:tcW w:w="2443" w:type="dxa"/>
            <w:vAlign w:val="center"/>
          </w:tcPr>
          <w:p w14:paraId="0F40CCFA">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询比</w:t>
            </w:r>
            <w:r>
              <w:rPr>
                <w:rFonts w:hint="eastAsia" w:ascii="宋体" w:hAnsi="宋体" w:eastAsia="宋体" w:cs="宋体"/>
                <w:sz w:val="24"/>
                <w:szCs w:val="24"/>
                <w:highlight w:val="none"/>
              </w:rPr>
              <w:t>文件要求</w:t>
            </w:r>
          </w:p>
        </w:tc>
        <w:tc>
          <w:tcPr>
            <w:tcW w:w="4137" w:type="dxa"/>
            <w:vAlign w:val="center"/>
          </w:tcPr>
          <w:p w14:paraId="6F12DAF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以代理机构财务查询为准</w:t>
            </w:r>
          </w:p>
        </w:tc>
      </w:tr>
      <w:tr w14:paraId="0C03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233DBD1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5</w:t>
            </w:r>
          </w:p>
        </w:tc>
        <w:tc>
          <w:tcPr>
            <w:tcW w:w="2029" w:type="dxa"/>
            <w:vAlign w:val="center"/>
          </w:tcPr>
          <w:p w14:paraId="3BD68996">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2443" w:type="dxa"/>
            <w:vAlign w:val="center"/>
          </w:tcPr>
          <w:p w14:paraId="5E1A13C6">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询比</w:t>
            </w:r>
            <w:r>
              <w:rPr>
                <w:rFonts w:hint="eastAsia" w:ascii="宋体" w:hAnsi="宋体" w:eastAsia="宋体" w:cs="宋体"/>
                <w:sz w:val="24"/>
                <w:szCs w:val="24"/>
                <w:highlight w:val="none"/>
              </w:rPr>
              <w:t>文件要求</w:t>
            </w:r>
          </w:p>
        </w:tc>
        <w:tc>
          <w:tcPr>
            <w:tcW w:w="4137" w:type="dxa"/>
            <w:vAlign w:val="center"/>
          </w:tcPr>
          <w:p w14:paraId="3FD0FC8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default" w:ascii="宋体" w:hAnsi="宋体" w:eastAsia="宋体" w:cs="宋体"/>
                <w:sz w:val="24"/>
                <w:szCs w:val="24"/>
                <w:highlight w:val="none"/>
                <w:lang w:val="en-US" w:eastAsia="zh-CN"/>
              </w:rPr>
            </w:pPr>
            <w:r>
              <w:rPr>
                <w:rFonts w:hint="eastAsia" w:cs="宋体"/>
                <w:b w:val="0"/>
                <w:bCs w:val="0"/>
                <w:sz w:val="24"/>
                <w:szCs w:val="24"/>
                <w:highlight w:val="none"/>
                <w:lang w:val="en-US" w:eastAsia="zh-CN"/>
              </w:rPr>
              <w:t>响应文件要求</w:t>
            </w:r>
          </w:p>
        </w:tc>
      </w:tr>
      <w:tr w14:paraId="4253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19DE24D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cs="宋体"/>
                <w:sz w:val="24"/>
                <w:szCs w:val="24"/>
                <w:highlight w:val="none"/>
                <w:lang w:val="en-US" w:eastAsia="zh-CN"/>
              </w:rPr>
            </w:pPr>
            <w:r>
              <w:rPr>
                <w:rFonts w:hint="eastAsia" w:cs="宋体"/>
                <w:strike w:val="0"/>
                <w:sz w:val="24"/>
                <w:szCs w:val="24"/>
                <w:highlight w:val="none"/>
                <w:lang w:val="en-US" w:eastAsia="zh-CN"/>
              </w:rPr>
              <w:t>6</w:t>
            </w:r>
          </w:p>
        </w:tc>
        <w:tc>
          <w:tcPr>
            <w:tcW w:w="2029" w:type="dxa"/>
            <w:vAlign w:val="center"/>
          </w:tcPr>
          <w:p w14:paraId="69EC50A8">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无不良信用记录声明函</w:t>
            </w:r>
          </w:p>
        </w:tc>
        <w:tc>
          <w:tcPr>
            <w:tcW w:w="2443" w:type="dxa"/>
            <w:vAlign w:val="center"/>
          </w:tcPr>
          <w:p w14:paraId="3AAB2738">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询比</w:t>
            </w:r>
            <w:r>
              <w:rPr>
                <w:rFonts w:hint="eastAsia" w:ascii="宋体" w:hAnsi="宋体" w:eastAsia="宋体" w:cs="宋体"/>
                <w:sz w:val="24"/>
                <w:szCs w:val="24"/>
                <w:highlight w:val="none"/>
              </w:rPr>
              <w:t>文件要求</w:t>
            </w:r>
          </w:p>
        </w:tc>
        <w:tc>
          <w:tcPr>
            <w:tcW w:w="4137" w:type="dxa"/>
            <w:vAlign w:val="center"/>
          </w:tcPr>
          <w:p w14:paraId="5A0C98ED">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p>
        </w:tc>
      </w:tr>
      <w:tr w14:paraId="0D57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0592CD6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trike/>
                <w:sz w:val="24"/>
                <w:szCs w:val="24"/>
                <w:highlight w:val="none"/>
                <w:lang w:val="en-US" w:eastAsia="zh-CN"/>
              </w:rPr>
            </w:pPr>
            <w:r>
              <w:rPr>
                <w:rFonts w:hint="eastAsia" w:cs="宋体"/>
                <w:sz w:val="24"/>
                <w:szCs w:val="24"/>
                <w:highlight w:val="none"/>
                <w:lang w:val="en-US" w:eastAsia="zh-CN"/>
              </w:rPr>
              <w:t>7</w:t>
            </w:r>
          </w:p>
        </w:tc>
        <w:tc>
          <w:tcPr>
            <w:tcW w:w="2029" w:type="dxa"/>
            <w:vAlign w:val="center"/>
          </w:tcPr>
          <w:p w14:paraId="204A3BFA">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trike/>
                <w:sz w:val="24"/>
                <w:szCs w:val="24"/>
                <w:highlight w:val="none"/>
              </w:rPr>
            </w:pPr>
            <w:r>
              <w:rPr>
                <w:rFonts w:hint="eastAsia" w:ascii="宋体" w:hAnsi="宋体" w:eastAsia="宋体" w:cs="宋体"/>
                <w:sz w:val="24"/>
                <w:szCs w:val="24"/>
                <w:highlight w:val="none"/>
              </w:rPr>
              <w:t>标书响应情况</w:t>
            </w:r>
          </w:p>
        </w:tc>
        <w:tc>
          <w:tcPr>
            <w:tcW w:w="2443" w:type="dxa"/>
            <w:vAlign w:val="center"/>
          </w:tcPr>
          <w:p w14:paraId="77FA06A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trike/>
                <w:sz w:val="24"/>
                <w:szCs w:val="24"/>
                <w:highlight w:val="none"/>
                <w:lang w:val="en-US" w:eastAsia="zh-CN"/>
              </w:rPr>
            </w:pPr>
            <w:r>
              <w:rPr>
                <w:rFonts w:hint="eastAsia" w:ascii="宋体" w:hAnsi="宋体" w:eastAsia="宋体" w:cs="宋体"/>
                <w:spacing w:val="-8"/>
                <w:sz w:val="24"/>
                <w:szCs w:val="24"/>
                <w:highlight w:val="none"/>
              </w:rPr>
              <w:t>付款方式响应、</w:t>
            </w:r>
            <w:r>
              <w:rPr>
                <w:rFonts w:hint="eastAsia" w:cs="宋体"/>
                <w:spacing w:val="-8"/>
                <w:sz w:val="24"/>
                <w:szCs w:val="24"/>
                <w:highlight w:val="none"/>
                <w:lang w:val="en-US" w:eastAsia="zh-CN"/>
              </w:rPr>
              <w:t>服务</w:t>
            </w:r>
            <w:r>
              <w:rPr>
                <w:rFonts w:hint="eastAsia" w:ascii="宋体" w:hAnsi="宋体" w:eastAsia="宋体" w:cs="宋体"/>
                <w:spacing w:val="-8"/>
                <w:sz w:val="24"/>
                <w:szCs w:val="24"/>
                <w:highlight w:val="none"/>
              </w:rPr>
              <w:t>期响应</w:t>
            </w:r>
            <w:r>
              <w:rPr>
                <w:rFonts w:hint="eastAsia" w:cs="宋体"/>
                <w:spacing w:val="-8"/>
                <w:sz w:val="24"/>
                <w:szCs w:val="24"/>
                <w:highlight w:val="none"/>
                <w:lang w:val="en-US" w:eastAsia="zh-CN"/>
              </w:rPr>
              <w:t>等</w:t>
            </w:r>
          </w:p>
        </w:tc>
        <w:tc>
          <w:tcPr>
            <w:tcW w:w="4137" w:type="dxa"/>
            <w:vAlign w:val="center"/>
          </w:tcPr>
          <w:p w14:paraId="2D4A95D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pacing w:val="-8"/>
                <w:sz w:val="24"/>
                <w:szCs w:val="24"/>
                <w:highlight w:val="none"/>
              </w:rPr>
            </w:pPr>
          </w:p>
        </w:tc>
      </w:tr>
      <w:tr w14:paraId="603F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4C84674">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8</w:t>
            </w:r>
          </w:p>
        </w:tc>
        <w:tc>
          <w:tcPr>
            <w:tcW w:w="2029" w:type="dxa"/>
            <w:vAlign w:val="center"/>
          </w:tcPr>
          <w:p w14:paraId="2ED8AE80">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tc>
        <w:tc>
          <w:tcPr>
            <w:tcW w:w="2443" w:type="dxa"/>
            <w:vAlign w:val="center"/>
          </w:tcPr>
          <w:p w14:paraId="107BBD79">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上述指标中未列出，但国家相关法律法规或</w:t>
            </w:r>
            <w:r>
              <w:rPr>
                <w:rFonts w:hint="eastAsia" w:cs="宋体"/>
                <w:sz w:val="24"/>
                <w:szCs w:val="24"/>
                <w:highlight w:val="none"/>
                <w:lang w:eastAsia="zh-CN"/>
              </w:rPr>
              <w:t>询比</w:t>
            </w:r>
            <w:r>
              <w:rPr>
                <w:rFonts w:hint="eastAsia" w:ascii="宋体" w:hAnsi="宋体" w:eastAsia="宋体" w:cs="宋体"/>
                <w:sz w:val="24"/>
                <w:szCs w:val="24"/>
                <w:highlight w:val="none"/>
              </w:rPr>
              <w:t>文件有明确规定的</w:t>
            </w:r>
          </w:p>
        </w:tc>
        <w:tc>
          <w:tcPr>
            <w:tcW w:w="4137" w:type="dxa"/>
            <w:vAlign w:val="center"/>
          </w:tcPr>
          <w:p w14:paraId="112CDCA9">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p>
        </w:tc>
      </w:tr>
    </w:tbl>
    <w:p w14:paraId="7CB1826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9.2确定成交候选人</w:t>
      </w:r>
    </w:p>
    <w:p w14:paraId="55F903CD">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按照有效成交人</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所填</w:t>
      </w:r>
      <w:r>
        <w:rPr>
          <w:rFonts w:hint="eastAsia" w:asciiTheme="minorEastAsia" w:hAnsiTheme="minorEastAsia" w:eastAsiaTheme="minorEastAsia"/>
          <w:b w:val="0"/>
          <w:bCs/>
          <w:color w:val="000000" w:themeColor="text1"/>
          <w:highlight w:val="none"/>
          <w14:textFill>
            <w14:solidFill>
              <w14:schemeClr w14:val="tx1"/>
            </w14:solidFill>
          </w14:textFill>
        </w:rPr>
        <w:t>报</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的总</w:t>
      </w:r>
      <w:r>
        <w:rPr>
          <w:rFonts w:hint="eastAsia" w:asciiTheme="minorEastAsia" w:hAnsiTheme="minorEastAsia" w:eastAsiaTheme="minorEastAsia"/>
          <w:b w:val="0"/>
          <w:bCs/>
          <w:color w:val="000000" w:themeColor="text1"/>
          <w:highlight w:val="none"/>
          <w14:textFill>
            <w14:solidFill>
              <w14:schemeClr w14:val="tx1"/>
            </w14:solidFill>
          </w14:textFill>
        </w:rPr>
        <w:t>价由低到高排出成交候选人，</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总</w:t>
      </w:r>
      <w:r>
        <w:rPr>
          <w:rFonts w:hint="eastAsia" w:asciiTheme="minorEastAsia" w:hAnsiTheme="minorEastAsia" w:eastAsiaTheme="minorEastAsia"/>
          <w:b w:val="0"/>
          <w:bCs/>
          <w:color w:val="000000" w:themeColor="text1"/>
          <w:highlight w:val="none"/>
          <w14:textFill>
            <w14:solidFill>
              <w14:schemeClr w14:val="tx1"/>
            </w14:solidFill>
          </w14:textFill>
        </w:rPr>
        <w:t>价最低的有效供应商为第一成交候选人。</w:t>
      </w:r>
    </w:p>
    <w:p w14:paraId="777B3884">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10.</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小组在评审过程中发现的问题，应当及时作出处理或者向业主单位提出处理建议，并作书面记录。</w:t>
      </w:r>
    </w:p>
    <w:p w14:paraId="2E3975CD">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11.在评审过程中，</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小组发现供应商的报价或者某些分项报价可能低于成本或者高于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文件设定的最高限价的，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小组将以询标的方式告知并要求供应商进行必要的说明或补正，经</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小组认定其报价低于成本或者高于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文件设定的最高限价的，将否决其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。对于询标后判定为不符合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文件的报价，评委要提出充足的否定理由，并予以书面记录。最终对供应商的评审结论分为通过和未通过。</w:t>
      </w:r>
    </w:p>
    <w:p w14:paraId="02F4B157">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12.评标后，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小组应写出评审报告并签字。评标报告是</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小组根据全体评标成员签字的原始评标记录和评标结果编写的报告，</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小组全体成员及监督员均须在评标报告上签字。评标报告应如实记录本次评标的主要过程，全面反映评标过程中的各种不同的意见，以及其他澄清、说明、补正事项。</w:t>
      </w:r>
    </w:p>
    <w:p w14:paraId="2C75726E">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13.</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小组和评标工作人员应严格遵守国家的法律法规和规章制度；严格按照本次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val="0"/>
          <w:bCs/>
          <w:color w:val="000000" w:themeColor="text1"/>
          <w:highlight w:val="none"/>
          <w14:textFill>
            <w14:solidFill>
              <w14:schemeClr w14:val="tx1"/>
            </w14:solidFill>
          </w14:textFill>
        </w:rPr>
        <w:t>文件进行评标；公正廉洁、不徇私情，不得损害国家利益；保护招、供应商的合法权益。</w:t>
      </w:r>
    </w:p>
    <w:p w14:paraId="03BE4C56">
      <w:pPr>
        <w:widowControl/>
        <w:ind w:firstLine="480"/>
        <w:jc w:val="left"/>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14.在评标过程中，评委及其他评标工作人员必须对评标情况严格保密，任何人不得将评标情况透露给供应商有关的单位和个人。如有违反评标纪律的情况发生，将依据有关法律法规的规定，追究有关当事人的责任。</w:t>
      </w:r>
      <w:r>
        <w:rPr>
          <w:rFonts w:asciiTheme="minorEastAsia" w:hAnsiTheme="minorEastAsia" w:eastAsiaTheme="minorEastAsia"/>
          <w:color w:val="000000" w:themeColor="text1"/>
          <w:highlight w:val="none"/>
          <w14:textFill>
            <w14:solidFill>
              <w14:schemeClr w14:val="tx1"/>
            </w14:solidFill>
          </w14:textFill>
        </w:rPr>
        <w:br w:type="page"/>
      </w:r>
    </w:p>
    <w:p w14:paraId="61F41E02">
      <w:pPr>
        <w:ind w:firstLine="562"/>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10" w:name="_Toc192058174"/>
      <w:r>
        <w:rPr>
          <w:rFonts w:hint="eastAsia" w:asciiTheme="minorEastAsia" w:hAnsiTheme="minorEastAsia" w:eastAsiaTheme="minorEastAsia"/>
          <w:b/>
          <w:color w:val="000000" w:themeColor="text1"/>
          <w:sz w:val="28"/>
          <w:highlight w:val="none"/>
          <w14:textFill>
            <w14:solidFill>
              <w14:schemeClr w14:val="tx1"/>
            </w14:solidFill>
          </w14:textFill>
        </w:rPr>
        <w:t xml:space="preserve">第五章  </w:t>
      </w:r>
      <w:r>
        <w:rPr>
          <w:rFonts w:asciiTheme="minorEastAsia" w:hAnsiTheme="minorEastAsia" w:eastAsiaTheme="minorEastAsia"/>
          <w:b/>
          <w:color w:val="000000" w:themeColor="text1"/>
          <w:sz w:val="28"/>
          <w:highlight w:val="none"/>
          <w14:textFill>
            <w14:solidFill>
              <w14:schemeClr w14:val="tx1"/>
            </w14:solidFill>
          </w14:textFill>
        </w:rPr>
        <w:t>合同</w:t>
      </w:r>
      <w:bookmarkEnd w:id="10"/>
    </w:p>
    <w:p w14:paraId="6B277D76">
      <w:pPr>
        <w:pStyle w:val="3"/>
        <w:spacing w:line="500" w:lineRule="exact"/>
        <w:ind w:left="0" w:leftChars="0" w:firstLine="0" w:firstLineChars="0"/>
        <w:jc w:val="center"/>
        <w:outlineLvl w:val="0"/>
        <w:rPr>
          <w:rFonts w:hint="eastAsia" w:ascii="宋体" w:hAnsi="宋体" w:eastAsia="宋体"/>
          <w:b/>
          <w:sz w:val="24"/>
        </w:rPr>
      </w:pPr>
      <w:bookmarkStart w:id="11" w:name="_Toc14413"/>
      <w:bookmarkStart w:id="12" w:name="_Toc26882"/>
      <w:r>
        <w:rPr>
          <w:rFonts w:hint="eastAsia" w:asciiTheme="minorEastAsia" w:hAnsiTheme="minorEastAsia" w:eastAsiaTheme="minorEastAsia" w:cstheme="minorEastAsia"/>
          <w:b w:val="0"/>
          <w:bCs w:val="0"/>
          <w:i/>
          <w:iCs/>
          <w:color w:val="FF0000"/>
          <w:kern w:val="2"/>
          <w:sz w:val="24"/>
          <w:szCs w:val="24"/>
          <w:highlight w:val="none"/>
          <w:lang w:val="en-US" w:eastAsia="zh-CN" w:bidi="ar-SA"/>
        </w:rPr>
        <w:t>（本合同为参考格式，业主单位可根据结合自身情况使用）</w:t>
      </w:r>
      <w:bookmarkEnd w:id="11"/>
      <w:bookmarkEnd w:id="12"/>
    </w:p>
    <w:p w14:paraId="4E9CC44B">
      <w:pPr>
        <w:spacing w:line="360" w:lineRule="auto"/>
        <w:jc w:val="center"/>
        <w:outlineLvl w:val="2"/>
        <w:rPr>
          <w:rFonts w:ascii="宋体" w:hAnsi="宋体" w:eastAsia="宋体"/>
          <w:b/>
          <w:sz w:val="24"/>
        </w:rPr>
      </w:pPr>
      <w:r>
        <w:rPr>
          <w:rFonts w:hint="eastAsia" w:ascii="宋体" w:hAnsi="宋体" w:eastAsia="宋体"/>
          <w:b/>
          <w:sz w:val="24"/>
        </w:rPr>
        <w:t>第一部分 合同书</w:t>
      </w:r>
    </w:p>
    <w:p w14:paraId="454D0146">
      <w:pPr>
        <w:spacing w:line="480" w:lineRule="auto"/>
        <w:jc w:val="center"/>
        <w:rPr>
          <w:rFonts w:ascii="宋体" w:hAnsi="宋体" w:eastAsia="宋体"/>
          <w:b/>
          <w:sz w:val="24"/>
        </w:rPr>
      </w:pPr>
    </w:p>
    <w:p w14:paraId="1AA09A63">
      <w:pPr>
        <w:spacing w:line="480" w:lineRule="auto"/>
        <w:jc w:val="center"/>
        <w:rPr>
          <w:rFonts w:ascii="宋体" w:hAnsi="宋体" w:eastAsia="宋体"/>
          <w:b/>
          <w:sz w:val="24"/>
        </w:rPr>
      </w:pPr>
    </w:p>
    <w:p w14:paraId="2A466FC5">
      <w:pPr>
        <w:spacing w:line="480" w:lineRule="auto"/>
        <w:jc w:val="center"/>
        <w:rPr>
          <w:rFonts w:ascii="宋体" w:hAnsi="宋体" w:eastAsia="宋体"/>
          <w:b/>
          <w:sz w:val="24"/>
        </w:rPr>
      </w:pPr>
    </w:p>
    <w:p w14:paraId="3E3FEACF">
      <w:pPr>
        <w:spacing w:before="120" w:line="480" w:lineRule="auto"/>
        <w:ind w:left="960"/>
        <w:rPr>
          <w:rFonts w:ascii="宋体" w:hAnsi="宋体" w:eastAsia="宋体"/>
          <w:sz w:val="24"/>
          <w:u w:val="single"/>
        </w:rPr>
      </w:pPr>
      <w:r>
        <w:rPr>
          <w:rFonts w:hint="eastAsia" w:ascii="宋体" w:hAnsi="宋体" w:eastAsia="宋体"/>
          <w:sz w:val="24"/>
        </w:rPr>
        <w:t>项目名称：</w:t>
      </w:r>
      <w:r>
        <w:rPr>
          <w:rFonts w:hint="eastAsia" w:ascii="宋体" w:hAnsi="宋体" w:eastAsia="宋体"/>
          <w:sz w:val="24"/>
          <w:u w:val="single"/>
        </w:rPr>
        <w:t>某项目</w:t>
      </w:r>
    </w:p>
    <w:p w14:paraId="712D93E0">
      <w:pPr>
        <w:spacing w:before="120" w:line="480" w:lineRule="auto"/>
        <w:ind w:left="960"/>
        <w:rPr>
          <w:rFonts w:ascii="宋体" w:hAnsi="宋体" w:eastAsia="宋体"/>
          <w:sz w:val="24"/>
        </w:rPr>
      </w:pPr>
      <w:r>
        <w:rPr>
          <w:rFonts w:hint="eastAsia" w:ascii="宋体" w:hAnsi="宋体" w:eastAsia="宋体"/>
          <w:sz w:val="24"/>
        </w:rPr>
        <w:t>项目编号：</w:t>
      </w:r>
      <w:r>
        <w:rPr>
          <w:rFonts w:hint="eastAsia" w:ascii="宋体" w:hAnsi="宋体" w:eastAsia="宋体"/>
          <w:sz w:val="24"/>
          <w:u w:val="single"/>
        </w:rPr>
        <w:t>某编号</w:t>
      </w:r>
    </w:p>
    <w:p w14:paraId="53E88449">
      <w:pPr>
        <w:spacing w:before="120" w:line="480" w:lineRule="auto"/>
        <w:ind w:left="960"/>
        <w:rPr>
          <w:rFonts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 xml:space="preserve">                              </w:t>
      </w:r>
    </w:p>
    <w:p w14:paraId="7A7FE238">
      <w:pPr>
        <w:spacing w:before="120" w:line="480" w:lineRule="auto"/>
        <w:ind w:left="960"/>
        <w:rPr>
          <w:rFonts w:ascii="宋体" w:hAnsi="宋体" w:eastAsia="宋体"/>
          <w:sz w:val="24"/>
          <w:u w:val="single"/>
        </w:rPr>
      </w:pPr>
      <w:r>
        <w:rPr>
          <w:rFonts w:hint="eastAsia" w:ascii="宋体" w:hAnsi="宋体" w:eastAsia="宋体"/>
          <w:sz w:val="24"/>
        </w:rPr>
        <w:t>乙方（成交供应商）：</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388AAC76">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14:paraId="677B9FA9">
      <w:pPr>
        <w:spacing w:before="120" w:line="480" w:lineRule="auto"/>
        <w:ind w:firstLine="960" w:firstLineChars="40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0D02E938">
      <w:pPr>
        <w:widowControl/>
        <w:jc w:val="left"/>
        <w:rPr>
          <w:rFonts w:ascii="宋体" w:hAnsi="宋体" w:eastAsia="宋体"/>
          <w:sz w:val="24"/>
        </w:rPr>
      </w:pPr>
      <w:r>
        <w:rPr>
          <w:rFonts w:hint="eastAsia" w:ascii="宋体" w:hAnsi="宋体" w:eastAsia="宋体"/>
          <w:sz w:val="24"/>
          <w:u w:val="single"/>
        </w:rPr>
        <w:t>某采购单位</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宋体" w:hAnsi="宋体" w:eastAsia="宋体"/>
          <w:sz w:val="24"/>
          <w:u w:val="single"/>
        </w:rPr>
        <w:t>某代理机构</w:t>
      </w:r>
      <w:r>
        <w:rPr>
          <w:rFonts w:hint="eastAsia" w:ascii="宋体" w:hAnsi="宋体" w:eastAsia="宋体"/>
          <w:sz w:val="24"/>
        </w:rPr>
        <w:t>组织的</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方式采购活动，经</w:t>
      </w:r>
      <w:r>
        <w:rPr>
          <w:rFonts w:hint="eastAsia" w:ascii="宋体" w:hAnsi="宋体" w:eastAsia="宋体"/>
          <w:sz w:val="24"/>
          <w:u w:val="single"/>
        </w:rPr>
        <w:t>谈判（竞价、磋商、询价）小组</w:t>
      </w:r>
      <w:r>
        <w:rPr>
          <w:rFonts w:hint="eastAsia" w:ascii="宋体" w:hAnsi="宋体" w:eastAsia="宋体"/>
          <w:sz w:val="24"/>
        </w:rPr>
        <w:t>评定，</w:t>
      </w:r>
      <w:r>
        <w:rPr>
          <w:rFonts w:hint="eastAsia" w:ascii="宋体" w:hAnsi="宋体" w:eastAsia="宋体"/>
          <w:i/>
          <w:iCs/>
          <w:sz w:val="24"/>
          <w:u w:val="single"/>
        </w:rPr>
        <w:t>（成交供应商名称）</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024E1D38">
      <w:pPr>
        <w:spacing w:line="360" w:lineRule="auto"/>
        <w:ind w:firstLine="435"/>
        <w:rPr>
          <w:rFonts w:ascii="宋体" w:hAnsi="宋体" w:eastAsia="宋体"/>
          <w:sz w:val="24"/>
          <w:lang w:val="zh-CN"/>
        </w:rPr>
      </w:pPr>
      <w:r>
        <w:rPr>
          <w:rFonts w:hint="eastAsia" w:ascii="宋体" w:hAnsi="宋体" w:eastAsia="宋体"/>
          <w:sz w:val="24"/>
        </w:rPr>
        <w:t>根据《中华人民共和国民法典》等相关法律法规之规定，按照平等、自愿、公平和诚实信用的原则，经甲方和乙方协商一致，约定以下合同条款，以兹共同遵守、全面履行。</w:t>
      </w:r>
    </w:p>
    <w:p w14:paraId="4FAD26F1">
      <w:pPr>
        <w:spacing w:line="360" w:lineRule="auto"/>
        <w:ind w:firstLine="437"/>
        <w:outlineLvl w:val="3"/>
        <w:rPr>
          <w:rFonts w:ascii="宋体" w:hAnsi="宋体" w:eastAsia="宋体"/>
          <w:b/>
          <w:bCs/>
          <w:sz w:val="24"/>
          <w:lang w:val="zh-CN"/>
        </w:rPr>
      </w:pPr>
      <w:bookmarkStart w:id="13" w:name="_Toc3029"/>
      <w:bookmarkStart w:id="14" w:name="_Toc2232"/>
      <w:bookmarkStart w:id="15" w:name="_Toc2405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13"/>
      <w:bookmarkEnd w:id="14"/>
      <w:bookmarkEnd w:id="15"/>
    </w:p>
    <w:p w14:paraId="16D844F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8E02E5E">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34A41562">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62C0273A">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24FA75DA">
      <w:pPr>
        <w:spacing w:line="360" w:lineRule="auto"/>
        <w:ind w:firstLine="435"/>
        <w:rPr>
          <w:rFonts w:ascii="宋体" w:hAnsi="宋体" w:eastAsia="宋体"/>
          <w:sz w:val="24"/>
          <w:lang w:val="zh-CN"/>
        </w:rPr>
      </w:pPr>
      <w:r>
        <w:rPr>
          <w:rFonts w:hint="eastAsia" w:ascii="宋体" w:hAnsi="宋体" w:eastAsia="宋体"/>
          <w:sz w:val="24"/>
          <w:lang w:val="zh-CN"/>
        </w:rPr>
        <w:t>1.1.4谈判（竞价、磋商、询价）文件（含澄清或者修改文件）；</w:t>
      </w:r>
    </w:p>
    <w:p w14:paraId="079127A1">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77DD6020">
      <w:pPr>
        <w:spacing w:line="360" w:lineRule="auto"/>
        <w:ind w:firstLine="437"/>
        <w:outlineLvl w:val="3"/>
        <w:rPr>
          <w:rFonts w:ascii="宋体" w:hAnsi="宋体" w:eastAsia="宋体"/>
          <w:b/>
          <w:bCs/>
          <w:sz w:val="24"/>
          <w:lang w:val="zh-CN"/>
        </w:rPr>
      </w:pPr>
      <w:bookmarkStart w:id="16" w:name="_Toc18585"/>
      <w:bookmarkStart w:id="17" w:name="_Toc6773"/>
      <w:bookmarkStart w:id="18" w:name="_Toc2918"/>
      <w:bookmarkStart w:id="19" w:name="_Toc6311"/>
      <w:bookmarkStart w:id="20" w:name="_Toc22185"/>
      <w:r>
        <w:rPr>
          <w:rFonts w:hint="eastAsia" w:ascii="宋体" w:hAnsi="宋体" w:eastAsia="宋体"/>
          <w:b/>
          <w:bCs/>
          <w:sz w:val="24"/>
          <w:lang w:val="zh-CN"/>
        </w:rPr>
        <w:t xml:space="preserve">1.2 </w:t>
      </w:r>
      <w:bookmarkEnd w:id="16"/>
      <w:bookmarkEnd w:id="17"/>
      <w:bookmarkEnd w:id="18"/>
      <w:bookmarkEnd w:id="19"/>
      <w:bookmarkEnd w:id="20"/>
      <w:r>
        <w:rPr>
          <w:rFonts w:hint="eastAsia" w:ascii="宋体" w:hAnsi="宋体" w:eastAsia="宋体"/>
          <w:b/>
          <w:bCs/>
          <w:sz w:val="24"/>
          <w:lang w:val="zh-CN"/>
        </w:rPr>
        <w:t>服务</w:t>
      </w:r>
    </w:p>
    <w:p w14:paraId="177E8C08">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388C12FF">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61696265">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0D014B91">
      <w:pPr>
        <w:spacing w:line="360" w:lineRule="auto"/>
        <w:ind w:firstLine="437"/>
        <w:outlineLvl w:val="3"/>
        <w:rPr>
          <w:rFonts w:ascii="宋体" w:hAnsi="宋体" w:eastAsia="宋体"/>
          <w:b/>
          <w:bCs/>
          <w:sz w:val="24"/>
          <w:lang w:val="zh-CN"/>
        </w:rPr>
      </w:pPr>
      <w:bookmarkStart w:id="21" w:name="_Toc21631"/>
      <w:bookmarkStart w:id="22" w:name="_Toc21551"/>
      <w:bookmarkStart w:id="23" w:name="_Toc23292"/>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21"/>
      <w:bookmarkEnd w:id="22"/>
      <w:bookmarkEnd w:id="23"/>
    </w:p>
    <w:p w14:paraId="7BE81359">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hint="eastAsia" w:ascii="宋体" w:hAnsi="宋体" w:eastAsia="宋体"/>
          <w:sz w:val="24"/>
          <w:lang w:eastAsia="zh-Hans"/>
        </w:rPr>
        <w:t>，本价格为固定含税价</w:t>
      </w:r>
      <w:r>
        <w:rPr>
          <w:rFonts w:ascii="宋体" w:hAnsi="宋体" w:eastAsia="宋体"/>
          <w:sz w:val="24"/>
        </w:rPr>
        <w:t>。</w:t>
      </w:r>
    </w:p>
    <w:p w14:paraId="0B288ACF">
      <w:pPr>
        <w:spacing w:line="360" w:lineRule="auto"/>
        <w:ind w:firstLine="435"/>
        <w:rPr>
          <w:rFonts w:ascii="宋体" w:hAnsi="宋体" w:eastAsia="宋体"/>
          <w:sz w:val="24"/>
          <w:u w:val="single"/>
        </w:rPr>
      </w:pPr>
      <w:r>
        <w:rPr>
          <w:rFonts w:ascii="宋体" w:hAnsi="宋体" w:eastAsia="宋体"/>
          <w:sz w:val="24"/>
        </w:rPr>
        <w:t>分项价格：</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4239"/>
        <w:gridCol w:w="3"/>
        <w:gridCol w:w="3102"/>
        <w:gridCol w:w="2"/>
      </w:tblGrid>
      <w:tr w14:paraId="55EF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center"/>
          </w:tcPr>
          <w:p w14:paraId="19B50954">
            <w:pPr>
              <w:jc w:val="center"/>
              <w:rPr>
                <w:rFonts w:ascii="宋体" w:hAnsi="宋体" w:eastAsia="宋体"/>
                <w:sz w:val="24"/>
                <w:lang w:val="zh-CN"/>
              </w:rPr>
            </w:pPr>
            <w:r>
              <w:rPr>
                <w:rFonts w:ascii="宋体" w:hAnsi="宋体" w:eastAsia="宋体"/>
                <w:sz w:val="24"/>
                <w:lang w:val="zh-CN"/>
              </w:rPr>
              <w:t>序号</w:t>
            </w:r>
          </w:p>
        </w:tc>
        <w:tc>
          <w:tcPr>
            <w:tcW w:w="2532" w:type="pct"/>
            <w:noWrap w:val="0"/>
            <w:vAlign w:val="center"/>
          </w:tcPr>
          <w:p w14:paraId="0C946CEB">
            <w:pPr>
              <w:pStyle w:val="41"/>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noWrap w:val="0"/>
            <w:vAlign w:val="center"/>
          </w:tcPr>
          <w:p w14:paraId="1261A552">
            <w:pPr>
              <w:pStyle w:val="41"/>
              <w:jc w:val="center"/>
              <w:rPr>
                <w:rFonts w:ascii="宋体" w:hAnsi="宋体" w:eastAsia="宋体"/>
                <w:sz w:val="24"/>
                <w:szCs w:val="24"/>
              </w:rPr>
            </w:pPr>
            <w:r>
              <w:rPr>
                <w:rFonts w:ascii="宋体" w:hAnsi="宋体" w:eastAsia="宋体"/>
                <w:sz w:val="24"/>
                <w:szCs w:val="24"/>
              </w:rPr>
              <w:t>分项价格</w:t>
            </w:r>
          </w:p>
        </w:tc>
      </w:tr>
      <w:tr w14:paraId="52C3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14:paraId="16FBB161">
            <w:pPr>
              <w:jc w:val="center"/>
              <w:rPr>
                <w:rFonts w:ascii="宋体" w:hAnsi="宋体" w:eastAsia="宋体"/>
                <w:sz w:val="24"/>
                <w:lang w:val="zh-CN"/>
              </w:rPr>
            </w:pPr>
            <w:r>
              <w:rPr>
                <w:rFonts w:hint="eastAsia" w:ascii="宋体" w:hAnsi="宋体" w:eastAsia="宋体"/>
                <w:sz w:val="24"/>
                <w:lang w:val="zh-CN"/>
              </w:rPr>
              <w:t>1</w:t>
            </w:r>
          </w:p>
        </w:tc>
        <w:tc>
          <w:tcPr>
            <w:tcW w:w="2532" w:type="pct"/>
            <w:noWrap w:val="0"/>
            <w:vAlign w:val="center"/>
          </w:tcPr>
          <w:p w14:paraId="736674D0">
            <w:pPr>
              <w:pStyle w:val="41"/>
              <w:ind w:firstLine="200"/>
              <w:jc w:val="center"/>
              <w:rPr>
                <w:rFonts w:ascii="宋体" w:hAnsi="宋体" w:eastAsia="宋体"/>
                <w:sz w:val="24"/>
                <w:szCs w:val="24"/>
              </w:rPr>
            </w:pPr>
          </w:p>
        </w:tc>
        <w:tc>
          <w:tcPr>
            <w:tcW w:w="1899" w:type="pct"/>
            <w:gridSpan w:val="2"/>
            <w:noWrap w:val="0"/>
            <w:vAlign w:val="center"/>
          </w:tcPr>
          <w:p w14:paraId="022E2293">
            <w:pPr>
              <w:pStyle w:val="41"/>
              <w:ind w:firstLine="200"/>
              <w:jc w:val="center"/>
              <w:rPr>
                <w:rFonts w:ascii="宋体" w:hAnsi="宋体" w:eastAsia="宋体"/>
                <w:sz w:val="24"/>
                <w:szCs w:val="24"/>
              </w:rPr>
            </w:pPr>
          </w:p>
        </w:tc>
      </w:tr>
      <w:tr w14:paraId="4F19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14:paraId="43A25A84">
            <w:pPr>
              <w:jc w:val="center"/>
              <w:rPr>
                <w:rFonts w:ascii="宋体" w:hAnsi="宋体" w:eastAsia="宋体"/>
                <w:sz w:val="24"/>
                <w:lang w:val="zh-CN"/>
              </w:rPr>
            </w:pPr>
            <w:r>
              <w:rPr>
                <w:rFonts w:hint="eastAsia" w:ascii="宋体" w:hAnsi="宋体" w:eastAsia="宋体"/>
                <w:sz w:val="24"/>
                <w:lang w:val="zh-CN"/>
              </w:rPr>
              <w:t>2</w:t>
            </w:r>
          </w:p>
        </w:tc>
        <w:tc>
          <w:tcPr>
            <w:tcW w:w="2532" w:type="pct"/>
            <w:noWrap w:val="0"/>
            <w:vAlign w:val="center"/>
          </w:tcPr>
          <w:p w14:paraId="799763AF">
            <w:pPr>
              <w:pStyle w:val="41"/>
              <w:ind w:firstLine="200"/>
              <w:jc w:val="center"/>
              <w:rPr>
                <w:rFonts w:ascii="宋体" w:hAnsi="宋体" w:eastAsia="宋体"/>
                <w:sz w:val="24"/>
                <w:szCs w:val="24"/>
              </w:rPr>
            </w:pPr>
          </w:p>
        </w:tc>
        <w:tc>
          <w:tcPr>
            <w:tcW w:w="1899" w:type="pct"/>
            <w:gridSpan w:val="2"/>
            <w:noWrap w:val="0"/>
            <w:vAlign w:val="center"/>
          </w:tcPr>
          <w:p w14:paraId="5A4F3B7D">
            <w:pPr>
              <w:pStyle w:val="41"/>
              <w:ind w:firstLine="200"/>
              <w:jc w:val="center"/>
              <w:rPr>
                <w:rFonts w:ascii="宋体" w:hAnsi="宋体" w:eastAsia="宋体"/>
                <w:sz w:val="24"/>
                <w:szCs w:val="24"/>
              </w:rPr>
            </w:pPr>
          </w:p>
        </w:tc>
      </w:tr>
      <w:tr w14:paraId="77B7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14:paraId="056AB049">
            <w:pPr>
              <w:jc w:val="center"/>
              <w:rPr>
                <w:rFonts w:ascii="宋体" w:hAnsi="宋体" w:eastAsia="宋体"/>
                <w:sz w:val="24"/>
                <w:lang w:val="zh-CN"/>
              </w:rPr>
            </w:pPr>
            <w:r>
              <w:rPr>
                <w:rFonts w:ascii="宋体" w:hAnsi="宋体" w:eastAsia="宋体"/>
                <w:sz w:val="24"/>
                <w:lang w:val="zh-CN"/>
              </w:rPr>
              <w:t>3</w:t>
            </w:r>
          </w:p>
        </w:tc>
        <w:tc>
          <w:tcPr>
            <w:tcW w:w="2532" w:type="pct"/>
            <w:noWrap w:val="0"/>
            <w:vAlign w:val="center"/>
          </w:tcPr>
          <w:p w14:paraId="350A48E6">
            <w:pPr>
              <w:pStyle w:val="41"/>
              <w:ind w:firstLine="200"/>
              <w:jc w:val="center"/>
              <w:rPr>
                <w:rFonts w:ascii="宋体" w:hAnsi="宋体" w:eastAsia="宋体"/>
                <w:sz w:val="24"/>
                <w:szCs w:val="24"/>
              </w:rPr>
            </w:pPr>
          </w:p>
        </w:tc>
        <w:tc>
          <w:tcPr>
            <w:tcW w:w="1899" w:type="pct"/>
            <w:gridSpan w:val="2"/>
            <w:noWrap w:val="0"/>
            <w:vAlign w:val="center"/>
          </w:tcPr>
          <w:p w14:paraId="768D3D66">
            <w:pPr>
              <w:pStyle w:val="41"/>
              <w:ind w:firstLine="200"/>
              <w:jc w:val="center"/>
              <w:rPr>
                <w:rFonts w:ascii="宋体" w:hAnsi="宋体" w:eastAsia="宋体"/>
                <w:sz w:val="24"/>
                <w:szCs w:val="24"/>
              </w:rPr>
            </w:pPr>
          </w:p>
        </w:tc>
      </w:tr>
      <w:tr w14:paraId="7263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14:paraId="7719C2DF">
            <w:pPr>
              <w:jc w:val="center"/>
              <w:rPr>
                <w:rFonts w:ascii="宋体" w:hAnsi="宋体" w:eastAsia="宋体"/>
                <w:sz w:val="24"/>
                <w:lang w:val="zh-CN"/>
              </w:rPr>
            </w:pPr>
            <w:r>
              <w:rPr>
                <w:rFonts w:hint="eastAsia" w:ascii="宋体" w:hAnsi="宋体" w:eastAsia="宋体"/>
                <w:sz w:val="24"/>
                <w:lang w:val="zh-CN"/>
              </w:rPr>
              <w:t>……</w:t>
            </w:r>
          </w:p>
        </w:tc>
        <w:tc>
          <w:tcPr>
            <w:tcW w:w="2532" w:type="pct"/>
            <w:noWrap w:val="0"/>
            <w:vAlign w:val="center"/>
          </w:tcPr>
          <w:p w14:paraId="73911545">
            <w:pPr>
              <w:pStyle w:val="41"/>
              <w:ind w:firstLine="200"/>
              <w:jc w:val="center"/>
              <w:rPr>
                <w:rFonts w:ascii="宋体" w:hAnsi="宋体" w:eastAsia="宋体"/>
                <w:sz w:val="24"/>
                <w:szCs w:val="24"/>
              </w:rPr>
            </w:pPr>
          </w:p>
        </w:tc>
        <w:tc>
          <w:tcPr>
            <w:tcW w:w="1899" w:type="pct"/>
            <w:gridSpan w:val="2"/>
            <w:noWrap w:val="0"/>
            <w:vAlign w:val="center"/>
          </w:tcPr>
          <w:p w14:paraId="09115F9B">
            <w:pPr>
              <w:pStyle w:val="41"/>
              <w:ind w:firstLine="200"/>
              <w:jc w:val="center"/>
              <w:rPr>
                <w:rFonts w:ascii="宋体" w:hAnsi="宋体" w:eastAsia="宋体"/>
                <w:sz w:val="24"/>
                <w:szCs w:val="24"/>
              </w:rPr>
            </w:pPr>
          </w:p>
        </w:tc>
      </w:tr>
      <w:tr w14:paraId="42F7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noWrap w:val="0"/>
            <w:vAlign w:val="center"/>
          </w:tcPr>
          <w:p w14:paraId="2512263E">
            <w:pPr>
              <w:pStyle w:val="41"/>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noWrap w:val="0"/>
            <w:vAlign w:val="center"/>
          </w:tcPr>
          <w:p w14:paraId="229422BE">
            <w:pPr>
              <w:pStyle w:val="41"/>
              <w:ind w:firstLine="200"/>
              <w:jc w:val="center"/>
              <w:rPr>
                <w:rFonts w:ascii="宋体" w:hAnsi="宋体" w:eastAsia="宋体"/>
                <w:sz w:val="24"/>
                <w:szCs w:val="24"/>
              </w:rPr>
            </w:pPr>
          </w:p>
        </w:tc>
      </w:tr>
    </w:tbl>
    <w:p w14:paraId="7DDFC3F3">
      <w:pPr>
        <w:spacing w:line="360" w:lineRule="auto"/>
        <w:ind w:firstLine="437"/>
        <w:outlineLvl w:val="3"/>
        <w:rPr>
          <w:rFonts w:ascii="宋体" w:hAnsi="宋体" w:eastAsia="宋体"/>
          <w:b/>
          <w:bCs/>
          <w:sz w:val="24"/>
          <w:lang w:val="zh-CN"/>
        </w:rPr>
      </w:pPr>
      <w:bookmarkStart w:id="24" w:name="_Toc22618"/>
      <w:bookmarkStart w:id="25" w:name="_Toc1814"/>
      <w:bookmarkStart w:id="26" w:name="_Toc10340"/>
      <w:r>
        <w:rPr>
          <w:rFonts w:hint="eastAsia" w:ascii="宋体" w:hAnsi="宋体" w:eastAsia="宋体"/>
          <w:b/>
          <w:bCs/>
          <w:sz w:val="24"/>
          <w:lang w:val="zh-CN"/>
        </w:rPr>
        <w:t>1.</w:t>
      </w:r>
      <w:r>
        <w:rPr>
          <w:rFonts w:ascii="宋体" w:hAnsi="宋体" w:eastAsia="宋体"/>
          <w:b/>
          <w:bCs/>
          <w:sz w:val="24"/>
          <w:lang w:val="zh-CN"/>
        </w:rPr>
        <w:t>4 付款方式和发票开具方式</w:t>
      </w:r>
      <w:bookmarkEnd w:id="24"/>
      <w:bookmarkEnd w:id="25"/>
      <w:bookmarkEnd w:id="26"/>
    </w:p>
    <w:p w14:paraId="5DF05B2A">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0AEAFA56">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4C7F7C5F">
      <w:pPr>
        <w:spacing w:line="360" w:lineRule="auto"/>
        <w:ind w:firstLine="437"/>
        <w:outlineLvl w:val="3"/>
        <w:rPr>
          <w:rFonts w:ascii="宋体" w:hAnsi="宋体" w:eastAsia="宋体"/>
          <w:b/>
          <w:bCs/>
          <w:sz w:val="24"/>
          <w:lang w:val="zh-CN"/>
        </w:rPr>
      </w:pPr>
      <w:bookmarkStart w:id="27" w:name="_Toc2846"/>
      <w:bookmarkStart w:id="28" w:name="_Toc19304"/>
      <w:bookmarkStart w:id="29" w:name="_Toc32071"/>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27"/>
      <w:bookmarkEnd w:id="28"/>
      <w:bookmarkEnd w:id="29"/>
    </w:p>
    <w:p w14:paraId="3AE988E1">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2E586963">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7B1B50E4">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3B8D52EF">
      <w:pPr>
        <w:spacing w:line="360" w:lineRule="auto"/>
        <w:ind w:firstLine="437"/>
        <w:outlineLvl w:val="3"/>
        <w:rPr>
          <w:rFonts w:ascii="宋体" w:hAnsi="宋体" w:eastAsia="宋体"/>
          <w:b/>
          <w:bCs/>
          <w:sz w:val="24"/>
          <w:lang w:val="zh-CN"/>
        </w:rPr>
      </w:pPr>
      <w:bookmarkStart w:id="30" w:name="_Toc21423"/>
      <w:bookmarkStart w:id="31" w:name="_Toc27250"/>
      <w:bookmarkStart w:id="32" w:name="_Toc19554"/>
      <w:r>
        <w:rPr>
          <w:rFonts w:hint="eastAsia" w:ascii="宋体" w:hAnsi="宋体" w:eastAsia="宋体"/>
          <w:b/>
          <w:bCs/>
          <w:sz w:val="24"/>
          <w:lang w:val="zh-CN"/>
        </w:rPr>
        <w:t>1.6 违约责任</w:t>
      </w:r>
      <w:bookmarkEnd w:id="30"/>
      <w:bookmarkEnd w:id="31"/>
      <w:bookmarkEnd w:id="32"/>
    </w:p>
    <w:p w14:paraId="0B25A657">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111DE17D">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62FF43C5">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w:t>
      </w:r>
      <w:r>
        <w:rPr>
          <w:rFonts w:hint="eastAsia" w:ascii="宋体" w:hAnsi="宋体" w:eastAsia="宋体"/>
          <w:sz w:val="24"/>
          <w:lang w:eastAsia="zh-Hans"/>
        </w:rPr>
        <w:t>书面</w:t>
      </w:r>
      <w:r>
        <w:rPr>
          <w:rFonts w:hint="eastAsia" w:ascii="宋体" w:hAnsi="宋体" w:eastAsia="宋体"/>
          <w:sz w:val="24"/>
        </w:rPr>
        <w:t>催告后在</w:t>
      </w:r>
      <w:r>
        <w:rPr>
          <w:rFonts w:hint="eastAsia" w:ascii="宋体" w:hAnsi="宋体" w:eastAsia="宋体"/>
          <w:sz w:val="24"/>
          <w:lang w:eastAsia="zh-Hans"/>
        </w:rPr>
        <w:t>催告要求的</w:t>
      </w:r>
      <w:r>
        <w:rPr>
          <w:rFonts w:hint="eastAsia" w:ascii="宋体" w:hAnsi="宋体" w:eastAsia="宋体"/>
          <w:sz w:val="24"/>
        </w:rPr>
        <w:t>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0ED054">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1E31E2E">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F4C3916">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535027C2">
      <w:pPr>
        <w:spacing w:line="360" w:lineRule="auto"/>
        <w:ind w:firstLine="437"/>
        <w:outlineLvl w:val="3"/>
        <w:rPr>
          <w:rFonts w:ascii="宋体" w:hAnsi="宋体" w:eastAsia="宋体"/>
          <w:b/>
          <w:bCs/>
          <w:sz w:val="24"/>
          <w:lang w:val="zh-CN"/>
        </w:rPr>
      </w:pPr>
      <w:bookmarkStart w:id="33" w:name="_Toc16021"/>
      <w:bookmarkStart w:id="34" w:name="_Toc28375"/>
      <w:bookmarkStart w:id="35" w:name="_Toc15583"/>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33"/>
      <w:bookmarkEnd w:id="34"/>
      <w:bookmarkEnd w:id="35"/>
    </w:p>
    <w:p w14:paraId="35758328">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ascii="宋体" w:hAnsi="宋体" w:eastAsia="宋体"/>
          <w:sz w:val="24"/>
          <w:u w:val="single"/>
        </w:rPr>
        <w:t>1.7.2</w:t>
      </w:r>
      <w:r>
        <w:rPr>
          <w:rFonts w:hint="eastAsia" w:ascii="宋体" w:hAnsi="宋体" w:eastAsia="宋体"/>
          <w:sz w:val="24"/>
        </w:rPr>
        <w:t>种方式解决：</w:t>
      </w:r>
    </w:p>
    <w:p w14:paraId="5EBF0BC7">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61D1FBA4">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hint="eastAsia" w:ascii="宋体" w:hAnsi="宋体" w:eastAsia="宋体"/>
          <w:sz w:val="24"/>
          <w:u w:val="single"/>
          <w:lang w:eastAsia="zh-Hans"/>
        </w:rPr>
        <w:t>甲方所在地有管辖权的</w:t>
      </w:r>
      <w:r>
        <w:rPr>
          <w:rFonts w:hint="eastAsia" w:ascii="宋体" w:hAnsi="宋体" w:eastAsia="宋体"/>
          <w:sz w:val="24"/>
          <w:u w:val="single"/>
        </w:rPr>
        <w:t xml:space="preserve"> </w:t>
      </w:r>
      <w:r>
        <w:rPr>
          <w:rFonts w:hint="eastAsia" w:ascii="宋体" w:hAnsi="宋体" w:eastAsia="宋体"/>
          <w:sz w:val="24"/>
        </w:rPr>
        <w:t>人民法院起诉。</w:t>
      </w:r>
    </w:p>
    <w:p w14:paraId="070A9EFA">
      <w:pPr>
        <w:spacing w:line="360" w:lineRule="auto"/>
        <w:ind w:firstLine="437"/>
        <w:outlineLvl w:val="3"/>
        <w:rPr>
          <w:rFonts w:ascii="宋体" w:hAnsi="宋体" w:eastAsia="宋体"/>
          <w:b/>
          <w:bCs/>
          <w:sz w:val="24"/>
          <w:lang w:val="zh-CN"/>
        </w:rPr>
      </w:pPr>
      <w:bookmarkStart w:id="36" w:name="_Toc15322"/>
      <w:bookmarkStart w:id="37" w:name="_Toc7245"/>
      <w:bookmarkStart w:id="38" w:name="_Toc11173"/>
      <w:r>
        <w:rPr>
          <w:rFonts w:hint="eastAsia" w:ascii="宋体" w:hAnsi="宋体" w:eastAsia="宋体"/>
          <w:b/>
          <w:bCs/>
          <w:sz w:val="24"/>
          <w:lang w:val="zh-CN"/>
        </w:rPr>
        <w:t>1.8</w:t>
      </w:r>
      <w:r>
        <w:rPr>
          <w:rFonts w:ascii="宋体" w:hAnsi="宋体" w:eastAsia="宋体"/>
          <w:b/>
          <w:bCs/>
          <w:sz w:val="24"/>
          <w:lang w:val="zh-CN"/>
        </w:rPr>
        <w:t xml:space="preserve"> 合同生效</w:t>
      </w:r>
      <w:bookmarkEnd w:id="36"/>
      <w:bookmarkEnd w:id="37"/>
      <w:bookmarkEnd w:id="38"/>
    </w:p>
    <w:p w14:paraId="6D78AB3B">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w:t>
      </w:r>
      <w:r>
        <w:rPr>
          <w:rFonts w:hint="eastAsia" w:ascii="宋体" w:hAnsi="宋体" w:eastAsia="宋体"/>
          <w:sz w:val="24"/>
          <w:lang w:eastAsia="zh-Hans"/>
        </w:rPr>
        <w:t>之日起</w:t>
      </w:r>
      <w:r>
        <w:rPr>
          <w:rFonts w:ascii="宋体" w:hAnsi="宋体" w:eastAsia="宋体"/>
          <w:sz w:val="24"/>
        </w:rPr>
        <w:t>生效</w:t>
      </w:r>
      <w:r>
        <w:rPr>
          <w:rFonts w:hint="eastAsia" w:ascii="宋体" w:hAnsi="宋体" w:eastAsia="宋体"/>
          <w:sz w:val="24"/>
          <w:lang w:eastAsia="zh-Hans"/>
        </w:rPr>
        <w:t>，本合同一式   份，双方各执   份，具有同等法律效力</w:t>
      </w:r>
      <w:r>
        <w:rPr>
          <w:rFonts w:ascii="宋体" w:hAnsi="宋体" w:eastAsia="宋体"/>
          <w:sz w:val="24"/>
        </w:rPr>
        <w:t>。</w:t>
      </w:r>
    </w:p>
    <w:p w14:paraId="78043A6D">
      <w:pPr>
        <w:autoSpaceDE w:val="0"/>
        <w:autoSpaceDN w:val="0"/>
        <w:adjustRightInd w:val="0"/>
        <w:spacing w:line="560" w:lineRule="exact"/>
        <w:rPr>
          <w:rFonts w:ascii="宋体" w:hAnsi="宋体" w:eastAsia="宋体"/>
          <w:sz w:val="24"/>
          <w:lang w:val="zh-CN"/>
        </w:rPr>
      </w:pPr>
    </w:p>
    <w:p w14:paraId="6D4E4D44">
      <w:pPr>
        <w:autoSpaceDE w:val="0"/>
        <w:autoSpaceDN w:val="0"/>
        <w:adjustRightInd w:val="0"/>
        <w:spacing w:line="560" w:lineRule="exact"/>
        <w:rPr>
          <w:rFonts w:ascii="宋体" w:hAnsi="宋体" w:eastAsia="宋体"/>
          <w:sz w:val="24"/>
          <w:lang w:val="zh-CN"/>
        </w:rPr>
      </w:pPr>
    </w:p>
    <w:p w14:paraId="7DF1F814">
      <w:pPr>
        <w:autoSpaceDE w:val="0"/>
        <w:autoSpaceDN w:val="0"/>
        <w:adjustRightInd w:val="0"/>
        <w:spacing w:line="560" w:lineRule="exact"/>
        <w:rPr>
          <w:rFonts w:ascii="宋体" w:hAnsi="宋体" w:eastAsia="宋体"/>
          <w:sz w:val="24"/>
          <w:lang w:val="zh-CN"/>
        </w:rPr>
      </w:pPr>
    </w:p>
    <w:p w14:paraId="312CF2DF">
      <w:pPr>
        <w:autoSpaceDE w:val="0"/>
        <w:autoSpaceDN w:val="0"/>
        <w:adjustRightInd w:val="0"/>
        <w:spacing w:line="560" w:lineRule="exact"/>
        <w:rPr>
          <w:rFonts w:ascii="宋体" w:hAnsi="宋体" w:eastAsia="宋体"/>
          <w:bCs/>
          <w:sz w:val="24"/>
          <w:lang w:val="zh-CN"/>
        </w:rPr>
      </w:pPr>
      <w:r>
        <w:rPr>
          <w:rFonts w:hint="eastAsia" w:ascii="宋体" w:hAnsi="宋体" w:eastAsia="宋体"/>
          <w:bCs/>
          <w:sz w:val="24"/>
          <w:lang w:val="zh-CN"/>
        </w:rPr>
        <w:t xml:space="preserve">甲 </w:t>
      </w:r>
      <w:r>
        <w:rPr>
          <w:rFonts w:ascii="宋体" w:hAnsi="宋体" w:eastAsia="宋体"/>
          <w:bCs/>
          <w:sz w:val="24"/>
          <w:lang w:val="zh-CN"/>
        </w:rPr>
        <w:t xml:space="preserve">   </w:t>
      </w:r>
      <w:r>
        <w:rPr>
          <w:rFonts w:hint="eastAsia" w:ascii="宋体" w:hAnsi="宋体" w:eastAsia="宋体"/>
          <w:bCs/>
          <w:sz w:val="24"/>
          <w:lang w:val="zh-CN"/>
        </w:rPr>
        <w:t>方：</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14:paraId="3EED4A4C">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 xml:space="preserve">法定代表人                             </w:t>
      </w:r>
      <w:r>
        <w:rPr>
          <w:rFonts w:ascii="宋体" w:hAnsi="宋体" w:eastAsia="宋体"/>
          <w:sz w:val="24"/>
          <w:lang w:val="zh-CN"/>
        </w:rPr>
        <w:t xml:space="preserve">  </w:t>
      </w:r>
      <w:r>
        <w:rPr>
          <w:rFonts w:hint="eastAsia" w:ascii="宋体" w:hAnsi="宋体" w:eastAsia="宋体"/>
          <w:sz w:val="24"/>
          <w:lang w:val="zh-CN"/>
        </w:rPr>
        <w:t>法定代表人</w:t>
      </w:r>
    </w:p>
    <w:p w14:paraId="6E3077C2">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或授权代表（签字）：                      或授权代表（签字）：</w:t>
      </w:r>
    </w:p>
    <w:p w14:paraId="2FBCD9BC">
      <w:pPr>
        <w:widowControl/>
        <w:spacing w:line="560" w:lineRule="exact"/>
        <w:jc w:val="left"/>
        <w:rPr>
          <w:rFonts w:ascii="宋体" w:hAnsi="宋体" w:eastAsia="宋体"/>
          <w:bCs/>
          <w:sz w:val="24"/>
        </w:rPr>
      </w:pPr>
      <w:bookmarkStart w:id="39" w:name="_Toc331685783"/>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               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w:t>
      </w:r>
    </w:p>
    <w:p w14:paraId="6B60EDC9">
      <w:pPr>
        <w:widowControl/>
        <w:ind w:firstLine="2650" w:firstLineChars="1100"/>
        <w:jc w:val="left"/>
        <w:rPr>
          <w:rFonts w:hint="eastAsia" w:ascii="宋体" w:hAnsi="宋体" w:eastAsia="宋体"/>
          <w:b/>
          <w:sz w:val="24"/>
        </w:rPr>
      </w:pPr>
    </w:p>
    <w:p w14:paraId="477A7B42">
      <w:pPr>
        <w:widowControl/>
        <w:ind w:firstLine="2650" w:firstLineChars="1100"/>
        <w:jc w:val="left"/>
        <w:rPr>
          <w:rFonts w:ascii="宋体" w:hAnsi="宋体" w:eastAsia="宋体"/>
          <w:b/>
          <w:sz w:val="24"/>
        </w:rPr>
      </w:pPr>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39"/>
    </w:p>
    <w:p w14:paraId="7517224E">
      <w:pPr>
        <w:spacing w:line="360" w:lineRule="auto"/>
        <w:ind w:firstLine="437"/>
        <w:outlineLvl w:val="3"/>
        <w:rPr>
          <w:rFonts w:ascii="宋体" w:hAnsi="宋体" w:eastAsia="宋体"/>
          <w:b/>
          <w:bCs/>
          <w:sz w:val="24"/>
          <w:lang w:val="zh-CN"/>
        </w:rPr>
      </w:pPr>
      <w:bookmarkStart w:id="40" w:name="_Ref467378463"/>
      <w:bookmarkStart w:id="41" w:name="_Toc28763"/>
      <w:bookmarkStart w:id="42" w:name="_Toc16917"/>
      <w:bookmarkStart w:id="43" w:name="_Ref467379109"/>
      <w:bookmarkStart w:id="44" w:name="_Ref467379101"/>
      <w:bookmarkStart w:id="45" w:name="_Toc279701240"/>
      <w:bookmarkStart w:id="46" w:name="_Ref467379205"/>
      <w:bookmarkStart w:id="47" w:name="_Toc487900349"/>
      <w:bookmarkStart w:id="48" w:name="_Toc259093669"/>
      <w:bookmarkStart w:id="49" w:name="_Ref467378499"/>
      <w:bookmarkStart w:id="50" w:name="_Toc19614"/>
      <w:bookmarkStart w:id="51" w:name="_Ref467379225"/>
      <w:bookmarkStart w:id="52" w:name="_Ref467379214"/>
      <w:bookmarkStart w:id="53" w:name="_Ref467379094"/>
      <w:bookmarkStart w:id="54" w:name="_Ref467378404"/>
      <w:bookmarkStart w:id="55" w:name="_Ref467379195"/>
      <w:r>
        <w:rPr>
          <w:rFonts w:hint="eastAsia" w:ascii="宋体" w:hAnsi="宋体" w:eastAsia="宋体"/>
          <w:b/>
          <w:bCs/>
          <w:sz w:val="24"/>
          <w:lang w:val="zh-CN"/>
        </w:rPr>
        <w:t>2.1</w:t>
      </w:r>
      <w:r>
        <w:rPr>
          <w:rFonts w:ascii="宋体" w:hAnsi="宋体" w:eastAsia="宋体"/>
          <w:b/>
          <w:bCs/>
          <w:sz w:val="24"/>
          <w:lang w:val="zh-CN"/>
        </w:rPr>
        <w:t xml:space="preserve"> 定义</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11C1EBB">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7412140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5C2C0E3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6ACC257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除货物和工程以外的其他政府采购对象，包括采购人自身需要的服务和向社会公众提供的公共服务。</w:t>
      </w:r>
    </w:p>
    <w:p w14:paraId="0C2CA369">
      <w:pPr>
        <w:spacing w:line="360" w:lineRule="auto"/>
        <w:ind w:firstLine="435"/>
        <w:rPr>
          <w:rFonts w:ascii="宋体" w:hAnsi="宋体" w:eastAsia="宋体"/>
          <w:sz w:val="24"/>
        </w:rPr>
      </w:pPr>
      <w:bookmarkStart w:id="56"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bookmarkEnd w:id="56"/>
      <w:r>
        <w:rPr>
          <w:rFonts w:hint="eastAsia" w:ascii="宋体" w:hAnsi="宋体" w:eastAsia="宋体"/>
          <w:sz w:val="24"/>
        </w:rPr>
        <w:t>；采购人委托采购代理机构代表其与乙方签订合同的，采购人的授权委托书作为合同附件。</w:t>
      </w:r>
    </w:p>
    <w:p w14:paraId="142E4236">
      <w:pPr>
        <w:spacing w:line="360" w:lineRule="auto"/>
        <w:ind w:firstLine="435"/>
        <w:rPr>
          <w:rFonts w:ascii="宋体" w:hAnsi="宋体" w:eastAsia="宋体"/>
          <w:sz w:val="24"/>
        </w:rPr>
      </w:pPr>
      <w:bookmarkStart w:id="57"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57"/>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F875A79">
      <w:pPr>
        <w:spacing w:line="360" w:lineRule="auto"/>
        <w:ind w:firstLine="435"/>
        <w:rPr>
          <w:rFonts w:ascii="宋体" w:hAnsi="宋体" w:eastAsia="宋体"/>
          <w:sz w:val="24"/>
        </w:rPr>
      </w:pPr>
      <w:bookmarkStart w:id="58"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58"/>
    </w:p>
    <w:p w14:paraId="23FBCE81">
      <w:pPr>
        <w:spacing w:line="360" w:lineRule="auto"/>
        <w:ind w:firstLine="437"/>
        <w:outlineLvl w:val="3"/>
        <w:rPr>
          <w:rFonts w:ascii="宋体" w:hAnsi="宋体" w:eastAsia="宋体"/>
          <w:b/>
          <w:bCs/>
          <w:sz w:val="24"/>
          <w:lang w:val="zh-CN"/>
        </w:rPr>
      </w:pPr>
      <w:bookmarkStart w:id="59" w:name="_Toc27635"/>
      <w:bookmarkStart w:id="60" w:name="_Toc32504"/>
      <w:bookmarkStart w:id="61" w:name="_Toc279701241"/>
      <w:bookmarkStart w:id="62" w:name="_Toc487900350"/>
      <w:bookmarkStart w:id="63" w:name="_Toc13336"/>
      <w:bookmarkStart w:id="64" w:name="_Toc259093670"/>
      <w:r>
        <w:rPr>
          <w:rFonts w:hint="eastAsia" w:ascii="宋体" w:hAnsi="宋体" w:eastAsia="宋体"/>
          <w:b/>
          <w:bCs/>
          <w:sz w:val="24"/>
          <w:lang w:val="zh-CN"/>
        </w:rPr>
        <w:t>2.</w:t>
      </w:r>
      <w:r>
        <w:rPr>
          <w:rFonts w:ascii="宋体" w:hAnsi="宋体" w:eastAsia="宋体"/>
          <w:b/>
          <w:bCs/>
          <w:sz w:val="24"/>
          <w:lang w:val="zh-CN"/>
        </w:rPr>
        <w:t>2 技术规范</w:t>
      </w:r>
      <w:bookmarkEnd w:id="59"/>
      <w:bookmarkEnd w:id="60"/>
      <w:bookmarkEnd w:id="61"/>
      <w:bookmarkEnd w:id="62"/>
      <w:bookmarkEnd w:id="63"/>
      <w:bookmarkEnd w:id="64"/>
    </w:p>
    <w:p w14:paraId="207FFFC4">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2E0F0B80">
      <w:pPr>
        <w:spacing w:line="360" w:lineRule="auto"/>
        <w:ind w:firstLine="437"/>
        <w:outlineLvl w:val="3"/>
        <w:rPr>
          <w:rFonts w:ascii="宋体" w:hAnsi="宋体" w:eastAsia="宋体"/>
          <w:b/>
          <w:bCs/>
          <w:sz w:val="24"/>
          <w:lang w:val="zh-CN"/>
        </w:rPr>
      </w:pPr>
      <w:bookmarkStart w:id="65" w:name="_Toc9829"/>
      <w:bookmarkStart w:id="66" w:name="_Toc259093671"/>
      <w:bookmarkStart w:id="67" w:name="_Toc31634"/>
      <w:bookmarkStart w:id="68" w:name="_Toc27853"/>
      <w:bookmarkStart w:id="69" w:name="_Toc487900351"/>
      <w:bookmarkStart w:id="70" w:name="_Toc279701242"/>
      <w:r>
        <w:rPr>
          <w:rFonts w:hint="eastAsia" w:ascii="宋体" w:hAnsi="宋体" w:eastAsia="宋体"/>
          <w:b/>
          <w:bCs/>
          <w:sz w:val="24"/>
          <w:lang w:val="zh-CN"/>
        </w:rPr>
        <w:t>2.</w:t>
      </w:r>
      <w:r>
        <w:rPr>
          <w:rFonts w:ascii="宋体" w:hAnsi="宋体" w:eastAsia="宋体"/>
          <w:b/>
          <w:bCs/>
          <w:sz w:val="24"/>
          <w:lang w:val="zh-CN"/>
        </w:rPr>
        <w:t>3 知识产权</w:t>
      </w:r>
      <w:bookmarkEnd w:id="65"/>
      <w:bookmarkEnd w:id="66"/>
      <w:bookmarkEnd w:id="67"/>
      <w:bookmarkEnd w:id="68"/>
      <w:bookmarkEnd w:id="69"/>
      <w:bookmarkEnd w:id="70"/>
    </w:p>
    <w:p w14:paraId="5F174688">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0E043C56">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07016E00">
      <w:pPr>
        <w:spacing w:line="360" w:lineRule="auto"/>
        <w:ind w:firstLine="437"/>
        <w:outlineLvl w:val="3"/>
        <w:rPr>
          <w:rFonts w:ascii="宋体" w:hAnsi="宋体" w:eastAsia="宋体"/>
          <w:b/>
          <w:bCs/>
          <w:sz w:val="24"/>
          <w:lang w:val="zh-CN"/>
        </w:rPr>
      </w:pPr>
      <w:bookmarkStart w:id="71" w:name="_Ref467378591"/>
      <w:bookmarkStart w:id="72" w:name="_Toc279701245"/>
      <w:bookmarkStart w:id="73" w:name="_Ref467379536"/>
      <w:bookmarkStart w:id="74" w:name="_Ref467378541"/>
      <w:bookmarkStart w:id="75" w:name="_Ref467379527"/>
      <w:bookmarkStart w:id="76" w:name="_Ref467379542"/>
      <w:bookmarkStart w:id="77" w:name="_Toc487900354"/>
      <w:bookmarkStart w:id="78" w:name="_Toc259093674"/>
      <w:bookmarkStart w:id="79" w:name="_Toc30272"/>
      <w:bookmarkStart w:id="80" w:name="_Toc26182"/>
      <w:bookmarkStart w:id="81" w:name="_Toc19074"/>
      <w:r>
        <w:rPr>
          <w:rFonts w:hint="eastAsia" w:ascii="宋体" w:hAnsi="宋体" w:eastAsia="宋体"/>
          <w:b/>
          <w:bCs/>
          <w:sz w:val="24"/>
          <w:lang w:val="zh-CN"/>
        </w:rPr>
        <w:t>2.</w:t>
      </w:r>
      <w:bookmarkEnd w:id="71"/>
      <w:bookmarkEnd w:id="72"/>
      <w:bookmarkEnd w:id="73"/>
      <w:bookmarkEnd w:id="74"/>
      <w:bookmarkEnd w:id="75"/>
      <w:bookmarkEnd w:id="76"/>
      <w:bookmarkEnd w:id="77"/>
      <w:bookmarkEnd w:id="78"/>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79"/>
      <w:bookmarkEnd w:id="80"/>
      <w:bookmarkEnd w:id="81"/>
    </w:p>
    <w:p w14:paraId="64771A77">
      <w:pPr>
        <w:spacing w:line="360" w:lineRule="auto"/>
        <w:ind w:firstLine="435"/>
        <w:rPr>
          <w:rFonts w:ascii="宋体" w:hAnsi="宋体" w:eastAsia="宋体"/>
          <w:sz w:val="24"/>
        </w:rPr>
      </w:pPr>
      <w:bookmarkStart w:id="82" w:name="_Toc186431854"/>
      <w:bookmarkStart w:id="83" w:name="_Toc259093676"/>
      <w:bookmarkStart w:id="84" w:name="_Toc279701247"/>
      <w:bookmarkStart w:id="85" w:name="_Toc487900357"/>
      <w:bookmarkStart w:id="86" w:name="_Ref467379793"/>
      <w:bookmarkStart w:id="87" w:name="_Ref467379807"/>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4D772FE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82"/>
      <w:bookmarkStart w:id="88" w:name="_Toc186431855"/>
      <w:r>
        <w:rPr>
          <w:rFonts w:hint="eastAsia" w:ascii="宋体" w:hAnsi="宋体" w:eastAsia="宋体"/>
          <w:sz w:val="24"/>
        </w:rPr>
        <w:t>。</w:t>
      </w:r>
    </w:p>
    <w:bookmarkEnd w:id="88"/>
    <w:p w14:paraId="032D92DD">
      <w:pPr>
        <w:spacing w:line="360" w:lineRule="auto"/>
        <w:ind w:firstLine="437"/>
        <w:outlineLvl w:val="3"/>
        <w:rPr>
          <w:rFonts w:ascii="宋体" w:hAnsi="宋体" w:eastAsia="宋体"/>
          <w:b/>
          <w:bCs/>
          <w:sz w:val="24"/>
          <w:lang w:val="zh-CN"/>
        </w:rPr>
      </w:pPr>
      <w:bookmarkStart w:id="89" w:name="_Toc19219"/>
      <w:bookmarkStart w:id="90" w:name="_Toc28451"/>
      <w:bookmarkStart w:id="91" w:name="_Toc7836"/>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bookmarkEnd w:id="83"/>
      <w:bookmarkEnd w:id="84"/>
      <w:bookmarkEnd w:id="85"/>
      <w:bookmarkEnd w:id="86"/>
      <w:bookmarkEnd w:id="87"/>
      <w:bookmarkEnd w:id="89"/>
      <w:bookmarkEnd w:id="90"/>
      <w:bookmarkEnd w:id="91"/>
    </w:p>
    <w:p w14:paraId="7ED904D4">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2E01DC34">
      <w:pPr>
        <w:spacing w:line="360" w:lineRule="auto"/>
        <w:ind w:firstLine="437"/>
        <w:outlineLvl w:val="3"/>
        <w:rPr>
          <w:rFonts w:ascii="宋体" w:hAnsi="宋体" w:eastAsia="宋体"/>
          <w:b/>
          <w:bCs/>
          <w:sz w:val="24"/>
          <w:lang w:val="zh-CN"/>
        </w:rPr>
      </w:pPr>
      <w:bookmarkStart w:id="92" w:name="_Ref467379923"/>
      <w:bookmarkStart w:id="93" w:name="_Toc259093677"/>
      <w:bookmarkStart w:id="94" w:name="_Toc487900358"/>
      <w:bookmarkStart w:id="95" w:name="_Ref467379863"/>
      <w:bookmarkStart w:id="96" w:name="_Toc279701248"/>
      <w:bookmarkStart w:id="97" w:name="_Ref467379852"/>
      <w:bookmarkStart w:id="98" w:name="_Toc3225"/>
      <w:bookmarkStart w:id="99" w:name="_Toc774"/>
      <w:bookmarkStart w:id="100" w:name="_Toc16110"/>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w:t>
      </w:r>
      <w:bookmarkEnd w:id="92"/>
      <w:bookmarkEnd w:id="93"/>
      <w:bookmarkEnd w:id="94"/>
      <w:bookmarkEnd w:id="95"/>
      <w:bookmarkEnd w:id="96"/>
      <w:bookmarkEnd w:id="97"/>
      <w:r>
        <w:rPr>
          <w:rFonts w:ascii="宋体" w:hAnsi="宋体" w:eastAsia="宋体"/>
          <w:b/>
          <w:bCs/>
          <w:sz w:val="24"/>
          <w:lang w:val="zh-CN"/>
        </w:rPr>
        <w:t>和保密义务</w:t>
      </w:r>
      <w:bookmarkEnd w:id="98"/>
      <w:bookmarkEnd w:id="99"/>
      <w:bookmarkEnd w:id="100"/>
    </w:p>
    <w:p w14:paraId="5422B1B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23DF57A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530560E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44716EA3">
      <w:pPr>
        <w:spacing w:line="360" w:lineRule="auto"/>
        <w:ind w:firstLine="437"/>
        <w:outlineLvl w:val="3"/>
        <w:rPr>
          <w:rFonts w:ascii="宋体" w:hAnsi="宋体" w:eastAsia="宋体"/>
          <w:b/>
          <w:bCs/>
          <w:sz w:val="24"/>
          <w:lang w:val="zh-CN"/>
        </w:rPr>
      </w:pPr>
      <w:bookmarkStart w:id="101" w:name="_Toc7860"/>
      <w:r>
        <w:rPr>
          <w:rFonts w:ascii="宋体" w:hAnsi="宋体" w:eastAsia="宋体"/>
          <w:b/>
          <w:bCs/>
          <w:sz w:val="24"/>
          <w:lang w:val="zh-CN"/>
        </w:rPr>
        <w:t>2.7 质量保证</w:t>
      </w:r>
      <w:bookmarkEnd w:id="101"/>
    </w:p>
    <w:p w14:paraId="50BFD17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5772B2A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3A85255D">
      <w:pPr>
        <w:spacing w:line="360" w:lineRule="auto"/>
        <w:ind w:firstLine="437"/>
        <w:outlineLvl w:val="3"/>
        <w:rPr>
          <w:rFonts w:ascii="宋体" w:hAnsi="宋体" w:eastAsia="宋体"/>
          <w:b/>
          <w:sz w:val="24"/>
        </w:rPr>
      </w:pPr>
      <w:bookmarkStart w:id="102" w:name="_Toc22267"/>
      <w:r>
        <w:rPr>
          <w:rFonts w:hint="eastAsia" w:ascii="宋体" w:hAnsi="宋体" w:eastAsia="宋体"/>
          <w:b/>
          <w:sz w:val="24"/>
        </w:rPr>
        <w:t>2.8 延迟履行</w:t>
      </w:r>
      <w:bookmarkEnd w:id="102"/>
    </w:p>
    <w:p w14:paraId="636B51FE">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方收到乙方通知后，认为其理由正当的，可以书面形式酌情同意乙方延长</w:t>
      </w:r>
      <w:r>
        <w:rPr>
          <w:rFonts w:hint="eastAsia" w:ascii="宋体" w:hAnsi="宋体" w:eastAsia="宋体"/>
          <w:sz w:val="24"/>
        </w:rPr>
        <w:t>履行</w:t>
      </w:r>
      <w:r>
        <w:rPr>
          <w:rFonts w:ascii="宋体" w:hAnsi="宋体" w:eastAsia="宋体"/>
          <w:sz w:val="24"/>
        </w:rPr>
        <w:t>的具体时间。</w:t>
      </w:r>
      <w:r>
        <w:rPr>
          <w:rFonts w:hint="eastAsia" w:ascii="宋体" w:hAnsi="宋体" w:eastAsia="宋体"/>
          <w:sz w:val="24"/>
        </w:rPr>
        <w:t>否则，每逾期一天，乙方应承担</w:t>
      </w:r>
      <w:r>
        <w:rPr>
          <w:rFonts w:hint="eastAsia" w:ascii="宋体" w:hAnsi="宋体" w:eastAsia="宋体"/>
          <w:sz w:val="24"/>
          <w:lang w:eastAsia="zh-Hans"/>
        </w:rPr>
        <w:t>对应合同价款</w:t>
      </w:r>
      <w:r>
        <w:rPr>
          <w:rFonts w:hint="eastAsia" w:ascii="宋体" w:hAnsi="宋体" w:eastAsia="宋体"/>
          <w:sz w:val="24"/>
        </w:rPr>
        <w:t>(如</w:t>
      </w:r>
      <w:r>
        <w:rPr>
          <w:rFonts w:hint="eastAsia" w:ascii="宋体" w:hAnsi="宋体" w:eastAsia="宋体"/>
          <w:sz w:val="24"/>
          <w:lang w:eastAsia="zh-Hans"/>
        </w:rPr>
        <w:t>按应履行而未履行服务价款的</w:t>
      </w:r>
      <w:r>
        <w:rPr>
          <w:rFonts w:hint="eastAsia" w:ascii="宋体" w:hAnsi="宋体" w:eastAsia="宋体"/>
          <w:sz w:val="24"/>
        </w:rPr>
        <w:t>万分之五)</w:t>
      </w:r>
      <w:r>
        <w:rPr>
          <w:rFonts w:hint="eastAsia" w:ascii="宋体" w:hAnsi="宋体" w:eastAsia="宋体"/>
          <w:sz w:val="24"/>
          <w:lang w:eastAsia="zh-Hans"/>
        </w:rPr>
        <w:t>的</w:t>
      </w:r>
      <w:r>
        <w:rPr>
          <w:rFonts w:hint="eastAsia" w:ascii="宋体" w:hAnsi="宋体" w:eastAsia="宋体"/>
          <w:sz w:val="24"/>
        </w:rPr>
        <w:t>违约金，逾期</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sz w:val="24"/>
        </w:rPr>
        <w:t>天以上时，甲方有权解除合同并追究乙方因此造成的全部损失。本合同项下损失均包括但不限于守约方因主张债权而支付的诉讼费、鉴定费、保全费、律师费、交通费等。</w:t>
      </w:r>
    </w:p>
    <w:p w14:paraId="3C5EECEF">
      <w:pPr>
        <w:spacing w:line="360" w:lineRule="auto"/>
        <w:ind w:firstLine="437"/>
        <w:outlineLvl w:val="3"/>
        <w:rPr>
          <w:rFonts w:ascii="宋体" w:hAnsi="宋体" w:eastAsia="宋体"/>
          <w:b/>
          <w:bCs/>
          <w:sz w:val="24"/>
          <w:lang w:val="zh-CN"/>
        </w:rPr>
      </w:pPr>
      <w:bookmarkStart w:id="103" w:name="_Toc7502"/>
      <w:bookmarkStart w:id="104" w:name="_Toc259093683"/>
      <w:bookmarkStart w:id="105" w:name="_Toc487900364"/>
      <w:bookmarkStart w:id="106" w:name="_Ref467378121"/>
      <w:bookmarkStart w:id="107" w:name="_Toc279701254"/>
      <w:r>
        <w:rPr>
          <w:rFonts w:ascii="宋体" w:hAnsi="宋体" w:eastAsia="宋体"/>
          <w:b/>
          <w:bCs/>
          <w:sz w:val="24"/>
          <w:lang w:val="zh-CN"/>
        </w:rPr>
        <w:t>2.9 合同变更</w:t>
      </w:r>
      <w:bookmarkEnd w:id="103"/>
    </w:p>
    <w:p w14:paraId="482014A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6954181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108" w:name="_Toc487900369"/>
      <w:bookmarkStart w:id="109" w:name="_Toc259093688"/>
      <w:bookmarkStart w:id="110" w:name="_Toc279701259"/>
    </w:p>
    <w:p w14:paraId="0C4E54E7">
      <w:pPr>
        <w:spacing w:line="360" w:lineRule="auto"/>
        <w:ind w:firstLine="437"/>
        <w:outlineLvl w:val="3"/>
        <w:rPr>
          <w:rFonts w:ascii="宋体" w:hAnsi="宋体" w:eastAsia="宋体"/>
          <w:b/>
          <w:bCs/>
          <w:sz w:val="24"/>
          <w:lang w:val="zh-CN"/>
        </w:rPr>
      </w:pPr>
      <w:bookmarkStart w:id="111" w:name="_Toc15237"/>
      <w:bookmarkStart w:id="112" w:name="_Toc22955"/>
      <w:bookmarkStart w:id="113" w:name="_Toc10366"/>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w:t>
      </w:r>
      <w:bookmarkEnd w:id="108"/>
      <w:bookmarkEnd w:id="109"/>
      <w:bookmarkEnd w:id="110"/>
      <w:r>
        <w:rPr>
          <w:rFonts w:ascii="宋体" w:hAnsi="宋体" w:eastAsia="宋体"/>
          <w:b/>
          <w:bCs/>
          <w:sz w:val="24"/>
          <w:lang w:val="zh-CN"/>
        </w:rPr>
        <w:t>和分包</w:t>
      </w:r>
      <w:bookmarkEnd w:id="111"/>
      <w:bookmarkEnd w:id="112"/>
      <w:bookmarkEnd w:id="113"/>
    </w:p>
    <w:p w14:paraId="6FCBA9AB">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lang w:eastAsia="zh-Hans"/>
        </w:rPr>
        <w:t>书面</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527A5FE8">
      <w:pPr>
        <w:spacing w:line="360" w:lineRule="auto"/>
        <w:ind w:firstLine="437"/>
        <w:outlineLvl w:val="3"/>
        <w:rPr>
          <w:rFonts w:ascii="宋体" w:hAnsi="宋体" w:eastAsia="宋体"/>
          <w:b/>
          <w:bCs/>
          <w:sz w:val="24"/>
          <w:lang w:val="zh-CN"/>
        </w:rPr>
      </w:pPr>
      <w:bookmarkStart w:id="114" w:name="_Toc14066"/>
      <w:bookmarkStart w:id="115" w:name="_Toc16508"/>
      <w:bookmarkStart w:id="116" w:name="_Toc13566"/>
      <w:r>
        <w:rPr>
          <w:rFonts w:hint="eastAsia" w:ascii="宋体" w:hAnsi="宋体" w:eastAsia="宋体"/>
          <w:b/>
          <w:bCs/>
          <w:sz w:val="24"/>
          <w:lang w:val="zh-CN"/>
        </w:rPr>
        <w:t>2.1</w:t>
      </w:r>
      <w:r>
        <w:rPr>
          <w:rFonts w:ascii="宋体" w:hAnsi="宋体" w:eastAsia="宋体"/>
          <w:b/>
          <w:bCs/>
          <w:sz w:val="24"/>
          <w:lang w:val="zh-CN"/>
        </w:rPr>
        <w:t>1 不可抗力</w:t>
      </w:r>
      <w:bookmarkEnd w:id="114"/>
      <w:bookmarkEnd w:id="115"/>
      <w:bookmarkEnd w:id="116"/>
    </w:p>
    <w:p w14:paraId="5B92E40F">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442B7CE9">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48882260">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063CBBF8">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4826C5E3">
      <w:pPr>
        <w:spacing w:line="360" w:lineRule="auto"/>
        <w:ind w:firstLine="437"/>
        <w:outlineLvl w:val="3"/>
        <w:rPr>
          <w:rFonts w:ascii="宋体" w:hAnsi="宋体" w:eastAsia="宋体"/>
          <w:b/>
          <w:bCs/>
          <w:sz w:val="24"/>
          <w:lang w:val="zh-CN"/>
        </w:rPr>
      </w:pPr>
      <w:bookmarkStart w:id="117" w:name="_Toc30676"/>
      <w:bookmarkStart w:id="118" w:name="_Toc259093684"/>
      <w:bookmarkStart w:id="119" w:name="_Toc689"/>
      <w:bookmarkStart w:id="120" w:name="_Toc6969"/>
      <w:bookmarkStart w:id="121" w:name="_Toc487900365"/>
      <w:bookmarkStart w:id="122" w:name="_Toc279701255"/>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bookmarkEnd w:id="117"/>
      <w:bookmarkEnd w:id="118"/>
      <w:bookmarkEnd w:id="119"/>
      <w:bookmarkEnd w:id="120"/>
      <w:bookmarkEnd w:id="121"/>
      <w:bookmarkEnd w:id="122"/>
    </w:p>
    <w:p w14:paraId="06D173BE">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2CDD8B13">
      <w:pPr>
        <w:spacing w:line="360" w:lineRule="auto"/>
        <w:ind w:firstLine="437"/>
        <w:outlineLvl w:val="3"/>
        <w:rPr>
          <w:rFonts w:ascii="宋体" w:hAnsi="宋体" w:eastAsia="宋体"/>
          <w:b/>
          <w:bCs/>
          <w:sz w:val="24"/>
          <w:lang w:val="zh-CN"/>
        </w:rPr>
      </w:pPr>
      <w:bookmarkStart w:id="123" w:name="_Toc487900368"/>
      <w:bookmarkStart w:id="124" w:name="_Toc16959"/>
      <w:bookmarkStart w:id="125" w:name="_Toc7102"/>
      <w:bookmarkStart w:id="126" w:name="_Toc279701258"/>
      <w:bookmarkStart w:id="127" w:name="_Toc8298"/>
      <w:bookmarkStart w:id="128" w:name="_Toc259093687"/>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bookmarkEnd w:id="123"/>
      <w:bookmarkEnd w:id="124"/>
      <w:bookmarkEnd w:id="125"/>
      <w:bookmarkEnd w:id="126"/>
      <w:bookmarkEnd w:id="127"/>
      <w:bookmarkEnd w:id="128"/>
    </w:p>
    <w:p w14:paraId="696EEEAF">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241041B5">
      <w:pPr>
        <w:spacing w:line="360" w:lineRule="auto"/>
        <w:ind w:firstLine="437"/>
        <w:outlineLvl w:val="3"/>
        <w:rPr>
          <w:rFonts w:ascii="宋体" w:hAnsi="宋体" w:eastAsia="宋体"/>
          <w:b/>
          <w:sz w:val="24"/>
        </w:rPr>
      </w:pPr>
      <w:bookmarkStart w:id="129" w:name="_Toc6134"/>
      <w:bookmarkStart w:id="130" w:name="_Toc15387"/>
      <w:bookmarkStart w:id="131" w:name="_Toc29333"/>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129"/>
      <w:bookmarkEnd w:id="130"/>
      <w:bookmarkEnd w:id="131"/>
    </w:p>
    <w:p w14:paraId="4DFBF589">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3F4C7815">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2F655D9F">
      <w:pPr>
        <w:spacing w:line="360" w:lineRule="auto"/>
        <w:ind w:firstLine="437"/>
        <w:outlineLvl w:val="3"/>
        <w:rPr>
          <w:rFonts w:ascii="宋体" w:hAnsi="宋体" w:eastAsia="宋体"/>
          <w:b/>
          <w:bCs/>
          <w:sz w:val="24"/>
          <w:lang w:val="zh-CN"/>
        </w:rPr>
      </w:pPr>
      <w:bookmarkStart w:id="132" w:name="_Toc6596"/>
      <w:bookmarkStart w:id="133" w:name="_Toc1125"/>
      <w:bookmarkStart w:id="134" w:name="_Toc14563"/>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132"/>
      <w:bookmarkEnd w:id="133"/>
      <w:bookmarkEnd w:id="134"/>
    </w:p>
    <w:p w14:paraId="129CDA5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7645CB33">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A82B737">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104"/>
    <w:bookmarkEnd w:id="105"/>
    <w:bookmarkEnd w:id="106"/>
    <w:bookmarkEnd w:id="107"/>
    <w:p w14:paraId="60E4BF5F">
      <w:pPr>
        <w:spacing w:line="360" w:lineRule="auto"/>
        <w:ind w:firstLine="437"/>
        <w:outlineLvl w:val="3"/>
        <w:rPr>
          <w:rFonts w:ascii="宋体" w:hAnsi="宋体" w:eastAsia="宋体"/>
          <w:b/>
          <w:bCs/>
          <w:sz w:val="24"/>
        </w:rPr>
      </w:pPr>
      <w:bookmarkStart w:id="135" w:name="_Toc259093692"/>
      <w:bookmarkStart w:id="136" w:name="_Toc10330"/>
      <w:bookmarkStart w:id="137" w:name="_Toc279701263"/>
      <w:bookmarkStart w:id="138" w:name="_Toc18567"/>
      <w:bookmarkStart w:id="139" w:name="_Toc487900373"/>
      <w:bookmarkStart w:id="140" w:name="_Toc12773"/>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135"/>
      <w:bookmarkEnd w:id="136"/>
      <w:bookmarkEnd w:id="137"/>
      <w:bookmarkEnd w:id="138"/>
      <w:bookmarkEnd w:id="139"/>
      <w:bookmarkEnd w:id="140"/>
    </w:p>
    <w:p w14:paraId="66761F3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4D5C23A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48519176">
      <w:pPr>
        <w:spacing w:line="360" w:lineRule="auto"/>
        <w:ind w:firstLine="437"/>
        <w:outlineLvl w:val="3"/>
        <w:rPr>
          <w:rFonts w:ascii="宋体" w:hAnsi="宋体" w:eastAsia="宋体"/>
          <w:b/>
          <w:sz w:val="24"/>
        </w:rPr>
      </w:pPr>
      <w:bookmarkStart w:id="141" w:name="_Toc259093693"/>
      <w:bookmarkStart w:id="142" w:name="_Toc279701264"/>
      <w:bookmarkStart w:id="143" w:name="_Toc12004"/>
      <w:bookmarkStart w:id="144" w:name="_Toc3148"/>
      <w:bookmarkStart w:id="145" w:name="_Toc16673"/>
      <w:bookmarkStart w:id="146" w:name="_Toc487900374"/>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bookmarkEnd w:id="141"/>
      <w:bookmarkEnd w:id="142"/>
      <w:bookmarkEnd w:id="143"/>
      <w:bookmarkEnd w:id="144"/>
      <w:bookmarkEnd w:id="145"/>
    </w:p>
    <w:p w14:paraId="36699B0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，以支票、汇票、本票或者金融机构、担保机构出具的保函等非现金形式，提交不超过合同价10%的履约保证金；</w:t>
      </w:r>
    </w:p>
    <w:p w14:paraId="7F93C6B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p>
    <w:p w14:paraId="61FD37C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146"/>
    <w:p w14:paraId="7C685B6A">
      <w:pPr>
        <w:spacing w:line="360" w:lineRule="auto"/>
        <w:ind w:firstLine="437"/>
        <w:outlineLvl w:val="3"/>
        <w:rPr>
          <w:rFonts w:ascii="宋体" w:hAnsi="宋体" w:eastAsia="宋体"/>
          <w:b/>
          <w:sz w:val="24"/>
        </w:rPr>
      </w:pPr>
      <w:bookmarkStart w:id="147" w:name="_Toc19890"/>
      <w:bookmarkStart w:id="148" w:name="_Toc6885"/>
      <w:bookmarkStart w:id="149" w:name="_Toc14001"/>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147"/>
      <w:bookmarkEnd w:id="148"/>
      <w:bookmarkEnd w:id="149"/>
    </w:p>
    <w:p w14:paraId="30D0197A">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41791668">
      <w:pPr>
        <w:spacing w:line="360" w:lineRule="auto"/>
        <w:jc w:val="center"/>
        <w:outlineLvl w:val="2"/>
        <w:rPr>
          <w:rFonts w:ascii="宋体" w:hAnsi="宋体" w:eastAsia="宋体"/>
          <w:b/>
          <w:sz w:val="24"/>
        </w:rPr>
      </w:pPr>
      <w:r>
        <w:rPr>
          <w:rFonts w:ascii="宋体" w:hAnsi="宋体" w:eastAsia="宋体"/>
          <w:sz w:val="24"/>
        </w:rPr>
        <w:br w:type="page"/>
      </w:r>
      <w:bookmarkStart w:id="150" w:name="_Toc331685784"/>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150"/>
    </w:p>
    <w:p w14:paraId="137F1D79">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1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7CE90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noWrap w:val="0"/>
            <w:vAlign w:val="center"/>
          </w:tcPr>
          <w:p w14:paraId="07DB03FF">
            <w:pPr>
              <w:ind w:left="0" w:leftChars="0" w:firstLine="0" w:firstLineChars="0"/>
              <w:jc w:val="both"/>
              <w:rPr>
                <w:rFonts w:ascii="宋体" w:hAnsi="宋体" w:eastAsia="宋体"/>
                <w:b/>
                <w:sz w:val="24"/>
              </w:rPr>
            </w:pPr>
            <w:r>
              <w:rPr>
                <w:rFonts w:ascii="宋体" w:hAnsi="宋体" w:eastAsia="宋体"/>
                <w:b/>
                <w:sz w:val="24"/>
              </w:rPr>
              <w:t>条款号</w:t>
            </w:r>
          </w:p>
        </w:tc>
        <w:tc>
          <w:tcPr>
            <w:tcW w:w="4525" w:type="pct"/>
            <w:noWrap w:val="0"/>
            <w:vAlign w:val="center"/>
          </w:tcPr>
          <w:p w14:paraId="762B42F3">
            <w:pPr>
              <w:jc w:val="center"/>
              <w:rPr>
                <w:rFonts w:ascii="宋体" w:hAnsi="宋体" w:eastAsia="宋体"/>
                <w:b/>
                <w:sz w:val="24"/>
              </w:rPr>
            </w:pPr>
            <w:r>
              <w:rPr>
                <w:rFonts w:ascii="宋体" w:hAnsi="宋体" w:eastAsia="宋体"/>
                <w:b/>
                <w:sz w:val="24"/>
              </w:rPr>
              <w:t>约定内容</w:t>
            </w:r>
          </w:p>
        </w:tc>
      </w:tr>
      <w:tr w14:paraId="4C766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noWrap w:val="0"/>
            <w:vAlign w:val="center"/>
          </w:tcPr>
          <w:p w14:paraId="24D21677">
            <w:pPr>
              <w:spacing w:line="560" w:lineRule="exact"/>
              <w:jc w:val="center"/>
              <w:rPr>
                <w:rFonts w:ascii="宋体" w:hAnsi="宋体" w:eastAsia="宋体"/>
                <w:sz w:val="24"/>
              </w:rPr>
            </w:pPr>
          </w:p>
        </w:tc>
        <w:tc>
          <w:tcPr>
            <w:tcW w:w="4525" w:type="pct"/>
            <w:noWrap w:val="0"/>
            <w:vAlign w:val="center"/>
          </w:tcPr>
          <w:p w14:paraId="692AA5ED">
            <w:pPr>
              <w:spacing w:line="560" w:lineRule="exact"/>
              <w:jc w:val="center"/>
              <w:rPr>
                <w:rFonts w:ascii="宋体" w:hAnsi="宋体" w:eastAsia="宋体"/>
                <w:sz w:val="24"/>
              </w:rPr>
            </w:pPr>
          </w:p>
        </w:tc>
      </w:tr>
      <w:tr w14:paraId="0F614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14:paraId="35B37158">
            <w:pPr>
              <w:spacing w:line="560" w:lineRule="exact"/>
              <w:jc w:val="center"/>
              <w:rPr>
                <w:rFonts w:ascii="宋体" w:hAnsi="宋体" w:eastAsia="宋体"/>
                <w:sz w:val="24"/>
              </w:rPr>
            </w:pPr>
          </w:p>
        </w:tc>
        <w:tc>
          <w:tcPr>
            <w:tcW w:w="4525" w:type="pct"/>
            <w:noWrap w:val="0"/>
            <w:vAlign w:val="center"/>
          </w:tcPr>
          <w:p w14:paraId="3A39360B">
            <w:pPr>
              <w:spacing w:line="560" w:lineRule="exact"/>
              <w:jc w:val="center"/>
              <w:rPr>
                <w:rFonts w:ascii="宋体" w:hAnsi="宋体" w:eastAsia="宋体"/>
                <w:sz w:val="24"/>
              </w:rPr>
            </w:pPr>
          </w:p>
        </w:tc>
      </w:tr>
      <w:tr w14:paraId="40310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14:paraId="06E61FD8">
            <w:pPr>
              <w:spacing w:line="560" w:lineRule="exact"/>
              <w:jc w:val="center"/>
              <w:rPr>
                <w:rFonts w:ascii="宋体" w:hAnsi="宋体" w:eastAsia="宋体"/>
                <w:sz w:val="24"/>
              </w:rPr>
            </w:pPr>
          </w:p>
        </w:tc>
        <w:tc>
          <w:tcPr>
            <w:tcW w:w="4525" w:type="pct"/>
            <w:noWrap w:val="0"/>
            <w:vAlign w:val="center"/>
          </w:tcPr>
          <w:p w14:paraId="1E00906C">
            <w:pPr>
              <w:spacing w:line="560" w:lineRule="exact"/>
              <w:jc w:val="center"/>
              <w:rPr>
                <w:rFonts w:ascii="宋体" w:hAnsi="宋体" w:eastAsia="宋体"/>
                <w:sz w:val="24"/>
              </w:rPr>
            </w:pPr>
          </w:p>
        </w:tc>
      </w:tr>
      <w:tr w14:paraId="1DFA3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14:paraId="295843C2">
            <w:pPr>
              <w:spacing w:line="560" w:lineRule="exact"/>
              <w:jc w:val="center"/>
              <w:rPr>
                <w:rFonts w:ascii="宋体" w:hAnsi="宋体" w:eastAsia="宋体"/>
                <w:sz w:val="24"/>
              </w:rPr>
            </w:pPr>
          </w:p>
        </w:tc>
        <w:tc>
          <w:tcPr>
            <w:tcW w:w="4525" w:type="pct"/>
            <w:noWrap w:val="0"/>
            <w:vAlign w:val="center"/>
          </w:tcPr>
          <w:p w14:paraId="2A5A1E63">
            <w:pPr>
              <w:spacing w:line="560" w:lineRule="exact"/>
              <w:jc w:val="center"/>
              <w:rPr>
                <w:rFonts w:ascii="宋体" w:hAnsi="宋体" w:eastAsia="宋体"/>
                <w:sz w:val="24"/>
              </w:rPr>
            </w:pPr>
          </w:p>
        </w:tc>
      </w:tr>
      <w:tr w14:paraId="42BD2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14:paraId="2C3A434F">
            <w:pPr>
              <w:spacing w:line="560" w:lineRule="exact"/>
              <w:jc w:val="center"/>
              <w:rPr>
                <w:rFonts w:ascii="宋体" w:hAnsi="宋体" w:eastAsia="宋体"/>
                <w:sz w:val="24"/>
              </w:rPr>
            </w:pPr>
          </w:p>
        </w:tc>
        <w:tc>
          <w:tcPr>
            <w:tcW w:w="4525" w:type="pct"/>
            <w:noWrap w:val="0"/>
            <w:vAlign w:val="center"/>
          </w:tcPr>
          <w:p w14:paraId="3D8DCE26">
            <w:pPr>
              <w:spacing w:line="560" w:lineRule="exact"/>
              <w:jc w:val="center"/>
              <w:rPr>
                <w:rFonts w:ascii="宋体" w:hAnsi="宋体" w:eastAsia="宋体"/>
                <w:sz w:val="24"/>
                <w:u w:val="single"/>
              </w:rPr>
            </w:pPr>
          </w:p>
        </w:tc>
      </w:tr>
      <w:tr w14:paraId="7C20E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14:paraId="01C95DEC">
            <w:pPr>
              <w:spacing w:line="560" w:lineRule="exact"/>
              <w:jc w:val="center"/>
              <w:rPr>
                <w:rFonts w:ascii="宋体" w:hAnsi="宋体" w:eastAsia="宋体"/>
                <w:sz w:val="24"/>
              </w:rPr>
            </w:pPr>
          </w:p>
        </w:tc>
        <w:tc>
          <w:tcPr>
            <w:tcW w:w="4525" w:type="pct"/>
            <w:noWrap w:val="0"/>
            <w:vAlign w:val="center"/>
          </w:tcPr>
          <w:p w14:paraId="6597B818">
            <w:pPr>
              <w:spacing w:line="560" w:lineRule="exact"/>
              <w:jc w:val="center"/>
              <w:rPr>
                <w:rFonts w:ascii="宋体" w:hAnsi="宋体" w:eastAsia="宋体"/>
                <w:sz w:val="24"/>
              </w:rPr>
            </w:pPr>
          </w:p>
        </w:tc>
      </w:tr>
      <w:tr w14:paraId="74FAF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14:paraId="2114DE7C">
            <w:pPr>
              <w:spacing w:line="560" w:lineRule="exact"/>
              <w:jc w:val="center"/>
              <w:rPr>
                <w:rFonts w:ascii="宋体" w:hAnsi="宋体" w:eastAsia="宋体"/>
                <w:sz w:val="24"/>
              </w:rPr>
            </w:pPr>
          </w:p>
        </w:tc>
        <w:tc>
          <w:tcPr>
            <w:tcW w:w="4525" w:type="pct"/>
            <w:noWrap w:val="0"/>
            <w:vAlign w:val="center"/>
          </w:tcPr>
          <w:p w14:paraId="0BA1C085">
            <w:pPr>
              <w:spacing w:line="560" w:lineRule="exact"/>
              <w:jc w:val="center"/>
              <w:rPr>
                <w:rFonts w:ascii="宋体" w:hAnsi="宋体" w:eastAsia="宋体"/>
                <w:sz w:val="24"/>
                <w:u w:val="single"/>
              </w:rPr>
            </w:pPr>
          </w:p>
        </w:tc>
      </w:tr>
      <w:tr w14:paraId="7DB5F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14:paraId="69E63EE4">
            <w:pPr>
              <w:spacing w:line="560" w:lineRule="exact"/>
              <w:jc w:val="center"/>
              <w:rPr>
                <w:rFonts w:ascii="宋体" w:hAnsi="宋体" w:eastAsia="宋体"/>
                <w:sz w:val="24"/>
              </w:rPr>
            </w:pPr>
          </w:p>
        </w:tc>
        <w:tc>
          <w:tcPr>
            <w:tcW w:w="4525" w:type="pct"/>
            <w:noWrap w:val="0"/>
            <w:vAlign w:val="center"/>
          </w:tcPr>
          <w:p w14:paraId="7952C005">
            <w:pPr>
              <w:spacing w:line="560" w:lineRule="exact"/>
              <w:jc w:val="center"/>
              <w:rPr>
                <w:rFonts w:ascii="宋体" w:hAnsi="宋体" w:eastAsia="宋体"/>
                <w:sz w:val="24"/>
              </w:rPr>
            </w:pPr>
          </w:p>
        </w:tc>
      </w:tr>
      <w:tr w14:paraId="7BA9B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14:paraId="004CB107">
            <w:pPr>
              <w:spacing w:line="560" w:lineRule="exact"/>
              <w:jc w:val="center"/>
              <w:rPr>
                <w:rFonts w:ascii="宋体" w:hAnsi="宋体" w:eastAsia="宋体"/>
                <w:sz w:val="24"/>
              </w:rPr>
            </w:pPr>
          </w:p>
        </w:tc>
        <w:tc>
          <w:tcPr>
            <w:tcW w:w="4525" w:type="pct"/>
            <w:noWrap w:val="0"/>
            <w:vAlign w:val="center"/>
          </w:tcPr>
          <w:p w14:paraId="4537DDC0">
            <w:pPr>
              <w:spacing w:line="560" w:lineRule="exact"/>
              <w:jc w:val="center"/>
              <w:rPr>
                <w:rFonts w:ascii="宋体" w:hAnsi="宋体" w:eastAsia="宋体"/>
                <w:sz w:val="24"/>
              </w:rPr>
            </w:pPr>
          </w:p>
        </w:tc>
      </w:tr>
      <w:tr w14:paraId="7BD04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14:paraId="66C31C42">
            <w:pPr>
              <w:spacing w:line="560" w:lineRule="exact"/>
              <w:jc w:val="center"/>
              <w:rPr>
                <w:rFonts w:ascii="宋体" w:hAnsi="宋体" w:eastAsia="宋体"/>
                <w:sz w:val="24"/>
              </w:rPr>
            </w:pPr>
          </w:p>
        </w:tc>
        <w:tc>
          <w:tcPr>
            <w:tcW w:w="4525" w:type="pct"/>
            <w:noWrap w:val="0"/>
            <w:vAlign w:val="center"/>
          </w:tcPr>
          <w:p w14:paraId="3EF03DC7">
            <w:pPr>
              <w:spacing w:line="560" w:lineRule="exact"/>
              <w:jc w:val="center"/>
              <w:rPr>
                <w:rFonts w:ascii="宋体" w:hAnsi="宋体" w:eastAsia="宋体"/>
                <w:sz w:val="24"/>
              </w:rPr>
            </w:pPr>
          </w:p>
        </w:tc>
      </w:tr>
      <w:tr w14:paraId="3115E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14:paraId="76F12A2C">
            <w:pPr>
              <w:spacing w:line="560" w:lineRule="exact"/>
              <w:jc w:val="center"/>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14:paraId="2F57C3DB">
            <w:pPr>
              <w:spacing w:line="560" w:lineRule="exact"/>
              <w:jc w:val="center"/>
              <w:rPr>
                <w:rFonts w:ascii="宋体" w:hAnsi="宋体" w:eastAsia="宋体"/>
                <w:sz w:val="24"/>
              </w:rPr>
            </w:pPr>
          </w:p>
        </w:tc>
      </w:tr>
      <w:tr w14:paraId="44837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14:paraId="55C00BA7">
            <w:pPr>
              <w:spacing w:line="560" w:lineRule="exact"/>
              <w:jc w:val="center"/>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14:paraId="43146E81">
            <w:pPr>
              <w:spacing w:line="560" w:lineRule="exact"/>
              <w:jc w:val="center"/>
              <w:rPr>
                <w:rFonts w:ascii="宋体" w:hAnsi="宋体" w:eastAsia="宋体"/>
                <w:sz w:val="24"/>
              </w:rPr>
            </w:pPr>
          </w:p>
        </w:tc>
      </w:tr>
    </w:tbl>
    <w:p w14:paraId="16751BC9">
      <w:pPr>
        <w:ind w:firstLine="480"/>
        <w:rPr>
          <w:rFonts w:hint="eastAsia" w:ascii="仿宋" w:hAnsi="仿宋" w:eastAsia="仿宋" w:cs="仿宋"/>
          <w:b/>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lang w:bidi="ar"/>
          <w14:textFill>
            <w14:solidFill>
              <w14:schemeClr w14:val="tx1"/>
            </w14:solidFill>
          </w14:textFill>
        </w:rPr>
        <w:br w:type="page"/>
      </w:r>
    </w:p>
    <w:p w14:paraId="0DF8E339">
      <w:pPr>
        <w:ind w:firstLine="482"/>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p>
    <w:p w14:paraId="31389770">
      <w:p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151" w:name="_Toc192058175"/>
      <w:r>
        <w:rPr>
          <w:rFonts w:hint="eastAsia" w:asciiTheme="minorEastAsia" w:hAnsiTheme="minorEastAsia" w:eastAsiaTheme="minorEastAsia"/>
          <w:b/>
          <w:color w:val="000000" w:themeColor="text1"/>
          <w:sz w:val="28"/>
          <w:highlight w:val="none"/>
          <w14:textFill>
            <w14:solidFill>
              <w14:schemeClr w14:val="tx1"/>
            </w14:solidFill>
          </w14:textFill>
        </w:rPr>
        <w:t>第六章  响应文件格式</w:t>
      </w:r>
      <w:bookmarkEnd w:id="151"/>
    </w:p>
    <w:p w14:paraId="2EACCA11">
      <w:pPr>
        <w:spacing w:line="900" w:lineRule="exact"/>
        <w:ind w:left="0" w:leftChars="0"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36"/>
          <w:szCs w:val="21"/>
          <w:highlight w:val="none"/>
          <w:lang w:eastAsia="zh-CN"/>
          <w14:textFill>
            <w14:solidFill>
              <w14:schemeClr w14:val="tx1"/>
            </w14:solidFill>
          </w14:textFill>
        </w:rPr>
        <w:t>桃花镇2026年度美国白蛾等重大林业有害生物监测防治</w:t>
      </w:r>
    </w:p>
    <w:p w14:paraId="2E541A7D">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4D093D75">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响</w:t>
      </w:r>
    </w:p>
    <w:p w14:paraId="3F3C0D18">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46427369">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应</w:t>
      </w:r>
    </w:p>
    <w:p w14:paraId="4DC1DB4F">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2D14D913">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7013E4CB">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581E2814">
      <w:pPr>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4A75BB5E">
      <w:pPr>
        <w:spacing w:after="156" w:afterLines="50"/>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7FB7ACCB">
      <w:pPr>
        <w:spacing w:after="156" w:afterLines="50" w:line="500" w:lineRule="exact"/>
        <w:ind w:firstLine="562"/>
        <w:jc w:val="center"/>
        <w:rPr>
          <w:rFonts w:hint="eastAsia" w:asciiTheme="minorEastAsia" w:hAnsiTheme="minorEastAsia" w:eastAsiaTheme="minorEastAsia"/>
          <w:b/>
          <w:color w:val="000000" w:themeColor="text1"/>
          <w:sz w:val="28"/>
          <w:szCs w:val="28"/>
          <w:highlight w:val="none"/>
          <w14:textFill>
            <w14:solidFill>
              <w14:schemeClr w14:val="tx1"/>
            </w14:solidFill>
          </w14:textFill>
        </w:rPr>
      </w:pPr>
    </w:p>
    <w:p w14:paraId="505EA131">
      <w:pPr>
        <w:spacing w:after="156" w:afterLines="50" w:line="500" w:lineRule="exact"/>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553CEE60">
      <w:pPr>
        <w:spacing w:after="156" w:afterLines="50" w:line="500" w:lineRule="exact"/>
        <w:ind w:firstLine="2522" w:firstLineChars="785"/>
        <w:rPr>
          <w:rFonts w:hint="eastAsia"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供应商：</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3B9F1175">
      <w:pPr>
        <w:spacing w:after="156" w:afterLines="50" w:line="500" w:lineRule="exact"/>
        <w:ind w:firstLine="643"/>
        <w:jc w:val="center"/>
        <w:rPr>
          <w:rFonts w:hint="eastAsia"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p>
    <w:p w14:paraId="3B8A95F2">
      <w:pPr>
        <w:widowControl/>
        <w:ind w:firstLine="562"/>
        <w:jc w:val="left"/>
        <w:rPr>
          <w:rFonts w:hint="eastAsia"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369639F0">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bookmarkStart w:id="152" w:name="_Toc461056631"/>
      <w:bookmarkStart w:id="153" w:name="_Toc461053086"/>
      <w:bookmarkStart w:id="154" w:name="_Toc520983587"/>
      <w:r>
        <w:rPr>
          <w:rFonts w:hint="eastAsia" w:asciiTheme="minorEastAsia" w:hAnsiTheme="minorEastAsia" w:eastAsiaTheme="minorEastAsia"/>
          <w:b/>
          <w:color w:val="000000" w:themeColor="text1"/>
          <w:highlight w:val="none"/>
          <w14:textFill>
            <w14:solidFill>
              <w14:schemeClr w14:val="tx1"/>
            </w14:solidFill>
          </w14:textFill>
        </w:rPr>
        <w:t>一</w:t>
      </w:r>
      <w:bookmarkEnd w:id="152"/>
      <w:bookmarkEnd w:id="153"/>
      <w:r>
        <w:rPr>
          <w:rFonts w:hint="eastAsia" w:asciiTheme="minorEastAsia" w:hAnsiTheme="minorEastAsia" w:eastAsiaTheme="minorEastAsia"/>
          <w:b/>
          <w:color w:val="000000" w:themeColor="text1"/>
          <w:highlight w:val="none"/>
          <w14:textFill>
            <w14:solidFill>
              <w14:schemeClr w14:val="tx1"/>
            </w14:solidFill>
          </w14:textFill>
        </w:rPr>
        <w:t>、报价表格式</w:t>
      </w:r>
      <w:bookmarkEnd w:id="154"/>
    </w:p>
    <w:p w14:paraId="68C7FADA">
      <w:pPr>
        <w:spacing w:before="156" w:beforeLines="50" w:after="156" w:afterLines="50"/>
        <w:ind w:firstLine="482"/>
        <w:jc w:val="left"/>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1-1 报价表</w:t>
      </w:r>
    </w:p>
    <w:p w14:paraId="55568608">
      <w:pPr>
        <w:snapToGrid w:val="0"/>
        <w:ind w:firstLine="482"/>
        <w:jc w:val="left"/>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桃花镇2026年度美国白蛾等重大林业有害生物监测防治</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p w14:paraId="1575D7C5">
      <w:pPr>
        <w:snapToGrid w:val="0"/>
        <w:spacing w:after="156" w:afterLines="50"/>
        <w:ind w:firstLine="482"/>
        <w:jc w:val="left"/>
        <w:rPr>
          <w:rFonts w:hint="eastAsia" w:cs="宋体" w:asciiTheme="minorEastAsia" w:hAnsiTheme="minorEastAsia" w:eastAsiaTheme="minorEastAsia"/>
          <w:b/>
          <w:bCs/>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2026PHBX212</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7015"/>
      </w:tblGrid>
      <w:tr w14:paraId="521A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4" w:type="pct"/>
            <w:tcBorders>
              <w:top w:val="single" w:color="auto" w:sz="4" w:space="0"/>
              <w:left w:val="single" w:color="auto" w:sz="4" w:space="0"/>
              <w:bottom w:val="single" w:color="auto" w:sz="4" w:space="0"/>
              <w:right w:val="single" w:color="auto" w:sz="4" w:space="0"/>
            </w:tcBorders>
            <w:vAlign w:val="center"/>
          </w:tcPr>
          <w:p w14:paraId="5771BDFF">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供应商名称</w:t>
            </w:r>
          </w:p>
        </w:tc>
        <w:tc>
          <w:tcPr>
            <w:tcW w:w="4115" w:type="pct"/>
            <w:tcBorders>
              <w:left w:val="single" w:color="auto" w:sz="4" w:space="0"/>
            </w:tcBorders>
          </w:tcPr>
          <w:p w14:paraId="44F2FBED">
            <w:pPr>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r w14:paraId="50A3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4" w:type="pct"/>
            <w:tcBorders>
              <w:top w:val="single" w:color="auto" w:sz="4" w:space="0"/>
              <w:left w:val="single" w:color="auto" w:sz="4" w:space="0"/>
              <w:bottom w:val="single" w:color="auto" w:sz="4" w:space="0"/>
              <w:right w:val="single" w:color="auto" w:sz="4" w:space="0"/>
            </w:tcBorders>
            <w:vAlign w:val="center"/>
          </w:tcPr>
          <w:p w14:paraId="631FC958">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范围</w:t>
            </w:r>
          </w:p>
        </w:tc>
        <w:tc>
          <w:tcPr>
            <w:tcW w:w="4115" w:type="pct"/>
            <w:tcBorders>
              <w:left w:val="single" w:color="auto" w:sz="4" w:space="0"/>
            </w:tcBorders>
            <w:vAlign w:val="center"/>
          </w:tcPr>
          <w:p w14:paraId="2A08D3FF">
            <w:pPr>
              <w:widowControl/>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Cs w:val="28"/>
                <w:highlight w:val="none"/>
                <w14:textFill>
                  <w14:solidFill>
                    <w14:schemeClr w14:val="tx1"/>
                  </w14:solidFill>
                </w14:textFill>
              </w:rPr>
              <w:t>全部</w:t>
            </w:r>
          </w:p>
        </w:tc>
      </w:tr>
      <w:tr w14:paraId="55F8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84" w:type="pct"/>
            <w:tcBorders>
              <w:top w:val="single" w:color="auto" w:sz="4" w:space="0"/>
            </w:tcBorders>
            <w:vAlign w:val="center"/>
          </w:tcPr>
          <w:p w14:paraId="0A935222">
            <w:pPr>
              <w:ind w:left="0" w:leftChars="0" w:firstLine="0" w:firstLineChars="0"/>
              <w:jc w:val="center"/>
              <w:rPr>
                <w:rFonts w:hint="default" w:cs="宋体" w:asciiTheme="minorEastAsia" w:hAnsiTheme="minorEastAsia" w:eastAsiaTheme="minorEastAsia"/>
                <w:b/>
                <w:color w:val="000000" w:themeColor="text1"/>
                <w:kern w:val="2"/>
                <w:szCs w:val="24"/>
                <w:highlight w:val="none"/>
                <w:lang w:val="en-US"/>
                <w14:textFill>
                  <w14:solidFill>
                    <w14:schemeClr w14:val="tx1"/>
                  </w14:solidFill>
                </w14:textFill>
              </w:rPr>
            </w:pPr>
            <w:r>
              <w:rPr>
                <w:rFonts w:hint="eastAsia" w:cs="@仿宋_GB2312"/>
                <w:b/>
                <w:color w:val="000000" w:themeColor="text1"/>
                <w:kern w:val="2"/>
                <w:highlight w:val="none"/>
                <w:lang w:val="en-US" w:eastAsia="zh-CN"/>
                <w14:textFill>
                  <w14:solidFill>
                    <w14:schemeClr w14:val="tx1"/>
                  </w14:solidFill>
                </w14:textFill>
              </w:rPr>
              <w:t>报价</w:t>
            </w:r>
          </w:p>
        </w:tc>
        <w:tc>
          <w:tcPr>
            <w:tcW w:w="4115" w:type="pct"/>
            <w:vAlign w:val="center"/>
          </w:tcPr>
          <w:p w14:paraId="388A36EA">
            <w:pPr>
              <w:snapToGrid w:val="0"/>
              <w:ind w:left="0" w:leftChars="0" w:firstLine="0" w:firstLineChars="0"/>
              <w:rPr>
                <w:rFonts w:hint="eastAsia" w:cs="宋体"/>
                <w:color w:val="000000"/>
                <w:kern w:val="2"/>
                <w:sz w:val="24"/>
                <w:szCs w:val="24"/>
                <w:highlight w:val="none"/>
                <w:u w:val="none"/>
                <w:lang w:val="en-US" w:eastAsia="zh-CN" w:bidi="ar-SA"/>
              </w:rPr>
            </w:pPr>
            <w:r>
              <w:rPr>
                <w:rFonts w:hint="eastAsia" w:cs="宋体"/>
                <w:color w:val="000000"/>
                <w:kern w:val="2"/>
                <w:sz w:val="24"/>
                <w:szCs w:val="24"/>
                <w:highlight w:val="none"/>
                <w:u w:val="none"/>
                <w:lang w:val="en-US" w:eastAsia="zh-CN" w:bidi="ar-SA"/>
              </w:rPr>
              <w:t>人民币：大写</w:t>
            </w:r>
            <w:r>
              <w:rPr>
                <w:rFonts w:hint="eastAsia"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u w:val="none"/>
                <w:lang w:val="en-US" w:eastAsia="zh-CN" w:bidi="ar-SA"/>
              </w:rPr>
              <w:t xml:space="preserve">  </w:t>
            </w:r>
            <w:r>
              <w:rPr>
                <w:rFonts w:hint="eastAsia" w:cs="宋体"/>
                <w:color w:val="000000"/>
                <w:kern w:val="2"/>
                <w:sz w:val="24"/>
                <w:szCs w:val="24"/>
                <w:highlight w:val="none"/>
                <w:u w:val="none"/>
                <w:lang w:val="en-US" w:eastAsia="zh-CN" w:bidi="ar-SA"/>
              </w:rPr>
              <w:t xml:space="preserve"> </w:t>
            </w:r>
          </w:p>
          <w:p w14:paraId="117D06CB">
            <w:pPr>
              <w:snapToGrid w:val="0"/>
              <w:ind w:left="0" w:leftChars="0" w:firstLine="960" w:firstLineChars="400"/>
              <w:rPr>
                <w:rFonts w:hint="default" w:cs="宋体" w:asciiTheme="minorEastAsia" w:hAnsiTheme="minorEastAsia" w:eastAsiaTheme="minorEastAsia"/>
                <w:b/>
                <w:color w:val="000000" w:themeColor="text1"/>
                <w:kern w:val="2"/>
                <w:szCs w:val="24"/>
                <w:highlight w:val="none"/>
                <w:u w:val="single"/>
                <w:lang w:val="en-US" w:eastAsia="zh-CN"/>
                <w14:textFill>
                  <w14:solidFill>
                    <w14:schemeClr w14:val="tx1"/>
                  </w14:solidFill>
                </w14:textFill>
              </w:rPr>
            </w:pPr>
            <w:r>
              <w:rPr>
                <w:rFonts w:hint="eastAsia" w:cs="宋体"/>
                <w:color w:val="000000"/>
                <w:kern w:val="2"/>
                <w:sz w:val="24"/>
                <w:szCs w:val="24"/>
                <w:highlight w:val="none"/>
                <w:lang w:val="en-US" w:eastAsia="zh-CN" w:bidi="ar-SA"/>
              </w:rPr>
              <w:t>小写：</w:t>
            </w:r>
            <w:r>
              <w:rPr>
                <w:rFonts w:hint="eastAsia"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元</w:t>
            </w:r>
            <w:r>
              <w:rPr>
                <w:rFonts w:hint="eastAsia" w:ascii="宋体" w:hAnsi="宋体" w:eastAsia="宋体" w:cs="宋体"/>
                <w:color w:val="000000"/>
                <w:kern w:val="2"/>
                <w:sz w:val="24"/>
                <w:szCs w:val="24"/>
                <w:highlight w:val="none"/>
                <w:lang w:val="en-US" w:eastAsia="zh-CN" w:bidi="ar-SA"/>
              </w:rPr>
              <w:br w:type="textWrapping"/>
            </w:r>
          </w:p>
        </w:tc>
      </w:tr>
      <w:tr w14:paraId="6042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84" w:type="pct"/>
            <w:tcBorders>
              <w:top w:val="single" w:color="auto" w:sz="4" w:space="0"/>
            </w:tcBorders>
            <w:vAlign w:val="center"/>
          </w:tcPr>
          <w:p w14:paraId="7131084F">
            <w:pPr>
              <w:snapToGrid w:val="0"/>
              <w:ind w:left="0" w:leftChars="0" w:firstLine="0" w:firstLineChars="0"/>
              <w:jc w:val="center"/>
              <w:rPr>
                <w:rFonts w:hint="eastAsia" w:cs="宋体" w:asciiTheme="minorEastAsia" w:hAnsiTheme="minorEastAsia" w:eastAsiaTheme="minorEastAsia"/>
                <w:b/>
                <w:strike/>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服务期限</w:t>
            </w:r>
          </w:p>
        </w:tc>
        <w:tc>
          <w:tcPr>
            <w:tcW w:w="4115" w:type="pct"/>
            <w:vAlign w:val="center"/>
          </w:tcPr>
          <w:p w14:paraId="4F9BE8C3">
            <w:pPr>
              <w:snapToGrid w:val="0"/>
              <w:ind w:left="0" w:leftChars="0" w:firstLine="0" w:firstLineChars="0"/>
              <w:rPr>
                <w:rFonts w:hint="default" w:cs="宋体" w:asciiTheme="minorEastAsia" w:hAnsiTheme="minorEastAsia" w:eastAsiaTheme="minorEastAsia"/>
                <w:b/>
                <w:strike/>
                <w:color w:val="000000" w:themeColor="text1"/>
                <w:kern w:val="2"/>
                <w:szCs w:val="24"/>
                <w:highlight w:val="none"/>
                <w:lang w:val="en-US" w:eastAsia="zh-CN"/>
                <w14:textFill>
                  <w14:solidFill>
                    <w14:schemeClr w14:val="tx1"/>
                  </w14:solidFill>
                </w14:textFill>
              </w:rPr>
            </w:pPr>
            <w:r>
              <w:rPr>
                <w:rFonts w:hint="eastAsia" w:cs="宋体" w:asciiTheme="minorEastAsia" w:hAnsiTheme="minorEastAsia" w:eastAsiaTheme="minorEastAsia"/>
                <w:b w:val="0"/>
                <w:bCs/>
                <w:strike w:val="0"/>
                <w:color w:val="000000" w:themeColor="text1"/>
                <w:kern w:val="2"/>
                <w:szCs w:val="24"/>
                <w:highlight w:val="none"/>
                <w:lang w:val="en-US" w:eastAsia="zh-CN"/>
                <w14:textFill>
                  <w14:solidFill>
                    <w14:schemeClr w14:val="tx1"/>
                  </w14:solidFill>
                </w14:textFill>
              </w:rPr>
              <w:t>响应询比文件要求。</w:t>
            </w:r>
          </w:p>
        </w:tc>
      </w:tr>
      <w:tr w14:paraId="4E94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884" w:type="pct"/>
            <w:vAlign w:val="center"/>
          </w:tcPr>
          <w:p w14:paraId="69E06506">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备注说明</w:t>
            </w:r>
          </w:p>
        </w:tc>
        <w:tc>
          <w:tcPr>
            <w:tcW w:w="4115" w:type="pct"/>
          </w:tcPr>
          <w:p w14:paraId="4272E26C">
            <w:pPr>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bl>
    <w:p w14:paraId="479F0220">
      <w:pPr>
        <w:spacing w:line="440" w:lineRule="exact"/>
        <w:ind w:firstLine="4800" w:firstLineChars="2000"/>
        <w:rPr>
          <w:rFonts w:hint="eastAsia"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szCs w:val="24"/>
          <w:highlight w:val="none"/>
          <w:u w:val="single"/>
          <w14:textFill>
            <w14:solidFill>
              <w14:schemeClr w14:val="tx1"/>
            </w14:solidFill>
          </w14:textFill>
        </w:rPr>
        <w:t xml:space="preserve">     </w:t>
      </w:r>
      <w:r>
        <w:rPr>
          <w:rFonts w:cs="@仿宋_GB2312"/>
          <w:color w:val="000000" w:themeColor="text1"/>
          <w:kern w:val="2"/>
          <w:szCs w:val="24"/>
          <w:highlight w:val="none"/>
          <w:u w:val="single"/>
          <w14:textFill>
            <w14:solidFill>
              <w14:schemeClr w14:val="tx1"/>
            </w14:solidFill>
          </w14:textFill>
        </w:rPr>
        <w:t xml:space="preserve">    </w:t>
      </w:r>
      <w:r>
        <w:rPr>
          <w:rFonts w:hint="eastAsia" w:cs="@仿宋_GB2312"/>
          <w:color w:val="000000" w:themeColor="text1"/>
          <w:kern w:val="2"/>
          <w:szCs w:val="24"/>
          <w:highlight w:val="none"/>
          <w:u w:val="single"/>
          <w14:textFill>
            <w14:solidFill>
              <w14:schemeClr w14:val="tx1"/>
            </w14:solidFill>
          </w14:textFill>
        </w:rPr>
        <w:t xml:space="preserve">    </w:t>
      </w:r>
    </w:p>
    <w:p w14:paraId="03A9807A">
      <w:pPr>
        <w:spacing w:line="440" w:lineRule="exact"/>
        <w:ind w:firstLine="4800" w:firstLineChars="2000"/>
        <w:rPr>
          <w:rFonts w:hint="eastAsia"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 xml:space="preserve">日     </w:t>
      </w:r>
      <w:r>
        <w:rPr>
          <w:rFonts w:cs="@仿宋_GB2312"/>
          <w:color w:val="000000" w:themeColor="text1"/>
          <w:kern w:val="2"/>
          <w:szCs w:val="24"/>
          <w:highlight w:val="none"/>
          <w14:textFill>
            <w14:solidFill>
              <w14:schemeClr w14:val="tx1"/>
            </w14:solidFill>
          </w14:textFill>
        </w:rPr>
        <w:t xml:space="preserve">    </w:t>
      </w:r>
      <w:r>
        <w:rPr>
          <w:rFonts w:hint="eastAsia" w:cs="@仿宋_GB2312"/>
          <w:color w:val="000000" w:themeColor="text1"/>
          <w:kern w:val="2"/>
          <w:szCs w:val="24"/>
          <w:highlight w:val="none"/>
          <w14:textFill>
            <w14:solidFill>
              <w14:schemeClr w14:val="tx1"/>
            </w14:solidFill>
          </w14:textFill>
        </w:rPr>
        <w:t xml:space="preserve"> 期：</w:t>
      </w:r>
      <w:r>
        <w:rPr>
          <w:rFonts w:hint="eastAsia" w:cs="@仿宋_GB2312"/>
          <w:color w:val="000000" w:themeColor="text1"/>
          <w:kern w:val="2"/>
          <w:szCs w:val="24"/>
          <w:highlight w:val="none"/>
          <w:u w:val="single"/>
          <w14:textFill>
            <w14:solidFill>
              <w14:schemeClr w14:val="tx1"/>
            </w14:solidFill>
          </w14:textFill>
        </w:rPr>
        <w:t xml:space="preserve">             </w:t>
      </w:r>
    </w:p>
    <w:p w14:paraId="5103F5C7">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注：</w:t>
      </w:r>
    </w:p>
    <w:p w14:paraId="0CF92806">
      <w:pPr>
        <w:adjustRightInd w:val="0"/>
        <w:snapToGrid w:val="0"/>
        <w:ind w:firstLine="482"/>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1.本表内容根据</w:t>
      </w: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文件要求包括了</w:t>
      </w: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文件要求提供的全部内容的所有费用。</w:t>
      </w:r>
    </w:p>
    <w:p w14:paraId="0AE6A119">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2.特殊事项在备注</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说明</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中注明。</w:t>
      </w:r>
    </w:p>
    <w:p w14:paraId="637C3E35">
      <w:pPr>
        <w:ind w:left="0" w:leftChars="0" w:firstLine="0" w:firstLineChars="0"/>
        <w:rPr>
          <w:rFonts w:hint="eastAsia" w:asciiTheme="minorEastAsia" w:hAnsiTheme="minorEastAsia" w:eastAsiaTheme="minorEastAsia"/>
          <w:b/>
          <w:color w:val="000000" w:themeColor="text1"/>
          <w:highlight w:val="none"/>
          <w14:textFill>
            <w14:solidFill>
              <w14:schemeClr w14:val="tx1"/>
            </w14:solidFill>
          </w14:textFill>
        </w:rPr>
      </w:pPr>
      <w:bookmarkStart w:id="155" w:name="_Toc520983591"/>
    </w:p>
    <w:p w14:paraId="07161405">
      <w:pPr>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330ECF4E">
      <w:pPr>
        <w:ind w:left="0" w:leftChars="0" w:firstLine="0" w:firstLineChars="0"/>
        <w:rPr>
          <w:rFonts w:hint="eastAsia" w:asciiTheme="minorEastAsia" w:hAnsiTheme="minorEastAsia" w:eastAsiaTheme="minorEastAsia"/>
          <w:b/>
          <w:color w:val="000000" w:themeColor="text1"/>
          <w:highlight w:val="none"/>
          <w14:textFill>
            <w14:solidFill>
              <w14:schemeClr w14:val="tx1"/>
            </w14:solidFill>
          </w14:textFill>
        </w:rPr>
      </w:pPr>
    </w:p>
    <w:p w14:paraId="36801527">
      <w:pPr>
        <w:ind w:left="0" w:leftChars="0" w:firstLine="0" w:firstLineChars="0"/>
        <w:jc w:val="center"/>
        <w:outlineLvl w:val="2"/>
        <w:rPr>
          <w:rFonts w:hint="eastAsia" w:cs="宋体"/>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二、供应商综合情况简介</w:t>
      </w:r>
    </w:p>
    <w:p w14:paraId="0FD5E67C">
      <w:pPr>
        <w:spacing w:before="156" w:beforeLines="50" w:after="156" w:afterLines="50"/>
        <w:ind w:left="0" w:leftChars="0" w:firstLine="0" w:firstLineChars="0"/>
        <w:jc w:val="center"/>
        <w:rPr>
          <w:rFonts w:hint="eastAsia"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w:t>
      </w:r>
      <w:r>
        <w:rPr>
          <w:rFonts w:hint="eastAsia" w:cs="Times New Roman"/>
          <w:color w:val="000000" w:themeColor="text1"/>
          <w:szCs w:val="18"/>
          <w:highlight w:val="none"/>
          <w14:textFill>
            <w14:solidFill>
              <w14:schemeClr w14:val="tx1"/>
            </w14:solidFill>
          </w14:textFill>
        </w:rPr>
        <w:t>供应商</w:t>
      </w:r>
      <w:r>
        <w:rPr>
          <w:rFonts w:hint="eastAsia" w:cs="Times New Roman"/>
          <w:color w:val="000000" w:themeColor="text1"/>
          <w:szCs w:val="28"/>
          <w:highlight w:val="none"/>
          <w14:textFill>
            <w14:solidFill>
              <w14:schemeClr w14:val="tx1"/>
            </w14:solidFill>
          </w14:textFill>
        </w:rPr>
        <w:t>可自行制作格式）</w:t>
      </w:r>
    </w:p>
    <w:p w14:paraId="07AE865C">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41081FC3">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4F2D585D">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三、</w:t>
      </w:r>
      <w:r>
        <w:rPr>
          <w:rFonts w:hint="eastAsia" w:asciiTheme="minorEastAsia" w:hAnsiTheme="minorEastAsia" w:eastAsiaTheme="minorEastAsia"/>
          <w:b/>
          <w:color w:val="000000" w:themeColor="text1"/>
          <w:highlight w:val="none"/>
          <w:lang w:eastAsia="zh-CN"/>
          <w14:textFill>
            <w14:solidFill>
              <w14:schemeClr w14:val="tx1"/>
            </w14:solidFill>
          </w14:textFill>
        </w:rPr>
        <w:t>询比</w:t>
      </w:r>
      <w:r>
        <w:rPr>
          <w:rFonts w:hint="eastAsia" w:asciiTheme="minorEastAsia" w:hAnsiTheme="minorEastAsia" w:eastAsiaTheme="minorEastAsia"/>
          <w:b/>
          <w:color w:val="000000" w:themeColor="text1"/>
          <w:highlight w:val="none"/>
          <w14:textFill>
            <w14:solidFill>
              <w14:schemeClr w14:val="tx1"/>
            </w14:solidFill>
          </w14:textFill>
        </w:rPr>
        <w:t>响应函</w:t>
      </w:r>
    </w:p>
    <w:p w14:paraId="29324EB9">
      <w:pPr>
        <w:ind w:firstLine="482"/>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u w:val="none"/>
          <w14:textFill>
            <w14:solidFill>
              <w14:schemeClr w14:val="tx1"/>
            </w14:solidFill>
          </w14:textFill>
        </w:rPr>
        <w:t>致：</w:t>
      </w:r>
      <w:r>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t>肥西县桃花镇人民政府</w:t>
      </w:r>
    </w:p>
    <w:p w14:paraId="10933700">
      <w:pPr>
        <w:ind w:firstLine="482"/>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t>肥西县公共资源交易有限责任公司</w:t>
      </w:r>
    </w:p>
    <w:p w14:paraId="16AF8D7A">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根据贵方的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文件，我方承诺如下：</w:t>
      </w:r>
    </w:p>
    <w:p w14:paraId="24CCF3D1">
      <w:pPr>
        <w:ind w:firstLine="480"/>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1.经踏勘项目现场和研究上述</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须知、合同条款、业主单位要求及其他有关文件后，我方接受上述文件要求。我方</w:t>
      </w: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承诺按本</w:t>
      </w:r>
      <w:r>
        <w:rPr>
          <w:rFonts w:hint="eastAsia" w:cs="宋体" w:asciiTheme="minorEastAsia" w:hAnsiTheme="minorEastAsia" w:eastAsiaTheme="minorEastAsia"/>
          <w:bCs/>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文件、合同条款和业主单位要求承担上述项目的全部内容。</w:t>
      </w:r>
    </w:p>
    <w:p w14:paraId="7180345E">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2.我方已详细审核全部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文件，包括</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文件的补疑、澄清、变更或补充（如有），参考资料及有关附件，我方正式认可并遵守本次</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文件，并对</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文件各项条款（包括</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时间）、规定及要求均无异议。且我方自愿放弃针对上述各项条款提出异议的权利。</w:t>
      </w:r>
    </w:p>
    <w:p w14:paraId="73300F5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3.如我方成交，我方承诺愿意按</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文件规定缴纳履约保证金和代理费用。按本次</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文件规定及</w:t>
      </w:r>
      <w:r>
        <w:rPr>
          <w:rFonts w:cs="宋体"/>
          <w:color w:val="000000" w:themeColor="text1"/>
          <w:szCs w:val="24"/>
          <w:highlight w:val="none"/>
          <w14:textFill>
            <w14:solidFill>
              <w14:schemeClr w14:val="tx1"/>
            </w14:solidFill>
          </w14:textFill>
        </w:rPr>
        <w:t>最终报价</w:t>
      </w:r>
      <w:r>
        <w:rPr>
          <w:rFonts w:hint="eastAsia"/>
          <w:color w:val="000000" w:themeColor="text1"/>
          <w:highlight w:val="none"/>
          <w14:textFill>
            <w14:solidFill>
              <w14:schemeClr w14:val="tx1"/>
            </w14:solidFill>
          </w14:textFill>
        </w:rPr>
        <w:t>承诺提供服务。</w:t>
      </w:r>
    </w:p>
    <w:p w14:paraId="6A6B7B7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4.我方根据本次</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文件的规定，严格履行合同的责任和义务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并保证于你方要求的日期内完成合同规定的全部义务。</w:t>
      </w:r>
    </w:p>
    <w:p w14:paraId="54A4475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5.我方同意按你方要求在</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规定时间内向你方提供与其</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有关的任何证据或补充资料，否则，我方的响应文件可被你方拒绝。</w:t>
      </w:r>
    </w:p>
    <w:p w14:paraId="799178A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6.我方完全理解你方不一定接受最低报价的</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w:t>
      </w:r>
    </w:p>
    <w:p w14:paraId="71440D0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7.我方同意</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文件规定的付款方式、服务期限。</w:t>
      </w:r>
    </w:p>
    <w:p w14:paraId="6211CB2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8.我方对响应文件中所提供资料、文件、证书及证件的真实性和有效性负责。</w:t>
      </w:r>
    </w:p>
    <w:p w14:paraId="57584D9C">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9.我方同意所提交的响应文件在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文件规定的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有效期内有效，在此期间内如果成交，我方将受此约束。</w:t>
      </w:r>
    </w:p>
    <w:p w14:paraId="008F02E0">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10.除非另外达成协议并生效，你方的成交通知书和本响应文件以及</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文件澄清、修改、补充将成为约束双方的合同文件的组成部分。</w:t>
      </w:r>
    </w:p>
    <w:p w14:paraId="3982EB50">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11.我方不存在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询比</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公告中“供应商资格要求”的“不良信用记录情形”规定的任何一种情形。</w:t>
      </w:r>
    </w:p>
    <w:p w14:paraId="5437CC8B">
      <w:pPr>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12.我方声明下述内容真实有效，如有虚假，将依法承担相应责任：</w:t>
      </w:r>
    </w:p>
    <w:p w14:paraId="3FA1F6FF">
      <w:pPr>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与我单位存在单位负责人为同一人或者存在直接控股、管理关系的其他法人单位信息如下：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4344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135FCA7">
            <w:pPr>
              <w:widowControl/>
              <w:spacing w:before="156" w:beforeLines="50" w:after="10"/>
              <w:ind w:left="0" w:leftChars="0" w:firstLine="0" w:firstLineChars="0"/>
              <w:jc w:val="center"/>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序号</w:t>
            </w:r>
          </w:p>
        </w:tc>
        <w:tc>
          <w:tcPr>
            <w:tcW w:w="2841" w:type="dxa"/>
          </w:tcPr>
          <w:p w14:paraId="256AF9F1">
            <w:pPr>
              <w:pStyle w:val="6"/>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单位名称</w:t>
            </w:r>
          </w:p>
        </w:tc>
        <w:tc>
          <w:tcPr>
            <w:tcW w:w="2841" w:type="dxa"/>
          </w:tcPr>
          <w:p w14:paraId="4F5C9E15">
            <w:pPr>
              <w:pStyle w:val="6"/>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相互关系</w:t>
            </w:r>
          </w:p>
        </w:tc>
      </w:tr>
      <w:tr w14:paraId="060F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446B89C">
            <w:pPr>
              <w:pStyle w:val="6"/>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1</w:t>
            </w:r>
          </w:p>
        </w:tc>
        <w:tc>
          <w:tcPr>
            <w:tcW w:w="2841" w:type="dxa"/>
          </w:tcPr>
          <w:p w14:paraId="7BC88DE5">
            <w:pPr>
              <w:pStyle w:val="6"/>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64F7683A">
            <w:pPr>
              <w:pStyle w:val="6"/>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r w14:paraId="4C62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BD8E25A">
            <w:pPr>
              <w:pStyle w:val="6"/>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2</w:t>
            </w:r>
          </w:p>
        </w:tc>
        <w:tc>
          <w:tcPr>
            <w:tcW w:w="2841" w:type="dxa"/>
          </w:tcPr>
          <w:p w14:paraId="2A04BF79">
            <w:pPr>
              <w:pStyle w:val="6"/>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75401758">
            <w:pPr>
              <w:pStyle w:val="6"/>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r w14:paraId="0069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3EF924C">
            <w:pPr>
              <w:pStyle w:val="6"/>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54ACA7B7">
            <w:pPr>
              <w:pStyle w:val="6"/>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76C36408">
            <w:pPr>
              <w:pStyle w:val="6"/>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bl>
    <w:p w14:paraId="2EBF5083">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p>
    <w:p w14:paraId="20ED53AA">
      <w:pPr>
        <w:ind w:firstLine="480"/>
        <w:rPr>
          <w:rFonts w:hint="eastAsia"/>
          <w:color w:val="000000" w:themeColor="text1"/>
          <w:highlight w:val="none"/>
          <w14:textFill>
            <w14:solidFill>
              <w14:schemeClr w14:val="tx1"/>
            </w14:solidFill>
          </w14:textFill>
        </w:rPr>
      </w:pPr>
      <w:r>
        <w:rPr>
          <w:rFonts w:cs="宋体" w:asciiTheme="minorEastAsia" w:hAnsiTheme="minorEastAsia" w:eastAsiaTheme="minorEastAsia"/>
          <w:color w:val="000000" w:themeColor="text1"/>
          <w:kern w:val="2"/>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3.其他补充说明：</w:t>
      </w:r>
      <w:r>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t xml:space="preserve">             补充说明事项（如有）       </w:t>
      </w:r>
    </w:p>
    <w:p w14:paraId="39D600F6">
      <w:pPr>
        <w:pStyle w:val="17"/>
        <w:ind w:firstLine="240"/>
        <w:rPr>
          <w:rFonts w:hint="eastAsia"/>
          <w:color w:val="000000" w:themeColor="text1"/>
          <w:highlight w:val="none"/>
          <w14:textFill>
            <w14:solidFill>
              <w14:schemeClr w14:val="tx1"/>
            </w14:solidFill>
          </w14:textFill>
        </w:rPr>
      </w:pPr>
    </w:p>
    <w:p w14:paraId="45E662A6">
      <w:pPr>
        <w:ind w:firstLine="4800" w:firstLineChars="2000"/>
        <w:rPr>
          <w:rFonts w:hint="eastAsia" w:cs="@仿宋_GB2312"/>
          <w:color w:val="000000" w:themeColor="text1"/>
          <w:kern w:val="2"/>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highlight w:val="none"/>
          <w14:textFill>
            <w14:solidFill>
              <w14:schemeClr w14:val="tx1"/>
            </w14:solidFill>
          </w14:textFill>
        </w:rPr>
        <w:t>：</w:t>
      </w:r>
      <w:r>
        <w:rPr>
          <w:rFonts w:hint="eastAsia" w:cs="@仿宋_GB2312"/>
          <w:color w:val="000000" w:themeColor="text1"/>
          <w:kern w:val="2"/>
          <w:highlight w:val="none"/>
          <w:u w:val="single"/>
          <w14:textFill>
            <w14:solidFill>
              <w14:schemeClr w14:val="tx1"/>
            </w14:solidFill>
          </w14:textFill>
        </w:rPr>
        <w:t xml:space="preserve">             </w:t>
      </w:r>
    </w:p>
    <w:p w14:paraId="2714AB63">
      <w:pPr>
        <w:ind w:firstLine="4800" w:firstLineChars="2000"/>
        <w:rPr>
          <w:rFonts w:hint="eastAsia" w:cs="@仿宋_GB2312"/>
          <w:color w:val="000000" w:themeColor="text1"/>
          <w:kern w:val="2"/>
          <w:highlight w:val="none"/>
          <w:u w:val="single"/>
          <w14:textFill>
            <w14:solidFill>
              <w14:schemeClr w14:val="tx1"/>
            </w14:solidFill>
          </w14:textFill>
        </w:rPr>
      </w:pPr>
      <w:r>
        <w:rPr>
          <w:rFonts w:hint="eastAsia" w:cs="@仿宋_GB2312"/>
          <w:color w:val="000000" w:themeColor="text1"/>
          <w:kern w:val="2"/>
          <w:highlight w:val="none"/>
          <w14:textFill>
            <w14:solidFill>
              <w14:schemeClr w14:val="tx1"/>
            </w14:solidFill>
          </w14:textFill>
        </w:rPr>
        <w:t>日          期：</w:t>
      </w:r>
      <w:r>
        <w:rPr>
          <w:rFonts w:hint="eastAsia" w:cs="@仿宋_GB2312"/>
          <w:color w:val="000000" w:themeColor="text1"/>
          <w:kern w:val="2"/>
          <w:highlight w:val="none"/>
          <w:u w:val="single"/>
          <w14:textFill>
            <w14:solidFill>
              <w14:schemeClr w14:val="tx1"/>
            </w14:solidFill>
          </w14:textFill>
        </w:rPr>
        <w:t xml:space="preserve">             </w:t>
      </w:r>
    </w:p>
    <w:p w14:paraId="55E79CC6">
      <w:pPr>
        <w:widowControl/>
        <w:ind w:firstLine="480"/>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45C169D">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四、无不良信用记录声明函</w:t>
      </w:r>
    </w:p>
    <w:p w14:paraId="09D97680">
      <w:pPr>
        <w:spacing w:line="360" w:lineRule="auto"/>
        <w:jc w:val="center"/>
        <w:rPr>
          <w:rFonts w:hint="eastAsia"/>
          <w:i/>
          <w:color w:val="auto"/>
          <w:sz w:val="24"/>
          <w:highlight w:val="none"/>
        </w:rPr>
      </w:pPr>
      <w:r>
        <w:rPr>
          <w:rFonts w:hint="eastAsia"/>
          <w:i/>
          <w:color w:val="auto"/>
          <w:sz w:val="24"/>
          <w:highlight w:val="none"/>
        </w:rPr>
        <w:t>（联合体参加磋商的，联合体双方均须提供）</w:t>
      </w:r>
    </w:p>
    <w:p w14:paraId="4455352F">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1、本单位郑重声明，我单位无以下不良信用记录情形：</w:t>
      </w:r>
    </w:p>
    <w:p w14:paraId="647406AF">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（1）在</w:t>
      </w:r>
      <w:r>
        <w:rPr>
          <w:rFonts w:hint="eastAsia" w:cs="宋体"/>
          <w:b/>
          <w:bCs/>
          <w:color w:val="auto"/>
          <w:sz w:val="24"/>
          <w:szCs w:val="24"/>
          <w:highlight w:val="none"/>
        </w:rPr>
        <w:t>国家企业信用信息公示系统</w:t>
      </w:r>
      <w:r>
        <w:rPr>
          <w:rFonts w:hint="eastAsia" w:cs="宋体"/>
          <w:color w:val="auto"/>
          <w:sz w:val="24"/>
          <w:szCs w:val="24"/>
          <w:highlight w:val="none"/>
        </w:rPr>
        <w:t>（http://www.gsxt.gov.cn/）中被列入</w:t>
      </w:r>
      <w:r>
        <w:rPr>
          <w:rFonts w:hint="eastAsia" w:cs="宋体"/>
          <w:b/>
          <w:bCs/>
          <w:color w:val="auto"/>
          <w:sz w:val="24"/>
          <w:szCs w:val="24"/>
          <w:highlight w:val="none"/>
        </w:rPr>
        <w:t>严重违法失信企业</w:t>
      </w:r>
      <w:r>
        <w:rPr>
          <w:rFonts w:hint="eastAsia" w:cs="宋体"/>
          <w:color w:val="auto"/>
          <w:sz w:val="24"/>
          <w:szCs w:val="24"/>
          <w:highlight w:val="none"/>
        </w:rPr>
        <w:t>名单；</w:t>
      </w:r>
    </w:p>
    <w:p w14:paraId="76D83905">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（2）在“</w:t>
      </w:r>
      <w:r>
        <w:rPr>
          <w:rFonts w:hint="eastAsia" w:cs="宋体"/>
          <w:b/>
          <w:bCs/>
          <w:color w:val="auto"/>
          <w:sz w:val="24"/>
          <w:szCs w:val="24"/>
          <w:highlight w:val="none"/>
        </w:rPr>
        <w:t>信用中国</w:t>
      </w:r>
      <w:r>
        <w:rPr>
          <w:rFonts w:hint="eastAsia" w:cs="宋体"/>
          <w:color w:val="auto"/>
          <w:sz w:val="24"/>
          <w:szCs w:val="24"/>
          <w:highlight w:val="none"/>
        </w:rPr>
        <w:t>”网站（http://www.creditchina.gov.cn/）中被列入</w:t>
      </w:r>
      <w:r>
        <w:rPr>
          <w:rFonts w:hint="eastAsia" w:cs="宋体"/>
          <w:b/>
          <w:bCs/>
          <w:color w:val="auto"/>
          <w:sz w:val="24"/>
          <w:szCs w:val="24"/>
          <w:highlight w:val="none"/>
        </w:rPr>
        <w:t>失信被执行人</w:t>
      </w:r>
      <w:r>
        <w:rPr>
          <w:rFonts w:hint="eastAsia" w:cs="宋体"/>
          <w:color w:val="auto"/>
          <w:sz w:val="24"/>
          <w:szCs w:val="24"/>
          <w:highlight w:val="none"/>
        </w:rPr>
        <w:t>名单；</w:t>
      </w:r>
    </w:p>
    <w:p w14:paraId="4CED91F7">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（3）在“</w:t>
      </w:r>
      <w:r>
        <w:rPr>
          <w:rFonts w:hint="eastAsia" w:cs="宋体"/>
          <w:b/>
          <w:bCs/>
          <w:color w:val="auto"/>
          <w:sz w:val="24"/>
          <w:szCs w:val="24"/>
          <w:highlight w:val="none"/>
        </w:rPr>
        <w:t>信用中国</w:t>
      </w:r>
      <w:r>
        <w:rPr>
          <w:rFonts w:hint="eastAsia" w:cs="宋体"/>
          <w:color w:val="auto"/>
          <w:sz w:val="24"/>
          <w:szCs w:val="24"/>
          <w:highlight w:val="none"/>
        </w:rPr>
        <w:t>”网站（http://www.creditchina.gov.cn/）中被列入</w:t>
      </w:r>
      <w:r>
        <w:rPr>
          <w:rFonts w:hint="eastAsia" w:cs="宋体"/>
          <w:b/>
          <w:bCs/>
          <w:color w:val="auto"/>
          <w:sz w:val="24"/>
          <w:szCs w:val="24"/>
          <w:highlight w:val="none"/>
        </w:rPr>
        <w:t>重大税收违法案件当事人</w:t>
      </w:r>
      <w:r>
        <w:rPr>
          <w:rFonts w:hint="eastAsia" w:cs="宋体"/>
          <w:color w:val="auto"/>
          <w:sz w:val="24"/>
          <w:szCs w:val="24"/>
          <w:highlight w:val="none"/>
        </w:rPr>
        <w:t>名单；</w:t>
      </w:r>
    </w:p>
    <w:p w14:paraId="08EECD73">
      <w:pPr>
        <w:ind w:firstLine="480"/>
        <w:rPr>
          <w:rFonts w:hint="eastAsia"/>
          <w:color w:val="000000" w:themeColor="text1"/>
          <w:szCs w:val="24"/>
          <w:highlight w:val="none"/>
          <w14:textFill>
            <w14:solidFill>
              <w14:schemeClr w14:val="tx1"/>
            </w14:solidFill>
          </w14:textFill>
        </w:rPr>
      </w:pPr>
      <w:r>
        <w:rPr>
          <w:rFonts w:hint="eastAsia" w:cs="宋体"/>
          <w:color w:val="auto"/>
          <w:sz w:val="24"/>
          <w:szCs w:val="24"/>
          <w:highlight w:val="none"/>
        </w:rPr>
        <w:t>本单位对上述声明的真实性负责。如有虚假，将依法承担相应责任</w:t>
      </w:r>
      <w:r>
        <w:rPr>
          <w:rFonts w:hint="eastAsia"/>
          <w:color w:val="000000" w:themeColor="text1"/>
          <w:szCs w:val="24"/>
          <w:highlight w:val="none"/>
          <w14:textFill>
            <w14:solidFill>
              <w14:schemeClr w14:val="tx1"/>
            </w14:solidFill>
          </w14:textFill>
        </w:rPr>
        <w:t>。</w:t>
      </w:r>
    </w:p>
    <w:p w14:paraId="6BA22D92">
      <w:pPr>
        <w:ind w:firstLine="480"/>
        <w:rPr>
          <w:rFonts w:hint="eastAsia"/>
          <w:color w:val="000000" w:themeColor="text1"/>
          <w:szCs w:val="24"/>
          <w:highlight w:val="none"/>
          <w14:textFill>
            <w14:solidFill>
              <w14:schemeClr w14:val="tx1"/>
            </w14:solidFill>
          </w14:textFill>
        </w:rPr>
      </w:pPr>
    </w:p>
    <w:p w14:paraId="316E2403">
      <w:pPr>
        <w:ind w:firstLine="560"/>
        <w:jc w:val="right"/>
        <w:rPr>
          <w:rFonts w:hint="eastAsia"/>
          <w:color w:val="000000" w:themeColor="text1"/>
          <w:sz w:val="28"/>
          <w:szCs w:val="28"/>
          <w:highlight w:val="none"/>
          <w14:textFill>
            <w14:solidFill>
              <w14:schemeClr w14:val="tx1"/>
            </w14:solidFill>
          </w14:textFill>
        </w:rPr>
      </w:pPr>
    </w:p>
    <w:p w14:paraId="21B2F9D4">
      <w:pPr>
        <w:ind w:left="5280" w:leftChars="2200" w:firstLine="480"/>
        <w:jc w:val="left"/>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供应商电子签章：                     </w:t>
      </w:r>
    </w:p>
    <w:p w14:paraId="7A108249">
      <w:pPr>
        <w:ind w:left="5280" w:leftChars="2200" w:firstLine="480"/>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日期：</w:t>
      </w:r>
      <w:r>
        <w:rPr>
          <w:rFonts w:hint="eastAsia" w:asciiTheme="minorEastAsia" w:hAnsiTheme="minorEastAsia" w:eastAsiaTheme="minorEastAsia"/>
          <w:b/>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b/>
          <w:color w:val="000000" w:themeColor="text1"/>
          <w:highlight w:val="none"/>
          <w14:textFill>
            <w14:solidFill>
              <w14:schemeClr w14:val="tx1"/>
            </w14:solidFill>
          </w14:textFill>
        </w:rPr>
        <w:t xml:space="preserve">    </w:t>
      </w:r>
    </w:p>
    <w:p w14:paraId="600DC249">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4D760105">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5119A43E">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0BC4974D">
      <w:pPr>
        <w:widowControl/>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bookmarkEnd w:id="155"/>
    <w:p w14:paraId="706AE2C3">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bookmarkStart w:id="156" w:name="_Toc121626298"/>
      <w:bookmarkStart w:id="157" w:name="_Toc516969106"/>
      <w:bookmarkStart w:id="158" w:name="_Toc204594911"/>
      <w:bookmarkStart w:id="159" w:name="_Toc520983594"/>
      <w:r>
        <w:rPr>
          <w:rFonts w:hint="eastAsia" w:asciiTheme="minorEastAsia" w:hAnsiTheme="minorEastAsia" w:eastAsiaTheme="minorEastAsia"/>
          <w:b/>
          <w:color w:val="000000" w:themeColor="text1"/>
          <w:highlight w:val="none"/>
          <w14:textFill>
            <w14:solidFill>
              <w14:schemeClr w14:val="tx1"/>
            </w14:solidFill>
          </w14:textFill>
        </w:rPr>
        <w:t>五、授权书</w:t>
      </w:r>
      <w:bookmarkEnd w:id="156"/>
      <w:bookmarkEnd w:id="157"/>
      <w:bookmarkEnd w:id="158"/>
      <w:bookmarkEnd w:id="159"/>
    </w:p>
    <w:p w14:paraId="700996DD">
      <w:pPr>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p>
    <w:p w14:paraId="3E017409">
      <w:pPr>
        <w:pStyle w:val="10"/>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本授权书声明：</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（供应商名称）授权</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（供应商授权代表姓名）代表我方参加本项目</w:t>
      </w:r>
      <w:r>
        <w:rPr>
          <w:rFonts w:hint="eastAsia" w:hAnsi="宋体" w:eastAsia="宋体"/>
          <w:bCs/>
          <w:color w:val="000000" w:themeColor="text1"/>
          <w:szCs w:val="28"/>
          <w:highlight w:val="none"/>
          <w:lang w:eastAsia="zh-CN"/>
          <w14:textFill>
            <w14:solidFill>
              <w14:schemeClr w14:val="tx1"/>
            </w14:solidFill>
          </w14:textFill>
        </w:rPr>
        <w:t>询比</w:t>
      </w:r>
      <w:r>
        <w:rPr>
          <w:rFonts w:hint="eastAsia" w:hAnsi="宋体" w:eastAsia="宋体"/>
          <w:bCs/>
          <w:color w:val="000000" w:themeColor="text1"/>
          <w:szCs w:val="28"/>
          <w:highlight w:val="none"/>
          <w14:textFill>
            <w14:solidFill>
              <w14:schemeClr w14:val="tx1"/>
            </w14:solidFill>
          </w14:textFill>
        </w:rPr>
        <w:t>活动</w:t>
      </w:r>
      <w:r>
        <w:rPr>
          <w:rFonts w:hint="eastAsia" w:hAnsi="宋体" w:eastAsia="宋体"/>
          <w:color w:val="000000" w:themeColor="text1"/>
          <w:szCs w:val="28"/>
          <w:highlight w:val="none"/>
          <w14:textFill>
            <w14:solidFill>
              <w14:schemeClr w14:val="tx1"/>
            </w14:solidFill>
          </w14:textFill>
        </w:rPr>
        <w:t>，全权代表我方处理</w:t>
      </w:r>
      <w:r>
        <w:rPr>
          <w:rFonts w:hint="eastAsia" w:hAnsi="宋体" w:eastAsia="宋体"/>
          <w:color w:val="000000" w:themeColor="text1"/>
          <w:szCs w:val="28"/>
          <w:highlight w:val="none"/>
          <w:lang w:eastAsia="zh-CN"/>
          <w14:textFill>
            <w14:solidFill>
              <w14:schemeClr w14:val="tx1"/>
            </w14:solidFill>
          </w14:textFill>
        </w:rPr>
        <w:t>询比</w:t>
      </w:r>
      <w:r>
        <w:rPr>
          <w:rFonts w:hint="eastAsia" w:hAnsi="宋体" w:eastAsia="宋体"/>
          <w:color w:val="000000" w:themeColor="text1"/>
          <w:szCs w:val="28"/>
          <w:highlight w:val="none"/>
          <w14:textFill>
            <w14:solidFill>
              <w14:schemeClr w14:val="tx1"/>
            </w14:solidFill>
          </w14:textFill>
        </w:rPr>
        <w:t>过程的一切事宜，包括但不限于：提交响应文件、参与</w:t>
      </w:r>
      <w:r>
        <w:rPr>
          <w:rFonts w:hint="eastAsia" w:hAnsi="宋体" w:eastAsia="宋体"/>
          <w:color w:val="000000" w:themeColor="text1"/>
          <w:szCs w:val="28"/>
          <w:highlight w:val="none"/>
          <w:lang w:eastAsia="zh-CN"/>
          <w14:textFill>
            <w14:solidFill>
              <w14:schemeClr w14:val="tx1"/>
            </w14:solidFill>
          </w14:textFill>
        </w:rPr>
        <w:t>询比</w:t>
      </w:r>
      <w:r>
        <w:rPr>
          <w:rFonts w:hint="eastAsia" w:hAnsi="宋体" w:eastAsia="宋体"/>
          <w:color w:val="000000" w:themeColor="text1"/>
          <w:szCs w:val="28"/>
          <w:highlight w:val="none"/>
          <w14:textFill>
            <w14:solidFill>
              <w14:schemeClr w14:val="tx1"/>
            </w14:solidFill>
          </w14:textFill>
        </w:rPr>
        <w:t>、签约等。供应商授权代表在</w:t>
      </w:r>
      <w:r>
        <w:rPr>
          <w:rFonts w:hint="eastAsia" w:hAnsi="宋体" w:eastAsia="宋体"/>
          <w:color w:val="000000" w:themeColor="text1"/>
          <w:szCs w:val="28"/>
          <w:highlight w:val="none"/>
          <w:lang w:eastAsia="zh-CN"/>
          <w14:textFill>
            <w14:solidFill>
              <w14:schemeClr w14:val="tx1"/>
            </w14:solidFill>
          </w14:textFill>
        </w:rPr>
        <w:t>询比</w:t>
      </w:r>
      <w:r>
        <w:rPr>
          <w:rFonts w:hint="eastAsia" w:hAnsi="宋体" w:eastAsia="宋体"/>
          <w:color w:val="000000" w:themeColor="text1"/>
          <w:szCs w:val="28"/>
          <w:highlight w:val="none"/>
          <w14:textFill>
            <w14:solidFill>
              <w14:schemeClr w14:val="tx1"/>
            </w14:solidFill>
          </w14:textFill>
        </w:rPr>
        <w:t>活动过程中所签署的一切文件和处理与之有关的一切事务，本公司均予以认可并对此承担责任。供应商授权代表无转委托权。特此授权。</w:t>
      </w:r>
    </w:p>
    <w:p w14:paraId="04B52317">
      <w:pPr>
        <w:pStyle w:val="10"/>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本授权书自出具之日起生效。</w:t>
      </w:r>
    </w:p>
    <w:p w14:paraId="7EE154D8">
      <w:pPr>
        <w:pStyle w:val="10"/>
        <w:snapToGrid w:val="0"/>
        <w:ind w:firstLine="480"/>
        <w:jc w:val="left"/>
        <w:rPr>
          <w:rFonts w:hint="eastAsia" w:hAnsi="宋体" w:eastAsia="宋体"/>
          <w:color w:val="000000" w:themeColor="text1"/>
          <w:highlight w:val="none"/>
          <w14:textFill>
            <w14:solidFill>
              <w14:schemeClr w14:val="tx1"/>
            </w14:solidFill>
          </w14:textFill>
        </w:rPr>
      </w:pPr>
    </w:p>
    <w:p w14:paraId="471F76FB">
      <w:pPr>
        <w:pStyle w:val="10"/>
        <w:snapToGrid w:val="0"/>
        <w:ind w:firstLine="480"/>
        <w:jc w:val="left"/>
        <w:rPr>
          <w:rFonts w:hint="eastAsia" w:hAnsi="宋体" w:eastAsia="宋体"/>
          <w:color w:val="000000" w:themeColor="text1"/>
          <w:highlight w:val="none"/>
          <w14:textFill>
            <w14:solidFill>
              <w14:schemeClr w14:val="tx1"/>
            </w14:solidFill>
          </w14:textFill>
        </w:rPr>
      </w:pPr>
    </w:p>
    <w:p w14:paraId="22AFA2B1">
      <w:pPr>
        <w:pStyle w:val="10"/>
        <w:snapToGrid w:val="0"/>
        <w:ind w:firstLine="480"/>
        <w:jc w:val="left"/>
        <w:rPr>
          <w:rFonts w:hint="eastAsia" w:hAnsi="宋体" w:eastAsia="宋体"/>
          <w:color w:val="000000" w:themeColor="text1"/>
          <w:highlight w:val="none"/>
          <w14:textFill>
            <w14:solidFill>
              <w14:schemeClr w14:val="tx1"/>
            </w14:solidFill>
          </w14:textFill>
        </w:rPr>
      </w:pPr>
    </w:p>
    <w:p w14:paraId="222D54DD">
      <w:pPr>
        <w:pStyle w:val="10"/>
        <w:snapToGrid w:val="0"/>
        <w:ind w:firstLine="480"/>
        <w:jc w:val="left"/>
        <w:rPr>
          <w:rFonts w:hint="eastAsia" w:hAnsi="宋体" w:eastAsia="宋体"/>
          <w:color w:val="000000" w:themeColor="text1"/>
          <w:szCs w:val="28"/>
          <w:highlight w:val="none"/>
          <w:u w:val="singl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授权代表联系方式：</w:t>
      </w:r>
      <w:r>
        <w:rPr>
          <w:rFonts w:hint="eastAsia" w:hAnsi="宋体" w:eastAsia="宋体"/>
          <w:color w:val="000000" w:themeColor="text1"/>
          <w:szCs w:val="28"/>
          <w:highlight w:val="none"/>
          <w:u w:val="single"/>
          <w14:textFill>
            <w14:solidFill>
              <w14:schemeClr w14:val="tx1"/>
            </w14:solidFill>
          </w14:textFill>
        </w:rPr>
        <w:t xml:space="preserve">          （请填写手机号码）</w:t>
      </w:r>
    </w:p>
    <w:p w14:paraId="7EB16353">
      <w:pPr>
        <w:pStyle w:val="10"/>
        <w:snapToGrid w:val="0"/>
        <w:ind w:firstLine="480"/>
        <w:jc w:val="left"/>
        <w:rPr>
          <w:rFonts w:hint="eastAsia" w:hAnsi="宋体" w:eastAsia="宋体"/>
          <w:color w:val="000000" w:themeColor="text1"/>
          <w:szCs w:val="28"/>
          <w:highlight w:val="none"/>
          <w14:textFill>
            <w14:solidFill>
              <w14:schemeClr w14:val="tx1"/>
            </w14:solidFill>
          </w14:textFill>
        </w:rPr>
      </w:pPr>
    </w:p>
    <w:p w14:paraId="35EE3204">
      <w:pPr>
        <w:ind w:firstLine="360" w:firstLineChars="150"/>
        <w:rPr>
          <w:rFonts w:hint="eastAsia"/>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特此声明。</w:t>
      </w:r>
    </w:p>
    <w:p w14:paraId="4D7A2180">
      <w:pPr>
        <w:ind w:firstLine="480"/>
        <w:rPr>
          <w:rFonts w:hint="eastAsia"/>
          <w:color w:val="000000" w:themeColor="text1"/>
          <w:szCs w:val="28"/>
          <w:highlight w:val="none"/>
          <w14:textFill>
            <w14:solidFill>
              <w14:schemeClr w14:val="tx1"/>
            </w14:solidFill>
          </w14:textFill>
        </w:rPr>
      </w:pPr>
    </w:p>
    <w:p w14:paraId="1FBAC7B9">
      <w:pPr>
        <w:ind w:firstLine="480"/>
        <w:rPr>
          <w:rFonts w:hint="eastAsia"/>
          <w:bCs/>
          <w:color w:val="000000" w:themeColor="text1"/>
          <w:szCs w:val="28"/>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bCs/>
          <w:color w:val="000000" w:themeColor="text1"/>
          <w:szCs w:val="28"/>
          <w:highlight w:val="none"/>
          <w14:textFill>
            <w14:solidFill>
              <w14:schemeClr w14:val="tx1"/>
            </w14:solidFill>
          </w14:textFill>
        </w:rPr>
        <w:t>：</w:t>
      </w:r>
      <w:r>
        <w:rPr>
          <w:rFonts w:hint="eastAsia"/>
          <w:bCs/>
          <w:color w:val="000000" w:themeColor="text1"/>
          <w:szCs w:val="28"/>
          <w:highlight w:val="none"/>
          <w:u w:val="single"/>
          <w14:textFill>
            <w14:solidFill>
              <w14:schemeClr w14:val="tx1"/>
            </w14:solidFill>
          </w14:textFill>
        </w:rPr>
        <w:t xml:space="preserve">                    </w:t>
      </w:r>
    </w:p>
    <w:p w14:paraId="09B953C5">
      <w:pPr>
        <w:ind w:firstLine="480"/>
        <w:rPr>
          <w:rFonts w:hint="eastAsia"/>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日      期：</w:t>
      </w:r>
      <w:r>
        <w:rPr>
          <w:rFonts w:hint="eastAsia"/>
          <w:color w:val="000000" w:themeColor="text1"/>
          <w:szCs w:val="28"/>
          <w:highlight w:val="none"/>
          <w:u w:val="single"/>
          <w14:textFill>
            <w14:solidFill>
              <w14:schemeClr w14:val="tx1"/>
            </w14:solidFill>
          </w14:textFill>
        </w:rPr>
        <w:t xml:space="preserve">                    </w:t>
      </w:r>
    </w:p>
    <w:p w14:paraId="69B16AFA">
      <w:pPr>
        <w:ind w:firstLine="480"/>
        <w:rPr>
          <w:rFonts w:hint="eastAsia"/>
          <w:color w:val="000000" w:themeColor="text1"/>
          <w:szCs w:val="28"/>
          <w:highlight w:val="none"/>
          <w14:textFill>
            <w14:solidFill>
              <w14:schemeClr w14:val="tx1"/>
            </w14:solidFill>
          </w14:textFill>
        </w:rPr>
      </w:pPr>
    </w:p>
    <w:p w14:paraId="39F8BCB0">
      <w:pPr>
        <w:ind w:firstLine="480"/>
        <w:rPr>
          <w:rFonts w:hint="eastAsia"/>
          <w:color w:val="000000" w:themeColor="text1"/>
          <w:szCs w:val="28"/>
          <w:highlight w:val="none"/>
          <w14:textFill>
            <w14:solidFill>
              <w14:schemeClr w14:val="tx1"/>
            </w14:solidFill>
          </w14:textFill>
        </w:rPr>
      </w:pPr>
    </w:p>
    <w:p w14:paraId="39B7AB97">
      <w:pPr>
        <w:pStyle w:val="10"/>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注：</w:t>
      </w:r>
    </w:p>
    <w:p w14:paraId="3E2F65BA">
      <w:pPr>
        <w:pStyle w:val="10"/>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1.本项目只允许有唯一的供应商授权代表；</w:t>
      </w:r>
    </w:p>
    <w:p w14:paraId="52D840A6">
      <w:pPr>
        <w:ind w:firstLine="48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2.法定代表人参加</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的无需提供授权书，仅提供法定代表人身份证明书。</w:t>
      </w:r>
    </w:p>
    <w:p w14:paraId="1DEB1934">
      <w:pPr>
        <w:widowControl/>
        <w:ind w:firstLine="480"/>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83D8063">
      <w:pPr>
        <w:keepNext/>
        <w:keepLines/>
        <w:spacing w:before="260" w:after="260" w:line="416" w:lineRule="auto"/>
        <w:ind w:left="0" w:leftChars="0" w:firstLine="0" w:firstLineChars="0"/>
        <w:jc w:val="center"/>
        <w:outlineLvl w:val="2"/>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六、法定代表人身份证明书</w:t>
      </w:r>
    </w:p>
    <w:p w14:paraId="0386CBC7">
      <w:pPr>
        <w:autoSpaceDE w:val="0"/>
        <w:autoSpaceDN w:val="0"/>
        <w:adjustRightInd w:val="0"/>
        <w:ind w:firstLine="420"/>
        <w:jc w:val="center"/>
        <w:rPr>
          <w:rFonts w:hint="eastAsia" w:ascii="@仿宋_GB2312" w:eastAsia="@仿宋_GB2312" w:cs="宋体"/>
          <w:b/>
          <w:color w:val="000000" w:themeColor="text1"/>
          <w:kern w:val="2"/>
          <w:sz w:val="21"/>
          <w:szCs w:val="24"/>
          <w:highlight w:val="none"/>
          <w:lang w:val="zh-CN"/>
          <w14:textFill>
            <w14:solidFill>
              <w14:schemeClr w14:val="tx1"/>
            </w14:solidFill>
          </w14:textFill>
        </w:rPr>
      </w:pPr>
    </w:p>
    <w:p w14:paraId="664BBB2F">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单位名称：</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9D75A25">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单位性质：</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7AD86C78">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地    址：</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3A3015B4">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成立时间：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月</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日</w:t>
      </w:r>
    </w:p>
    <w:p w14:paraId="5AA9051D">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经营期限：</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3A1032E7">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姓    名：</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性 </w:t>
      </w:r>
      <w:r>
        <w:rPr>
          <w:rFonts w:ascii="Calibri" w:hAnsi="Calibri" w:cs="Times New Roman"/>
          <w:color w:val="000000" w:themeColor="text1"/>
          <w:kern w:val="2"/>
          <w:szCs w:val="28"/>
          <w:highlight w:val="non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别：</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38337EE1">
      <w:pPr>
        <w:snapToGrid w:val="0"/>
        <w:ind w:firstLine="480"/>
        <w:jc w:val="left"/>
        <w:rPr>
          <w:rFonts w:ascii="Calibri" w:hAnsi="Calibri" w:cs="Times New Roman"/>
          <w:color w:val="000000" w:themeColor="text1"/>
          <w:kern w:val="2"/>
          <w:szCs w:val="28"/>
          <w:highlight w:val="none"/>
          <w:u w:val="singl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年    龄：</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职    务：</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21D71A1D">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联系</w:t>
      </w:r>
      <w:r>
        <w:rPr>
          <w:rFonts w:ascii="Calibri" w:hAnsi="Calibri" w:cs="Times New Roman"/>
          <w:color w:val="000000" w:themeColor="text1"/>
          <w:kern w:val="2"/>
          <w:szCs w:val="28"/>
          <w:highlight w:val="none"/>
          <w14:textFill>
            <w14:solidFill>
              <w14:schemeClr w14:val="tx1"/>
            </w14:solidFill>
          </w14:textFill>
        </w:rPr>
        <w:t>电话</w:t>
      </w:r>
      <w:r>
        <w:rPr>
          <w:rFonts w:hint="eastAsia" w:ascii="Calibri" w:hAnsi="Calibri" w:cs="Times New Roman"/>
          <w:color w:val="000000" w:themeColor="text1"/>
          <w:kern w:val="2"/>
          <w:szCs w:val="28"/>
          <w:highlight w:val="none"/>
          <w14:textFill>
            <w14:solidFill>
              <w14:schemeClr w14:val="tx1"/>
            </w14:solidFill>
          </w14:textFill>
        </w:rPr>
        <w:t>：</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手机号码：</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598E162F">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系  </w:t>
      </w:r>
      <w:r>
        <w:rPr>
          <w:rFonts w:hint="eastAsia" w:ascii="Calibri" w:hAnsi="Calibri" w:cs="Times New Roman"/>
          <w:color w:val="000000" w:themeColor="text1"/>
          <w:kern w:val="2"/>
          <w:szCs w:val="28"/>
          <w:highlight w:val="none"/>
          <w:u w:val="single"/>
          <w14:textFill>
            <w14:solidFill>
              <w14:schemeClr w14:val="tx1"/>
            </w14:solidFill>
          </w14:textFill>
        </w:rPr>
        <w:t xml:space="preserve">   （供应商单位名称）       </w:t>
      </w:r>
      <w:r>
        <w:rPr>
          <w:rFonts w:hint="eastAsia" w:ascii="Calibri" w:hAnsi="Calibri" w:cs="Times New Roman"/>
          <w:color w:val="000000" w:themeColor="text1"/>
          <w:kern w:val="2"/>
          <w:szCs w:val="28"/>
          <w:highlight w:val="none"/>
          <w14:textFill>
            <w14:solidFill>
              <w14:schemeClr w14:val="tx1"/>
            </w14:solidFill>
          </w14:textFill>
        </w:rPr>
        <w:t>的法定代表人。</w:t>
      </w:r>
    </w:p>
    <w:p w14:paraId="31086EF6">
      <w:pPr>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52BCA954">
      <w:pPr>
        <w:spacing w:before="62" w:beforeLines="20" w:after="62" w:afterLines="20" w:line="540" w:lineRule="exact"/>
        <w:ind w:left="480" w:leftChars="200" w:firstLine="240" w:firstLineChars="10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特此证明。</w:t>
      </w:r>
    </w:p>
    <w:p w14:paraId="2526C5BD">
      <w:pPr>
        <w:tabs>
          <w:tab w:val="left" w:pos="720"/>
          <w:tab w:val="left" w:pos="900"/>
        </w:tabs>
        <w:spacing w:before="62" w:beforeLines="20" w:after="62" w:afterLines="20" w:line="540" w:lineRule="exact"/>
        <w:ind w:firstLine="48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附：法定代表人身份证扫描件</w:t>
      </w:r>
    </w:p>
    <w:p w14:paraId="524F50F6">
      <w:pPr>
        <w:tabs>
          <w:tab w:val="left" w:pos="720"/>
          <w:tab w:val="left" w:pos="900"/>
        </w:tabs>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6A4A7A49">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Cs w:val="24"/>
          <w:highlight w:val="none"/>
          <w14:textFill>
            <w14:solidFill>
              <w14:schemeClr w14:val="tx1"/>
            </w14:solidFill>
          </w14:textFill>
        </w:rPr>
      </w:pPr>
    </w:p>
    <w:p w14:paraId="22006097">
      <w:pPr>
        <w:ind w:firstLine="3840" w:firstLineChars="1600"/>
        <w:rPr>
          <w:rFonts w:hint="eastAsia" w:cs="宋体"/>
          <w:color w:val="000000" w:themeColor="text1"/>
          <w:kern w:val="2"/>
          <w:szCs w:val="24"/>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宋体"/>
          <w:color w:val="000000" w:themeColor="text1"/>
          <w:kern w:val="2"/>
          <w:szCs w:val="24"/>
          <w:highlight w:val="none"/>
          <w14:textFill>
            <w14:solidFill>
              <w14:schemeClr w14:val="tx1"/>
            </w14:solidFill>
          </w14:textFill>
        </w:rPr>
        <w:t>：</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665E8EC8">
      <w:pPr>
        <w:ind w:firstLine="3840" w:firstLineChars="160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日</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 xml:space="preserve">    </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期：</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46489964">
      <w:pPr>
        <w:widowControl/>
        <w:ind w:firstLine="480"/>
        <w:jc w:val="left"/>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cs="@仿宋_GB2312" w:asciiTheme="minorEastAsia" w:hAnsiTheme="minorEastAsia" w:eastAsiaTheme="minorEastAsia"/>
          <w:color w:val="000000" w:themeColor="text1"/>
          <w:kern w:val="2"/>
          <w:szCs w:val="24"/>
          <w:highlight w:val="none"/>
          <w14:textFill>
            <w14:solidFill>
              <w14:schemeClr w14:val="tx1"/>
            </w14:solidFill>
          </w14:textFill>
        </w:rPr>
        <w:br w:type="page"/>
      </w:r>
    </w:p>
    <w:p w14:paraId="1724DA16">
      <w:pPr>
        <w:keepNext/>
        <w:keepLines/>
        <w:spacing w:before="260" w:after="260" w:line="416" w:lineRule="auto"/>
        <w:ind w:left="0" w:leftChars="0" w:firstLine="0" w:firstLineChars="0"/>
        <w:jc w:val="center"/>
        <w:outlineLvl w:val="2"/>
        <w:rPr>
          <w:rFonts w:hint="default" w:cs="@仿宋_GB2312" w:asciiTheme="minorEastAsia" w:hAnsiTheme="minorEastAsia" w:eastAsiaTheme="minorEastAsia"/>
          <w:b/>
          <w:bCs/>
          <w:color w:val="000000" w:themeColor="text1"/>
          <w:kern w:val="2"/>
          <w:szCs w:val="24"/>
          <w:highlight w:val="non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七、</w:t>
      </w:r>
      <w:r>
        <w:rPr>
          <w:rFonts w:hint="eastAsia" w:cs="@仿宋_GB2312" w:asciiTheme="minorEastAsia" w:hAnsiTheme="minorEastAsia" w:eastAsiaTheme="minorEastAsia"/>
          <w:b/>
          <w:bCs/>
          <w:color w:val="000000" w:themeColor="text1"/>
          <w:kern w:val="2"/>
          <w:szCs w:val="24"/>
          <w:highlight w:val="none"/>
          <w:lang w:val="en-US" w:eastAsia="zh-CN"/>
          <w14:textFill>
            <w14:solidFill>
              <w14:schemeClr w14:val="tx1"/>
            </w14:solidFill>
          </w14:textFill>
        </w:rPr>
        <w:t>询比响应表</w:t>
      </w:r>
    </w:p>
    <w:p w14:paraId="493EA555">
      <w:pPr>
        <w:spacing w:line="360" w:lineRule="auto"/>
        <w:ind w:firstLine="435"/>
        <w:rPr>
          <w:rFonts w:hint="eastAsia" w:ascii="宋体" w:hAnsi="宋体" w:eastAsia="宋体" w:cs="宋体"/>
          <w:b/>
          <w:sz w:val="24"/>
          <w:highlight w:val="none"/>
        </w:rPr>
      </w:pPr>
      <w:r>
        <w:rPr>
          <w:rFonts w:hint="eastAsia" w:ascii="宋体" w:hAnsi="宋体" w:eastAsia="宋体" w:cs="宋体"/>
          <w:b/>
          <w:sz w:val="24"/>
          <w:highlight w:val="none"/>
        </w:rPr>
        <w:t>6.1商务响应表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69A2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691FCB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916" w:type="dxa"/>
            <w:vAlign w:val="center"/>
          </w:tcPr>
          <w:p w14:paraId="5E9D57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bCs/>
                <w:sz w:val="24"/>
                <w:szCs w:val="24"/>
                <w:highlight w:val="none"/>
              </w:rPr>
              <w:t>商务条款</w:t>
            </w:r>
          </w:p>
        </w:tc>
        <w:tc>
          <w:tcPr>
            <w:tcW w:w="2497" w:type="dxa"/>
            <w:vAlign w:val="center"/>
          </w:tcPr>
          <w:p w14:paraId="7C4944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cs="宋体"/>
                <w:b/>
                <w:sz w:val="24"/>
                <w:highlight w:val="none"/>
                <w:lang w:eastAsia="zh-CN"/>
              </w:rPr>
              <w:t>询比</w:t>
            </w:r>
            <w:r>
              <w:rPr>
                <w:rFonts w:hint="eastAsia" w:ascii="宋体" w:hAnsi="宋体" w:eastAsia="宋体" w:cs="宋体"/>
                <w:b/>
                <w:sz w:val="24"/>
                <w:highlight w:val="none"/>
              </w:rPr>
              <w:t>文件要求</w:t>
            </w:r>
          </w:p>
        </w:tc>
        <w:tc>
          <w:tcPr>
            <w:tcW w:w="2575" w:type="dxa"/>
            <w:vAlign w:val="center"/>
          </w:tcPr>
          <w:p w14:paraId="045269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供应商承诺</w:t>
            </w:r>
          </w:p>
        </w:tc>
        <w:tc>
          <w:tcPr>
            <w:tcW w:w="810" w:type="dxa"/>
            <w:vAlign w:val="center"/>
          </w:tcPr>
          <w:p w14:paraId="39DB71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偏离说明</w:t>
            </w:r>
          </w:p>
        </w:tc>
      </w:tr>
      <w:tr w14:paraId="3854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71978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w:t>
            </w:r>
          </w:p>
        </w:tc>
        <w:tc>
          <w:tcPr>
            <w:tcW w:w="1916" w:type="dxa"/>
            <w:vAlign w:val="center"/>
          </w:tcPr>
          <w:p w14:paraId="333BE6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2497" w:type="dxa"/>
            <w:vAlign w:val="center"/>
          </w:tcPr>
          <w:p w14:paraId="0CDEB4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7420AD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23ED28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r w14:paraId="72CA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7FA40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w:t>
            </w:r>
          </w:p>
        </w:tc>
        <w:tc>
          <w:tcPr>
            <w:tcW w:w="1916" w:type="dxa"/>
            <w:vAlign w:val="center"/>
          </w:tcPr>
          <w:p w14:paraId="4087AA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highlight w:val="none"/>
                <w:lang w:val="en-US" w:eastAsia="zh-CN"/>
              </w:rPr>
            </w:pPr>
            <w:r>
              <w:rPr>
                <w:rFonts w:hint="eastAsia" w:cs="宋体"/>
                <w:sz w:val="24"/>
                <w:highlight w:val="none"/>
                <w:lang w:val="en-US" w:eastAsia="zh-CN"/>
              </w:rPr>
              <w:t>服务期限</w:t>
            </w:r>
          </w:p>
        </w:tc>
        <w:tc>
          <w:tcPr>
            <w:tcW w:w="2497" w:type="dxa"/>
            <w:vAlign w:val="center"/>
          </w:tcPr>
          <w:p w14:paraId="08328D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2616F2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577F20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r w14:paraId="491B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750ED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w:t>
            </w:r>
          </w:p>
        </w:tc>
        <w:tc>
          <w:tcPr>
            <w:tcW w:w="1916" w:type="dxa"/>
            <w:vAlign w:val="center"/>
          </w:tcPr>
          <w:p w14:paraId="7D00B8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497" w:type="dxa"/>
            <w:vAlign w:val="center"/>
          </w:tcPr>
          <w:p w14:paraId="2D3661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5D19AB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7F0FD5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bl>
    <w:p w14:paraId="4D1395F9">
      <w:pPr>
        <w:spacing w:line="360" w:lineRule="auto"/>
        <w:ind w:firstLine="4560" w:firstLineChars="1900"/>
        <w:rPr>
          <w:rFonts w:hint="eastAsia" w:ascii="宋体" w:hAnsi="宋体" w:eastAsia="宋体" w:cs="宋体"/>
          <w:sz w:val="24"/>
          <w:highlight w:val="none"/>
        </w:rPr>
      </w:pPr>
    </w:p>
    <w:p w14:paraId="737F4AC8">
      <w:pPr>
        <w:spacing w:line="360" w:lineRule="auto"/>
        <w:ind w:firstLine="4560" w:firstLineChars="1900"/>
        <w:rPr>
          <w:rFonts w:hint="eastAsia" w:ascii="宋体" w:hAnsi="宋体" w:eastAsia="宋体" w:cs="宋体"/>
          <w:sz w:val="24"/>
          <w:highlight w:val="none"/>
        </w:rPr>
      </w:pPr>
      <w:r>
        <w:rPr>
          <w:rFonts w:hint="eastAsia" w:ascii="宋体" w:hAnsi="宋体" w:eastAsia="宋体" w:cs="宋体"/>
          <w:sz w:val="24"/>
          <w:highlight w:val="none"/>
        </w:rPr>
        <w:t>供应商电子签章：</w:t>
      </w:r>
      <w:r>
        <w:rPr>
          <w:rFonts w:hint="eastAsia" w:ascii="宋体" w:hAnsi="宋体" w:eastAsia="宋体" w:cs="宋体"/>
          <w:sz w:val="24"/>
          <w:highlight w:val="none"/>
          <w:u w:val="single"/>
        </w:rPr>
        <w:t xml:space="preserve">                </w:t>
      </w:r>
    </w:p>
    <w:p w14:paraId="02BB2ADF">
      <w:pPr>
        <w:spacing w:line="360" w:lineRule="auto"/>
        <w:ind w:firstLine="4560" w:firstLineChars="1900"/>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63564D75">
      <w:pPr>
        <w:keepNext/>
        <w:keepLines/>
        <w:ind w:firstLine="480"/>
        <w:jc w:val="center"/>
        <w:rPr>
          <w:rFonts w:hint="eastAsia" w:asciiTheme="minorEastAsia" w:hAnsiTheme="minorEastAsia" w:eastAsiaTheme="minorEastAsia"/>
          <w:b/>
          <w:color w:val="000000" w:themeColor="text1"/>
          <w:highlight w:val="none"/>
          <w14:textFill>
            <w14:solidFill>
              <w14:schemeClr w14:val="tx1"/>
            </w14:solidFill>
          </w14:textFill>
        </w:rPr>
      </w:pPr>
      <w:r>
        <w:rPr>
          <w:rFonts w:asciiTheme="minorEastAsia" w:hAnsiTheme="minorEastAsia" w:eastAsiaTheme="minorEastAsia"/>
          <w:b/>
          <w:color w:val="000000" w:themeColor="text1"/>
          <w:highlight w:val="none"/>
          <w14:textFill>
            <w14:solidFill>
              <w14:schemeClr w14:val="tx1"/>
            </w14:solidFill>
          </w14:textFill>
        </w:rPr>
        <w:br w:type="page"/>
      </w:r>
    </w:p>
    <w:p w14:paraId="74CF6A3E">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val="en-US" w:eastAsia="zh-CN"/>
          <w14:textFill>
            <w14:solidFill>
              <w14:schemeClr w14:val="tx1"/>
            </w14:solidFill>
          </w14:textFill>
        </w:rPr>
        <w:t>八</w:t>
      </w:r>
      <w:r>
        <w:rPr>
          <w:rFonts w:hint="eastAsia" w:asciiTheme="minorEastAsia" w:hAnsiTheme="minorEastAsia" w:eastAsiaTheme="minorEastAsia"/>
          <w:b/>
          <w:color w:val="000000" w:themeColor="text1"/>
          <w:highlight w:val="none"/>
          <w14:textFill>
            <w14:solidFill>
              <w14:schemeClr w14:val="tx1"/>
            </w14:solidFill>
          </w14:textFill>
        </w:rPr>
        <w:t>、电子交易服务费</w:t>
      </w:r>
    </w:p>
    <w:p w14:paraId="56913B3B">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75D78BD5">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2007D83B">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092E52BF">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633256D6">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BD656BF">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10972B03">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08866D4C">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0A31EEE0">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003CD258">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0A13F693">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02062C7A">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52FFC352">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5EA81E5F">
      <w:pPr>
        <w:spacing w:after="120" w:line="480" w:lineRule="auto"/>
        <w:ind w:firstLine="482"/>
        <w:rPr>
          <w:rFonts w:hint="eastAsia"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如需开具</w:t>
      </w:r>
      <w:r>
        <w:rPr>
          <w:rFonts w:hint="eastAsia" w:cs="宋体"/>
          <w:b/>
          <w:bCs/>
          <w:color w:val="000000" w:themeColor="text1"/>
          <w:kern w:val="2"/>
          <w:szCs w:val="24"/>
          <w:highlight w:val="none"/>
          <w:lang w:eastAsia="zh-CN"/>
          <w14:textFill>
            <w14:solidFill>
              <w14:schemeClr w14:val="tx1"/>
            </w14:solidFill>
          </w14:textFill>
        </w:rPr>
        <w:t>询比</w:t>
      </w:r>
      <w:r>
        <w:rPr>
          <w:rFonts w:hint="eastAsia" w:cs="宋体"/>
          <w:b/>
          <w:bCs/>
          <w:color w:val="000000" w:themeColor="text1"/>
          <w:kern w:val="2"/>
          <w:szCs w:val="24"/>
          <w:highlight w:val="none"/>
          <w14:textFill>
            <w14:solidFill>
              <w14:schemeClr w14:val="tx1"/>
            </w14:solidFill>
          </w14:textFill>
        </w:rPr>
        <w:t>保证金及电子交易服务费发票请在本页附上开票信息，开票信息按照下列格式填写，项目开标结束后，如需开具电子交易服务费发票，请致电咨询：王工，联系电话：0551-65318344。</w:t>
      </w:r>
    </w:p>
    <w:p w14:paraId="27584105">
      <w:pPr>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开票信息：</w:t>
      </w:r>
    </w:p>
    <w:p w14:paraId="14A0C1A0">
      <w:pPr>
        <w:spacing w:after="120"/>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发票类型：</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14:textFill>
            <w14:solidFill>
              <w14:schemeClr w14:val="tx1"/>
            </w14:solidFill>
          </w14:textFill>
        </w:rPr>
        <w:t>（专票或普票）</w:t>
      </w:r>
    </w:p>
    <w:p w14:paraId="22F60C57">
      <w:pPr>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公司名称：</w:t>
      </w:r>
      <w:r>
        <w:rPr>
          <w:rFonts w:hint="eastAsia" w:cs="宋体"/>
          <w:color w:val="000000" w:themeColor="text1"/>
          <w:kern w:val="1"/>
          <w:szCs w:val="24"/>
          <w:highlight w:val="none"/>
          <w14:textFill>
            <w14:solidFill>
              <w14:schemeClr w14:val="tx1"/>
            </w14:solidFill>
          </w14:textFill>
        </w:rPr>
        <w:t xml:space="preserve"> </w:t>
      </w:r>
      <w:r>
        <w:rPr>
          <w:rFonts w:hint="eastAsia" w:cs="宋体"/>
          <w:color w:val="000000" w:themeColor="text1"/>
          <w:kern w:val="1"/>
          <w:szCs w:val="24"/>
          <w:highlight w:val="none"/>
          <w:u w:val="single"/>
          <w14:textFill>
            <w14:solidFill>
              <w14:schemeClr w14:val="tx1"/>
            </w14:solidFill>
          </w14:textFill>
        </w:rPr>
        <w:t xml:space="preserve">                           </w:t>
      </w:r>
      <w:r>
        <w:rPr>
          <w:rFonts w:hint="eastAsia" w:cs="宋体"/>
          <w:color w:val="000000" w:themeColor="text1"/>
          <w:kern w:val="1"/>
          <w:szCs w:val="24"/>
          <w:highlight w:val="none"/>
          <w14:textFill>
            <w14:solidFill>
              <w14:schemeClr w14:val="tx1"/>
            </w14:solidFill>
          </w14:textFill>
        </w:rPr>
        <w:t xml:space="preserve">     </w:t>
      </w:r>
    </w:p>
    <w:p w14:paraId="7B8E5B5C">
      <w:pPr>
        <w:widowControl/>
        <w:ind w:firstLine="0" w:firstLineChars="0"/>
        <w:jc w:val="left"/>
        <w:rPr>
          <w:rFonts w:hint="eastAsia"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纳税识别号：</w:t>
      </w:r>
      <w:r>
        <w:rPr>
          <w:rFonts w:hint="eastAsia" w:cs="宋体"/>
          <w:b/>
          <w:color w:val="000000" w:themeColor="text1"/>
          <w:kern w:val="2"/>
          <w:szCs w:val="24"/>
          <w:highlight w:val="none"/>
          <w:u w:val="single"/>
          <w14:textFill>
            <w14:solidFill>
              <w14:schemeClr w14:val="tx1"/>
            </w14:solidFill>
          </w14:textFill>
        </w:rPr>
        <w:t xml:space="preserve">                          </w:t>
      </w:r>
    </w:p>
    <w:p w14:paraId="41448720">
      <w:pPr>
        <w:widowControl/>
        <w:ind w:firstLine="0" w:firstLineChars="0"/>
        <w:jc w:val="left"/>
        <w:rPr>
          <w:rFonts w:hint="eastAsia"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开户行名称：</w:t>
      </w:r>
      <w:r>
        <w:rPr>
          <w:rFonts w:hint="eastAsia" w:cs="宋体"/>
          <w:b/>
          <w:color w:val="000000" w:themeColor="text1"/>
          <w:kern w:val="2"/>
          <w:szCs w:val="24"/>
          <w:highlight w:val="none"/>
          <w:u w:val="single"/>
          <w14:textFill>
            <w14:solidFill>
              <w14:schemeClr w14:val="tx1"/>
            </w14:solidFill>
          </w14:textFill>
        </w:rPr>
        <w:t xml:space="preserve">                          </w:t>
      </w:r>
    </w:p>
    <w:p w14:paraId="12D8668D">
      <w:pPr>
        <w:widowControl/>
        <w:spacing w:line="240" w:lineRule="auto"/>
        <w:ind w:firstLine="0" w:firstLineChars="0"/>
        <w:jc w:val="left"/>
        <w:rPr>
          <w:rFonts w:hint="eastAsia" w:cs="宋体"/>
          <w:b/>
          <w:bCs/>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开户行账号：</w:t>
      </w:r>
      <w:r>
        <w:rPr>
          <w:rFonts w:hint="eastAsia" w:cs="宋体"/>
          <w:b/>
          <w:color w:val="000000" w:themeColor="text1"/>
          <w:kern w:val="2"/>
          <w:szCs w:val="24"/>
          <w:highlight w:val="none"/>
          <w:u w:val="single"/>
          <w14:textFill>
            <w14:solidFill>
              <w14:schemeClr w14:val="tx1"/>
            </w14:solidFill>
          </w14:textFill>
        </w:rPr>
        <w:t xml:space="preserve">                          </w:t>
      </w:r>
    </w:p>
    <w:p w14:paraId="078159FE">
      <w:pPr>
        <w:widowControl/>
        <w:spacing w:line="240" w:lineRule="auto"/>
        <w:ind w:firstLine="0" w:firstLineChars="0"/>
        <w:rPr>
          <w:rFonts w:hint="eastAsia" w:cs="@仿宋_GB2312"/>
          <w:b/>
          <w:bCs/>
          <w:color w:val="000000" w:themeColor="text1"/>
          <w:kern w:val="2"/>
          <w:szCs w:val="24"/>
          <w:highlight w:val="none"/>
          <w14:textFill>
            <w14:solidFill>
              <w14:schemeClr w14:val="tx1"/>
            </w14:solidFill>
          </w14:textFill>
        </w:rPr>
      </w:pPr>
    </w:p>
    <w:p w14:paraId="77712018">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4ED5C5B4">
      <w:pPr>
        <w:widowControl/>
        <w:spacing w:line="240" w:lineRule="auto"/>
        <w:ind w:firstLine="0" w:firstLineChars="0"/>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16690FEA">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val="en-US" w:eastAsia="zh-CN"/>
          <w14:textFill>
            <w14:solidFill>
              <w14:schemeClr w14:val="tx1"/>
            </w14:solidFill>
          </w14:textFill>
        </w:rPr>
        <w:t>九</w:t>
      </w:r>
      <w:r>
        <w:rPr>
          <w:rFonts w:hint="eastAsia" w:asciiTheme="minorEastAsia" w:hAnsiTheme="minorEastAsia" w:eastAsiaTheme="minorEastAsia"/>
          <w:b/>
          <w:color w:val="000000" w:themeColor="text1"/>
          <w:highlight w:val="none"/>
          <w14:textFill>
            <w14:solidFill>
              <w14:schemeClr w14:val="tx1"/>
            </w14:solidFill>
          </w14:textFill>
        </w:rPr>
        <w:t>、其他相关证明材料</w:t>
      </w:r>
    </w:p>
    <w:p w14:paraId="0270B87A">
      <w:pPr>
        <w:ind w:firstLine="480"/>
        <w:jc w:val="center"/>
        <w:rPr>
          <w:rFonts w:hint="eastAsia"/>
          <w:color w:val="000000" w:themeColor="text1"/>
          <w:szCs w:val="24"/>
          <w:highlight w:val="none"/>
          <w14:textFill>
            <w14:solidFill>
              <w14:schemeClr w14:val="tx1"/>
            </w14:solidFill>
          </w14:textFill>
        </w:rPr>
      </w:pPr>
      <w:bookmarkStart w:id="160" w:name="_Toc19685"/>
      <w:bookmarkStart w:id="161" w:name="_Toc29973"/>
      <w:r>
        <w:rPr>
          <w:rFonts w:hint="eastAsia"/>
          <w:color w:val="000000" w:themeColor="text1"/>
          <w:szCs w:val="24"/>
          <w:highlight w:val="none"/>
          <w14:textFill>
            <w14:solidFill>
              <w14:schemeClr w14:val="tx1"/>
            </w14:solidFill>
          </w14:textFill>
        </w:rPr>
        <w:t>供应商按照第四章评审方法和标准</w:t>
      </w:r>
      <w:r>
        <w:rPr>
          <w:rFonts w:hint="eastAsia"/>
          <w:color w:val="000000" w:themeColor="text1"/>
          <w:szCs w:val="24"/>
          <w:highlight w:val="none"/>
          <w:lang w:val="en-US" w:eastAsia="zh-CN"/>
          <w14:textFill>
            <w14:solidFill>
              <w14:schemeClr w14:val="tx1"/>
            </w14:solidFill>
          </w14:textFill>
        </w:rPr>
        <w:t>提供</w:t>
      </w:r>
      <w:r>
        <w:rPr>
          <w:rFonts w:hint="eastAsia"/>
          <w:color w:val="000000" w:themeColor="text1"/>
          <w:szCs w:val="24"/>
          <w:highlight w:val="none"/>
          <w14:textFill>
            <w14:solidFill>
              <w14:schemeClr w14:val="tx1"/>
            </w14:solidFill>
          </w14:textFill>
        </w:rPr>
        <w:t>的其他资料。</w:t>
      </w:r>
      <w:bookmarkEnd w:id="160"/>
      <w:bookmarkEnd w:id="161"/>
    </w:p>
    <w:p w14:paraId="286C9596">
      <w:pPr>
        <w:ind w:firstLine="480"/>
        <w:rPr>
          <w:rFonts w:hint="eastAsia"/>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br w:type="page"/>
      </w:r>
    </w:p>
    <w:p w14:paraId="7D84BC82">
      <w:pPr>
        <w:ind w:left="0" w:leftChars="0" w:firstLine="0" w:firstLineChars="0"/>
        <w:jc w:val="center"/>
        <w:rPr>
          <w:rFonts w:hint="eastAsia" w:cs="宋体"/>
          <w:b/>
          <w:bCs/>
          <w:color w:val="000000" w:themeColor="text1"/>
          <w:sz w:val="44"/>
          <w:szCs w:val="44"/>
          <w:highlight w:val="none"/>
          <w14:textFill>
            <w14:solidFill>
              <w14:schemeClr w14:val="tx1"/>
            </w14:solidFill>
          </w14:textFill>
        </w:rPr>
      </w:pPr>
      <w:r>
        <w:rPr>
          <w:rFonts w:hint="eastAsia" w:cs="宋体"/>
          <w:b/>
          <w:bCs/>
          <w:color w:val="000000" w:themeColor="text1"/>
          <w:sz w:val="44"/>
          <w:szCs w:val="44"/>
          <w:highlight w:val="none"/>
          <w14:textFill>
            <w14:solidFill>
              <w14:schemeClr w14:val="tx1"/>
            </w14:solidFill>
          </w14:textFill>
        </w:rPr>
        <w:t>附件：全流程电子招标采购具体要求</w:t>
      </w:r>
      <w:r>
        <w:rPr>
          <w:rStyle w:val="32"/>
          <w:rFonts w:hint="eastAsia" w:cs="宋体"/>
          <w:b/>
          <w:bCs/>
          <w:color w:val="000000" w:themeColor="text1"/>
          <w:sz w:val="44"/>
          <w:szCs w:val="44"/>
          <w:highlight w:val="none"/>
          <w14:textFill>
            <w14:solidFill>
              <w14:schemeClr w14:val="tx1"/>
            </w14:solidFill>
          </w14:textFill>
        </w:rPr>
        <w:footnoteReference w:id="0"/>
      </w:r>
    </w:p>
    <w:p w14:paraId="53C2EEDF">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说明：当采用非招标方式进行全流程电子采购活动时，按照本规定执行，其中本要求“参审单位”按“</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54829AF7">
      <w:pPr>
        <w:spacing w:line="400" w:lineRule="exact"/>
        <w:ind w:firstLine="480"/>
        <w:rPr>
          <w:rFonts w:hint="eastAsia" w:cs="宋体"/>
          <w:color w:val="000000" w:themeColor="text1"/>
          <w:szCs w:val="24"/>
          <w:highlight w:val="none"/>
          <w14:textFill>
            <w14:solidFill>
              <w14:schemeClr w14:val="tx1"/>
            </w14:solidFill>
          </w14:textFill>
        </w:rPr>
      </w:pPr>
    </w:p>
    <w:p w14:paraId="40B20A7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一、</w:t>
      </w:r>
      <w:r>
        <w:rPr>
          <w:rFonts w:hint="eastAsia" w:cs="宋体"/>
          <w:color w:val="000000" w:themeColor="text1"/>
          <w:highlight w:val="none"/>
          <w14:textFill>
            <w14:solidFill>
              <w14:schemeClr w14:val="tx1"/>
            </w14:solidFill>
          </w14:textFill>
        </w:rPr>
        <w:t>CA</w:t>
      </w:r>
      <w:r>
        <w:rPr>
          <w:rFonts w:hint="eastAsia" w:cs="宋体"/>
          <w:color w:val="000000" w:themeColor="text1"/>
          <w:szCs w:val="24"/>
          <w:highlight w:val="none"/>
          <w14:textFill>
            <w14:solidFill>
              <w14:schemeClr w14:val="tx1"/>
            </w14:solidFill>
          </w14:textFill>
        </w:rPr>
        <w:t>证书办理和注意事项</w:t>
      </w:r>
    </w:p>
    <w:p w14:paraId="53424DA3">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1.本项目采用全流程电子招标采购方式，</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应及时办理CA证书，用于对投标文件进行电子签章及加、解密。</w:t>
      </w:r>
    </w:p>
    <w:p w14:paraId="461D6CDE">
      <w:pPr>
        <w:spacing w:line="400" w:lineRule="exact"/>
        <w:ind w:firstLine="480"/>
        <w:rPr>
          <w:rFonts w:hint="eastAsia" w:cs="宋体"/>
          <w:bCs/>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办理详见</w:t>
      </w:r>
      <w:r>
        <w:rPr>
          <w:rFonts w:hint="eastAsia" w:cs="宋体"/>
          <w:bCs/>
          <w:color w:val="000000" w:themeColor="text1"/>
          <w:highlight w:val="none"/>
          <w14:textFill>
            <w14:solidFill>
              <w14:schemeClr w14:val="tx1"/>
            </w14:solidFill>
          </w14:textFill>
        </w:rPr>
        <w:t>《优质采平台CA数字证书办理说明》：</w:t>
      </w:r>
    </w:p>
    <w:p w14:paraId="08576D68">
      <w:pPr>
        <w:spacing w:line="400" w:lineRule="exact"/>
        <w:ind w:firstLine="480"/>
        <w:rPr>
          <w:rFonts w:hint="eastAsia" w:cs="宋体"/>
          <w:b/>
          <w:bCs/>
          <w:color w:val="000000" w:themeColor="text1"/>
          <w:highlight w:val="none"/>
          <w14:textFill>
            <w14:solidFill>
              <w14:schemeClr w14:val="tx1"/>
            </w14:solidFill>
          </w14:textFill>
        </w:rPr>
      </w:pPr>
      <w:r>
        <w:rPr>
          <w:highlight w:val="none"/>
        </w:rPr>
        <w:fldChar w:fldCharType="begin"/>
      </w:r>
      <w:r>
        <w:rPr>
          <w:highlight w:val="none"/>
        </w:rPr>
        <w:instrText xml:space="preserve"> HYPERLINK "http://www.youzhicai.com/ActivityTopic/AdviceDetail/8f80a7ec-911f-4c4d-a123-f8849880f045" </w:instrText>
      </w:r>
      <w:r>
        <w:rPr>
          <w:highlight w:val="none"/>
        </w:rPr>
        <w:fldChar w:fldCharType="separate"/>
      </w:r>
      <w:r>
        <w:rPr>
          <w:rStyle w:val="29"/>
          <w:rFonts w:hint="eastAsia" w:cs="宋体"/>
          <w:bCs/>
          <w:color w:val="000000" w:themeColor="text1"/>
          <w:highlight w:val="none"/>
          <w14:textFill>
            <w14:solidFill>
              <w14:schemeClr w14:val="tx1"/>
            </w14:solidFill>
          </w14:textFill>
        </w:rPr>
        <w:t>http://www.youzhicai.com/ActivityTopic/AdviceDetail/8f80a7ec-911f-4c4d-a123-f</w:t>
      </w:r>
      <w:bookmarkStart w:id="162" w:name="_Hlt105085548"/>
      <w:bookmarkStart w:id="163" w:name="_Hlt105085547"/>
      <w:r>
        <w:rPr>
          <w:rStyle w:val="29"/>
          <w:rFonts w:hint="eastAsia" w:cs="宋体"/>
          <w:bCs/>
          <w:color w:val="000000" w:themeColor="text1"/>
          <w:highlight w:val="none"/>
          <w14:textFill>
            <w14:solidFill>
              <w14:schemeClr w14:val="tx1"/>
            </w14:solidFill>
          </w14:textFill>
        </w:rPr>
        <w:t>8</w:t>
      </w:r>
      <w:bookmarkEnd w:id="162"/>
      <w:bookmarkEnd w:id="163"/>
      <w:r>
        <w:rPr>
          <w:rStyle w:val="29"/>
          <w:rFonts w:hint="eastAsia" w:cs="宋体"/>
          <w:bCs/>
          <w:color w:val="000000" w:themeColor="text1"/>
          <w:highlight w:val="none"/>
          <w14:textFill>
            <w14:solidFill>
              <w14:schemeClr w14:val="tx1"/>
            </w14:solidFill>
          </w14:textFill>
        </w:rPr>
        <w:t>849880f045</w:t>
      </w:r>
      <w:r>
        <w:rPr>
          <w:rStyle w:val="29"/>
          <w:rFonts w:hint="eastAsia" w:cs="宋体"/>
          <w:bCs/>
          <w:color w:val="000000" w:themeColor="text1"/>
          <w:highlight w:val="none"/>
          <w14:textFill>
            <w14:solidFill>
              <w14:schemeClr w14:val="tx1"/>
            </w14:solidFill>
          </w14:textFill>
        </w:rPr>
        <w:fldChar w:fldCharType="end"/>
      </w:r>
      <w:r>
        <w:rPr>
          <w:rFonts w:hint="eastAsia" w:cs="宋体"/>
          <w:bCs/>
          <w:color w:val="000000" w:themeColor="text1"/>
          <w:highlight w:val="none"/>
          <w14:textFill>
            <w14:solidFill>
              <w14:schemeClr w14:val="tx1"/>
            </w14:solidFill>
          </w14:textFill>
        </w:rPr>
        <w:t>。</w:t>
      </w:r>
    </w:p>
    <w:p w14:paraId="5682DF70">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到期或即将到期，须在递交投标文件前办理续期。</w:t>
      </w:r>
    </w:p>
    <w:p w14:paraId="536C698C">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4.CA锁</w:t>
      </w:r>
      <w:r>
        <w:rPr>
          <w:rFonts w:hint="eastAsia" w:cs="宋体"/>
          <w:color w:val="000000" w:themeColor="text1"/>
          <w:highlight w:val="none"/>
          <w14:textFill>
            <w14:solidFill>
              <w14:schemeClr w14:val="tx1"/>
            </w14:solidFill>
          </w14:textFill>
        </w:rPr>
        <w:t>遗失、损坏等无法使用，须在递交投标文件前补办CA锁。</w:t>
      </w:r>
    </w:p>
    <w:p w14:paraId="602B017F">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5.企业</w:t>
      </w:r>
      <w:r>
        <w:rPr>
          <w:rFonts w:hint="eastAsia" w:cs="宋体"/>
          <w:color w:val="000000" w:themeColor="text1"/>
          <w:highlight w:val="none"/>
          <w14:textFill>
            <w14:solidFill>
              <w14:schemeClr w14:val="tx1"/>
            </w14:solidFill>
          </w14:textFill>
        </w:rPr>
        <w:t>信息（包括但不限于企业名称和法定代表人信息）发生变更的，须在递交投标文件前变更CA证书。</w:t>
      </w:r>
    </w:p>
    <w:p w14:paraId="50C53EC3">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6.</w:t>
      </w:r>
      <w:r>
        <w:rPr>
          <w:rFonts w:hint="eastAsia"/>
          <w:color w:val="000000" w:themeColor="text1"/>
          <w:szCs w:val="18"/>
          <w:highlight w:val="none"/>
          <w14:textFill>
            <w14:solidFill>
              <w14:schemeClr w14:val="tx1"/>
            </w14:solidFill>
          </w14:textFill>
        </w:rPr>
        <w:t xml:space="preserve"> 参审单位</w:t>
      </w:r>
      <w:r>
        <w:rPr>
          <w:rFonts w:hint="eastAsia" w:cs="宋体"/>
          <w:color w:val="000000" w:themeColor="text1"/>
          <w:szCs w:val="24"/>
          <w:highlight w:val="none"/>
          <w14:textFill>
            <w14:solidFill>
              <w14:schemeClr w14:val="tx1"/>
            </w14:solidFill>
          </w14:textFill>
        </w:rPr>
        <w:t>由于</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遗失、损坏、更换、续期、企业信息变更等情况导致投标文件无法解密的，由</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自行承担责任；</w:t>
      </w:r>
    </w:p>
    <w:p w14:paraId="7A4AEBBC">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7.加密和解密投标文件</w:t>
      </w:r>
      <w:r>
        <w:rPr>
          <w:rFonts w:hint="eastAsia" w:cs="宋体"/>
          <w:color w:val="000000" w:themeColor="text1"/>
          <w:highlight w:val="none"/>
          <w14:textFill>
            <w14:solidFill>
              <w14:schemeClr w14:val="tx1"/>
            </w14:solidFill>
          </w14:textFill>
        </w:rPr>
        <w:t>必须使用同一个CA证书</w:t>
      </w:r>
      <w:r>
        <w:rPr>
          <w:rFonts w:hint="eastAsia" w:cs="宋体"/>
          <w:color w:val="000000" w:themeColor="text1"/>
          <w:szCs w:val="24"/>
          <w:highlight w:val="none"/>
          <w14:textFill>
            <w14:solidFill>
              <w14:schemeClr w14:val="tx1"/>
            </w14:solidFill>
          </w14:textFill>
        </w:rPr>
        <w:t>。</w:t>
      </w:r>
    </w:p>
    <w:p w14:paraId="0029B06C">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二、制作、签章、加密、上传电子投标文件</w:t>
      </w:r>
    </w:p>
    <w:p w14:paraId="180F4F59">
      <w:pPr>
        <w:spacing w:line="400" w:lineRule="exact"/>
        <w:ind w:firstLine="480"/>
        <w:rPr>
          <w:rStyle w:val="29"/>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8.本项目采用全流程电子化招标采购方式，潜在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需使用</w:t>
      </w:r>
      <w:r>
        <w:rPr>
          <w:rFonts w:hint="eastAsia" w:cs="宋体"/>
          <w:color w:val="000000" w:themeColor="text1"/>
          <w:szCs w:val="24"/>
          <w:highlight w:val="none"/>
          <w14:textFill>
            <w14:solidFill>
              <w14:schemeClr w14:val="tx1"/>
            </w14:solidFill>
          </w14:textFill>
        </w:rPr>
        <w:t>“优质采投标工具客户端”（以下简称“投标工具”）制作</w:t>
      </w:r>
      <w:r>
        <w:rPr>
          <w:rFonts w:hint="eastAsia" w:cs="宋体"/>
          <w:color w:val="000000" w:themeColor="text1"/>
          <w:highlight w:val="none"/>
          <w14:textFill>
            <w14:solidFill>
              <w14:schemeClr w14:val="tx1"/>
            </w14:solidFill>
          </w14:textFill>
        </w:rPr>
        <w:t>电子投标文件，</w:t>
      </w:r>
      <w:r>
        <w:rPr>
          <w:rFonts w:hint="eastAsia" w:cs="宋体"/>
          <w:color w:val="000000" w:themeColor="text1"/>
          <w:szCs w:val="24"/>
          <w:highlight w:val="none"/>
          <w14:textFill>
            <w14:solidFill>
              <w14:schemeClr w14:val="tx1"/>
            </w14:solidFill>
          </w14:textFill>
        </w:rPr>
        <w:t>投标工具及操作说明下载地址：</w:t>
      </w:r>
      <w:r>
        <w:rPr>
          <w:highlight w:val="none"/>
        </w:rPr>
        <w:fldChar w:fldCharType="begin"/>
      </w:r>
      <w:r>
        <w:rPr>
          <w:highlight w:val="none"/>
        </w:rPr>
        <w:instrText xml:space="preserve"> HYPERLINK "https://toolcdn.youzhicai.com/tools/BidderTools.zip" </w:instrText>
      </w:r>
      <w:r>
        <w:rPr>
          <w:highlight w:val="none"/>
        </w:rPr>
        <w:fldChar w:fldCharType="separate"/>
      </w:r>
      <w:r>
        <w:rPr>
          <w:rStyle w:val="29"/>
          <w:rFonts w:hint="eastAsia" w:cs="宋体"/>
          <w:color w:val="000000" w:themeColor="text1"/>
          <w:highlight w:val="none"/>
          <w14:textFill>
            <w14:solidFill>
              <w14:schemeClr w14:val="tx1"/>
            </w14:solidFill>
          </w14:textFill>
        </w:rPr>
        <w:t>https://toolcdn.youzhicai.com/tools/BidderTools.zip</w:t>
      </w:r>
      <w:r>
        <w:rPr>
          <w:rStyle w:val="29"/>
          <w:rFonts w:hint="eastAsia" w:cs="宋体"/>
          <w:color w:val="000000" w:themeColor="text1"/>
          <w:highlight w:val="none"/>
          <w14:textFill>
            <w14:solidFill>
              <w14:schemeClr w14:val="tx1"/>
            </w14:solidFill>
          </w14:textFill>
        </w:rPr>
        <w:fldChar w:fldCharType="end"/>
      </w:r>
      <w:r>
        <w:rPr>
          <w:rStyle w:val="29"/>
          <w:rFonts w:hint="eastAsia" w:cs="宋体"/>
          <w:color w:val="000000" w:themeColor="text1"/>
          <w:highlight w:val="none"/>
          <w14:textFill>
            <w14:solidFill>
              <w14:schemeClr w14:val="tx1"/>
            </w14:solidFill>
          </w14:textFill>
        </w:rPr>
        <w:t>。</w:t>
      </w:r>
    </w:p>
    <w:p w14:paraId="33294DD7">
      <w:pPr>
        <w:spacing w:line="400" w:lineRule="exact"/>
        <w:ind w:firstLine="480"/>
        <w:rPr>
          <w:rStyle w:val="29"/>
          <w:rFonts w:hint="eastAsia" w:cs="宋体"/>
          <w:color w:val="000000" w:themeColor="text1"/>
          <w:highlight w:val="none"/>
          <w:u w:val="none"/>
          <w14:textFill>
            <w14:solidFill>
              <w14:schemeClr w14:val="tx1"/>
            </w14:solidFill>
          </w14:textFill>
        </w:rPr>
      </w:pPr>
      <w:r>
        <w:rPr>
          <w:rStyle w:val="29"/>
          <w:rFonts w:hint="eastAsia" w:cs="宋体"/>
          <w:color w:val="000000" w:themeColor="text1"/>
          <w:highlight w:val="none"/>
          <w:u w:val="none"/>
          <w14:textFill>
            <w14:solidFill>
              <w14:schemeClr w14:val="tx1"/>
            </w14:solidFill>
          </w14:textFill>
        </w:rPr>
        <w:tab/>
      </w:r>
      <w:r>
        <w:rPr>
          <w:rStyle w:val="29"/>
          <w:rFonts w:hint="eastAsia" w:cs="宋体"/>
          <w:color w:val="000000" w:themeColor="text1"/>
          <w:highlight w:val="none"/>
          <w:u w:val="none"/>
          <w14:textFill>
            <w14:solidFill>
              <w14:schemeClr w14:val="tx1"/>
            </w14:solidFill>
          </w14:textFill>
        </w:rPr>
        <w:t>8.1.投标工具建议在window7或windows10操作系统下使用；</w:t>
      </w:r>
    </w:p>
    <w:p w14:paraId="24DE7F70">
      <w:pPr>
        <w:spacing w:line="400" w:lineRule="exact"/>
        <w:ind w:firstLine="480"/>
        <w:rPr>
          <w:rFonts w:hint="eastAsia" w:cs="宋体"/>
          <w:bCs/>
          <w:color w:val="000000" w:themeColor="text1"/>
          <w:sz w:val="18"/>
          <w:highlight w:val="none"/>
          <w14:textFill>
            <w14:solidFill>
              <w14:schemeClr w14:val="tx1"/>
            </w14:solidFill>
          </w14:textFill>
        </w:rPr>
      </w:pPr>
      <w:r>
        <w:rPr>
          <w:rStyle w:val="29"/>
          <w:rFonts w:hint="eastAsia" w:cs="宋体"/>
          <w:color w:val="000000" w:themeColor="text1"/>
          <w:highlight w:val="none"/>
          <w:u w:val="none"/>
          <w14:textFill>
            <w14:solidFill>
              <w14:schemeClr w14:val="tx1"/>
            </w14:solidFill>
          </w14:textFill>
        </w:rPr>
        <w:tab/>
      </w:r>
      <w:r>
        <w:rPr>
          <w:rStyle w:val="29"/>
          <w:rFonts w:hint="eastAsia" w:cs="宋体"/>
          <w:color w:val="000000" w:themeColor="text1"/>
          <w:highlight w:val="none"/>
          <w:u w:val="none"/>
          <w14:textFill>
            <w14:solidFill>
              <w14:schemeClr w14:val="tx1"/>
            </w14:solidFill>
          </w14:textFill>
        </w:rPr>
        <w:t>8.2.电子投标文件编制建议使用</w:t>
      </w:r>
      <w:r>
        <w:rPr>
          <w:rFonts w:hint="eastAsia" w:cs="宋体"/>
          <w:color w:val="000000" w:themeColor="text1"/>
          <w:highlight w:val="none"/>
          <w14:textFill>
            <w14:solidFill>
              <w14:schemeClr w14:val="tx1"/>
            </w14:solidFill>
          </w14:textFill>
        </w:rPr>
        <w:t>office2010版本。</w:t>
      </w:r>
    </w:p>
    <w:p w14:paraId="07AD4E99">
      <w:pPr>
        <w:wordWrap w:val="0"/>
        <w:spacing w:line="400" w:lineRule="exact"/>
        <w:ind w:firstLine="480"/>
        <w:rPr>
          <w:rFonts w:hint="eastAsia" w:cs="宋体"/>
          <w:bCs/>
          <w:color w:val="000000" w:themeColor="text1"/>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9.</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制作电子投标文件后，需在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对电子投标文件进行电子签章（项目有特殊说明的除外），并使用CA</w:t>
      </w:r>
      <w:r>
        <w:rPr>
          <w:rFonts w:hint="eastAsia" w:cs="宋体"/>
          <w:color w:val="000000" w:themeColor="text1"/>
          <w:szCs w:val="24"/>
          <w:highlight w:val="none"/>
          <w14:textFill>
            <w14:solidFill>
              <w14:schemeClr w14:val="tx1"/>
            </w14:solidFill>
          </w14:textFill>
        </w:rPr>
        <w:t>证书进行</w:t>
      </w:r>
      <w:r>
        <w:rPr>
          <w:rFonts w:hint="eastAsia" w:cs="宋体"/>
          <w:color w:val="000000" w:themeColor="text1"/>
          <w:highlight w:val="none"/>
          <w14:textFill>
            <w14:solidFill>
              <w14:schemeClr w14:val="tx1"/>
            </w14:solidFill>
          </w14:textFill>
        </w:rPr>
        <w:t>加密。在</w:t>
      </w:r>
      <w:r>
        <w:rPr>
          <w:rFonts w:hint="eastAsia" w:cs="宋体"/>
          <w:color w:val="000000" w:themeColor="text1"/>
          <w:szCs w:val="24"/>
          <w:highlight w:val="none"/>
          <w14:textFill>
            <w14:solidFill>
              <w14:schemeClr w14:val="tx1"/>
            </w14:solidFill>
          </w14:textFill>
        </w:rPr>
        <w:t>投标工具使用CA证书</w:t>
      </w:r>
      <w:r>
        <w:rPr>
          <w:rFonts w:hint="eastAsia" w:cs="宋体"/>
          <w:color w:val="000000" w:themeColor="text1"/>
          <w:highlight w:val="none"/>
          <w14:textFill>
            <w14:solidFill>
              <w14:schemeClr w14:val="tx1"/>
            </w14:solidFill>
          </w14:textFill>
        </w:rPr>
        <w:t>时需安装“优质采数字证书助手”</w:t>
      </w:r>
      <w:r>
        <w:rPr>
          <w:rFonts w:hint="eastAsia" w:cs="宋体"/>
          <w:color w:val="000000" w:themeColor="text1"/>
          <w:szCs w:val="24"/>
          <w:highlight w:val="none"/>
          <w14:textFill>
            <w14:solidFill>
              <w14:schemeClr w14:val="tx1"/>
            </w14:solidFill>
          </w14:textFill>
        </w:rPr>
        <w:t xml:space="preserve"> （即数字证书驱动）</w:t>
      </w:r>
      <w:r>
        <w:rPr>
          <w:rFonts w:hint="eastAsia" w:cs="宋体"/>
          <w:color w:val="000000" w:themeColor="text1"/>
          <w:highlight w:val="none"/>
          <w14:textFill>
            <w14:solidFill>
              <w14:schemeClr w14:val="tx1"/>
            </w14:solidFill>
          </w14:textFill>
        </w:rPr>
        <w:t>，下载地址：</w:t>
      </w:r>
      <w:r>
        <w:rPr>
          <w:highlight w:val="none"/>
        </w:rPr>
        <w:fldChar w:fldCharType="begin"/>
      </w:r>
      <w:r>
        <w:rPr>
          <w:highlight w:val="none"/>
        </w:rPr>
        <w:instrText xml:space="preserve"> HYPERLINK "https://toolcdn.youzhicai.com/ca.zip" </w:instrText>
      </w:r>
      <w:r>
        <w:rPr>
          <w:highlight w:val="none"/>
        </w:rPr>
        <w:fldChar w:fldCharType="separate"/>
      </w:r>
      <w:r>
        <w:rPr>
          <w:rStyle w:val="29"/>
          <w:rFonts w:hint="eastAsia" w:cs="宋体"/>
          <w:color w:val="000000" w:themeColor="text1"/>
          <w:highlight w:val="none"/>
          <w14:textFill>
            <w14:solidFill>
              <w14:schemeClr w14:val="tx1"/>
            </w14:solidFill>
          </w14:textFill>
        </w:rPr>
        <w:t>https://toolcdn.youzhicai.com/ca.zip</w:t>
      </w:r>
      <w:r>
        <w:rPr>
          <w:rStyle w:val="29"/>
          <w:rFonts w:hint="eastAsia" w:cs="宋体"/>
          <w:color w:val="000000" w:themeColor="text1"/>
          <w:highlight w:val="none"/>
          <w14:textFill>
            <w14:solidFill>
              <w14:schemeClr w14:val="tx1"/>
            </w14:solidFill>
          </w14:textFill>
        </w:rPr>
        <w:fldChar w:fldCharType="end"/>
      </w:r>
      <w:r>
        <w:rPr>
          <w:rStyle w:val="29"/>
          <w:rFonts w:hint="eastAsia" w:cs="宋体"/>
          <w:color w:val="000000" w:themeColor="text1"/>
          <w:highlight w:val="none"/>
          <w14:textFill>
            <w14:solidFill>
              <w14:schemeClr w14:val="tx1"/>
            </w14:solidFill>
          </w14:textFill>
        </w:rPr>
        <w:t>。</w:t>
      </w:r>
    </w:p>
    <w:p w14:paraId="4DBF1E54">
      <w:pPr>
        <w:wordWrap w:val="0"/>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10.潜在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完成制作、签章、加密投标文件后，需在</w:t>
      </w:r>
      <w:r>
        <w:rPr>
          <w:rFonts w:hint="eastAsia" w:cs="宋体"/>
          <w:color w:val="000000" w:themeColor="text1"/>
          <w:highlight w:val="none"/>
          <w14:textFill>
            <w14:solidFill>
              <w14:schemeClr w14:val="tx1"/>
            </w14:solidFill>
          </w14:textFill>
        </w:rPr>
        <w:t>招标文件规定的投标截止时间前在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完成上传。</w:t>
      </w:r>
      <w:r>
        <w:rPr>
          <w:rFonts w:hint="eastAsia" w:cs="宋体"/>
          <w:color w:val="000000" w:themeColor="text1"/>
          <w:szCs w:val="24"/>
          <w:highlight w:val="none"/>
          <w14:textFill>
            <w14:solidFill>
              <w14:schemeClr w14:val="tx1"/>
            </w14:solidFill>
          </w14:textFill>
        </w:rPr>
        <w:t>投标截止时间以优质采云采购平台（</w:t>
      </w:r>
      <w:r>
        <w:rPr>
          <w:rFonts w:cs="宋体"/>
          <w:color w:val="000000" w:themeColor="text1"/>
          <w:szCs w:val="24"/>
          <w:highlight w:val="none"/>
          <w14:textFill>
            <w14:solidFill>
              <w14:schemeClr w14:val="tx1"/>
            </w14:solidFill>
          </w14:textFill>
        </w:rPr>
        <w:t>http://www.youzhicai.com/</w:t>
      </w:r>
      <w:r>
        <w:rPr>
          <w:rFonts w:hint="eastAsia" w:cs="宋体"/>
          <w:color w:val="000000" w:themeColor="text1"/>
          <w:szCs w:val="24"/>
          <w:highlight w:val="none"/>
          <w14:textFill>
            <w14:solidFill>
              <w14:schemeClr w14:val="tx1"/>
            </w14:solidFill>
          </w14:textFill>
        </w:rPr>
        <w:t>）系统的时间为准，如未在投标截止时间前完成电子投标文件上传，系统将自动关闭上传通道。潜在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未完成电子投标文件上传的，视为没有递交投标文件。</w:t>
      </w:r>
    </w:p>
    <w:p w14:paraId="64D94DF0">
      <w:pPr>
        <w:wordWrap w:val="0"/>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11.潜在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在投标文件递交截止时间前，可以对其所递交的电子投标文件进行撤回，修改后重新上传。</w:t>
      </w:r>
    </w:p>
    <w:p w14:paraId="4C7E83E5">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12.潜在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在制作、签章、加密、上传电子投标文件过程中，若存在技术操作问题，请及时联系优质采云采购平台客服人员，客服电话：400-0099-555，0551-62220164。</w:t>
      </w:r>
    </w:p>
    <w:p w14:paraId="1A9D45E8">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三、开标和解密</w:t>
      </w:r>
    </w:p>
    <w:p w14:paraId="1095C01A">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14:textFill>
            <w14:solidFill>
              <w14:schemeClr w14:val="tx1"/>
            </w14:solidFill>
          </w14:textFill>
        </w:rPr>
        <w:t>或代理机构工作人员（以下简称工作人员）根据有关规定登录系统组织开标。投标文件递交截止时间后由</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使用</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解密投标文件，工作人员导入已解密投标文件并公布开标结果。</w:t>
      </w:r>
    </w:p>
    <w:p w14:paraId="5462BB3F">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14.投标文件可远程解密，</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无需到达开标现场。招标文件“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须知”中另有规定的，从其规定。</w:t>
      </w:r>
    </w:p>
    <w:p w14:paraId="4F5851DE">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15.潜在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须按照招标文件的要求在投标文件递交截止时间前登录投标工具并保持在线，关注开标互动大厅消息直到项目评审结束。</w:t>
      </w:r>
    </w:p>
    <w:p w14:paraId="568E1744">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16.投标文件解密时限为投标文件递交截止时间后30分钟（招标文件“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须知”中另有规定的，从其规定）。潜在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须在投标文件解密时限内完成投标文件解密，未能成功解密的视为放弃投标。招标文件“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须知”中对投标文件解密设有线下补救方案的，执行该补救方案。</w:t>
      </w:r>
    </w:p>
    <w:p w14:paraId="74BEE2A0">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四、评审和询标</w:t>
      </w:r>
    </w:p>
    <w:p w14:paraId="6B4728BF">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17.评审委员会通过优质采电子评审工具将需要澄清、说明或补正的内容以询标函的形式发送给</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应登录投标工具并保持在线状态，以便及时接收评审委员会可能发出的询标函，并在询标函载明的时间内回复，若</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未及时回复，视为放弃澄清。</w:t>
      </w:r>
    </w:p>
    <w:p w14:paraId="60145523">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五、异常情形</w:t>
      </w:r>
    </w:p>
    <w:p w14:paraId="7F99FCF2">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18.出现下列情形导致电子交易系统无法正常运行，影响招投标过程的公平、公正和信息安全，经第三方机构认定后，各方当事人免责：</w:t>
      </w:r>
    </w:p>
    <w:p w14:paraId="478AF6CA">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(1)网络、服务器、数据库发生故障造成无法访问或使用的；</w:t>
      </w:r>
    </w:p>
    <w:p w14:paraId="7CCD4042">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(2)电力系统发生故障导致电子服务系统或电子交易系统无法运行；</w:t>
      </w:r>
    </w:p>
    <w:p w14:paraId="49EE50AA">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(3)出现网络攻击、病毒入侵以及电子服务系统或电子交易系统安全漏洞导致无法正常提供服务的；</w:t>
      </w:r>
    </w:p>
    <w:p w14:paraId="12FDEEC1">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(4)其他无法保证招投标过程公平、公正和信息安全的情形。</w:t>
      </w:r>
    </w:p>
    <w:p w14:paraId="4717D1DB">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六、异常情形处理</w:t>
      </w:r>
    </w:p>
    <w:p w14:paraId="6402FB48">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4104EA3D">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（1）项目中止，中止期限由</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或代理机构根据项目具体情况确定。中止期限届满后中止情形尚未消除的，</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或代理机构可以根据实际情况决定延长中止期限。决定延长中止期限的，应向</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发出延长中止期限通知，并发布公布。</w:t>
      </w:r>
    </w:p>
    <w:p w14:paraId="0DEBFDCB">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（2）项目恢复，导致项目中止的情形消除后，</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或代理机构应当尽快恢复招投标程序，向</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发出恢复交易通知，并发布公布；已发出延长中止期限通知的，按通知执行。</w:t>
      </w:r>
    </w:p>
    <w:p w14:paraId="67430A1C">
      <w:pPr>
        <w:ind w:firstLine="480"/>
        <w:rPr>
          <w:rFonts w:hint="eastAsia"/>
          <w:color w:val="000000" w:themeColor="text1"/>
          <w:highlight w:val="none"/>
          <w14:textFill>
            <w14:solidFill>
              <w14:schemeClr w14:val="tx1"/>
            </w14:solidFill>
          </w14:textFill>
        </w:rPr>
      </w:pPr>
    </w:p>
    <w:p w14:paraId="0F5E95B4">
      <w:pPr>
        <w:tabs>
          <w:tab w:val="left" w:pos="6876"/>
        </w:tabs>
        <w:ind w:firstLine="480"/>
        <w:jc w:val="left"/>
        <w:rPr>
          <w:rFonts w:hint="eastAsia"/>
          <w:color w:val="000000" w:themeColor="text1"/>
          <w:highlight w:val="none"/>
          <w14:textFill>
            <w14:solidFill>
              <w14:schemeClr w14:val="tx1"/>
            </w14:solidFill>
          </w14:textFill>
        </w:rPr>
      </w:pPr>
    </w:p>
    <w:p w14:paraId="55D2AC8E">
      <w:pPr>
        <w:rPr>
          <w:highlight w:val="none"/>
        </w:rPr>
      </w:pPr>
    </w:p>
    <w:p w14:paraId="59E37DAD">
      <w:pPr>
        <w:rPr>
          <w:highlight w:val="none"/>
        </w:rPr>
      </w:pP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兰亭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A9C">
    <w:pPr>
      <w:pStyle w:val="11"/>
      <w:ind w:firstLine="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1DF7A">
                          <w:pPr>
                            <w:pStyle w:val="11"/>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11DF7A">
                    <w:pPr>
                      <w:pStyle w:val="11"/>
                    </w:pPr>
                    <w:r>
                      <w:fldChar w:fldCharType="begin"/>
                    </w:r>
                    <w:r>
                      <w:instrText xml:space="preserve"> PAGE  \* MERGEFORMAT </w:instrText>
                    </w:r>
                    <w:r>
                      <w:fldChar w:fldCharType="separate"/>
                    </w:r>
                    <w:r>
                      <w:t>１</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00314">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F2F3">
    <w:pPr>
      <w:pStyle w:val="11"/>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F5D86">
    <w:pPr>
      <w:pStyle w:val="11"/>
      <w:ind w:firstLine="360"/>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5AABA">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E5AABA">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084973EE">
      <w:pPr>
        <w:pStyle w:val="14"/>
        <w:ind w:firstLine="360"/>
      </w:pPr>
      <w:r>
        <w:rPr>
          <w:rStyle w:val="32"/>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F6F4A">
    <w:pPr>
      <w:pStyle w:val="12"/>
      <w:ind w:left="0" w:leftChars="0" w:firstLine="0" w:firstLineChars="0"/>
      <w:jc w:val="left"/>
      <w:rPr>
        <w:rFonts w:hint="default" w:eastAsiaTheme="minorEastAsia"/>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55E9">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EB2D">
    <w:pPr>
      <w:pStyle w:val="12"/>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BACF">
    <w:pPr>
      <w:pStyle w:val="12"/>
      <w:ind w:left="0" w:leftChars="0" w:firstLine="0" w:firstLineChars="0"/>
      <w:jc w:val="left"/>
      <w:rPr>
        <w:rFonts w:hint="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F71D34CA"/>
    <w:multiLevelType w:val="singleLevel"/>
    <w:tmpl w:val="F71D34CA"/>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YmM5MjYyNTJmNTQxYzcwYjI5ZjZkY2E0OTlhYTAifQ=="/>
  </w:docVars>
  <w:rsids>
    <w:rsidRoot w:val="224D2E02"/>
    <w:rsid w:val="00E95580"/>
    <w:rsid w:val="010827C0"/>
    <w:rsid w:val="01600318"/>
    <w:rsid w:val="01DE4D61"/>
    <w:rsid w:val="02FD5196"/>
    <w:rsid w:val="03DB0660"/>
    <w:rsid w:val="069C40D7"/>
    <w:rsid w:val="094736E1"/>
    <w:rsid w:val="099F5C8C"/>
    <w:rsid w:val="0B093D05"/>
    <w:rsid w:val="0B3F7726"/>
    <w:rsid w:val="0BB579E9"/>
    <w:rsid w:val="0BC419DA"/>
    <w:rsid w:val="0BC97CD3"/>
    <w:rsid w:val="0D815B6A"/>
    <w:rsid w:val="0F7977F4"/>
    <w:rsid w:val="100E76C7"/>
    <w:rsid w:val="1052385E"/>
    <w:rsid w:val="140C0963"/>
    <w:rsid w:val="177B7D38"/>
    <w:rsid w:val="17F81389"/>
    <w:rsid w:val="196B7938"/>
    <w:rsid w:val="19A072A2"/>
    <w:rsid w:val="1BD9502D"/>
    <w:rsid w:val="1D7A2FB5"/>
    <w:rsid w:val="1D8C7028"/>
    <w:rsid w:val="1E3429EF"/>
    <w:rsid w:val="1ECB6DD3"/>
    <w:rsid w:val="1F4F305E"/>
    <w:rsid w:val="20F841A8"/>
    <w:rsid w:val="224D2E02"/>
    <w:rsid w:val="24330061"/>
    <w:rsid w:val="28850088"/>
    <w:rsid w:val="29AA55E2"/>
    <w:rsid w:val="2BA16851"/>
    <w:rsid w:val="2C962990"/>
    <w:rsid w:val="2D532B60"/>
    <w:rsid w:val="2DEA5ED6"/>
    <w:rsid w:val="2E4827B8"/>
    <w:rsid w:val="2E905A1F"/>
    <w:rsid w:val="2F0A3A24"/>
    <w:rsid w:val="2F946279"/>
    <w:rsid w:val="32E3069B"/>
    <w:rsid w:val="33274478"/>
    <w:rsid w:val="3491429F"/>
    <w:rsid w:val="37336D11"/>
    <w:rsid w:val="376637C1"/>
    <w:rsid w:val="38A5089C"/>
    <w:rsid w:val="39B27192"/>
    <w:rsid w:val="3AE51639"/>
    <w:rsid w:val="3C8446EA"/>
    <w:rsid w:val="3D4C4043"/>
    <w:rsid w:val="3EA51073"/>
    <w:rsid w:val="3ECA6D2C"/>
    <w:rsid w:val="3ED420B9"/>
    <w:rsid w:val="3F344AF2"/>
    <w:rsid w:val="3F3F6F12"/>
    <w:rsid w:val="3F910430"/>
    <w:rsid w:val="41D92A5D"/>
    <w:rsid w:val="424961B9"/>
    <w:rsid w:val="43D67F21"/>
    <w:rsid w:val="43F403A7"/>
    <w:rsid w:val="440E6F36"/>
    <w:rsid w:val="45EE77A4"/>
    <w:rsid w:val="45F3369F"/>
    <w:rsid w:val="46875502"/>
    <w:rsid w:val="46BD2B0D"/>
    <w:rsid w:val="46DA0B09"/>
    <w:rsid w:val="4BE63637"/>
    <w:rsid w:val="4C066EC9"/>
    <w:rsid w:val="509D6294"/>
    <w:rsid w:val="50AA27D7"/>
    <w:rsid w:val="511E731C"/>
    <w:rsid w:val="518B776F"/>
    <w:rsid w:val="549E05E7"/>
    <w:rsid w:val="55207C0D"/>
    <w:rsid w:val="56ED315F"/>
    <w:rsid w:val="58CA3C92"/>
    <w:rsid w:val="5B331FD5"/>
    <w:rsid w:val="5CC364EF"/>
    <w:rsid w:val="5EFD5D45"/>
    <w:rsid w:val="60416BA0"/>
    <w:rsid w:val="60A21EC5"/>
    <w:rsid w:val="61292F6E"/>
    <w:rsid w:val="61AE6A91"/>
    <w:rsid w:val="63F41F91"/>
    <w:rsid w:val="65F00576"/>
    <w:rsid w:val="67634A73"/>
    <w:rsid w:val="67F8375E"/>
    <w:rsid w:val="68A044D6"/>
    <w:rsid w:val="68EB57D2"/>
    <w:rsid w:val="6C9D6486"/>
    <w:rsid w:val="6D046F2E"/>
    <w:rsid w:val="6D4609D0"/>
    <w:rsid w:val="6F92269E"/>
    <w:rsid w:val="70FE1504"/>
    <w:rsid w:val="7176503D"/>
    <w:rsid w:val="722F68CA"/>
    <w:rsid w:val="737C169B"/>
    <w:rsid w:val="744B0CAC"/>
    <w:rsid w:val="74856C65"/>
    <w:rsid w:val="76790C7E"/>
    <w:rsid w:val="784604CA"/>
    <w:rsid w:val="786F17CF"/>
    <w:rsid w:val="794E3D11"/>
    <w:rsid w:val="7AD33EF5"/>
    <w:rsid w:val="7AD601E6"/>
    <w:rsid w:val="7C4B2553"/>
    <w:rsid w:val="7CDE6F23"/>
    <w:rsid w:val="7DD24CD9"/>
    <w:rsid w:val="7F060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7"/>
    <w:qFormat/>
    <w:uiPriority w:val="0"/>
    <w:pPr>
      <w:spacing w:after="120"/>
    </w:pPr>
    <w:rPr>
      <w:rFonts w:ascii="@微软简标宋" w:hAnsi="@微软简标宋" w:eastAsia="@微软简标宋" w:cs="@微软简标宋"/>
      <w:szCs w:val="24"/>
      <w:lang w:val="zh-CN"/>
    </w:rPr>
  </w:style>
  <w:style w:type="paragraph" w:styleId="7">
    <w:name w:val="Date"/>
    <w:basedOn w:val="1"/>
    <w:next w:val="1"/>
    <w:qFormat/>
    <w:uiPriority w:val="0"/>
    <w:rPr>
      <w:rFonts w:ascii="Arial" w:hAnsi="Arial" w:eastAsia="楷体_GB2312"/>
      <w:sz w:val="28"/>
      <w:szCs w:val="20"/>
    </w:rPr>
  </w:style>
  <w:style w:type="paragraph" w:styleId="8">
    <w:name w:val="Body Text Indent"/>
    <w:basedOn w:val="1"/>
    <w:next w:val="9"/>
    <w:qFormat/>
    <w:uiPriority w:val="99"/>
    <w:pPr>
      <w:ind w:firstLine="645"/>
    </w:pPr>
    <w:rPr>
      <w:rFonts w:ascii="楷体_GB2312" w:eastAsia="楷体_GB2312"/>
      <w:sz w:val="32"/>
    </w:rPr>
  </w:style>
  <w:style w:type="paragraph" w:styleId="9">
    <w:name w:val="envelope return"/>
    <w:basedOn w:val="1"/>
    <w:qFormat/>
    <w:uiPriority w:val="99"/>
    <w:rPr>
      <w:rFonts w:ascii="Arial" w:hAnsi="Arial" w:cs="Arial"/>
      <w:kern w:val="1"/>
    </w:rPr>
  </w:style>
  <w:style w:type="paragraph" w:styleId="10">
    <w:name w:val="Plain Text"/>
    <w:basedOn w:val="1"/>
    <w:autoRedefine/>
    <w:qFormat/>
    <w:uiPriority w:val="0"/>
    <w:rPr>
      <w:rFonts w:hAnsi="Courier New" w:eastAsiaTheme="minorEastAsia"/>
      <w:szCs w:val="22"/>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99"/>
    <w:rPr>
      <w:rFonts w:ascii="Times" w:hAnsi="Times"/>
      <w:sz w:val="24"/>
      <w:szCs w:val="24"/>
    </w:rPr>
  </w:style>
  <w:style w:type="paragraph" w:styleId="14">
    <w:name w:val="footnote text"/>
    <w:basedOn w:val="1"/>
    <w:unhideWhenUsed/>
    <w:qFormat/>
    <w:uiPriority w:val="0"/>
    <w:pPr>
      <w:snapToGrid w:val="0"/>
      <w:jc w:val="left"/>
    </w:pPr>
    <w:rPr>
      <w:rFonts w:ascii="Times New Roman" w:hAnsi="Times New Roman" w:cs="Times New Roman"/>
      <w:kern w:val="2"/>
      <w:sz w:val="18"/>
      <w:szCs w:val="18"/>
      <w:lang w:val="zh-CN"/>
    </w:rPr>
  </w:style>
  <w:style w:type="paragraph" w:styleId="1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Body Text First Indent"/>
    <w:basedOn w:val="6"/>
    <w:next w:val="1"/>
    <w:unhideWhenUsed/>
    <w:qFormat/>
    <w:uiPriority w:val="99"/>
    <w:pPr>
      <w:ind w:firstLine="420" w:firstLineChars="100"/>
    </w:pPr>
  </w:style>
  <w:style w:type="paragraph" w:styleId="18">
    <w:name w:val="Body Text First Indent 2"/>
    <w:basedOn w:val="8"/>
    <w:unhideWhenUsed/>
    <w:qFormat/>
    <w:uiPriority w:val="99"/>
    <w:pPr>
      <w:spacing w:after="0"/>
      <w:ind w:left="0" w:leftChars="0" w:firstLine="420" w:firstLineChars="200"/>
    </w:pPr>
    <w:rPr>
      <w:rFonts w:ascii="宋体" w:hAnsi="宋体"/>
      <w:color w:val="000000"/>
      <w:sz w:val="24"/>
      <w:szCs w:val="20"/>
    </w:rPr>
  </w:style>
  <w:style w:type="table" w:styleId="20">
    <w:name w:val="Table Grid"/>
    <w:basedOn w:val="1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autoRedefine/>
    <w:unhideWhenUsed/>
    <w:qFormat/>
    <w:uiPriority w:val="99"/>
    <w:rPr>
      <w:color w:val="0026E5" w:themeColor="hyperlink"/>
      <w:u w:val="single"/>
      <w14:textFill>
        <w14:solidFill>
          <w14:schemeClr w14:val="hlink"/>
        </w14:solidFill>
      </w14:textFill>
    </w:rPr>
  </w:style>
  <w:style w:type="character" w:styleId="30">
    <w:name w:val="HTML Code"/>
    <w:basedOn w:val="21"/>
    <w:qFormat/>
    <w:uiPriority w:val="0"/>
    <w:rPr>
      <w:rFonts w:ascii="monospace" w:hAnsi="monospace" w:eastAsia="monospace" w:cs="monospace"/>
      <w:sz w:val="20"/>
    </w:rPr>
  </w:style>
  <w:style w:type="character" w:styleId="31">
    <w:name w:val="HTML Cite"/>
    <w:basedOn w:val="21"/>
    <w:qFormat/>
    <w:uiPriority w:val="0"/>
  </w:style>
  <w:style w:type="character" w:styleId="32">
    <w:name w:val="footnote reference"/>
    <w:autoRedefine/>
    <w:unhideWhenUsed/>
    <w:qFormat/>
    <w:uiPriority w:val="0"/>
    <w:rPr>
      <w:vertAlign w:val="superscript"/>
    </w:rPr>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hint="default" w:ascii="monospace" w:hAnsi="monospace" w:eastAsia="monospace" w:cs="monospace"/>
    </w:rPr>
  </w:style>
  <w:style w:type="paragraph" w:customStyle="1" w:styleId="35">
    <w:name w:val="五级目录"/>
    <w:basedOn w:val="1"/>
    <w:autoRedefine/>
    <w:qFormat/>
    <w:uiPriority w:val="0"/>
    <w:pPr>
      <w:ind w:left="150" w:leftChars="150"/>
      <w:outlineLvl w:val="4"/>
    </w:pPr>
    <w:rPr>
      <w:rFonts w:ascii="黑体" w:hAnsi="Times New Roman"/>
      <w:szCs w:val="28"/>
    </w:rPr>
  </w:style>
  <w:style w:type="paragraph" w:customStyle="1" w:styleId="36">
    <w:name w:val="正文（缩进）"/>
    <w:basedOn w:val="1"/>
    <w:autoRedefine/>
    <w:qFormat/>
    <w:uiPriority w:val="0"/>
    <w:pPr>
      <w:widowControl/>
      <w:spacing w:before="156" w:after="156"/>
      <w:ind w:firstLine="480"/>
      <w:jc w:val="left"/>
    </w:pPr>
    <w:rPr>
      <w:szCs w:val="24"/>
    </w:rPr>
  </w:style>
  <w:style w:type="paragraph" w:customStyle="1" w:styleId="37">
    <w:name w:val="xl31"/>
    <w:basedOn w:val="1"/>
    <w:autoRedefine/>
    <w:qFormat/>
    <w:uiPriority w:val="0"/>
    <w:pPr>
      <w:ind w:firstLine="0" w:firstLineChars="0"/>
    </w:pPr>
    <w:rPr>
      <w:rFonts w:cs="宋体"/>
      <w:bCs/>
      <w:color w:val="000000" w:themeColor="text1"/>
      <w:szCs w:val="24"/>
      <w14:textFill>
        <w14:solidFill>
          <w14:schemeClr w14:val="tx1"/>
        </w14:solidFill>
      </w14:textFill>
    </w:rPr>
  </w:style>
  <w:style w:type="paragraph" w:customStyle="1" w:styleId="38">
    <w:name w:val="D&amp;L"/>
    <w:basedOn w:val="12"/>
    <w:autoRedefine/>
    <w:qFormat/>
    <w:uiPriority w:val="0"/>
    <w:pPr>
      <w:pBdr>
        <w:bottom w:val="none" w:color="auto" w:sz="0" w:space="0"/>
      </w:pBdr>
      <w:snapToGrid/>
    </w:pPr>
    <w:rPr>
      <w:rFonts w:cs="宋体"/>
      <w:bCs/>
      <w:kern w:val="2"/>
      <w:sz w:val="24"/>
      <w:szCs w:val="24"/>
    </w:rPr>
  </w:style>
  <w:style w:type="paragraph" w:customStyle="1" w:styleId="39">
    <w:name w:val="普通 (Web)"/>
    <w:basedOn w:val="1"/>
    <w:autoRedefine/>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paragraph" w:customStyle="1" w:styleId="4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纯文本1"/>
    <w:basedOn w:val="1"/>
    <w:autoRedefine/>
    <w:qFormat/>
    <w:uiPriority w:val="0"/>
    <w:rPr>
      <w:rFonts w:ascii="Arial" w:hAnsi="Arial" w:eastAsia="Arial" w:cs="Times New Roman"/>
    </w:rPr>
  </w:style>
  <w:style w:type="character" w:customStyle="1" w:styleId="42">
    <w:name w:val="font31"/>
    <w:basedOn w:val="21"/>
    <w:qFormat/>
    <w:uiPriority w:val="0"/>
    <w:rPr>
      <w:rFonts w:ascii="宋体" w:hAnsi="宋体" w:eastAsia="宋体" w:cs="宋体"/>
      <w:color w:val="000000"/>
      <w:sz w:val="24"/>
      <w:szCs w:val="24"/>
      <w:u w:val="none"/>
    </w:rPr>
  </w:style>
  <w:style w:type="character" w:customStyle="1" w:styleId="43">
    <w:name w:val="font41"/>
    <w:basedOn w:val="21"/>
    <w:qFormat/>
    <w:uiPriority w:val="0"/>
    <w:rPr>
      <w:rFonts w:ascii="宋体" w:hAnsi="宋体" w:eastAsia="宋体" w:cs="宋体"/>
      <w:b/>
      <w:bCs/>
      <w:color w:val="000000"/>
      <w:sz w:val="24"/>
      <w:szCs w:val="24"/>
      <w:u w:val="none"/>
    </w:rPr>
  </w:style>
  <w:style w:type="character" w:customStyle="1" w:styleId="44">
    <w:name w:val="font51"/>
    <w:basedOn w:val="21"/>
    <w:qFormat/>
    <w:uiPriority w:val="0"/>
    <w:rPr>
      <w:rFonts w:ascii="宋体" w:hAnsi="宋体" w:eastAsia="宋体" w:cs="宋体"/>
      <w:color w:val="000000"/>
      <w:sz w:val="24"/>
      <w:szCs w:val="24"/>
      <w:u w:val="none"/>
    </w:rPr>
  </w:style>
  <w:style w:type="character" w:customStyle="1" w:styleId="45">
    <w:name w:val="layui-layer-tabnow"/>
    <w:basedOn w:val="21"/>
    <w:qFormat/>
    <w:uiPriority w:val="0"/>
    <w:rPr>
      <w:bdr w:val="single" w:color="CCCCCC" w:sz="6" w:space="0"/>
      <w:shd w:val="clear" w:fill="FFFFFF"/>
    </w:rPr>
  </w:style>
  <w:style w:type="character" w:customStyle="1" w:styleId="46">
    <w:name w:val="first-child"/>
    <w:basedOn w:val="21"/>
    <w:qFormat/>
    <w:uiPriority w:val="0"/>
  </w:style>
  <w:style w:type="paragraph" w:customStyle="1" w:styleId="47">
    <w:name w:val="列出段落4"/>
    <w:basedOn w:val="1"/>
    <w:autoRedefine/>
    <w:qFormat/>
    <w:uiPriority w:val="0"/>
    <w:pPr>
      <w:ind w:firstLine="420" w:firstLineChars="200"/>
    </w:pPr>
    <w:rPr>
      <w:rFonts w:ascii="@仿宋_GB2312" w:hAnsi="@仿宋_GB2312" w:eastAsia="@仿宋_GB2312" w:cs="@仿宋_GB231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1394</Words>
  <Characters>1860</Characters>
  <Lines>0</Lines>
  <Paragraphs>0</Paragraphs>
  <TotalTime>325</TotalTime>
  <ScaleCrop>false</ScaleCrop>
  <LinksUpToDate>false</LinksUpToDate>
  <CharactersWithSpaces>1906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2026-03-16T08:28:00Z</dcterms:created>
  <dc:creator>龚舒杰</dc:creator>
  <cp:lastModifiedBy>谭丽君</cp:lastModifiedBy>
  <cp:lastPrinted>2026-04-29T03:17:00Z</cp:lastPrinted>
  <dcterms:modified xsi:type="dcterms:W3CDTF">2026-04-30T07:54:26Z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4482F507662E47C8813A40613E46A374_13</vt:lpwstr>
  </property>
  <property fmtid="{D5CDD505-2E9C-101B-9397-08002B2CF9AE}" pid="4" name="KSOTemplateDocerSaveRecord">
    <vt:lpwstr>eyJoZGlkIjoiNGUzNTRkZTA3NzRhZjA4ZDA4NWU3ZjQ0NjNhZWUzZjkiLCJ1c2VySWQiOiIxNTcwOTkzNjIwIn0=</vt:lpwstr>
  </property>
</Properties>
</file>