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highlight w:val="none"/>
        </w:rPr>
      </w:pPr>
      <w:bookmarkStart w:id="0" w:name="_Hlk9544796"/>
    </w:p>
    <w:bookmarkEnd w:id="0"/>
    <w:p>
      <w:pPr>
        <w:tabs>
          <w:tab w:val="left" w:pos="315"/>
          <w:tab w:val="left" w:pos="8820"/>
        </w:tabs>
        <w:spacing w:before="240" w:beforeLines="100" w:after="120" w:afterLines="50" w:line="500" w:lineRule="exact"/>
        <w:ind w:right="254" w:rightChars="127"/>
        <w:jc w:val="center"/>
        <w:rPr>
          <w:rFonts w:cs="宋体"/>
          <w:b/>
          <w:bCs/>
          <w:sz w:val="52"/>
          <w:szCs w:val="52"/>
          <w:highlight w:val="none"/>
        </w:rPr>
      </w:pPr>
      <w:r>
        <w:rPr>
          <w:rFonts w:hint="eastAsia" w:cs="宋体"/>
          <w:b/>
          <w:bCs/>
          <w:sz w:val="52"/>
          <w:szCs w:val="52"/>
          <w:highlight w:val="none"/>
        </w:rPr>
        <w:t>工程类磋商文件</w:t>
      </w:r>
    </w:p>
    <w:p>
      <w:pPr>
        <w:tabs>
          <w:tab w:val="left" w:pos="315"/>
          <w:tab w:val="left" w:pos="8820"/>
        </w:tabs>
        <w:spacing w:before="240" w:beforeLines="100" w:after="120" w:afterLines="50" w:line="500" w:lineRule="exact"/>
        <w:ind w:right="254" w:rightChars="127"/>
        <w:jc w:val="center"/>
        <w:rPr>
          <w:rFonts w:cs="宋体"/>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Cs/>
          <w:sz w:val="44"/>
          <w:szCs w:val="44"/>
          <w:highlight w:val="none"/>
        </w:rPr>
      </w:pPr>
      <w:r>
        <w:rPr>
          <w:rFonts w:hint="eastAsia" w:cs="宋体"/>
          <w:color w:val="auto"/>
        </w:rPr>
        <w:drawing>
          <wp:anchor distT="0" distB="0" distL="114300" distR="114300" simplePos="0" relativeHeight="251659264" behindDoc="0" locked="0" layoutInCell="1" allowOverlap="1">
            <wp:simplePos x="0" y="0"/>
            <wp:positionH relativeFrom="column">
              <wp:posOffset>1698625</wp:posOffset>
            </wp:positionH>
            <wp:positionV relativeFrom="paragraph">
              <wp:posOffset>448310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sz w:val="44"/>
          <w:szCs w:val="44"/>
          <w:highlight w:val="none"/>
        </w:rPr>
      </w:pPr>
    </w:p>
    <w:p>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highlight w:val="none"/>
        </w:rPr>
      </w:pPr>
    </w:p>
    <w:p>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highlight w:val="none"/>
        </w:rPr>
      </w:pPr>
    </w:p>
    <w:p>
      <w:pPr>
        <w:tabs>
          <w:tab w:val="left" w:pos="2410"/>
        </w:tabs>
        <w:autoSpaceDE w:val="0"/>
        <w:autoSpaceDN w:val="0"/>
        <w:adjustRightInd w:val="0"/>
        <w:snapToGrid w:val="0"/>
        <w:spacing w:line="360" w:lineRule="auto"/>
        <w:ind w:left="1806" w:leftChars="0" w:hanging="1806" w:hangingChars="500"/>
        <w:rPr>
          <w:rFonts w:hint="eastAsia" w:eastAsia="宋体" w:cs="宋体"/>
          <w:b/>
          <w:spacing w:val="20"/>
          <w:sz w:val="32"/>
          <w:szCs w:val="32"/>
          <w:highlight w:val="none"/>
          <w:u w:val="single"/>
          <w:lang w:eastAsia="zh-CN"/>
        </w:rPr>
      </w:pPr>
      <w:r>
        <w:rPr>
          <w:rFonts w:hint="eastAsia" w:cs="宋体"/>
          <w:b/>
          <w:spacing w:val="20"/>
          <w:sz w:val="32"/>
          <w:szCs w:val="32"/>
          <w:highlight w:val="none"/>
        </w:rPr>
        <w:t>项目名称：</w:t>
      </w:r>
      <w:r>
        <w:rPr>
          <w:rFonts w:hint="eastAsia" w:cs="宋体"/>
          <w:b/>
          <w:spacing w:val="20"/>
          <w:sz w:val="32"/>
          <w:szCs w:val="32"/>
          <w:highlight w:val="none"/>
          <w:u w:val="single"/>
          <w:lang w:eastAsia="zh-CN"/>
        </w:rPr>
        <w:t>肥西县上派镇光明府光储充放一体化充电站项目</w:t>
      </w:r>
    </w:p>
    <w:p>
      <w:pPr>
        <w:tabs>
          <w:tab w:val="left" w:pos="2410"/>
        </w:tabs>
        <w:autoSpaceDE w:val="0"/>
        <w:autoSpaceDN w:val="0"/>
        <w:adjustRightInd w:val="0"/>
        <w:snapToGrid w:val="0"/>
        <w:spacing w:line="360" w:lineRule="auto"/>
        <w:ind w:left="0" w:leftChars="0" w:firstLine="0" w:firstLineChars="0"/>
        <w:rPr>
          <w:rFonts w:hint="default" w:eastAsia="宋体" w:cs="宋体"/>
          <w:b/>
          <w:spacing w:val="20"/>
          <w:sz w:val="32"/>
          <w:szCs w:val="32"/>
          <w:highlight w:val="none"/>
          <w:lang w:val="en-US" w:eastAsia="zh-CN"/>
        </w:rPr>
      </w:pPr>
      <w:r>
        <w:rPr>
          <w:rFonts w:hint="eastAsia" w:cs="宋体"/>
          <w:b/>
          <w:spacing w:val="20"/>
          <w:sz w:val="32"/>
          <w:szCs w:val="32"/>
          <w:highlight w:val="none"/>
        </w:rPr>
        <w:t>项目编号：</w:t>
      </w:r>
      <w:r>
        <w:rPr>
          <w:rFonts w:hint="eastAsia" w:cs="宋体"/>
          <w:b/>
          <w:spacing w:val="20"/>
          <w:sz w:val="32"/>
          <w:szCs w:val="32"/>
          <w:highlight w:val="none"/>
          <w:u w:val="single"/>
          <w:lang w:eastAsia="zh-CN"/>
        </w:rPr>
        <w:t>2025PHGN0020</w:t>
      </w:r>
    </w:p>
    <w:p>
      <w:pPr>
        <w:tabs>
          <w:tab w:val="left" w:pos="2410"/>
        </w:tabs>
        <w:autoSpaceDE w:val="0"/>
        <w:autoSpaceDN w:val="0"/>
        <w:adjustRightInd w:val="0"/>
        <w:snapToGrid w:val="0"/>
        <w:spacing w:line="360" w:lineRule="auto"/>
        <w:rPr>
          <w:rFonts w:hint="eastAsia" w:eastAsia="宋体" w:cs="宋体"/>
          <w:b/>
          <w:spacing w:val="20"/>
          <w:sz w:val="32"/>
          <w:szCs w:val="32"/>
          <w:highlight w:val="none"/>
          <w:lang w:eastAsia="zh-CN"/>
        </w:rPr>
      </w:pPr>
      <w:r>
        <w:rPr>
          <w:rFonts w:cs="宋体"/>
          <w:b/>
          <w:spacing w:val="20"/>
          <w:sz w:val="32"/>
          <w:szCs w:val="32"/>
          <w:highlight w:val="none"/>
        </w:rPr>
        <w:t>业主单位</w:t>
      </w:r>
      <w:r>
        <w:rPr>
          <w:rFonts w:hint="eastAsia" w:cs="宋体"/>
          <w:b/>
          <w:spacing w:val="20"/>
          <w:sz w:val="32"/>
          <w:szCs w:val="32"/>
          <w:highlight w:val="none"/>
        </w:rPr>
        <w:t>：</w:t>
      </w:r>
      <w:r>
        <w:rPr>
          <w:rFonts w:hint="eastAsia" w:cs="宋体"/>
          <w:b/>
          <w:spacing w:val="20"/>
          <w:sz w:val="32"/>
          <w:szCs w:val="32"/>
          <w:highlight w:val="none"/>
          <w:u w:val="single"/>
          <w:lang w:eastAsia="zh-CN"/>
        </w:rPr>
        <w:t>肥西综合能源服务有限公司</w:t>
      </w:r>
    </w:p>
    <w:p>
      <w:pPr>
        <w:tabs>
          <w:tab w:val="left" w:pos="2410"/>
        </w:tabs>
        <w:autoSpaceDE w:val="0"/>
        <w:autoSpaceDN w:val="0"/>
        <w:adjustRightInd w:val="0"/>
        <w:snapToGrid w:val="0"/>
        <w:spacing w:line="360" w:lineRule="auto"/>
        <w:rPr>
          <w:rFonts w:hint="eastAsia" w:eastAsia="宋体" w:cs="宋体"/>
          <w:b/>
          <w:spacing w:val="20"/>
          <w:sz w:val="32"/>
          <w:szCs w:val="32"/>
          <w:highlight w:val="none"/>
          <w:lang w:eastAsia="zh-CN"/>
        </w:rPr>
      </w:pPr>
      <w:r>
        <w:rPr>
          <w:rFonts w:hint="eastAsia" w:cs="宋体"/>
          <w:b/>
          <w:spacing w:val="20"/>
          <w:sz w:val="32"/>
          <w:szCs w:val="32"/>
          <w:highlight w:val="none"/>
        </w:rPr>
        <w:t>代理机构：</w:t>
      </w:r>
      <w:r>
        <w:rPr>
          <w:rFonts w:hint="eastAsia" w:cs="宋体"/>
          <w:b/>
          <w:spacing w:val="20"/>
          <w:sz w:val="32"/>
          <w:szCs w:val="32"/>
          <w:highlight w:val="none"/>
          <w:u w:val="single"/>
          <w:lang w:eastAsia="zh-CN"/>
        </w:rPr>
        <w:t>肥西县派合商务服务有限公司</w:t>
      </w:r>
    </w:p>
    <w:p>
      <w:pPr>
        <w:tabs>
          <w:tab w:val="left" w:pos="2410"/>
        </w:tabs>
        <w:autoSpaceDE w:val="0"/>
        <w:autoSpaceDN w:val="0"/>
        <w:adjustRightInd w:val="0"/>
        <w:snapToGrid w:val="0"/>
        <w:spacing w:line="360" w:lineRule="auto"/>
        <w:jc w:val="center"/>
        <w:rPr>
          <w:rFonts w:hint="eastAsia" w:cs="宋体"/>
          <w:b/>
          <w:sz w:val="36"/>
          <w:highlight w:val="none"/>
          <w:u w:val="single"/>
          <w:lang w:val="en-US" w:eastAsia="zh-CN"/>
        </w:rPr>
      </w:pPr>
    </w:p>
    <w:p>
      <w:pPr>
        <w:tabs>
          <w:tab w:val="left" w:pos="2410"/>
        </w:tabs>
        <w:autoSpaceDE w:val="0"/>
        <w:autoSpaceDN w:val="0"/>
        <w:adjustRightInd w:val="0"/>
        <w:snapToGrid w:val="0"/>
        <w:spacing w:line="360" w:lineRule="auto"/>
        <w:jc w:val="center"/>
        <w:rPr>
          <w:rFonts w:cs="宋体"/>
          <w:b/>
          <w:sz w:val="36"/>
          <w:highlight w:val="none"/>
        </w:rPr>
      </w:pPr>
      <w:r>
        <w:rPr>
          <w:rFonts w:hint="eastAsia" w:cs="宋体"/>
          <w:b/>
          <w:sz w:val="36"/>
          <w:highlight w:val="none"/>
          <w:u w:val="single"/>
          <w:lang w:val="en-US" w:eastAsia="zh-CN"/>
        </w:rPr>
        <w:t xml:space="preserve"> </w:t>
      </w:r>
      <w:r>
        <w:rPr>
          <w:rFonts w:hint="eastAsia" w:cs="宋体"/>
          <w:b/>
          <w:sz w:val="36"/>
          <w:highlight w:val="none"/>
          <w:u w:val="single"/>
        </w:rPr>
        <w:t>202</w:t>
      </w:r>
      <w:r>
        <w:rPr>
          <w:rFonts w:hint="eastAsia" w:cs="宋体"/>
          <w:b/>
          <w:sz w:val="36"/>
          <w:highlight w:val="none"/>
          <w:u w:val="single"/>
          <w:lang w:val="en-US" w:eastAsia="zh-CN"/>
        </w:rPr>
        <w:t xml:space="preserve">5 </w:t>
      </w:r>
      <w:r>
        <w:rPr>
          <w:rFonts w:hint="eastAsia" w:cs="宋体"/>
          <w:b/>
          <w:sz w:val="36"/>
          <w:highlight w:val="none"/>
        </w:rPr>
        <w:t>年</w:t>
      </w:r>
      <w:r>
        <w:rPr>
          <w:rFonts w:hint="eastAsia" w:cs="宋体"/>
          <w:b/>
          <w:sz w:val="36"/>
          <w:highlight w:val="none"/>
          <w:u w:val="single"/>
          <w:lang w:val="en-US" w:eastAsia="zh-CN"/>
        </w:rPr>
        <w:t xml:space="preserve"> 01 </w:t>
      </w:r>
      <w:r>
        <w:rPr>
          <w:rFonts w:hint="eastAsia" w:cs="宋体"/>
          <w:b/>
          <w:sz w:val="36"/>
          <w:highlight w:val="none"/>
        </w:rPr>
        <w:t>月</w:t>
      </w:r>
    </w:p>
    <w:p>
      <w:pPr>
        <w:tabs>
          <w:tab w:val="left" w:pos="2410"/>
        </w:tabs>
        <w:autoSpaceDE w:val="0"/>
        <w:autoSpaceDN w:val="0"/>
        <w:adjustRightInd w:val="0"/>
        <w:snapToGrid w:val="0"/>
        <w:spacing w:line="360" w:lineRule="auto"/>
        <w:jc w:val="center"/>
        <w:rPr>
          <w:rFonts w:cs="宋体"/>
          <w:b/>
          <w:sz w:val="24"/>
          <w:szCs w:val="24"/>
          <w:highlight w:val="none"/>
        </w:rPr>
      </w:pPr>
      <w:r>
        <w:rPr>
          <w:rFonts w:hint="eastAsia" w:cs="宋体"/>
          <w:b/>
          <w:sz w:val="24"/>
          <w:szCs w:val="24"/>
          <w:highlight w:val="none"/>
        </w:rPr>
        <w:t>目  录</w:t>
      </w:r>
    </w:p>
    <w:p>
      <w:pPr>
        <w:tabs>
          <w:tab w:val="left" w:pos="2410"/>
        </w:tabs>
        <w:autoSpaceDE w:val="0"/>
        <w:autoSpaceDN w:val="0"/>
        <w:adjustRightInd w:val="0"/>
        <w:snapToGrid w:val="0"/>
        <w:spacing w:line="360" w:lineRule="auto"/>
        <w:jc w:val="center"/>
        <w:rPr>
          <w:rFonts w:cs="宋体"/>
          <w:b/>
          <w:sz w:val="24"/>
          <w:szCs w:val="24"/>
          <w:highlight w:val="none"/>
        </w:rPr>
      </w:pPr>
    </w:p>
    <w:p>
      <w:pPr>
        <w:pStyle w:val="14"/>
        <w:tabs>
          <w:tab w:val="right" w:leader="dot" w:pos="8279"/>
        </w:tabs>
        <w:spacing w:line="360" w:lineRule="auto"/>
        <w:rPr>
          <w:rFonts w:cs="宋体"/>
          <w:b/>
          <w:bCs/>
          <w:sz w:val="24"/>
          <w:szCs w:val="24"/>
          <w:highlight w:val="none"/>
        </w:rPr>
      </w:pPr>
      <w:r>
        <w:rPr>
          <w:rFonts w:hint="eastAsia" w:cs="宋体"/>
          <w:b/>
          <w:bCs/>
          <w:sz w:val="24"/>
          <w:szCs w:val="24"/>
          <w:highlight w:val="none"/>
        </w:rPr>
        <w:fldChar w:fldCharType="begin"/>
      </w:r>
      <w:r>
        <w:rPr>
          <w:rFonts w:hint="eastAsia" w:cs="宋体"/>
          <w:b/>
          <w:bCs/>
          <w:sz w:val="24"/>
          <w:szCs w:val="24"/>
          <w:highlight w:val="none"/>
        </w:rPr>
        <w:instrText xml:space="preserve"> TOC \o "1-2" \h \z \u </w:instrText>
      </w:r>
      <w:r>
        <w:rPr>
          <w:rFonts w:hint="eastAsia" w:cs="宋体"/>
          <w:b/>
          <w:bCs/>
          <w:sz w:val="24"/>
          <w:szCs w:val="24"/>
          <w:highlight w:val="none"/>
        </w:rPr>
        <w:fldChar w:fldCharType="separate"/>
      </w:r>
      <w:r>
        <w:rPr>
          <w:highlight w:val="none"/>
        </w:rPr>
        <w:fldChar w:fldCharType="begin"/>
      </w:r>
      <w:r>
        <w:rPr>
          <w:highlight w:val="none"/>
        </w:rPr>
        <w:instrText xml:space="preserve"> HYPERLINK \l "_Toc17195" </w:instrText>
      </w:r>
      <w:r>
        <w:rPr>
          <w:highlight w:val="none"/>
        </w:rPr>
        <w:fldChar w:fldCharType="separate"/>
      </w:r>
      <w:r>
        <w:rPr>
          <w:rFonts w:hint="eastAsia" w:cs="宋体"/>
          <w:b/>
          <w:bCs/>
          <w:sz w:val="24"/>
          <w:szCs w:val="24"/>
          <w:highlight w:val="none"/>
        </w:rPr>
        <w:t>第一章  磋商邀请</w:t>
      </w:r>
      <w:r>
        <w:rPr>
          <w:rFonts w:hint="eastAsia" w:cs="宋体"/>
          <w:b/>
          <w:bCs/>
          <w:sz w:val="24"/>
          <w:szCs w:val="24"/>
          <w:highlight w:val="none"/>
        </w:rPr>
        <w:tab/>
      </w:r>
      <w:r>
        <w:rPr>
          <w:rFonts w:hint="eastAsia" w:cs="宋体"/>
          <w:b/>
          <w:bCs/>
          <w:sz w:val="24"/>
          <w:szCs w:val="24"/>
          <w:highlight w:val="none"/>
        </w:rPr>
        <w:fldChar w:fldCharType="begin"/>
      </w:r>
      <w:r>
        <w:rPr>
          <w:rFonts w:hint="eastAsia" w:cs="宋体"/>
          <w:b/>
          <w:bCs/>
          <w:sz w:val="24"/>
          <w:szCs w:val="24"/>
          <w:highlight w:val="none"/>
        </w:rPr>
        <w:instrText xml:space="preserve"> PAGEREF _Toc17195 \h </w:instrText>
      </w:r>
      <w:r>
        <w:rPr>
          <w:rFonts w:hint="eastAsia" w:cs="宋体"/>
          <w:b/>
          <w:bCs/>
          <w:sz w:val="24"/>
          <w:szCs w:val="24"/>
          <w:highlight w:val="none"/>
        </w:rPr>
        <w:fldChar w:fldCharType="separate"/>
      </w:r>
      <w:r>
        <w:rPr>
          <w:rFonts w:hint="eastAsia" w:cs="宋体"/>
          <w:b/>
          <w:bCs/>
          <w:sz w:val="24"/>
          <w:szCs w:val="24"/>
          <w:highlight w:val="none"/>
        </w:rPr>
        <w:t>1</w:t>
      </w:r>
      <w:r>
        <w:rPr>
          <w:rFonts w:hint="eastAsia" w:cs="宋体"/>
          <w:b/>
          <w:bCs/>
          <w:sz w:val="24"/>
          <w:szCs w:val="24"/>
          <w:highlight w:val="none"/>
        </w:rPr>
        <w:fldChar w:fldCharType="end"/>
      </w:r>
      <w:r>
        <w:rPr>
          <w:rFonts w:hint="eastAsia" w:cs="宋体"/>
          <w:b/>
          <w:bCs/>
          <w:sz w:val="24"/>
          <w:szCs w:val="24"/>
          <w:highlight w:val="none"/>
        </w:rPr>
        <w:fldChar w:fldCharType="end"/>
      </w:r>
    </w:p>
    <w:p>
      <w:pPr>
        <w:pStyle w:val="14"/>
        <w:tabs>
          <w:tab w:val="right" w:leader="dot" w:pos="8279"/>
        </w:tabs>
        <w:spacing w:line="360" w:lineRule="auto"/>
        <w:rPr>
          <w:rFonts w:cs="宋体"/>
          <w:b/>
          <w:bCs/>
          <w:sz w:val="24"/>
          <w:szCs w:val="24"/>
          <w:highlight w:val="none"/>
        </w:rPr>
      </w:pPr>
      <w:r>
        <w:rPr>
          <w:highlight w:val="none"/>
        </w:rPr>
        <w:fldChar w:fldCharType="begin"/>
      </w:r>
      <w:r>
        <w:rPr>
          <w:highlight w:val="none"/>
        </w:rPr>
        <w:instrText xml:space="preserve"> HYPERLINK \l "_Toc26944" </w:instrText>
      </w:r>
      <w:r>
        <w:rPr>
          <w:highlight w:val="none"/>
        </w:rPr>
        <w:fldChar w:fldCharType="separate"/>
      </w:r>
      <w:r>
        <w:rPr>
          <w:rFonts w:hint="eastAsia" w:cs="宋体"/>
          <w:b/>
          <w:bCs/>
          <w:sz w:val="24"/>
          <w:szCs w:val="24"/>
          <w:highlight w:val="none"/>
        </w:rPr>
        <w:t>第二章  参审单位须知</w:t>
      </w:r>
      <w:r>
        <w:rPr>
          <w:rFonts w:hint="eastAsia" w:cs="宋体"/>
          <w:b/>
          <w:bCs/>
          <w:sz w:val="24"/>
          <w:szCs w:val="24"/>
          <w:highlight w:val="none"/>
        </w:rPr>
        <w:tab/>
      </w:r>
      <w:r>
        <w:rPr>
          <w:rFonts w:hint="eastAsia" w:cs="宋体"/>
          <w:b/>
          <w:bCs/>
          <w:sz w:val="24"/>
          <w:szCs w:val="24"/>
          <w:highlight w:val="none"/>
        </w:rPr>
        <w:fldChar w:fldCharType="begin"/>
      </w:r>
      <w:r>
        <w:rPr>
          <w:rFonts w:hint="eastAsia" w:cs="宋体"/>
          <w:b/>
          <w:bCs/>
          <w:sz w:val="24"/>
          <w:szCs w:val="24"/>
          <w:highlight w:val="none"/>
        </w:rPr>
        <w:instrText xml:space="preserve"> PAGEREF _Toc26944 \h </w:instrText>
      </w:r>
      <w:r>
        <w:rPr>
          <w:rFonts w:hint="eastAsia" w:cs="宋体"/>
          <w:b/>
          <w:bCs/>
          <w:sz w:val="24"/>
          <w:szCs w:val="24"/>
          <w:highlight w:val="none"/>
        </w:rPr>
        <w:fldChar w:fldCharType="separate"/>
      </w:r>
      <w:r>
        <w:rPr>
          <w:rFonts w:hint="eastAsia" w:cs="宋体"/>
          <w:b/>
          <w:bCs/>
          <w:sz w:val="24"/>
          <w:szCs w:val="24"/>
          <w:highlight w:val="none"/>
        </w:rPr>
        <w:t>4</w:t>
      </w:r>
      <w:r>
        <w:rPr>
          <w:rFonts w:hint="eastAsia" w:cs="宋体"/>
          <w:b/>
          <w:bCs/>
          <w:sz w:val="24"/>
          <w:szCs w:val="24"/>
          <w:highlight w:val="none"/>
        </w:rPr>
        <w:fldChar w:fldCharType="end"/>
      </w:r>
      <w:r>
        <w:rPr>
          <w:rFonts w:hint="eastAsia" w:cs="宋体"/>
          <w:b/>
          <w:bCs/>
          <w:sz w:val="24"/>
          <w:szCs w:val="24"/>
          <w:highlight w:val="none"/>
        </w:rPr>
        <w:fldChar w:fldCharType="end"/>
      </w:r>
    </w:p>
    <w:p>
      <w:pPr>
        <w:pStyle w:val="14"/>
        <w:tabs>
          <w:tab w:val="right" w:leader="dot" w:pos="8279"/>
        </w:tabs>
        <w:spacing w:line="360" w:lineRule="auto"/>
        <w:rPr>
          <w:rFonts w:cs="宋体"/>
          <w:b/>
          <w:bCs/>
          <w:sz w:val="24"/>
          <w:szCs w:val="24"/>
          <w:highlight w:val="none"/>
        </w:rPr>
      </w:pPr>
      <w:r>
        <w:rPr>
          <w:highlight w:val="none"/>
        </w:rPr>
        <w:fldChar w:fldCharType="begin"/>
      </w:r>
      <w:r>
        <w:rPr>
          <w:highlight w:val="none"/>
        </w:rPr>
        <w:instrText xml:space="preserve"> HYPERLINK \l "_Toc26020" </w:instrText>
      </w:r>
      <w:r>
        <w:rPr>
          <w:highlight w:val="none"/>
        </w:rPr>
        <w:fldChar w:fldCharType="separate"/>
      </w:r>
      <w:r>
        <w:rPr>
          <w:rFonts w:hint="eastAsia" w:cs="宋体"/>
          <w:b/>
          <w:bCs/>
          <w:sz w:val="24"/>
          <w:szCs w:val="24"/>
          <w:highlight w:val="none"/>
        </w:rPr>
        <w:t>第三章  项目需求</w:t>
      </w:r>
      <w:r>
        <w:rPr>
          <w:rFonts w:hint="eastAsia" w:cs="宋体"/>
          <w:b/>
          <w:bCs/>
          <w:sz w:val="24"/>
          <w:szCs w:val="24"/>
          <w:highlight w:val="none"/>
        </w:rPr>
        <w:tab/>
      </w:r>
      <w:r>
        <w:rPr>
          <w:rFonts w:hint="eastAsia" w:cs="宋体"/>
          <w:b/>
          <w:bCs/>
          <w:sz w:val="24"/>
          <w:szCs w:val="24"/>
          <w:highlight w:val="none"/>
        </w:rPr>
        <w:fldChar w:fldCharType="begin"/>
      </w:r>
      <w:r>
        <w:rPr>
          <w:rFonts w:hint="eastAsia" w:cs="宋体"/>
          <w:b/>
          <w:bCs/>
          <w:sz w:val="24"/>
          <w:szCs w:val="24"/>
          <w:highlight w:val="none"/>
        </w:rPr>
        <w:instrText xml:space="preserve"> PAGEREF _Toc26020 \h </w:instrText>
      </w:r>
      <w:r>
        <w:rPr>
          <w:rFonts w:hint="eastAsia" w:cs="宋体"/>
          <w:b/>
          <w:bCs/>
          <w:sz w:val="24"/>
          <w:szCs w:val="24"/>
          <w:highlight w:val="none"/>
        </w:rPr>
        <w:fldChar w:fldCharType="separate"/>
      </w:r>
      <w:r>
        <w:rPr>
          <w:rFonts w:hint="eastAsia" w:cs="宋体"/>
          <w:b/>
          <w:bCs/>
          <w:sz w:val="24"/>
          <w:szCs w:val="24"/>
          <w:highlight w:val="none"/>
        </w:rPr>
        <w:t>30</w:t>
      </w:r>
      <w:r>
        <w:rPr>
          <w:rFonts w:hint="eastAsia" w:cs="宋体"/>
          <w:b/>
          <w:bCs/>
          <w:sz w:val="24"/>
          <w:szCs w:val="24"/>
          <w:highlight w:val="none"/>
        </w:rPr>
        <w:fldChar w:fldCharType="end"/>
      </w:r>
      <w:r>
        <w:rPr>
          <w:rFonts w:hint="eastAsia" w:cs="宋体"/>
          <w:b/>
          <w:bCs/>
          <w:sz w:val="24"/>
          <w:szCs w:val="24"/>
          <w:highlight w:val="none"/>
        </w:rPr>
        <w:fldChar w:fldCharType="end"/>
      </w:r>
    </w:p>
    <w:p>
      <w:pPr>
        <w:pStyle w:val="14"/>
        <w:tabs>
          <w:tab w:val="right" w:leader="dot" w:pos="8279"/>
        </w:tabs>
        <w:spacing w:line="360" w:lineRule="auto"/>
        <w:rPr>
          <w:rFonts w:cs="宋体"/>
          <w:b/>
          <w:bCs/>
          <w:sz w:val="24"/>
          <w:szCs w:val="24"/>
          <w:highlight w:val="none"/>
        </w:rPr>
      </w:pPr>
      <w:r>
        <w:rPr>
          <w:highlight w:val="none"/>
        </w:rPr>
        <w:fldChar w:fldCharType="begin"/>
      </w:r>
      <w:r>
        <w:rPr>
          <w:highlight w:val="none"/>
        </w:rPr>
        <w:instrText xml:space="preserve"> HYPERLINK \l "_Toc1048" </w:instrText>
      </w:r>
      <w:r>
        <w:rPr>
          <w:highlight w:val="none"/>
        </w:rPr>
        <w:fldChar w:fldCharType="separate"/>
      </w:r>
      <w:r>
        <w:rPr>
          <w:rFonts w:hint="eastAsia" w:cs="宋体"/>
          <w:b/>
          <w:bCs/>
          <w:sz w:val="24"/>
          <w:szCs w:val="24"/>
          <w:highlight w:val="none"/>
        </w:rPr>
        <w:t>第四章  评审方法和标准</w:t>
      </w:r>
      <w:r>
        <w:rPr>
          <w:rFonts w:hint="eastAsia" w:cs="宋体"/>
          <w:b/>
          <w:bCs/>
          <w:sz w:val="24"/>
          <w:szCs w:val="24"/>
          <w:highlight w:val="none"/>
        </w:rPr>
        <w:tab/>
      </w:r>
      <w:r>
        <w:rPr>
          <w:rFonts w:hint="eastAsia" w:cs="宋体"/>
          <w:b/>
          <w:bCs/>
          <w:sz w:val="24"/>
          <w:szCs w:val="24"/>
          <w:highlight w:val="none"/>
        </w:rPr>
        <w:fldChar w:fldCharType="begin"/>
      </w:r>
      <w:r>
        <w:rPr>
          <w:rFonts w:hint="eastAsia" w:cs="宋体"/>
          <w:b/>
          <w:bCs/>
          <w:sz w:val="24"/>
          <w:szCs w:val="24"/>
          <w:highlight w:val="none"/>
        </w:rPr>
        <w:instrText xml:space="preserve"> PAGEREF _Toc1048 \h </w:instrText>
      </w:r>
      <w:r>
        <w:rPr>
          <w:rFonts w:hint="eastAsia" w:cs="宋体"/>
          <w:b/>
          <w:bCs/>
          <w:sz w:val="24"/>
          <w:szCs w:val="24"/>
          <w:highlight w:val="none"/>
        </w:rPr>
        <w:fldChar w:fldCharType="separate"/>
      </w:r>
      <w:r>
        <w:rPr>
          <w:rFonts w:hint="eastAsia" w:cs="宋体"/>
          <w:b/>
          <w:bCs/>
          <w:sz w:val="24"/>
          <w:szCs w:val="24"/>
          <w:highlight w:val="none"/>
        </w:rPr>
        <w:t>32</w:t>
      </w:r>
      <w:r>
        <w:rPr>
          <w:rFonts w:hint="eastAsia" w:cs="宋体"/>
          <w:b/>
          <w:bCs/>
          <w:sz w:val="24"/>
          <w:szCs w:val="24"/>
          <w:highlight w:val="none"/>
        </w:rPr>
        <w:fldChar w:fldCharType="end"/>
      </w:r>
      <w:r>
        <w:rPr>
          <w:rFonts w:hint="eastAsia" w:cs="宋体"/>
          <w:b/>
          <w:bCs/>
          <w:sz w:val="24"/>
          <w:szCs w:val="24"/>
          <w:highlight w:val="none"/>
        </w:rPr>
        <w:fldChar w:fldCharType="end"/>
      </w:r>
    </w:p>
    <w:p>
      <w:pPr>
        <w:pStyle w:val="14"/>
        <w:tabs>
          <w:tab w:val="right" w:leader="dot" w:pos="8279"/>
        </w:tabs>
        <w:spacing w:line="360" w:lineRule="auto"/>
        <w:rPr>
          <w:rFonts w:hint="eastAsia" w:cs="宋体"/>
          <w:b/>
          <w:bCs/>
          <w:sz w:val="24"/>
          <w:szCs w:val="24"/>
          <w:highlight w:val="none"/>
        </w:rPr>
      </w:pPr>
      <w:r>
        <w:rPr>
          <w:highlight w:val="none"/>
        </w:rPr>
        <w:fldChar w:fldCharType="begin"/>
      </w:r>
      <w:r>
        <w:rPr>
          <w:highlight w:val="none"/>
        </w:rPr>
        <w:instrText xml:space="preserve"> HYPERLINK \l "_Toc5801" </w:instrText>
      </w:r>
      <w:r>
        <w:rPr>
          <w:highlight w:val="none"/>
        </w:rPr>
        <w:fldChar w:fldCharType="separate"/>
      </w:r>
      <w:r>
        <w:rPr>
          <w:rFonts w:hint="eastAsia" w:cs="宋体"/>
          <w:b/>
          <w:bCs/>
          <w:sz w:val="24"/>
          <w:szCs w:val="24"/>
          <w:highlight w:val="none"/>
        </w:rPr>
        <w:t>第五章  合同条款及格式（供参考）</w:t>
      </w:r>
      <w:r>
        <w:rPr>
          <w:rFonts w:hint="eastAsia" w:cs="宋体"/>
          <w:b/>
          <w:bCs/>
          <w:sz w:val="24"/>
          <w:szCs w:val="24"/>
          <w:highlight w:val="none"/>
        </w:rPr>
        <w:tab/>
      </w:r>
      <w:r>
        <w:rPr>
          <w:rFonts w:hint="eastAsia" w:cs="宋体"/>
          <w:b/>
          <w:bCs/>
          <w:sz w:val="24"/>
          <w:szCs w:val="24"/>
          <w:highlight w:val="none"/>
        </w:rPr>
        <w:t>3</w:t>
      </w:r>
      <w:r>
        <w:rPr>
          <w:rFonts w:hint="eastAsia" w:cs="宋体"/>
          <w:b/>
          <w:bCs/>
          <w:sz w:val="24"/>
          <w:szCs w:val="24"/>
          <w:highlight w:val="none"/>
        </w:rPr>
        <w:fldChar w:fldCharType="end"/>
      </w:r>
      <w:r>
        <w:rPr>
          <w:rFonts w:hint="eastAsia" w:cs="宋体"/>
          <w:b/>
          <w:bCs/>
          <w:sz w:val="24"/>
          <w:szCs w:val="24"/>
          <w:highlight w:val="none"/>
        </w:rPr>
        <w:t>9</w:t>
      </w:r>
    </w:p>
    <w:p>
      <w:pPr>
        <w:pStyle w:val="14"/>
        <w:tabs>
          <w:tab w:val="right" w:leader="dot" w:pos="8279"/>
        </w:tabs>
        <w:spacing w:line="360" w:lineRule="auto"/>
        <w:rPr>
          <w:rFonts w:cs="宋体"/>
          <w:b/>
          <w:bCs/>
          <w:sz w:val="24"/>
          <w:szCs w:val="24"/>
          <w:highlight w:val="none"/>
        </w:rPr>
      </w:pPr>
      <w:r>
        <w:rPr>
          <w:highlight w:val="none"/>
        </w:rPr>
        <w:fldChar w:fldCharType="begin"/>
      </w:r>
      <w:r>
        <w:rPr>
          <w:highlight w:val="none"/>
        </w:rPr>
        <w:instrText xml:space="preserve"> HYPERLINK \l "_Toc20939" </w:instrText>
      </w:r>
      <w:r>
        <w:rPr>
          <w:highlight w:val="none"/>
        </w:rPr>
        <w:fldChar w:fldCharType="separate"/>
      </w:r>
      <w:r>
        <w:rPr>
          <w:rFonts w:hint="eastAsia" w:cs="宋体"/>
          <w:b/>
          <w:bCs/>
          <w:sz w:val="24"/>
          <w:szCs w:val="24"/>
          <w:highlight w:val="none"/>
        </w:rPr>
        <w:t>第</w:t>
      </w:r>
      <w:r>
        <w:rPr>
          <w:rFonts w:hint="eastAsia" w:cs="宋体"/>
          <w:b/>
          <w:bCs/>
          <w:sz w:val="24"/>
          <w:szCs w:val="24"/>
          <w:highlight w:val="none"/>
          <w:lang w:val="en-US" w:eastAsia="zh-CN"/>
        </w:rPr>
        <w:t>六</w:t>
      </w:r>
      <w:r>
        <w:rPr>
          <w:rFonts w:hint="eastAsia" w:cs="宋体"/>
          <w:b/>
          <w:bCs/>
          <w:sz w:val="24"/>
          <w:szCs w:val="24"/>
          <w:highlight w:val="none"/>
        </w:rPr>
        <w:t>章  响应文件格式</w:t>
      </w:r>
      <w:r>
        <w:rPr>
          <w:rFonts w:hint="eastAsia" w:cs="宋体"/>
          <w:b/>
          <w:bCs/>
          <w:sz w:val="24"/>
          <w:szCs w:val="24"/>
          <w:highlight w:val="none"/>
        </w:rPr>
        <w:tab/>
      </w:r>
      <w:r>
        <w:rPr>
          <w:rFonts w:hint="eastAsia" w:cs="宋体"/>
          <w:b/>
          <w:bCs/>
          <w:sz w:val="24"/>
          <w:szCs w:val="24"/>
          <w:highlight w:val="none"/>
          <w:lang w:val="en-US" w:eastAsia="zh-CN"/>
        </w:rPr>
        <w:t>91</w:t>
      </w:r>
      <w:r>
        <w:rPr>
          <w:rFonts w:hint="eastAsia" w:cs="宋体"/>
          <w:b/>
          <w:bCs/>
          <w:sz w:val="24"/>
          <w:szCs w:val="24"/>
          <w:highlight w:val="none"/>
        </w:rPr>
        <w:fldChar w:fldCharType="end"/>
      </w:r>
    </w:p>
    <w:p>
      <w:pPr>
        <w:pStyle w:val="16"/>
        <w:tabs>
          <w:tab w:val="right" w:leader="dot" w:pos="8296"/>
        </w:tabs>
        <w:spacing w:after="0" w:line="360" w:lineRule="auto"/>
        <w:ind w:left="0"/>
        <w:jc w:val="center"/>
        <w:rPr>
          <w:rFonts w:ascii="宋体" w:hAnsi="宋体"/>
          <w:b/>
          <w:sz w:val="32"/>
          <w:highlight w:val="none"/>
        </w:rPr>
      </w:pPr>
      <w:r>
        <w:rPr>
          <w:rFonts w:hint="eastAsia" w:ascii="宋体" w:hAnsi="宋体" w:cs="宋体"/>
          <w:b/>
          <w:bCs/>
          <w:sz w:val="24"/>
          <w:szCs w:val="24"/>
          <w:highlight w:val="none"/>
        </w:rPr>
        <w:fldChar w:fldCharType="end"/>
      </w:r>
    </w:p>
    <w:p>
      <w:pPr>
        <w:spacing w:line="360" w:lineRule="auto"/>
        <w:jc w:val="center"/>
        <w:outlineLvl w:val="1"/>
        <w:rPr>
          <w:b/>
          <w:sz w:val="28"/>
          <w:highlight w:val="none"/>
        </w:rPr>
        <w:sectPr>
          <w:headerReference r:id="rId4" w:type="default"/>
          <w:footerReference r:id="rId5" w:type="default"/>
          <w:pgSz w:w="11907" w:h="16840"/>
          <w:pgMar w:top="1474" w:right="1814" w:bottom="1474" w:left="1814" w:header="851" w:footer="992" w:gutter="0"/>
          <w:cols w:space="720" w:num="1"/>
          <w:docGrid w:linePitch="462" w:charSpace="0"/>
        </w:sectPr>
      </w:pPr>
    </w:p>
    <w:p>
      <w:pPr>
        <w:spacing w:line="360" w:lineRule="auto"/>
        <w:jc w:val="center"/>
        <w:outlineLvl w:val="0"/>
        <w:rPr>
          <w:b/>
          <w:sz w:val="28"/>
          <w:highlight w:val="none"/>
        </w:rPr>
      </w:pPr>
      <w:bookmarkStart w:id="1" w:name="_Toc17195"/>
      <w:r>
        <w:rPr>
          <w:rFonts w:hint="eastAsia"/>
          <w:b/>
          <w:sz w:val="28"/>
          <w:highlight w:val="none"/>
        </w:rPr>
        <w:t xml:space="preserve">第一章 </w:t>
      </w:r>
      <w:r>
        <w:rPr>
          <w:b/>
          <w:sz w:val="28"/>
          <w:highlight w:val="none"/>
        </w:rPr>
        <w:t xml:space="preserve"> </w:t>
      </w:r>
      <w:r>
        <w:rPr>
          <w:rFonts w:hint="eastAsia"/>
          <w:b/>
          <w:sz w:val="28"/>
          <w:highlight w:val="none"/>
        </w:rPr>
        <w:t>磋商邀请</w:t>
      </w:r>
      <w:bookmarkEnd w:id="1"/>
    </w:p>
    <w:p>
      <w:pPr>
        <w:spacing w:line="360" w:lineRule="auto"/>
        <w:ind w:firstLine="482" w:firstLineChars="200"/>
        <w:rPr>
          <w:b/>
          <w:bCs/>
          <w:sz w:val="24"/>
          <w:szCs w:val="18"/>
          <w:highlight w:val="none"/>
        </w:rPr>
      </w:pPr>
      <w:bookmarkStart w:id="2" w:name="_Toc11391"/>
      <w:r>
        <w:rPr>
          <w:rFonts w:hint="eastAsia"/>
          <w:b/>
          <w:bCs/>
          <w:sz w:val="24"/>
          <w:szCs w:val="18"/>
          <w:highlight w:val="none"/>
        </w:rPr>
        <w:t>一、项目名称及内容</w:t>
      </w:r>
      <w:bookmarkEnd w:id="2"/>
    </w:p>
    <w:p>
      <w:pPr>
        <w:spacing w:line="360" w:lineRule="auto"/>
        <w:ind w:firstLine="480" w:firstLineChars="200"/>
        <w:rPr>
          <w:rFonts w:hint="eastAsia" w:eastAsia="宋体"/>
          <w:sz w:val="24"/>
          <w:szCs w:val="18"/>
          <w:highlight w:val="none"/>
          <w:lang w:eastAsia="zh-CN"/>
        </w:rPr>
      </w:pPr>
      <w:r>
        <w:rPr>
          <w:rFonts w:hint="eastAsia"/>
          <w:sz w:val="24"/>
          <w:szCs w:val="18"/>
          <w:highlight w:val="none"/>
        </w:rPr>
        <w:t>1.项目编号：</w:t>
      </w:r>
      <w:r>
        <w:rPr>
          <w:rFonts w:hint="eastAsia"/>
          <w:sz w:val="24"/>
          <w:szCs w:val="18"/>
          <w:highlight w:val="none"/>
          <w:lang w:eastAsia="zh-CN"/>
        </w:rPr>
        <w:t>2025PHGN0020</w:t>
      </w:r>
    </w:p>
    <w:p>
      <w:pPr>
        <w:spacing w:line="360" w:lineRule="auto"/>
        <w:ind w:firstLine="480" w:firstLineChars="200"/>
        <w:rPr>
          <w:rFonts w:hint="eastAsia" w:eastAsia="宋体"/>
          <w:sz w:val="24"/>
          <w:szCs w:val="18"/>
          <w:highlight w:val="none"/>
          <w:lang w:eastAsia="zh-CN"/>
        </w:rPr>
      </w:pPr>
      <w:r>
        <w:rPr>
          <w:rFonts w:hint="eastAsia"/>
          <w:sz w:val="24"/>
          <w:szCs w:val="18"/>
          <w:highlight w:val="none"/>
        </w:rPr>
        <w:t>2.项目名称：</w:t>
      </w:r>
      <w:r>
        <w:rPr>
          <w:rFonts w:hint="eastAsia"/>
          <w:sz w:val="24"/>
          <w:szCs w:val="18"/>
          <w:highlight w:val="none"/>
          <w:lang w:eastAsia="zh-CN"/>
        </w:rPr>
        <w:t>肥西县上派镇光明府光储充放一体化充电站项目</w:t>
      </w:r>
    </w:p>
    <w:p>
      <w:pPr>
        <w:spacing w:line="360" w:lineRule="auto"/>
        <w:ind w:firstLine="480" w:firstLineChars="200"/>
        <w:rPr>
          <w:rFonts w:hint="eastAsia"/>
          <w:sz w:val="24"/>
          <w:szCs w:val="18"/>
          <w:highlight w:val="none"/>
          <w:lang w:val="en-US" w:eastAsia="zh-CN"/>
        </w:rPr>
      </w:pPr>
      <w:r>
        <w:rPr>
          <w:rFonts w:hint="eastAsia"/>
          <w:sz w:val="24"/>
          <w:szCs w:val="18"/>
          <w:highlight w:val="none"/>
        </w:rPr>
        <w:t>3.项目地点：肥西县</w:t>
      </w:r>
    </w:p>
    <w:p>
      <w:pPr>
        <w:spacing w:line="360" w:lineRule="auto"/>
        <w:ind w:firstLine="480" w:firstLineChars="200"/>
        <w:rPr>
          <w:rFonts w:hint="eastAsia"/>
          <w:sz w:val="24"/>
          <w:szCs w:val="18"/>
          <w:highlight w:val="none"/>
          <w:lang w:eastAsia="zh-CN"/>
        </w:rPr>
      </w:pPr>
      <w:r>
        <w:rPr>
          <w:rFonts w:hint="eastAsia"/>
          <w:sz w:val="24"/>
          <w:szCs w:val="18"/>
          <w:highlight w:val="none"/>
        </w:rPr>
        <w:t>4.项目单位：</w:t>
      </w:r>
      <w:r>
        <w:rPr>
          <w:rFonts w:hint="eastAsia"/>
          <w:sz w:val="24"/>
          <w:szCs w:val="18"/>
          <w:highlight w:val="none"/>
          <w:lang w:eastAsia="zh-CN"/>
        </w:rPr>
        <w:t>肥西综合能源服务有限公司</w:t>
      </w:r>
    </w:p>
    <w:p>
      <w:pPr>
        <w:spacing w:line="360" w:lineRule="auto"/>
        <w:ind w:firstLine="480" w:firstLineChars="200"/>
        <w:rPr>
          <w:rFonts w:hint="eastAsia"/>
          <w:sz w:val="24"/>
          <w:szCs w:val="18"/>
          <w:highlight w:val="none"/>
        </w:rPr>
      </w:pPr>
      <w:r>
        <w:rPr>
          <w:rFonts w:hint="eastAsia"/>
          <w:sz w:val="24"/>
          <w:szCs w:val="18"/>
          <w:highlight w:val="none"/>
        </w:rPr>
        <w:t>5.项目概况：</w:t>
      </w:r>
      <w:r>
        <w:rPr>
          <w:rFonts w:hint="eastAsia"/>
          <w:sz w:val="24"/>
          <w:szCs w:val="18"/>
          <w:highlight w:val="none"/>
          <w:lang w:val="en-US" w:eastAsia="zh-CN"/>
        </w:rPr>
        <w:t>项目总投资估算约312万元，建设资金来源为肥西综合能源服务有限公司自筹，本项目光明府社区服务中心1#、2#屋顶，总建筑面积约1960平方米，拟新建118.32kWp办公楼屋面光伏，采用50kW逆变器2台，交流测功率共计100kw，同步配置100kw/215kwh磷酸铁锂储能系统一套。屋顶光伏阵列面积约520平方来，配套光伏组件、逆变器、光伏阵列等相关设施。屋顶光伏采用自发自用余电上网。另，同步在光明府停车场内，新建设一台1250kVA箱变，选用2台600kW充电主机，11台直流一桩双枪快充充电桩,采用一拖十终端和一拖十二终端桩，新上14kW单桩双终端慢充桩以及2台30kW单桩单终端V2G双向只能充电桩，共计占用32个车位。新建光伏车棚2座，约占地660平方米，容量为95.7kW.交流测共计80kW。车棚光伏采用自发自用余电不上网，配套新建监控设备、车档、指引牌、防撞柱、灭火器，智能道闸等相关配套设施</w:t>
      </w:r>
    </w:p>
    <w:p>
      <w:pPr>
        <w:spacing w:line="360" w:lineRule="auto"/>
        <w:ind w:firstLine="480" w:firstLineChars="200"/>
        <w:rPr>
          <w:rFonts w:hint="eastAsia"/>
          <w:sz w:val="24"/>
          <w:szCs w:val="18"/>
          <w:highlight w:val="none"/>
        </w:rPr>
      </w:pPr>
      <w:r>
        <w:rPr>
          <w:rFonts w:hint="eastAsia"/>
          <w:sz w:val="24"/>
          <w:szCs w:val="18"/>
          <w:highlight w:val="none"/>
        </w:rPr>
        <w:t>6.资金来源：企业自筹</w:t>
      </w:r>
    </w:p>
    <w:p>
      <w:pPr>
        <w:spacing w:line="360" w:lineRule="auto"/>
        <w:ind w:firstLine="480" w:firstLineChars="200"/>
        <w:rPr>
          <w:rFonts w:hint="eastAsia"/>
          <w:sz w:val="24"/>
          <w:szCs w:val="18"/>
          <w:highlight w:val="none"/>
        </w:rPr>
      </w:pPr>
      <w:r>
        <w:rPr>
          <w:rFonts w:hint="eastAsia"/>
          <w:sz w:val="24"/>
          <w:szCs w:val="18"/>
          <w:highlight w:val="none"/>
        </w:rPr>
        <w:t>7.项目预算：</w:t>
      </w:r>
      <w:r>
        <w:rPr>
          <w:rFonts w:hint="eastAsia"/>
          <w:sz w:val="24"/>
          <w:szCs w:val="18"/>
          <w:highlight w:val="none"/>
          <w:lang w:val="en-US" w:eastAsia="zh-CN"/>
        </w:rPr>
        <w:t>311.837816万元</w:t>
      </w:r>
    </w:p>
    <w:p>
      <w:pPr>
        <w:spacing w:line="360" w:lineRule="auto"/>
        <w:ind w:firstLine="480" w:firstLineChars="200"/>
        <w:rPr>
          <w:rFonts w:hint="eastAsia" w:eastAsia="宋体"/>
          <w:sz w:val="24"/>
          <w:szCs w:val="18"/>
          <w:highlight w:val="none"/>
          <w:lang w:eastAsia="zh-CN"/>
        </w:rPr>
      </w:pPr>
      <w:r>
        <w:rPr>
          <w:rFonts w:hint="eastAsia"/>
          <w:sz w:val="24"/>
          <w:szCs w:val="18"/>
          <w:highlight w:val="none"/>
        </w:rPr>
        <w:t>8.项目类别：工程</w:t>
      </w:r>
      <w:r>
        <w:rPr>
          <w:rFonts w:hint="eastAsia"/>
          <w:sz w:val="24"/>
          <w:szCs w:val="18"/>
          <w:highlight w:val="none"/>
          <w:lang w:val="en-US" w:eastAsia="zh-CN"/>
        </w:rPr>
        <w:t>施工</w:t>
      </w:r>
    </w:p>
    <w:p>
      <w:pPr>
        <w:spacing w:line="360" w:lineRule="auto"/>
        <w:ind w:firstLine="482" w:firstLineChars="200"/>
        <w:outlineLvl w:val="1"/>
        <w:rPr>
          <w:b/>
          <w:bCs/>
          <w:sz w:val="24"/>
          <w:szCs w:val="18"/>
          <w:highlight w:val="none"/>
        </w:rPr>
      </w:pPr>
      <w:bookmarkStart w:id="3" w:name="_Toc2076"/>
      <w:r>
        <w:rPr>
          <w:rFonts w:hint="eastAsia"/>
          <w:b/>
          <w:bCs/>
          <w:sz w:val="24"/>
          <w:szCs w:val="18"/>
          <w:highlight w:val="none"/>
        </w:rPr>
        <w:t>二</w:t>
      </w:r>
      <w:r>
        <w:rPr>
          <w:rFonts w:hint="eastAsia"/>
          <w:b/>
          <w:sz w:val="24"/>
          <w:highlight w:val="none"/>
        </w:rPr>
        <w:t>、</w:t>
      </w:r>
      <w:r>
        <w:rPr>
          <w:rFonts w:hint="eastAsia"/>
          <w:b/>
          <w:bCs/>
          <w:sz w:val="24"/>
          <w:szCs w:val="18"/>
          <w:highlight w:val="none"/>
        </w:rPr>
        <w:t>参审单位资格</w:t>
      </w:r>
      <w:bookmarkEnd w:id="3"/>
    </w:p>
    <w:p>
      <w:pPr>
        <w:spacing w:line="360" w:lineRule="auto"/>
        <w:ind w:firstLine="480" w:firstLineChars="200"/>
        <w:rPr>
          <w:b w:val="0"/>
          <w:bCs w:val="0"/>
          <w:sz w:val="24"/>
          <w:szCs w:val="18"/>
          <w:highlight w:val="none"/>
        </w:rPr>
      </w:pPr>
      <w:bookmarkStart w:id="4" w:name="OLE_LINK4"/>
      <w:r>
        <w:rPr>
          <w:rFonts w:hint="eastAsia"/>
          <w:b w:val="0"/>
          <w:bCs w:val="0"/>
          <w:sz w:val="24"/>
          <w:szCs w:val="18"/>
          <w:highlight w:val="none"/>
        </w:rPr>
        <w:t>1.参审单位应依法设立；</w:t>
      </w:r>
    </w:p>
    <w:p>
      <w:pPr>
        <w:spacing w:line="360" w:lineRule="auto"/>
        <w:ind w:firstLine="480" w:firstLineChars="200"/>
        <w:rPr>
          <w:rFonts w:hint="eastAsia"/>
          <w:b w:val="0"/>
          <w:bCs w:val="0"/>
          <w:sz w:val="24"/>
          <w:szCs w:val="18"/>
          <w:highlight w:val="none"/>
        </w:rPr>
      </w:pPr>
      <w:r>
        <w:rPr>
          <w:rFonts w:hint="eastAsia"/>
          <w:b w:val="0"/>
          <w:bCs w:val="0"/>
          <w:sz w:val="24"/>
          <w:szCs w:val="18"/>
          <w:highlight w:val="none"/>
        </w:rPr>
        <w:t>2.参审单位资质：具备有效的</w:t>
      </w:r>
      <w:bookmarkStart w:id="5" w:name="OLE_LINK5"/>
      <w:r>
        <w:rPr>
          <w:rFonts w:hint="eastAsia"/>
          <w:b w:val="0"/>
          <w:bCs w:val="0"/>
          <w:sz w:val="24"/>
          <w:szCs w:val="18"/>
          <w:highlight w:val="none"/>
          <w:lang w:val="en-US" w:eastAsia="zh-CN"/>
        </w:rPr>
        <w:t>电力工程施工总承包三级及以上资质或输变电工程专业承包</w:t>
      </w:r>
      <w:bookmarkEnd w:id="5"/>
      <w:r>
        <w:rPr>
          <w:rFonts w:hint="eastAsia"/>
          <w:b w:val="0"/>
          <w:bCs w:val="0"/>
          <w:sz w:val="24"/>
          <w:szCs w:val="18"/>
          <w:highlight w:val="none"/>
          <w:lang w:val="en-US" w:eastAsia="zh-CN"/>
        </w:rPr>
        <w:t>三</w:t>
      </w:r>
      <w:r>
        <w:rPr>
          <w:rFonts w:hint="eastAsia"/>
          <w:b w:val="0"/>
          <w:bCs w:val="0"/>
          <w:sz w:val="24"/>
          <w:szCs w:val="18"/>
          <w:highlight w:val="none"/>
        </w:rPr>
        <w:t>级及以上资质</w:t>
      </w:r>
      <w:r>
        <w:rPr>
          <w:rFonts w:hint="eastAsia"/>
          <w:b w:val="0"/>
          <w:bCs w:val="0"/>
          <w:sz w:val="24"/>
          <w:szCs w:val="18"/>
          <w:highlight w:val="none"/>
          <w:lang w:val="en-US" w:eastAsia="zh-CN"/>
        </w:rPr>
        <w:t>或承装（修、试）电力设施许可证（许可类别和等级至少包括承装类五级及以上）</w:t>
      </w:r>
      <w:r>
        <w:rPr>
          <w:rFonts w:hint="eastAsia"/>
          <w:b w:val="0"/>
          <w:bCs w:val="0"/>
          <w:sz w:val="24"/>
          <w:szCs w:val="18"/>
          <w:highlight w:val="none"/>
        </w:rPr>
        <w:t>，具备有效的安全生产许可证；</w:t>
      </w:r>
    </w:p>
    <w:p>
      <w:pPr>
        <w:spacing w:line="360" w:lineRule="auto"/>
        <w:ind w:firstLine="480" w:firstLineChars="200"/>
        <w:rPr>
          <w:rFonts w:hint="default" w:eastAsia="宋体"/>
          <w:b w:val="0"/>
          <w:bCs w:val="0"/>
          <w:sz w:val="24"/>
          <w:szCs w:val="18"/>
          <w:highlight w:val="none"/>
          <w:lang w:val="en-US" w:eastAsia="zh-CN"/>
        </w:rPr>
      </w:pPr>
      <w:r>
        <w:rPr>
          <w:rFonts w:hint="eastAsia"/>
          <w:b w:val="0"/>
          <w:bCs w:val="0"/>
          <w:sz w:val="24"/>
          <w:szCs w:val="18"/>
          <w:highlight w:val="none"/>
          <w:lang w:val="en-US" w:eastAsia="zh-CN"/>
        </w:rPr>
        <w:t>3.参审单位业绩要求：自2021年1月1日以来（以合同签订时间为准），参审单位具有单个合同金额不少于210万以上光储充放一体化充电站施工业绩；</w:t>
      </w:r>
    </w:p>
    <w:p>
      <w:pPr>
        <w:spacing w:line="360" w:lineRule="auto"/>
        <w:ind w:firstLine="480" w:firstLineChars="200"/>
        <w:rPr>
          <w:rFonts w:hint="default" w:eastAsia="宋体"/>
          <w:b w:val="0"/>
          <w:bCs w:val="0"/>
          <w:sz w:val="24"/>
          <w:szCs w:val="18"/>
          <w:highlight w:val="none"/>
          <w:lang w:val="en-US" w:eastAsia="zh-CN"/>
        </w:rPr>
      </w:pPr>
      <w:r>
        <w:rPr>
          <w:rFonts w:hint="eastAsia"/>
          <w:b w:val="0"/>
          <w:bCs w:val="0"/>
          <w:sz w:val="24"/>
          <w:szCs w:val="18"/>
          <w:highlight w:val="none"/>
        </w:rPr>
        <w:t>3.项目经理：</w:t>
      </w:r>
      <w:r>
        <w:rPr>
          <w:rFonts w:hint="eastAsia"/>
          <w:b w:val="0"/>
          <w:bCs w:val="0"/>
          <w:sz w:val="24"/>
          <w:szCs w:val="18"/>
          <w:highlight w:val="none"/>
          <w:lang w:val="en-US" w:eastAsia="zh-CN"/>
        </w:rPr>
        <w:t>具备机电工程专业二级及以上注册建造师或电力工程专业一级注册建造师资格，具备建设行政主管部门颁发的安全生产考核合格证书（B证），目前未在其他项目上任职或虽在其他项目上任职但本项目成交后能够从该项目撤离。</w:t>
      </w:r>
    </w:p>
    <w:p>
      <w:pPr>
        <w:spacing w:line="360" w:lineRule="auto"/>
        <w:ind w:firstLine="480" w:firstLineChars="200"/>
        <w:rPr>
          <w:rFonts w:hint="eastAsia"/>
          <w:b w:val="0"/>
          <w:bCs w:val="0"/>
          <w:sz w:val="24"/>
          <w:szCs w:val="18"/>
          <w:highlight w:val="none"/>
        </w:rPr>
      </w:pPr>
      <w:r>
        <w:rPr>
          <w:rFonts w:hint="eastAsia"/>
          <w:b w:val="0"/>
          <w:bCs w:val="0"/>
          <w:sz w:val="24"/>
          <w:szCs w:val="18"/>
          <w:highlight w:val="none"/>
        </w:rPr>
        <w:t>4.本项目不接受联合体磋商。</w:t>
      </w:r>
    </w:p>
    <w:bookmarkEnd w:id="4"/>
    <w:p>
      <w:pPr>
        <w:spacing w:line="360" w:lineRule="auto"/>
        <w:ind w:firstLine="482" w:firstLineChars="200"/>
        <w:outlineLvl w:val="1"/>
        <w:rPr>
          <w:b/>
          <w:bCs/>
          <w:sz w:val="24"/>
          <w:szCs w:val="18"/>
          <w:highlight w:val="none"/>
        </w:rPr>
      </w:pPr>
      <w:bookmarkStart w:id="6" w:name="_Toc5738"/>
      <w:r>
        <w:rPr>
          <w:rFonts w:hint="eastAsia"/>
          <w:b/>
          <w:bCs/>
          <w:sz w:val="24"/>
          <w:szCs w:val="18"/>
          <w:highlight w:val="none"/>
        </w:rPr>
        <w:t>三</w:t>
      </w:r>
      <w:r>
        <w:rPr>
          <w:rFonts w:hint="eastAsia"/>
          <w:b/>
          <w:sz w:val="24"/>
          <w:highlight w:val="none"/>
        </w:rPr>
        <w:t>、</w:t>
      </w:r>
      <w:r>
        <w:rPr>
          <w:rFonts w:hint="eastAsia"/>
          <w:b/>
          <w:bCs/>
          <w:sz w:val="24"/>
          <w:szCs w:val="18"/>
          <w:highlight w:val="none"/>
        </w:rPr>
        <w:t>磋商文件的获取</w:t>
      </w:r>
      <w:bookmarkEnd w:id="6"/>
    </w:p>
    <w:p>
      <w:pPr>
        <w:autoSpaceDE w:val="0"/>
        <w:autoSpaceDN w:val="0"/>
        <w:adjustRightInd w:val="0"/>
        <w:spacing w:line="360" w:lineRule="auto"/>
        <w:ind w:firstLine="480" w:firstLineChars="200"/>
        <w:jc w:val="left"/>
        <w:rPr>
          <w:rFonts w:cs="宋体"/>
          <w:sz w:val="24"/>
          <w:szCs w:val="18"/>
          <w:highlight w:val="none"/>
          <w:u w:val="none"/>
        </w:rPr>
      </w:pPr>
      <w:r>
        <w:rPr>
          <w:rFonts w:hint="eastAsia" w:cs="宋体"/>
          <w:sz w:val="24"/>
          <w:szCs w:val="18"/>
          <w:highlight w:val="none"/>
          <w:u w:val="none"/>
        </w:rPr>
        <w:t>时间：</w:t>
      </w:r>
      <w:r>
        <w:rPr>
          <w:rFonts w:hint="eastAsia" w:cs="宋体"/>
          <w:sz w:val="24"/>
          <w:szCs w:val="18"/>
          <w:highlight w:val="none"/>
          <w:u w:val="none"/>
          <w:lang w:val="en-US" w:eastAsia="zh-CN"/>
        </w:rPr>
        <w:t xml:space="preserve"> </w:t>
      </w:r>
      <w:r>
        <w:rPr>
          <w:rFonts w:hint="eastAsia" w:cs="宋体"/>
          <w:sz w:val="24"/>
          <w:szCs w:val="18"/>
          <w:highlight w:val="none"/>
          <w:u w:val="none"/>
        </w:rPr>
        <w:t>202</w:t>
      </w:r>
      <w:r>
        <w:rPr>
          <w:rFonts w:hint="eastAsia" w:cs="宋体"/>
          <w:sz w:val="24"/>
          <w:szCs w:val="18"/>
          <w:highlight w:val="none"/>
          <w:u w:val="none"/>
          <w:lang w:val="en-US" w:eastAsia="zh-CN"/>
        </w:rPr>
        <w:t>5</w:t>
      </w:r>
      <w:r>
        <w:rPr>
          <w:rFonts w:hint="eastAsia" w:cs="宋体"/>
          <w:sz w:val="24"/>
          <w:szCs w:val="18"/>
          <w:highlight w:val="none"/>
          <w:u w:val="none"/>
        </w:rPr>
        <w:t>年</w:t>
      </w:r>
      <w:r>
        <w:rPr>
          <w:rFonts w:hint="eastAsia" w:cs="宋体"/>
          <w:sz w:val="24"/>
          <w:szCs w:val="18"/>
          <w:highlight w:val="none"/>
          <w:u w:val="none"/>
          <w:lang w:val="en-US" w:eastAsia="zh-CN"/>
        </w:rPr>
        <w:t>01</w:t>
      </w:r>
      <w:r>
        <w:rPr>
          <w:rFonts w:hint="eastAsia" w:cs="宋体"/>
          <w:sz w:val="24"/>
          <w:szCs w:val="18"/>
          <w:highlight w:val="none"/>
          <w:u w:val="none"/>
        </w:rPr>
        <w:t>月</w:t>
      </w:r>
      <w:r>
        <w:rPr>
          <w:rFonts w:hint="eastAsia" w:cs="宋体"/>
          <w:sz w:val="24"/>
          <w:szCs w:val="18"/>
          <w:highlight w:val="none"/>
          <w:u w:val="none"/>
          <w:lang w:val="en-US" w:eastAsia="zh-CN"/>
        </w:rPr>
        <w:t>21</w:t>
      </w:r>
      <w:r>
        <w:rPr>
          <w:rFonts w:hint="eastAsia" w:cs="宋体"/>
          <w:sz w:val="24"/>
          <w:szCs w:val="18"/>
          <w:highlight w:val="none"/>
          <w:u w:val="none"/>
        </w:rPr>
        <w:t>日至</w:t>
      </w:r>
      <w:r>
        <w:rPr>
          <w:rFonts w:hint="eastAsia" w:cs="宋体"/>
          <w:sz w:val="24"/>
          <w:szCs w:val="18"/>
          <w:highlight w:val="none"/>
          <w:u w:val="none"/>
          <w:lang w:val="en-US" w:eastAsia="zh-CN"/>
        </w:rPr>
        <w:t>磋商</w:t>
      </w:r>
      <w:r>
        <w:rPr>
          <w:rFonts w:hint="eastAsia" w:cs="宋体"/>
          <w:sz w:val="24"/>
          <w:szCs w:val="18"/>
          <w:highlight w:val="none"/>
          <w:u w:val="none"/>
        </w:rPr>
        <w:t>时间。</w:t>
      </w:r>
    </w:p>
    <w:p>
      <w:pPr>
        <w:autoSpaceDE w:val="0"/>
        <w:autoSpaceDN w:val="0"/>
        <w:adjustRightInd w:val="0"/>
        <w:spacing w:line="360" w:lineRule="auto"/>
        <w:ind w:firstLine="480" w:firstLineChars="200"/>
        <w:jc w:val="left"/>
        <w:rPr>
          <w:rFonts w:cs="宋体"/>
          <w:sz w:val="24"/>
          <w:szCs w:val="18"/>
          <w:highlight w:val="none"/>
          <w:u w:val="none"/>
        </w:rPr>
      </w:pPr>
      <w:r>
        <w:rPr>
          <w:rFonts w:hint="eastAsia" w:cs="宋体"/>
          <w:sz w:val="24"/>
          <w:szCs w:val="18"/>
          <w:highlight w:val="none"/>
          <w:u w:val="none"/>
        </w:rPr>
        <w:t>地点：“优质采云采购平台”（http://www.youzhicai.com/）</w:t>
      </w:r>
    </w:p>
    <w:p>
      <w:pPr>
        <w:autoSpaceDE w:val="0"/>
        <w:autoSpaceDN w:val="0"/>
        <w:adjustRightInd w:val="0"/>
        <w:spacing w:line="360" w:lineRule="auto"/>
        <w:ind w:firstLine="480" w:firstLineChars="200"/>
        <w:jc w:val="left"/>
        <w:rPr>
          <w:rFonts w:cs="宋体"/>
          <w:sz w:val="24"/>
          <w:szCs w:val="18"/>
          <w:highlight w:val="none"/>
          <w:u w:val="none"/>
        </w:rPr>
      </w:pPr>
      <w:r>
        <w:rPr>
          <w:rFonts w:hint="eastAsia" w:cs="宋体"/>
          <w:sz w:val="24"/>
          <w:szCs w:val="18"/>
          <w:highlight w:val="none"/>
          <w:u w:val="none"/>
        </w:rPr>
        <w:t>方式：在线下载</w:t>
      </w:r>
    </w:p>
    <w:p>
      <w:pPr>
        <w:spacing w:line="360" w:lineRule="auto"/>
        <w:ind w:firstLine="482" w:firstLineChars="200"/>
        <w:outlineLvl w:val="1"/>
        <w:rPr>
          <w:b/>
          <w:bCs/>
          <w:sz w:val="24"/>
          <w:szCs w:val="18"/>
          <w:highlight w:val="none"/>
          <w:u w:val="none"/>
        </w:rPr>
      </w:pPr>
      <w:bookmarkStart w:id="7" w:name="_Toc4161"/>
      <w:r>
        <w:rPr>
          <w:rFonts w:hint="eastAsia"/>
          <w:b/>
          <w:bCs/>
          <w:sz w:val="24"/>
          <w:szCs w:val="18"/>
          <w:highlight w:val="none"/>
          <w:u w:val="none"/>
        </w:rPr>
        <w:t>四</w:t>
      </w:r>
      <w:r>
        <w:rPr>
          <w:rFonts w:hint="eastAsia"/>
          <w:b/>
          <w:sz w:val="24"/>
          <w:highlight w:val="none"/>
          <w:u w:val="none"/>
        </w:rPr>
        <w:t>、</w:t>
      </w:r>
      <w:r>
        <w:rPr>
          <w:rFonts w:hint="eastAsia"/>
          <w:b/>
          <w:bCs/>
          <w:sz w:val="24"/>
          <w:highlight w:val="none"/>
          <w:u w:val="none"/>
        </w:rPr>
        <w:t>磋商时间及地点</w:t>
      </w:r>
      <w:bookmarkEnd w:id="7"/>
    </w:p>
    <w:p>
      <w:pPr>
        <w:spacing w:line="360" w:lineRule="auto"/>
        <w:ind w:firstLine="480" w:firstLineChars="200"/>
        <w:rPr>
          <w:rFonts w:cs="宋体"/>
          <w:sz w:val="24"/>
          <w:szCs w:val="18"/>
          <w:highlight w:val="none"/>
          <w:u w:val="none"/>
        </w:rPr>
      </w:pPr>
      <w:r>
        <w:rPr>
          <w:rFonts w:hint="eastAsia" w:cs="宋体"/>
          <w:sz w:val="24"/>
          <w:szCs w:val="18"/>
          <w:highlight w:val="none"/>
          <w:u w:val="none"/>
        </w:rPr>
        <w:t>1.磋商时间：</w:t>
      </w:r>
      <w:r>
        <w:rPr>
          <w:rFonts w:hint="eastAsia" w:cs="宋体"/>
          <w:sz w:val="24"/>
          <w:szCs w:val="18"/>
          <w:highlight w:val="none"/>
          <w:u w:val="none"/>
          <w:lang w:val="en-US" w:eastAsia="zh-CN"/>
        </w:rPr>
        <w:t xml:space="preserve"> </w:t>
      </w:r>
      <w:r>
        <w:rPr>
          <w:rFonts w:hint="eastAsia" w:cs="宋体"/>
          <w:sz w:val="24"/>
          <w:szCs w:val="18"/>
          <w:highlight w:val="none"/>
          <w:u w:val="none"/>
        </w:rPr>
        <w:t>202</w:t>
      </w:r>
      <w:r>
        <w:rPr>
          <w:rFonts w:hint="eastAsia" w:cs="宋体"/>
          <w:sz w:val="24"/>
          <w:szCs w:val="18"/>
          <w:highlight w:val="none"/>
          <w:u w:val="none"/>
          <w:lang w:val="en-US" w:eastAsia="zh-CN"/>
        </w:rPr>
        <w:t>5</w:t>
      </w:r>
      <w:r>
        <w:rPr>
          <w:rFonts w:hint="eastAsia" w:cs="宋体"/>
          <w:sz w:val="24"/>
          <w:szCs w:val="18"/>
          <w:highlight w:val="none"/>
          <w:u w:val="none"/>
        </w:rPr>
        <w:t>年</w:t>
      </w:r>
      <w:r>
        <w:rPr>
          <w:rFonts w:hint="eastAsia" w:cs="宋体"/>
          <w:sz w:val="24"/>
          <w:szCs w:val="18"/>
          <w:highlight w:val="none"/>
          <w:u w:val="none"/>
          <w:lang w:val="en-US" w:eastAsia="zh-CN"/>
        </w:rPr>
        <w:t>02</w:t>
      </w:r>
      <w:r>
        <w:rPr>
          <w:rFonts w:hint="eastAsia" w:cs="宋体"/>
          <w:sz w:val="24"/>
          <w:szCs w:val="18"/>
          <w:highlight w:val="none"/>
          <w:u w:val="none"/>
        </w:rPr>
        <w:t>月</w:t>
      </w:r>
      <w:r>
        <w:rPr>
          <w:rFonts w:hint="eastAsia" w:cs="宋体"/>
          <w:sz w:val="24"/>
          <w:szCs w:val="18"/>
          <w:highlight w:val="none"/>
          <w:u w:val="none"/>
          <w:lang w:val="en-US" w:eastAsia="zh-CN"/>
        </w:rPr>
        <w:t>10</w:t>
      </w:r>
      <w:r>
        <w:rPr>
          <w:rFonts w:hint="eastAsia" w:cs="宋体"/>
          <w:sz w:val="24"/>
          <w:szCs w:val="18"/>
          <w:highlight w:val="none"/>
          <w:u w:val="none"/>
        </w:rPr>
        <w:t>日10时</w:t>
      </w:r>
      <w:r>
        <w:rPr>
          <w:rFonts w:hint="eastAsia" w:cs="宋体"/>
          <w:sz w:val="24"/>
          <w:szCs w:val="18"/>
          <w:highlight w:val="none"/>
          <w:u w:val="none"/>
          <w:lang w:val="en-US" w:eastAsia="zh-CN"/>
        </w:rPr>
        <w:t>0</w:t>
      </w:r>
      <w:r>
        <w:rPr>
          <w:rFonts w:hint="eastAsia" w:cs="宋体"/>
          <w:sz w:val="24"/>
          <w:szCs w:val="18"/>
          <w:highlight w:val="none"/>
          <w:u w:val="none"/>
        </w:rPr>
        <w:t>0分</w:t>
      </w:r>
    </w:p>
    <w:p>
      <w:pPr>
        <w:spacing w:line="360" w:lineRule="auto"/>
        <w:ind w:firstLine="480" w:firstLineChars="200"/>
        <w:rPr>
          <w:sz w:val="24"/>
          <w:szCs w:val="18"/>
          <w:highlight w:val="none"/>
          <w:u w:val="none"/>
        </w:rPr>
      </w:pPr>
      <w:r>
        <w:rPr>
          <w:rFonts w:hint="eastAsia" w:cs="宋体"/>
          <w:sz w:val="24"/>
          <w:szCs w:val="18"/>
          <w:highlight w:val="none"/>
          <w:u w:val="none"/>
        </w:rPr>
        <w:t>2.磋商地点：优质采云采购平台（http://www.youzhicai.com/）；</w:t>
      </w:r>
    </w:p>
    <w:p>
      <w:pPr>
        <w:spacing w:line="360" w:lineRule="auto"/>
        <w:ind w:firstLine="482" w:firstLineChars="200"/>
        <w:outlineLvl w:val="1"/>
        <w:rPr>
          <w:b/>
          <w:bCs/>
          <w:sz w:val="24"/>
          <w:szCs w:val="18"/>
          <w:highlight w:val="none"/>
          <w:u w:val="none"/>
        </w:rPr>
      </w:pPr>
      <w:bookmarkStart w:id="8" w:name="_Toc23523"/>
      <w:r>
        <w:rPr>
          <w:rFonts w:hint="eastAsia"/>
          <w:b/>
          <w:bCs/>
          <w:sz w:val="24"/>
          <w:szCs w:val="18"/>
          <w:highlight w:val="none"/>
          <w:u w:val="none"/>
        </w:rPr>
        <w:t>五</w:t>
      </w:r>
      <w:r>
        <w:rPr>
          <w:rFonts w:hint="eastAsia"/>
          <w:b/>
          <w:sz w:val="24"/>
          <w:highlight w:val="none"/>
          <w:u w:val="none"/>
        </w:rPr>
        <w:t>、</w:t>
      </w:r>
      <w:r>
        <w:rPr>
          <w:rFonts w:hint="eastAsia"/>
          <w:b/>
          <w:bCs/>
          <w:sz w:val="24"/>
          <w:highlight w:val="none"/>
          <w:u w:val="none"/>
        </w:rPr>
        <w:t>响应文件提交截止时间</w:t>
      </w:r>
      <w:bookmarkEnd w:id="8"/>
    </w:p>
    <w:p>
      <w:pPr>
        <w:spacing w:line="360" w:lineRule="auto"/>
        <w:ind w:firstLine="480" w:firstLineChars="200"/>
        <w:rPr>
          <w:rFonts w:hint="eastAsia" w:eastAsia="宋体"/>
          <w:sz w:val="24"/>
          <w:szCs w:val="18"/>
          <w:highlight w:val="none"/>
          <w:u w:val="none"/>
          <w:lang w:val="en-US" w:eastAsia="zh-CN"/>
        </w:rPr>
      </w:pPr>
      <w:r>
        <w:rPr>
          <w:rFonts w:hint="eastAsia"/>
          <w:sz w:val="24"/>
          <w:szCs w:val="18"/>
          <w:highlight w:val="none"/>
          <w:u w:val="none"/>
        </w:rPr>
        <w:t>同磋商时间</w:t>
      </w:r>
      <w:r>
        <w:rPr>
          <w:rFonts w:hint="eastAsia"/>
          <w:sz w:val="24"/>
          <w:szCs w:val="18"/>
          <w:highlight w:val="none"/>
          <w:u w:val="none"/>
          <w:lang w:eastAsia="zh-CN"/>
        </w:rPr>
        <w:t>。</w:t>
      </w:r>
    </w:p>
    <w:p>
      <w:pPr>
        <w:spacing w:line="360" w:lineRule="auto"/>
        <w:ind w:firstLine="482" w:firstLineChars="200"/>
        <w:outlineLvl w:val="1"/>
        <w:rPr>
          <w:b/>
          <w:bCs/>
          <w:sz w:val="24"/>
          <w:szCs w:val="18"/>
          <w:highlight w:val="none"/>
          <w:u w:val="none"/>
        </w:rPr>
      </w:pPr>
      <w:bookmarkStart w:id="9" w:name="_Toc5945"/>
      <w:r>
        <w:rPr>
          <w:rFonts w:hint="eastAsia"/>
          <w:b/>
          <w:bCs/>
          <w:sz w:val="24"/>
          <w:szCs w:val="18"/>
          <w:highlight w:val="none"/>
          <w:u w:val="none"/>
        </w:rPr>
        <w:t>六</w:t>
      </w:r>
      <w:r>
        <w:rPr>
          <w:rFonts w:hint="eastAsia"/>
          <w:b/>
          <w:sz w:val="24"/>
          <w:highlight w:val="none"/>
          <w:u w:val="none"/>
        </w:rPr>
        <w:t>、</w:t>
      </w:r>
      <w:r>
        <w:rPr>
          <w:rFonts w:hint="eastAsia"/>
          <w:b/>
          <w:bCs/>
          <w:sz w:val="24"/>
          <w:szCs w:val="18"/>
          <w:highlight w:val="none"/>
          <w:u w:val="none"/>
        </w:rPr>
        <w:t>联系方式</w:t>
      </w:r>
      <w:bookmarkEnd w:id="9"/>
    </w:p>
    <w:p>
      <w:pPr>
        <w:spacing w:line="360" w:lineRule="auto"/>
        <w:ind w:firstLine="480" w:firstLineChars="200"/>
        <w:outlineLvl w:val="2"/>
        <w:rPr>
          <w:rFonts w:cs="@仿宋_GB2312"/>
          <w:kern w:val="2"/>
          <w:sz w:val="24"/>
          <w:szCs w:val="18"/>
          <w:highlight w:val="none"/>
        </w:rPr>
      </w:pPr>
      <w:r>
        <w:rPr>
          <w:rFonts w:cs="@仿宋_GB2312"/>
          <w:kern w:val="2"/>
          <w:sz w:val="24"/>
          <w:szCs w:val="18"/>
          <w:highlight w:val="none"/>
        </w:rPr>
        <w:t>1.</w:t>
      </w:r>
      <w:r>
        <w:rPr>
          <w:sz w:val="24"/>
          <w:szCs w:val="18"/>
          <w:highlight w:val="none"/>
        </w:rPr>
        <w:t>业主</w:t>
      </w:r>
      <w:r>
        <w:rPr>
          <w:rFonts w:hint="eastAsia"/>
          <w:sz w:val="24"/>
          <w:szCs w:val="18"/>
          <w:highlight w:val="none"/>
        </w:rPr>
        <w:t>单位</w:t>
      </w:r>
    </w:p>
    <w:p>
      <w:pPr>
        <w:spacing w:line="360" w:lineRule="auto"/>
        <w:ind w:firstLine="480" w:firstLineChars="200"/>
        <w:outlineLvl w:val="2"/>
        <w:rPr>
          <w:rFonts w:hint="eastAsia" w:eastAsia="宋体" w:cs="@仿宋_GB2312"/>
          <w:kern w:val="2"/>
          <w:sz w:val="24"/>
          <w:szCs w:val="18"/>
          <w:highlight w:val="none"/>
          <w:lang w:eastAsia="zh-CN"/>
        </w:rPr>
      </w:pPr>
      <w:r>
        <w:rPr>
          <w:rFonts w:cs="@仿宋_GB2312"/>
          <w:kern w:val="2"/>
          <w:sz w:val="24"/>
          <w:szCs w:val="18"/>
          <w:highlight w:val="none"/>
        </w:rPr>
        <w:t>业主</w:t>
      </w:r>
      <w:r>
        <w:rPr>
          <w:rFonts w:hint="eastAsia" w:cs="@仿宋_GB2312"/>
          <w:kern w:val="2"/>
          <w:sz w:val="24"/>
          <w:szCs w:val="18"/>
          <w:highlight w:val="none"/>
        </w:rPr>
        <w:t>单位：</w:t>
      </w:r>
      <w:r>
        <w:rPr>
          <w:rFonts w:hint="eastAsia" w:cs="@仿宋_GB2312"/>
          <w:kern w:val="2"/>
          <w:sz w:val="24"/>
          <w:szCs w:val="18"/>
          <w:highlight w:val="none"/>
          <w:lang w:eastAsia="zh-CN"/>
        </w:rPr>
        <w:t>肥西综合能源服务有限公司</w:t>
      </w:r>
    </w:p>
    <w:p>
      <w:pPr>
        <w:spacing w:line="360" w:lineRule="auto"/>
        <w:ind w:firstLine="480" w:firstLineChars="200"/>
        <w:outlineLvl w:val="2"/>
        <w:rPr>
          <w:rFonts w:hint="eastAsia" w:cs="@仿宋_GB2312"/>
          <w:kern w:val="2"/>
          <w:sz w:val="24"/>
          <w:szCs w:val="18"/>
          <w:highlight w:val="none"/>
        </w:rPr>
      </w:pPr>
      <w:r>
        <w:rPr>
          <w:rFonts w:hint="eastAsia" w:cs="@仿宋_GB2312"/>
          <w:kern w:val="2"/>
          <w:sz w:val="24"/>
          <w:szCs w:val="18"/>
          <w:highlight w:val="none"/>
        </w:rPr>
        <w:t xml:space="preserve">地 </w:t>
      </w:r>
      <w:r>
        <w:rPr>
          <w:rFonts w:cs="@仿宋_GB2312"/>
          <w:kern w:val="2"/>
          <w:sz w:val="24"/>
          <w:szCs w:val="18"/>
          <w:highlight w:val="none"/>
        </w:rPr>
        <w:t xml:space="preserve">   </w:t>
      </w:r>
      <w:r>
        <w:rPr>
          <w:rFonts w:hint="eastAsia" w:cs="@仿宋_GB2312"/>
          <w:kern w:val="2"/>
          <w:sz w:val="24"/>
          <w:szCs w:val="18"/>
          <w:highlight w:val="none"/>
        </w:rPr>
        <w:t>址：安徽省合肥市肥西县上派镇馆驿路3号</w:t>
      </w:r>
    </w:p>
    <w:p>
      <w:pPr>
        <w:spacing w:line="360" w:lineRule="auto"/>
        <w:ind w:firstLine="480" w:firstLineChars="200"/>
        <w:outlineLvl w:val="2"/>
        <w:rPr>
          <w:rFonts w:hint="eastAsia" w:eastAsia="宋体" w:cs="@仿宋_GB2312"/>
          <w:kern w:val="2"/>
          <w:sz w:val="24"/>
          <w:szCs w:val="18"/>
          <w:highlight w:val="none"/>
          <w:lang w:val="en-US" w:eastAsia="zh-CN"/>
        </w:rPr>
      </w:pPr>
      <w:r>
        <w:rPr>
          <w:rFonts w:hint="eastAsia" w:cs="@仿宋_GB2312"/>
          <w:kern w:val="2"/>
          <w:sz w:val="24"/>
          <w:szCs w:val="18"/>
          <w:highlight w:val="none"/>
        </w:rPr>
        <w:t>联 系 人：</w:t>
      </w:r>
      <w:r>
        <w:rPr>
          <w:rFonts w:hint="eastAsia" w:cs="@仿宋_GB2312"/>
          <w:kern w:val="2"/>
          <w:sz w:val="24"/>
          <w:szCs w:val="18"/>
          <w:highlight w:val="none"/>
          <w:lang w:val="en-US" w:eastAsia="zh-CN"/>
        </w:rPr>
        <w:t>齐工</w:t>
      </w:r>
    </w:p>
    <w:p>
      <w:pPr>
        <w:spacing w:line="360" w:lineRule="auto"/>
        <w:ind w:firstLine="480" w:firstLineChars="200"/>
        <w:outlineLvl w:val="2"/>
        <w:rPr>
          <w:rFonts w:hint="eastAsia" w:cs="@仿宋_GB2312"/>
          <w:strike w:val="0"/>
          <w:dstrike w:val="0"/>
          <w:kern w:val="2"/>
          <w:sz w:val="24"/>
          <w:szCs w:val="18"/>
          <w:highlight w:val="none"/>
          <w:lang w:val="en-US" w:eastAsia="zh-CN"/>
        </w:rPr>
      </w:pPr>
      <w:r>
        <w:rPr>
          <w:rFonts w:hint="eastAsia" w:cs="@仿宋_GB2312"/>
          <w:kern w:val="2"/>
          <w:sz w:val="24"/>
          <w:szCs w:val="18"/>
          <w:highlight w:val="none"/>
        </w:rPr>
        <w:t xml:space="preserve">电 </w:t>
      </w:r>
      <w:r>
        <w:rPr>
          <w:rFonts w:cs="@仿宋_GB2312"/>
          <w:kern w:val="2"/>
          <w:sz w:val="24"/>
          <w:szCs w:val="18"/>
          <w:highlight w:val="none"/>
        </w:rPr>
        <w:t xml:space="preserve">   </w:t>
      </w:r>
      <w:r>
        <w:rPr>
          <w:rFonts w:hint="eastAsia" w:cs="@仿宋_GB2312"/>
          <w:kern w:val="2"/>
          <w:sz w:val="24"/>
          <w:szCs w:val="18"/>
          <w:highlight w:val="none"/>
        </w:rPr>
        <w:t>话：</w:t>
      </w:r>
      <w:bookmarkStart w:id="10" w:name="OLE_LINK1"/>
      <w:r>
        <w:rPr>
          <w:rFonts w:hint="eastAsia" w:cs="@仿宋_GB2312"/>
          <w:strike w:val="0"/>
          <w:dstrike w:val="0"/>
          <w:kern w:val="2"/>
          <w:sz w:val="24"/>
          <w:szCs w:val="18"/>
          <w:highlight w:val="none"/>
          <w:lang w:val="en-US" w:eastAsia="zh-CN"/>
        </w:rPr>
        <w:t>18105657929</w:t>
      </w:r>
      <w:bookmarkEnd w:id="10"/>
    </w:p>
    <w:p>
      <w:pPr>
        <w:spacing w:line="360" w:lineRule="auto"/>
        <w:ind w:firstLine="480" w:firstLineChars="200"/>
        <w:outlineLvl w:val="2"/>
        <w:rPr>
          <w:rFonts w:cs="@仿宋_GB2312"/>
          <w:kern w:val="2"/>
          <w:sz w:val="24"/>
          <w:szCs w:val="18"/>
          <w:highlight w:val="none"/>
        </w:rPr>
      </w:pPr>
      <w:r>
        <w:rPr>
          <w:rFonts w:cs="@仿宋_GB2312"/>
          <w:kern w:val="2"/>
          <w:sz w:val="24"/>
          <w:szCs w:val="18"/>
          <w:highlight w:val="none"/>
        </w:rPr>
        <w:t>2</w:t>
      </w:r>
      <w:r>
        <w:rPr>
          <w:rFonts w:hint="eastAsia" w:cs="@仿宋_GB2312"/>
          <w:kern w:val="2"/>
          <w:sz w:val="24"/>
          <w:szCs w:val="18"/>
          <w:highlight w:val="none"/>
        </w:rPr>
        <w:t>.代理机构</w:t>
      </w:r>
    </w:p>
    <w:p>
      <w:pPr>
        <w:spacing w:line="360" w:lineRule="auto"/>
        <w:ind w:firstLine="480" w:firstLineChars="200"/>
        <w:outlineLvl w:val="2"/>
        <w:rPr>
          <w:rFonts w:hint="eastAsia" w:eastAsia="宋体" w:cs="@仿宋_GB2312"/>
          <w:kern w:val="2"/>
          <w:sz w:val="24"/>
          <w:szCs w:val="18"/>
          <w:highlight w:val="none"/>
          <w:lang w:eastAsia="zh-CN"/>
        </w:rPr>
      </w:pPr>
      <w:r>
        <w:rPr>
          <w:rFonts w:hint="eastAsia" w:cs="@仿宋_GB2312"/>
          <w:kern w:val="2"/>
          <w:sz w:val="24"/>
          <w:szCs w:val="18"/>
          <w:highlight w:val="none"/>
        </w:rPr>
        <w:t>代理机构：</w:t>
      </w:r>
      <w:r>
        <w:rPr>
          <w:rFonts w:hint="eastAsia" w:cs="@仿宋_GB2312"/>
          <w:kern w:val="2"/>
          <w:sz w:val="24"/>
          <w:szCs w:val="18"/>
          <w:highlight w:val="none"/>
          <w:lang w:eastAsia="zh-CN"/>
        </w:rPr>
        <w:t>肥西县派合商务服务有限公司</w:t>
      </w:r>
    </w:p>
    <w:p>
      <w:pPr>
        <w:spacing w:line="360" w:lineRule="auto"/>
        <w:ind w:firstLine="480" w:firstLineChars="200"/>
        <w:outlineLvl w:val="2"/>
        <w:rPr>
          <w:rFonts w:cs="@仿宋_GB2312"/>
          <w:kern w:val="2"/>
          <w:sz w:val="24"/>
          <w:szCs w:val="18"/>
          <w:highlight w:val="none"/>
        </w:rPr>
      </w:pPr>
      <w:r>
        <w:rPr>
          <w:rFonts w:hint="eastAsia" w:cs="@仿宋_GB2312"/>
          <w:kern w:val="2"/>
          <w:sz w:val="24"/>
          <w:szCs w:val="18"/>
          <w:highlight w:val="none"/>
        </w:rPr>
        <w:t xml:space="preserve">地  </w:t>
      </w:r>
      <w:r>
        <w:rPr>
          <w:rFonts w:hint="eastAsia" w:cs="@仿宋_GB2312"/>
          <w:kern w:val="2"/>
          <w:sz w:val="24"/>
          <w:szCs w:val="18"/>
          <w:highlight w:val="none"/>
          <w:lang w:val="en-US" w:eastAsia="zh-CN"/>
        </w:rPr>
        <w:t xml:space="preserve">  </w:t>
      </w:r>
      <w:r>
        <w:rPr>
          <w:rFonts w:hint="eastAsia" w:cs="@仿宋_GB2312"/>
          <w:kern w:val="2"/>
          <w:sz w:val="24"/>
          <w:szCs w:val="18"/>
          <w:highlight w:val="none"/>
        </w:rPr>
        <w:t>址：肥西县上派镇紫石路与佛光路交叉口肥光办公区3号楼2楼</w:t>
      </w:r>
    </w:p>
    <w:p>
      <w:pPr>
        <w:spacing w:line="360" w:lineRule="auto"/>
        <w:ind w:firstLine="480" w:firstLineChars="200"/>
        <w:outlineLvl w:val="2"/>
        <w:rPr>
          <w:rFonts w:hint="eastAsia" w:eastAsia="宋体" w:cs="@仿宋_GB2312"/>
          <w:kern w:val="2"/>
          <w:sz w:val="24"/>
          <w:szCs w:val="18"/>
          <w:highlight w:val="none"/>
          <w:lang w:eastAsia="zh-CN"/>
        </w:rPr>
      </w:pPr>
      <w:r>
        <w:rPr>
          <w:rFonts w:hint="eastAsia" w:cs="@仿宋_GB2312"/>
          <w:kern w:val="2"/>
          <w:sz w:val="24"/>
          <w:szCs w:val="18"/>
          <w:highlight w:val="none"/>
        </w:rPr>
        <w:t>联</w:t>
      </w:r>
      <w:r>
        <w:rPr>
          <w:rFonts w:hint="eastAsia" w:cs="@仿宋_GB2312"/>
          <w:kern w:val="2"/>
          <w:sz w:val="24"/>
          <w:szCs w:val="18"/>
          <w:highlight w:val="none"/>
          <w:lang w:val="en-US" w:eastAsia="zh-CN"/>
        </w:rPr>
        <w:t xml:space="preserve"> </w:t>
      </w:r>
      <w:r>
        <w:rPr>
          <w:rFonts w:hint="eastAsia" w:cs="@仿宋_GB2312"/>
          <w:kern w:val="2"/>
          <w:sz w:val="24"/>
          <w:szCs w:val="18"/>
          <w:highlight w:val="none"/>
        </w:rPr>
        <w:t>系</w:t>
      </w:r>
      <w:r>
        <w:rPr>
          <w:rFonts w:hint="eastAsia" w:cs="@仿宋_GB2312"/>
          <w:kern w:val="2"/>
          <w:sz w:val="24"/>
          <w:szCs w:val="18"/>
          <w:highlight w:val="none"/>
          <w:lang w:val="en-US" w:eastAsia="zh-CN"/>
        </w:rPr>
        <w:t xml:space="preserve"> </w:t>
      </w:r>
      <w:r>
        <w:rPr>
          <w:rFonts w:hint="eastAsia" w:cs="@仿宋_GB2312"/>
          <w:kern w:val="2"/>
          <w:sz w:val="24"/>
          <w:szCs w:val="18"/>
          <w:highlight w:val="none"/>
        </w:rPr>
        <w:t>人：</w:t>
      </w:r>
      <w:r>
        <w:rPr>
          <w:rFonts w:hint="eastAsia" w:cs="@仿宋_GB2312"/>
          <w:kern w:val="2"/>
          <w:sz w:val="24"/>
          <w:szCs w:val="18"/>
          <w:highlight w:val="none"/>
          <w:lang w:val="en-US" w:eastAsia="zh-CN"/>
        </w:rPr>
        <w:t>徐工</w:t>
      </w:r>
    </w:p>
    <w:p>
      <w:pPr>
        <w:spacing w:line="360" w:lineRule="auto"/>
        <w:ind w:firstLine="480" w:firstLineChars="200"/>
        <w:outlineLvl w:val="2"/>
        <w:rPr>
          <w:rFonts w:hint="eastAsia" w:eastAsia="宋体" w:cs="@仿宋_GB2312"/>
          <w:kern w:val="2"/>
          <w:sz w:val="24"/>
          <w:szCs w:val="18"/>
          <w:highlight w:val="none"/>
          <w:lang w:val="en-US" w:eastAsia="zh-CN"/>
        </w:rPr>
      </w:pPr>
      <w:r>
        <w:rPr>
          <w:rFonts w:hint="eastAsia" w:cs="@仿宋_GB2312"/>
          <w:kern w:val="2"/>
          <w:sz w:val="24"/>
          <w:szCs w:val="18"/>
          <w:highlight w:val="none"/>
        </w:rPr>
        <w:t xml:space="preserve">电 </w:t>
      </w:r>
      <w:r>
        <w:rPr>
          <w:rFonts w:cs="@仿宋_GB2312"/>
          <w:kern w:val="2"/>
          <w:sz w:val="24"/>
          <w:szCs w:val="18"/>
          <w:highlight w:val="none"/>
        </w:rPr>
        <w:t xml:space="preserve"> </w:t>
      </w:r>
      <w:r>
        <w:rPr>
          <w:rFonts w:hint="eastAsia" w:cs="@仿宋_GB2312"/>
          <w:kern w:val="2"/>
          <w:sz w:val="24"/>
          <w:szCs w:val="18"/>
          <w:highlight w:val="none"/>
          <w:lang w:val="en-US" w:eastAsia="zh-CN"/>
        </w:rPr>
        <w:t xml:space="preserve">  </w:t>
      </w:r>
      <w:r>
        <w:rPr>
          <w:rFonts w:hint="eastAsia" w:cs="@仿宋_GB2312"/>
          <w:kern w:val="2"/>
          <w:sz w:val="24"/>
          <w:szCs w:val="18"/>
          <w:highlight w:val="none"/>
        </w:rPr>
        <w:t>话：0551-</w:t>
      </w:r>
      <w:r>
        <w:rPr>
          <w:rFonts w:hint="eastAsia" w:cs="@仿宋_GB2312"/>
          <w:kern w:val="2"/>
          <w:sz w:val="24"/>
          <w:szCs w:val="18"/>
          <w:highlight w:val="none"/>
          <w:lang w:eastAsia="zh-CN"/>
        </w:rPr>
        <w:t>68825007</w:t>
      </w:r>
    </w:p>
    <w:p>
      <w:pPr>
        <w:spacing w:line="360" w:lineRule="auto"/>
        <w:ind w:firstLine="482" w:firstLineChars="200"/>
        <w:outlineLvl w:val="1"/>
        <w:rPr>
          <w:rFonts w:cs="宋体"/>
          <w:sz w:val="24"/>
          <w:szCs w:val="18"/>
          <w:highlight w:val="none"/>
        </w:rPr>
      </w:pPr>
      <w:bookmarkStart w:id="11" w:name="_Toc28019"/>
      <w:r>
        <w:rPr>
          <w:rFonts w:hint="eastAsia"/>
          <w:b/>
          <w:sz w:val="24"/>
          <w:szCs w:val="18"/>
          <w:highlight w:val="none"/>
        </w:rPr>
        <w:t>七</w:t>
      </w:r>
      <w:r>
        <w:rPr>
          <w:rFonts w:hint="eastAsia"/>
          <w:b/>
          <w:sz w:val="24"/>
          <w:highlight w:val="none"/>
        </w:rPr>
        <w:t>、</w:t>
      </w:r>
      <w:r>
        <w:rPr>
          <w:rFonts w:hint="eastAsia"/>
          <w:b/>
          <w:sz w:val="24"/>
          <w:szCs w:val="18"/>
          <w:highlight w:val="none"/>
        </w:rPr>
        <w:t>其他事项说明</w:t>
      </w:r>
      <w:bookmarkEnd w:id="11"/>
    </w:p>
    <w:p>
      <w:pPr>
        <w:spacing w:line="360" w:lineRule="auto"/>
        <w:ind w:firstLine="480" w:firstLineChars="200"/>
        <w:rPr>
          <w:rFonts w:cs="宋体"/>
          <w:sz w:val="24"/>
          <w:szCs w:val="18"/>
          <w:highlight w:val="none"/>
        </w:rPr>
      </w:pPr>
      <w:r>
        <w:rPr>
          <w:rFonts w:hint="eastAsia" w:cs="宋体"/>
          <w:sz w:val="24"/>
          <w:szCs w:val="18"/>
          <w:highlight w:val="none"/>
        </w:rPr>
        <w:t>1.本项目相关信息同时在</w:t>
      </w:r>
      <w:r>
        <w:rPr>
          <w:rFonts w:hint="eastAsia" w:cs="宋体"/>
          <w:sz w:val="24"/>
          <w:szCs w:val="18"/>
          <w:highlight w:val="none"/>
          <w:lang w:eastAsia="zh-CN"/>
        </w:rPr>
        <w:t>肥西县公共资源交易有限责任公司</w:t>
      </w:r>
      <w:r>
        <w:rPr>
          <w:rFonts w:hint="eastAsia" w:cs="宋体"/>
          <w:sz w:val="24"/>
          <w:szCs w:val="18"/>
          <w:highlight w:val="none"/>
        </w:rPr>
        <w:t>、优质采云采购平台、安徽省招标投标信息网、中国采购与招标网上发布；</w:t>
      </w:r>
    </w:p>
    <w:p>
      <w:pPr>
        <w:spacing w:line="360" w:lineRule="auto"/>
        <w:ind w:firstLine="480" w:firstLineChars="200"/>
        <w:rPr>
          <w:rFonts w:cs="宋体"/>
          <w:sz w:val="24"/>
          <w:szCs w:val="18"/>
          <w:highlight w:val="none"/>
        </w:rPr>
      </w:pPr>
      <w:r>
        <w:rPr>
          <w:rFonts w:hint="eastAsia" w:cs="宋体"/>
          <w:sz w:val="24"/>
          <w:szCs w:val="18"/>
          <w:highlight w:val="none"/>
        </w:rPr>
        <w:t>2.电子化交易要求：</w:t>
      </w:r>
    </w:p>
    <w:p>
      <w:pPr>
        <w:spacing w:line="360" w:lineRule="auto"/>
        <w:ind w:firstLine="480" w:firstLineChars="200"/>
        <w:rPr>
          <w:rFonts w:cs="宋体"/>
          <w:sz w:val="24"/>
          <w:szCs w:val="18"/>
          <w:highlight w:val="none"/>
        </w:rPr>
      </w:pPr>
      <w:r>
        <w:rPr>
          <w:rFonts w:hint="eastAsia" w:cs="宋体"/>
          <w:sz w:val="24"/>
          <w:szCs w:val="18"/>
          <w:highlight w:val="none"/>
        </w:rPr>
        <w:t>（1）潜在</w:t>
      </w:r>
      <w:r>
        <w:rPr>
          <w:rFonts w:hint="eastAsia"/>
          <w:sz w:val="24"/>
          <w:szCs w:val="18"/>
          <w:highlight w:val="none"/>
        </w:rPr>
        <w:t>参审单位</w:t>
      </w:r>
      <w:r>
        <w:rPr>
          <w:rFonts w:hint="eastAsia" w:cs="宋体"/>
          <w:sz w:val="24"/>
          <w:szCs w:val="18"/>
          <w:highlight w:val="none"/>
        </w:rPr>
        <w:t>须登录“优质采云采购平台”（网址：http://www.youzhicai.com/，以下称“优质采平台”）参与本项目磋商活动。首次登录须办理注册手续，请务必选择注册为“</w:t>
      </w:r>
      <w:r>
        <w:rPr>
          <w:rFonts w:hint="eastAsia" w:cs="宋体"/>
          <w:sz w:val="24"/>
          <w:szCs w:val="18"/>
          <w:highlight w:val="none"/>
          <w:lang w:eastAsia="zh-CN"/>
        </w:rPr>
        <w:t>参审单位</w:t>
      </w:r>
      <w:r>
        <w:rPr>
          <w:rFonts w:hint="eastAsia" w:cs="宋体"/>
          <w:sz w:val="24"/>
          <w:szCs w:val="18"/>
          <w:highlight w:val="none"/>
        </w:rPr>
        <w:t>角色”类型。注册流程见优质采平台“用户注册”栏目，咨询电话：400-0099-555。因未及时办理注册手续影响参加磋商活动的，责任自负。</w:t>
      </w:r>
    </w:p>
    <w:p>
      <w:pPr>
        <w:spacing w:line="360" w:lineRule="auto"/>
        <w:ind w:firstLine="480" w:firstLineChars="200"/>
        <w:rPr>
          <w:rFonts w:cs="宋体"/>
          <w:sz w:val="24"/>
          <w:szCs w:val="18"/>
          <w:highlight w:val="none"/>
        </w:rPr>
      </w:pPr>
      <w:r>
        <w:rPr>
          <w:rFonts w:hint="eastAsia" w:cs="宋体"/>
          <w:sz w:val="24"/>
          <w:szCs w:val="18"/>
          <w:highlight w:val="none"/>
        </w:rPr>
        <w:t>（2）已注册的潜在</w:t>
      </w:r>
      <w:r>
        <w:rPr>
          <w:rFonts w:hint="eastAsia"/>
          <w:sz w:val="24"/>
          <w:szCs w:val="18"/>
          <w:highlight w:val="none"/>
        </w:rPr>
        <w:t>参审单位</w:t>
      </w:r>
      <w:r>
        <w:rPr>
          <w:rFonts w:hint="eastAsia" w:cs="宋体"/>
          <w:sz w:val="24"/>
          <w:szCs w:val="18"/>
          <w:highlight w:val="none"/>
        </w:rPr>
        <w:t>可登录优质采平台获取磋商文件，本项目的磋商文件及其他资料（含澄清、答疑及相关补充文件）通过优质采平台发布，</w:t>
      </w:r>
      <w:r>
        <w:rPr>
          <w:sz w:val="24"/>
          <w:szCs w:val="18"/>
          <w:highlight w:val="none"/>
        </w:rPr>
        <w:t>业主</w:t>
      </w:r>
      <w:r>
        <w:rPr>
          <w:rFonts w:hint="eastAsia"/>
          <w:sz w:val="24"/>
          <w:szCs w:val="18"/>
          <w:highlight w:val="none"/>
        </w:rPr>
        <w:t>单位</w:t>
      </w:r>
      <w:r>
        <w:rPr>
          <w:rFonts w:hint="eastAsia" w:cs="宋体"/>
          <w:sz w:val="24"/>
          <w:szCs w:val="18"/>
          <w:highlight w:val="none"/>
        </w:rPr>
        <w:t>/代理机构不再另行书面通知，潜在</w:t>
      </w:r>
      <w:r>
        <w:rPr>
          <w:rFonts w:hint="eastAsia"/>
          <w:sz w:val="24"/>
          <w:szCs w:val="18"/>
          <w:highlight w:val="none"/>
        </w:rPr>
        <w:t>参审单位</w:t>
      </w:r>
      <w:r>
        <w:rPr>
          <w:rFonts w:hint="eastAsia" w:cs="宋体"/>
          <w:sz w:val="24"/>
          <w:szCs w:val="18"/>
          <w:highlight w:val="none"/>
        </w:rPr>
        <w:t>应及时关注、查阅优质采平台。因未及时查看导致不利后果的，责任自负。</w:t>
      </w:r>
    </w:p>
    <w:p>
      <w:pPr>
        <w:spacing w:line="360" w:lineRule="auto"/>
        <w:ind w:firstLine="480" w:firstLineChars="200"/>
        <w:rPr>
          <w:rFonts w:cs="宋体"/>
          <w:sz w:val="24"/>
          <w:szCs w:val="18"/>
          <w:highlight w:val="none"/>
        </w:rPr>
      </w:pPr>
      <w:r>
        <w:rPr>
          <w:rFonts w:hint="eastAsia" w:cs="宋体"/>
          <w:sz w:val="24"/>
          <w:szCs w:val="18"/>
          <w:highlight w:val="none"/>
        </w:rPr>
        <w:t>（3）已注册的潜在</w:t>
      </w:r>
      <w:r>
        <w:rPr>
          <w:rFonts w:hint="eastAsia"/>
          <w:sz w:val="24"/>
          <w:szCs w:val="18"/>
          <w:highlight w:val="none"/>
        </w:rPr>
        <w:t>参审单位</w:t>
      </w:r>
      <w:r>
        <w:rPr>
          <w:rFonts w:hint="eastAsia" w:cs="宋体"/>
          <w:sz w:val="24"/>
          <w:szCs w:val="18"/>
          <w:highlight w:val="none"/>
        </w:rPr>
        <w:t>若注册信息发生变更（如：与初始注册信息不一致），应及时网上提交变更申请。因未及时变更导致不利后果的，责任自负。</w:t>
      </w:r>
    </w:p>
    <w:p>
      <w:pPr>
        <w:spacing w:line="360" w:lineRule="auto"/>
        <w:ind w:firstLine="480" w:firstLineChars="200"/>
        <w:rPr>
          <w:rFonts w:cs="宋体"/>
          <w:sz w:val="24"/>
          <w:szCs w:val="18"/>
          <w:highlight w:val="none"/>
        </w:rPr>
      </w:pPr>
      <w:r>
        <w:rPr>
          <w:rFonts w:hint="eastAsia" w:cs="宋体"/>
          <w:sz w:val="24"/>
          <w:szCs w:val="18"/>
          <w:highlight w:val="none"/>
        </w:rPr>
        <w:t>（4）本项目采用全流程电子化磋商方式，潜在</w:t>
      </w:r>
      <w:r>
        <w:rPr>
          <w:rFonts w:hint="eastAsia"/>
          <w:sz w:val="24"/>
          <w:szCs w:val="18"/>
          <w:highlight w:val="none"/>
        </w:rPr>
        <w:t>参审单位</w:t>
      </w:r>
      <w:r>
        <w:rPr>
          <w:rFonts w:hint="eastAsia" w:cs="宋体"/>
          <w:sz w:val="24"/>
          <w:szCs w:val="18"/>
          <w:highlight w:val="none"/>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pPr>
        <w:spacing w:line="360" w:lineRule="auto"/>
        <w:ind w:firstLine="480" w:firstLineChars="200"/>
        <w:rPr>
          <w:rFonts w:cs="宋体"/>
          <w:sz w:val="24"/>
          <w:szCs w:val="18"/>
          <w:highlight w:val="none"/>
        </w:rPr>
      </w:pPr>
      <w:r>
        <w:rPr>
          <w:rFonts w:hint="eastAsia" w:cs="宋体"/>
          <w:sz w:val="24"/>
          <w:szCs w:val="18"/>
          <w:highlight w:val="none"/>
        </w:rPr>
        <w:t>（5）响应文件必须使用“优质采</w:t>
      </w:r>
      <w:r>
        <w:rPr>
          <w:rFonts w:hint="eastAsia" w:cs="宋体"/>
          <w:sz w:val="24"/>
          <w:szCs w:val="18"/>
          <w:highlight w:val="none"/>
          <w:lang w:eastAsia="zh-CN"/>
        </w:rPr>
        <w:t>响应文件</w:t>
      </w:r>
      <w:r>
        <w:rPr>
          <w:rFonts w:hint="eastAsia" w:cs="宋体"/>
          <w:sz w:val="24"/>
          <w:szCs w:val="18"/>
          <w:highlight w:val="none"/>
        </w:rPr>
        <w:t>制作工具”制作生成并上传。下载地址：http://toolcdn.youzhicai.com/tools/BidderTools.zip，使用说明书及视频教程下载地址：http://file.youzhicai.com/files/BidderHelp.rar。</w:t>
      </w:r>
    </w:p>
    <w:p>
      <w:pPr>
        <w:spacing w:line="360" w:lineRule="auto"/>
        <w:ind w:firstLine="480" w:firstLineChars="200"/>
        <w:rPr>
          <w:highlight w:val="none"/>
        </w:rPr>
      </w:pPr>
      <w:r>
        <w:rPr>
          <w:rFonts w:hint="eastAsia" w:cs="宋体"/>
          <w:sz w:val="24"/>
          <w:szCs w:val="18"/>
          <w:highlight w:val="none"/>
        </w:rPr>
        <w:t>3.</w:t>
      </w:r>
      <w:r>
        <w:rPr>
          <w:rFonts w:hint="eastAsia"/>
          <w:sz w:val="24"/>
          <w:szCs w:val="18"/>
          <w:highlight w:val="none"/>
        </w:rPr>
        <w:t>参审单位</w:t>
      </w:r>
      <w:r>
        <w:rPr>
          <w:rFonts w:hint="eastAsia" w:cs="宋体"/>
          <w:sz w:val="24"/>
          <w:szCs w:val="18"/>
          <w:highlight w:val="none"/>
        </w:rPr>
        <w:t>应合理安排磋商文件获取时间，特别是网络速度慢的地区防止在系统关闭前网络拥堵无法操作。如果因计算机及网络故障造成无法完成磋商文件获取，责任自负。</w:t>
      </w:r>
    </w:p>
    <w:p>
      <w:pPr>
        <w:spacing w:line="360" w:lineRule="auto"/>
        <w:jc w:val="center"/>
        <w:rPr>
          <w:b/>
          <w:sz w:val="28"/>
          <w:highlight w:val="none"/>
        </w:rPr>
      </w:pPr>
      <w:r>
        <w:rPr>
          <w:rFonts w:hint="eastAsia" w:cs="宋体"/>
          <w:sz w:val="24"/>
          <w:szCs w:val="18"/>
          <w:highlight w:val="none"/>
        </w:rPr>
        <w:br w:type="page"/>
      </w:r>
      <w:bookmarkStart w:id="12" w:name="_Toc26944"/>
      <w:r>
        <w:rPr>
          <w:rFonts w:hint="eastAsia"/>
          <w:b/>
          <w:sz w:val="28"/>
          <w:highlight w:val="none"/>
        </w:rPr>
        <w:t>第二章</w:t>
      </w:r>
      <w:r>
        <w:rPr>
          <w:b/>
          <w:sz w:val="28"/>
          <w:highlight w:val="none"/>
        </w:rPr>
        <w:t xml:space="preserve"> </w:t>
      </w:r>
      <w:r>
        <w:rPr>
          <w:rFonts w:hint="eastAsia"/>
          <w:b/>
          <w:sz w:val="28"/>
          <w:highlight w:val="none"/>
        </w:rPr>
        <w:t xml:space="preserve"> </w:t>
      </w:r>
      <w:r>
        <w:rPr>
          <w:rFonts w:hint="eastAsia"/>
          <w:b/>
          <w:sz w:val="28"/>
          <w:szCs w:val="18"/>
          <w:highlight w:val="none"/>
        </w:rPr>
        <w:t>参审单位</w:t>
      </w:r>
      <w:r>
        <w:rPr>
          <w:b/>
          <w:sz w:val="28"/>
          <w:highlight w:val="none"/>
        </w:rPr>
        <w:t>须知</w:t>
      </w:r>
      <w:bookmarkEnd w:id="12"/>
    </w:p>
    <w:p>
      <w:pPr>
        <w:spacing w:line="360" w:lineRule="auto"/>
        <w:jc w:val="center"/>
        <w:outlineLvl w:val="1"/>
        <w:rPr>
          <w:b/>
          <w:sz w:val="24"/>
          <w:highlight w:val="none"/>
        </w:rPr>
      </w:pPr>
      <w:bookmarkStart w:id="13" w:name="_Toc29910"/>
      <w:r>
        <w:rPr>
          <w:rFonts w:hint="eastAsia"/>
          <w:b/>
          <w:sz w:val="24"/>
          <w:highlight w:val="none"/>
        </w:rPr>
        <w:t>一、</w:t>
      </w:r>
      <w:r>
        <w:rPr>
          <w:rFonts w:hint="eastAsia"/>
          <w:b/>
          <w:sz w:val="24"/>
          <w:szCs w:val="18"/>
          <w:highlight w:val="none"/>
        </w:rPr>
        <w:t>参审单位</w:t>
      </w:r>
      <w:r>
        <w:rPr>
          <w:b/>
          <w:sz w:val="24"/>
          <w:highlight w:val="none"/>
        </w:rPr>
        <w:t>须知前附表</w:t>
      </w:r>
      <w:bookmarkEnd w:id="13"/>
    </w:p>
    <w:p>
      <w:pPr>
        <w:spacing w:line="360" w:lineRule="auto"/>
        <w:ind w:firstLine="482" w:firstLineChars="200"/>
        <w:rPr>
          <w:sz w:val="24"/>
          <w:szCs w:val="18"/>
          <w:highlight w:val="none"/>
        </w:rPr>
      </w:pPr>
      <w:r>
        <w:rPr>
          <w:rFonts w:hint="eastAsia"/>
          <w:b/>
          <w:bCs/>
          <w:sz w:val="24"/>
          <w:szCs w:val="18"/>
          <w:highlight w:val="none"/>
        </w:rPr>
        <w:t>注：</w:t>
      </w:r>
      <w:r>
        <w:rPr>
          <w:rFonts w:hint="eastAsia"/>
          <w:sz w:val="24"/>
          <w:szCs w:val="18"/>
          <w:highlight w:val="none"/>
        </w:rPr>
        <w:t>本表是本项目的具体要求，是对参审单位须知的具体补充和修改，如有不一致，以本表为准。</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7"/>
              <w:rPr>
                <w:bCs/>
                <w:highlight w:val="none"/>
              </w:rPr>
            </w:pPr>
            <w:r>
              <w:rPr>
                <w:rFonts w:hint="eastAsia"/>
                <w:highlight w:val="none"/>
              </w:rPr>
              <w:t>条款号</w:t>
            </w:r>
          </w:p>
        </w:tc>
        <w:tc>
          <w:tcPr>
            <w:tcW w:w="2031" w:type="dxa"/>
            <w:vAlign w:val="center"/>
          </w:tcPr>
          <w:p>
            <w:pPr>
              <w:pStyle w:val="37"/>
              <w:rPr>
                <w:bCs/>
                <w:highlight w:val="none"/>
              </w:rPr>
            </w:pPr>
            <w:r>
              <w:rPr>
                <w:rFonts w:hint="eastAsia"/>
                <w:highlight w:val="none"/>
              </w:rPr>
              <w:t>条款名称</w:t>
            </w:r>
          </w:p>
        </w:tc>
        <w:tc>
          <w:tcPr>
            <w:tcW w:w="6020" w:type="dxa"/>
            <w:vAlign w:val="center"/>
          </w:tcPr>
          <w:p>
            <w:pPr>
              <w:pStyle w:val="37"/>
              <w:rPr>
                <w:bCs/>
                <w:highlight w:val="none"/>
              </w:rPr>
            </w:pPr>
            <w:r>
              <w:rPr>
                <w:rFonts w:hint="eastAsia"/>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w:t>
            </w:r>
            <w:r>
              <w:rPr>
                <w:bCs/>
                <w:kern w:val="2"/>
                <w:highlight w:val="none"/>
              </w:rPr>
              <w:t>.1</w:t>
            </w:r>
          </w:p>
        </w:tc>
        <w:tc>
          <w:tcPr>
            <w:tcW w:w="2031" w:type="dxa"/>
            <w:vAlign w:val="center"/>
          </w:tcPr>
          <w:p>
            <w:pPr>
              <w:pStyle w:val="37"/>
              <w:rPr>
                <w:b/>
                <w:bCs/>
                <w:highlight w:val="none"/>
              </w:rPr>
            </w:pPr>
            <w:r>
              <w:rPr>
                <w:highlight w:val="none"/>
              </w:rPr>
              <w:t>业主</w:t>
            </w:r>
            <w:r>
              <w:rPr>
                <w:rFonts w:hint="eastAsia"/>
                <w:highlight w:val="none"/>
              </w:rPr>
              <w:t>单位</w:t>
            </w:r>
          </w:p>
        </w:tc>
        <w:tc>
          <w:tcPr>
            <w:tcW w:w="6020" w:type="dxa"/>
            <w:vAlign w:val="center"/>
          </w:tcPr>
          <w:p>
            <w:pPr>
              <w:pStyle w:val="37"/>
              <w:rPr>
                <w:rFonts w:hint="eastAsia" w:eastAsia="宋体"/>
                <w:b/>
                <w:bCs/>
                <w:kern w:val="2"/>
                <w:szCs w:val="20"/>
                <w:highlight w:val="none"/>
                <w:lang w:eastAsia="zh-CN"/>
              </w:rPr>
            </w:pPr>
            <w:r>
              <w:rPr>
                <w:rFonts w:hint="eastAsia"/>
                <w:highlight w:val="none"/>
                <w:lang w:eastAsia="zh-CN"/>
              </w:rPr>
              <w:t>肥西综合能源服务有限公司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w:t>
            </w:r>
            <w:r>
              <w:rPr>
                <w:bCs/>
                <w:kern w:val="2"/>
                <w:highlight w:val="none"/>
              </w:rPr>
              <w:t>.2</w:t>
            </w:r>
          </w:p>
        </w:tc>
        <w:tc>
          <w:tcPr>
            <w:tcW w:w="2031" w:type="dxa"/>
            <w:vAlign w:val="center"/>
          </w:tcPr>
          <w:p>
            <w:pPr>
              <w:pStyle w:val="37"/>
              <w:rPr>
                <w:b/>
                <w:bCs/>
                <w:highlight w:val="none"/>
              </w:rPr>
            </w:pPr>
            <w:r>
              <w:rPr>
                <w:rFonts w:hint="eastAsia"/>
                <w:highlight w:val="none"/>
              </w:rPr>
              <w:t>代理机构</w:t>
            </w:r>
          </w:p>
        </w:tc>
        <w:tc>
          <w:tcPr>
            <w:tcW w:w="6020" w:type="dxa"/>
            <w:vAlign w:val="center"/>
          </w:tcPr>
          <w:p>
            <w:pPr>
              <w:pStyle w:val="37"/>
              <w:rPr>
                <w:rFonts w:hint="eastAsia" w:eastAsia="宋体"/>
                <w:b/>
                <w:bCs/>
                <w:highlight w:val="none"/>
                <w:lang w:eastAsia="zh-CN"/>
              </w:rPr>
            </w:pPr>
            <w:r>
              <w:rPr>
                <w:rFonts w:hint="eastAsia"/>
                <w:highlight w:val="non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w:t>
            </w:r>
            <w:r>
              <w:rPr>
                <w:bCs/>
                <w:kern w:val="2"/>
                <w:highlight w:val="none"/>
              </w:rPr>
              <w:t>.4.</w:t>
            </w:r>
            <w:r>
              <w:rPr>
                <w:rFonts w:hint="eastAsia"/>
                <w:bCs/>
                <w:kern w:val="2"/>
                <w:highlight w:val="none"/>
              </w:rPr>
              <w:t>4</w:t>
            </w:r>
          </w:p>
        </w:tc>
        <w:tc>
          <w:tcPr>
            <w:tcW w:w="2031" w:type="dxa"/>
            <w:vAlign w:val="center"/>
          </w:tcPr>
          <w:p>
            <w:pPr>
              <w:pStyle w:val="37"/>
              <w:rPr>
                <w:b/>
                <w:highlight w:val="none"/>
              </w:rPr>
            </w:pPr>
            <w:r>
              <w:rPr>
                <w:rFonts w:hint="eastAsia"/>
                <w:highlight w:val="none"/>
              </w:rPr>
              <w:t>是否允许联合体参加磋商</w:t>
            </w:r>
          </w:p>
        </w:tc>
        <w:tc>
          <w:tcPr>
            <w:tcW w:w="6020" w:type="dxa"/>
            <w:vAlign w:val="center"/>
          </w:tcPr>
          <w:p>
            <w:pPr>
              <w:pStyle w:val="37"/>
              <w:rPr>
                <w:b/>
                <w:bCs/>
                <w:szCs w:val="18"/>
                <w:highlight w:val="none"/>
              </w:rPr>
            </w:pPr>
            <w:r>
              <w:rPr>
                <w:rFonts w:hint="eastAsia"/>
                <w:highlight w:val="none"/>
              </w:rPr>
              <w:t xml:space="preserve">□是  </w:t>
            </w:r>
            <w:r>
              <w:rPr>
                <w:rFonts w:hint="eastAsia" w:ascii="Segoe UI Symbol" w:hAnsi="Segoe UI Symbol" w:cs="Segoe UI Symbol"/>
                <w:highlight w:val="none"/>
                <w:lang w:eastAsia="zh-CN"/>
              </w:rPr>
              <w:t>☑</w:t>
            </w:r>
            <w:r>
              <w:rPr>
                <w:rFonts w:hint="eastAsia"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7</w:t>
            </w:r>
            <w:r>
              <w:rPr>
                <w:bCs/>
                <w:kern w:val="2"/>
                <w:highlight w:val="none"/>
              </w:rPr>
              <w:t>.3</w:t>
            </w:r>
          </w:p>
        </w:tc>
        <w:tc>
          <w:tcPr>
            <w:tcW w:w="2031" w:type="dxa"/>
            <w:vAlign w:val="center"/>
          </w:tcPr>
          <w:p>
            <w:pPr>
              <w:pStyle w:val="37"/>
              <w:rPr>
                <w:b/>
                <w:highlight w:val="none"/>
              </w:rPr>
            </w:pPr>
            <w:r>
              <w:rPr>
                <w:rFonts w:hint="eastAsia"/>
                <w:highlight w:val="none"/>
              </w:rPr>
              <w:t>现场踏勘</w:t>
            </w:r>
          </w:p>
        </w:tc>
        <w:tc>
          <w:tcPr>
            <w:tcW w:w="6020" w:type="dxa"/>
            <w:vAlign w:val="center"/>
          </w:tcPr>
          <w:p>
            <w:pPr>
              <w:spacing w:line="360" w:lineRule="auto"/>
              <w:rPr>
                <w:rFonts w:cs="@仿宋_GB2312"/>
                <w:bCs/>
                <w:kern w:val="2"/>
                <w:sz w:val="24"/>
                <w:highlight w:val="none"/>
              </w:rPr>
            </w:pPr>
            <w:r>
              <w:rPr>
                <w:rFonts w:hint="eastAsia" w:ascii="Segoe UI Symbol" w:hAnsi="Segoe UI Symbol" w:cs="Segoe UI Symbol"/>
                <w:bCs/>
                <w:kern w:val="2"/>
                <w:sz w:val="24"/>
                <w:highlight w:val="none"/>
                <w:lang w:eastAsia="zh-CN"/>
              </w:rPr>
              <w:t>☑</w:t>
            </w:r>
            <w:r>
              <w:rPr>
                <w:rFonts w:hint="eastAsia" w:cs="@仿宋_GB2312"/>
                <w:bCs/>
                <w:kern w:val="2"/>
                <w:sz w:val="24"/>
                <w:highlight w:val="none"/>
              </w:rPr>
              <w:t>自行踏勘</w:t>
            </w:r>
          </w:p>
          <w:p>
            <w:pPr>
              <w:spacing w:line="360" w:lineRule="auto"/>
              <w:rPr>
                <w:rFonts w:cs="@仿宋_GB2312"/>
                <w:bCs/>
                <w:kern w:val="2"/>
                <w:sz w:val="24"/>
                <w:highlight w:val="none"/>
              </w:rPr>
            </w:pPr>
            <w:r>
              <w:rPr>
                <w:rFonts w:hint="eastAsia" w:cs="@仿宋_GB2312"/>
                <w:kern w:val="2"/>
                <w:sz w:val="24"/>
                <w:highlight w:val="none"/>
              </w:rPr>
              <w:t>□</w:t>
            </w:r>
            <w:r>
              <w:rPr>
                <w:rFonts w:hint="eastAsia" w:cs="@仿宋_GB2312"/>
                <w:bCs/>
                <w:kern w:val="2"/>
                <w:sz w:val="24"/>
                <w:highlight w:val="none"/>
              </w:rPr>
              <w:t>集中组织</w:t>
            </w:r>
          </w:p>
          <w:p>
            <w:pPr>
              <w:spacing w:line="360" w:lineRule="auto"/>
              <w:rPr>
                <w:rFonts w:cs="@仿宋_GB2312"/>
                <w:bCs/>
                <w:kern w:val="2"/>
                <w:sz w:val="24"/>
                <w:highlight w:val="none"/>
                <w:u w:val="single"/>
              </w:rPr>
            </w:pPr>
            <w:r>
              <w:rPr>
                <w:rFonts w:hint="eastAsia" w:cs="@仿宋_GB2312"/>
                <w:bCs/>
                <w:kern w:val="2"/>
                <w:sz w:val="24"/>
                <w:highlight w:val="none"/>
              </w:rPr>
              <w:t>时间：</w:t>
            </w:r>
            <w:r>
              <w:rPr>
                <w:rFonts w:hint="eastAsia" w:cs="@仿宋_GB2312"/>
                <w:bCs/>
                <w:kern w:val="2"/>
                <w:sz w:val="24"/>
                <w:highlight w:val="none"/>
                <w:u w:val="single"/>
              </w:rPr>
              <w:t xml:space="preserve"> </w:t>
            </w:r>
            <w:r>
              <w:rPr>
                <w:rFonts w:cs="@仿宋_GB2312"/>
                <w:bCs/>
                <w:kern w:val="2"/>
                <w:sz w:val="24"/>
                <w:highlight w:val="none"/>
                <w:u w:val="single"/>
              </w:rPr>
              <w:t xml:space="preserve">   </w:t>
            </w:r>
            <w:r>
              <w:rPr>
                <w:rFonts w:hint="eastAsia" w:cs="@仿宋_GB2312"/>
                <w:bCs/>
                <w:kern w:val="2"/>
                <w:sz w:val="24"/>
                <w:highlight w:val="none"/>
              </w:rPr>
              <w:t>年</w:t>
            </w:r>
            <w:r>
              <w:rPr>
                <w:rFonts w:hint="eastAsia" w:cs="@仿宋_GB2312"/>
                <w:bCs/>
                <w:kern w:val="2"/>
                <w:sz w:val="24"/>
                <w:highlight w:val="none"/>
                <w:u w:val="single"/>
              </w:rPr>
              <w:t xml:space="preserve"> </w:t>
            </w:r>
            <w:r>
              <w:rPr>
                <w:rFonts w:cs="@仿宋_GB2312"/>
                <w:bCs/>
                <w:kern w:val="2"/>
                <w:sz w:val="24"/>
                <w:highlight w:val="none"/>
                <w:u w:val="single"/>
              </w:rPr>
              <w:t xml:space="preserve"> </w:t>
            </w:r>
            <w:r>
              <w:rPr>
                <w:rFonts w:hint="eastAsia" w:cs="@仿宋_GB2312"/>
                <w:bCs/>
                <w:kern w:val="2"/>
                <w:sz w:val="24"/>
                <w:highlight w:val="none"/>
              </w:rPr>
              <w:t>月</w:t>
            </w:r>
            <w:r>
              <w:rPr>
                <w:rFonts w:hint="eastAsia" w:cs="@仿宋_GB2312"/>
                <w:bCs/>
                <w:kern w:val="2"/>
                <w:sz w:val="24"/>
                <w:highlight w:val="none"/>
                <w:u w:val="single"/>
              </w:rPr>
              <w:t xml:space="preserve"> </w:t>
            </w:r>
            <w:r>
              <w:rPr>
                <w:rFonts w:cs="@仿宋_GB2312"/>
                <w:bCs/>
                <w:kern w:val="2"/>
                <w:sz w:val="24"/>
                <w:highlight w:val="none"/>
                <w:u w:val="single"/>
              </w:rPr>
              <w:t xml:space="preserve"> </w:t>
            </w:r>
            <w:r>
              <w:rPr>
                <w:rFonts w:hint="eastAsia" w:cs="@仿宋_GB2312"/>
                <w:bCs/>
                <w:kern w:val="2"/>
                <w:sz w:val="24"/>
                <w:highlight w:val="none"/>
              </w:rPr>
              <w:t>日</w:t>
            </w:r>
            <w:r>
              <w:rPr>
                <w:rFonts w:hint="eastAsia" w:cs="@仿宋_GB2312"/>
                <w:bCs/>
                <w:kern w:val="2"/>
                <w:sz w:val="24"/>
                <w:highlight w:val="none"/>
                <w:u w:val="single"/>
              </w:rPr>
              <w:t xml:space="preserve"> </w:t>
            </w:r>
            <w:r>
              <w:rPr>
                <w:rFonts w:cs="@仿宋_GB2312"/>
                <w:bCs/>
                <w:kern w:val="2"/>
                <w:sz w:val="24"/>
                <w:highlight w:val="none"/>
                <w:u w:val="single"/>
              </w:rPr>
              <w:t xml:space="preserve"> </w:t>
            </w:r>
            <w:r>
              <w:rPr>
                <w:rFonts w:hint="eastAsia" w:cs="@仿宋_GB2312"/>
                <w:bCs/>
                <w:kern w:val="2"/>
                <w:sz w:val="24"/>
                <w:highlight w:val="none"/>
              </w:rPr>
              <w:t>时</w:t>
            </w:r>
            <w:r>
              <w:rPr>
                <w:rFonts w:hint="eastAsia" w:cs="@仿宋_GB2312"/>
                <w:bCs/>
                <w:kern w:val="2"/>
                <w:sz w:val="24"/>
                <w:highlight w:val="none"/>
                <w:u w:val="single"/>
              </w:rPr>
              <w:t xml:space="preserve"> </w:t>
            </w:r>
            <w:r>
              <w:rPr>
                <w:rFonts w:cs="@仿宋_GB2312"/>
                <w:bCs/>
                <w:kern w:val="2"/>
                <w:sz w:val="24"/>
                <w:highlight w:val="none"/>
                <w:u w:val="single"/>
              </w:rPr>
              <w:t xml:space="preserve"> </w:t>
            </w:r>
            <w:r>
              <w:rPr>
                <w:rFonts w:hint="eastAsia" w:cs="@仿宋_GB2312"/>
                <w:bCs/>
                <w:kern w:val="2"/>
                <w:sz w:val="24"/>
                <w:highlight w:val="none"/>
              </w:rPr>
              <w:t>分</w:t>
            </w:r>
          </w:p>
          <w:p>
            <w:pPr>
              <w:spacing w:line="360" w:lineRule="auto"/>
              <w:rPr>
                <w:rFonts w:cs="@仿宋_GB2312"/>
                <w:bCs/>
                <w:kern w:val="2"/>
                <w:sz w:val="24"/>
                <w:highlight w:val="none"/>
                <w:u w:val="single"/>
              </w:rPr>
            </w:pPr>
            <w:r>
              <w:rPr>
                <w:rFonts w:hint="eastAsia" w:cs="@仿宋_GB2312"/>
                <w:bCs/>
                <w:kern w:val="2"/>
                <w:sz w:val="24"/>
                <w:highlight w:val="none"/>
              </w:rPr>
              <w:t>地点：</w:t>
            </w:r>
            <w:r>
              <w:rPr>
                <w:rFonts w:hint="eastAsia" w:cs="@仿宋_GB2312"/>
                <w:bCs/>
                <w:kern w:val="2"/>
                <w:sz w:val="24"/>
                <w:highlight w:val="none"/>
                <w:u w:val="single"/>
              </w:rPr>
              <w:t xml:space="preserve"> </w:t>
            </w:r>
            <w:r>
              <w:rPr>
                <w:rFonts w:cs="@仿宋_GB2312"/>
                <w:bCs/>
                <w:kern w:val="2"/>
                <w:sz w:val="24"/>
                <w:highlight w:val="none"/>
                <w:u w:val="single"/>
              </w:rPr>
              <w:t xml:space="preserve">                     </w:t>
            </w:r>
          </w:p>
          <w:p>
            <w:pPr>
              <w:spacing w:line="360" w:lineRule="auto"/>
              <w:rPr>
                <w:rFonts w:cs="@仿宋_GB2312"/>
                <w:bCs/>
                <w:kern w:val="2"/>
                <w:sz w:val="24"/>
                <w:highlight w:val="none"/>
                <w:u w:val="single"/>
              </w:rPr>
            </w:pPr>
            <w:r>
              <w:rPr>
                <w:rFonts w:hint="eastAsia" w:cs="@仿宋_GB2312"/>
                <w:bCs/>
                <w:kern w:val="2"/>
                <w:sz w:val="24"/>
                <w:highlight w:val="none"/>
              </w:rPr>
              <w:t>现场踏勘联系人及联系电话：</w:t>
            </w:r>
            <w:r>
              <w:rPr>
                <w:rFonts w:hint="eastAsia" w:cs="@仿宋_GB2312"/>
                <w:bCs/>
                <w:kern w:val="2"/>
                <w:sz w:val="24"/>
                <w:highlight w:val="none"/>
                <w:u w:val="single"/>
              </w:rPr>
              <w:t xml:space="preserve"> </w:t>
            </w:r>
            <w:r>
              <w:rPr>
                <w:rFonts w:cs="@仿宋_GB2312"/>
                <w:bCs/>
                <w:kern w:val="2"/>
                <w:sz w:val="24"/>
                <w:highlight w:val="none"/>
                <w:u w:val="single"/>
              </w:rPr>
              <w:t xml:space="preserve">          </w:t>
            </w:r>
          </w:p>
          <w:p>
            <w:pPr>
              <w:pStyle w:val="37"/>
              <w:spacing w:line="360" w:lineRule="auto"/>
              <w:rPr>
                <w:highlight w:val="none"/>
              </w:rPr>
            </w:pPr>
            <w:r>
              <w:rPr>
                <w:rFonts w:hint="eastAsia"/>
                <w:highlight w:val="none"/>
              </w:rPr>
              <w:t>备注：如</w:t>
            </w:r>
            <w:r>
              <w:rPr>
                <w:rFonts w:hint="eastAsia"/>
                <w:szCs w:val="18"/>
                <w:highlight w:val="none"/>
              </w:rPr>
              <w:t>参审单位</w:t>
            </w:r>
            <w:r>
              <w:rPr>
                <w:rFonts w:hint="eastAsia"/>
                <w:highlight w:val="none"/>
              </w:rPr>
              <w:t>未参加</w:t>
            </w:r>
            <w:r>
              <w:rPr>
                <w:szCs w:val="18"/>
                <w:highlight w:val="none"/>
              </w:rPr>
              <w:t>业主</w:t>
            </w:r>
            <w:r>
              <w:rPr>
                <w:rFonts w:hint="eastAsia"/>
                <w:szCs w:val="18"/>
                <w:highlight w:val="none"/>
              </w:rPr>
              <w:t>单位</w:t>
            </w:r>
            <w:r>
              <w:rPr>
                <w:rFonts w:hint="eastAsia"/>
                <w:highlight w:val="none"/>
              </w:rPr>
              <w:t>统一组织的现场踏勘，视同放弃现场踏勘，由此引起的一切责任由</w:t>
            </w:r>
            <w:r>
              <w:rPr>
                <w:rFonts w:hint="eastAsia"/>
                <w:szCs w:val="18"/>
                <w:highlight w:val="none"/>
              </w:rPr>
              <w:t>参审单位</w:t>
            </w:r>
            <w:r>
              <w:rPr>
                <w:rFonts w:hint="eastAsia"/>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8</w:t>
            </w:r>
            <w:r>
              <w:rPr>
                <w:bCs/>
                <w:kern w:val="2"/>
                <w:highlight w:val="none"/>
              </w:rPr>
              <w:t>.1</w:t>
            </w:r>
          </w:p>
        </w:tc>
        <w:tc>
          <w:tcPr>
            <w:tcW w:w="2031" w:type="dxa"/>
            <w:vAlign w:val="center"/>
          </w:tcPr>
          <w:p>
            <w:pPr>
              <w:pStyle w:val="37"/>
              <w:rPr>
                <w:b/>
                <w:highlight w:val="none"/>
              </w:rPr>
            </w:pPr>
            <w:r>
              <w:rPr>
                <w:rFonts w:hint="eastAsia"/>
                <w:highlight w:val="none"/>
              </w:rPr>
              <w:t>网上询问截止时间</w:t>
            </w:r>
          </w:p>
        </w:tc>
        <w:tc>
          <w:tcPr>
            <w:tcW w:w="6020" w:type="dxa"/>
            <w:vAlign w:val="center"/>
          </w:tcPr>
          <w:p>
            <w:pPr>
              <w:pStyle w:val="37"/>
              <w:spacing w:line="360" w:lineRule="auto"/>
              <w:rPr>
                <w:b/>
                <w:highlight w:val="none"/>
              </w:rPr>
            </w:pPr>
            <w:r>
              <w:rPr>
                <w:rFonts w:hint="eastAsia"/>
                <w:highlight w:val="none"/>
                <w:u w:val="single"/>
                <w:lang w:val="en-US" w:eastAsia="zh-CN"/>
              </w:rPr>
              <w:t>2025</w:t>
            </w:r>
            <w:r>
              <w:rPr>
                <w:rFonts w:hint="eastAsia"/>
                <w:highlight w:val="none"/>
              </w:rPr>
              <w:t>年</w:t>
            </w:r>
            <w:r>
              <w:rPr>
                <w:rFonts w:hint="eastAsia"/>
                <w:highlight w:val="none"/>
                <w:u w:val="single"/>
                <w:lang w:val="en-US" w:eastAsia="zh-CN"/>
              </w:rPr>
              <w:t>02</w:t>
            </w:r>
            <w:r>
              <w:rPr>
                <w:rFonts w:hint="eastAsia"/>
                <w:highlight w:val="none"/>
              </w:rPr>
              <w:t>月</w:t>
            </w:r>
            <w:r>
              <w:rPr>
                <w:rFonts w:hint="eastAsia" w:cs="宋体"/>
                <w:szCs w:val="18"/>
                <w:highlight w:val="none"/>
                <w:u w:val="single"/>
                <w:lang w:val="en-US" w:eastAsia="zh-CN"/>
              </w:rPr>
              <w:t>05</w:t>
            </w:r>
            <w:r>
              <w:rPr>
                <w:rFonts w:hint="eastAsia"/>
                <w:highlight w:val="none"/>
              </w:rPr>
              <w:t>日</w:t>
            </w:r>
            <w:r>
              <w:rPr>
                <w:rFonts w:hint="eastAsia"/>
                <w:highlight w:val="none"/>
                <w:u w:val="single"/>
              </w:rPr>
              <w:t>17：30</w:t>
            </w:r>
            <w:r>
              <w:rPr>
                <w:rFonts w:hint="eastAsia"/>
                <w:highlight w:val="none"/>
              </w:rPr>
              <w:t>前接受网上答疑（逾期不予受理），疑问的提出与答疑获取详见磋商文件第二章</w:t>
            </w:r>
            <w:r>
              <w:rPr>
                <w:rFonts w:hint="eastAsia"/>
                <w:szCs w:val="18"/>
                <w:highlight w:val="none"/>
              </w:rPr>
              <w:t>参审单位</w:t>
            </w:r>
            <w:r>
              <w:rPr>
                <w:rFonts w:hint="eastAsia"/>
                <w:highlight w:val="none"/>
              </w:rPr>
              <w:t>须知。</w:t>
            </w:r>
          </w:p>
          <w:p>
            <w:pPr>
              <w:pStyle w:val="37"/>
              <w:spacing w:line="360" w:lineRule="auto"/>
              <w:rPr>
                <w:b/>
                <w:highlight w:val="none"/>
              </w:rPr>
            </w:pPr>
            <w:r>
              <w:rPr>
                <w:rFonts w:hint="eastAsia"/>
                <w:szCs w:val="18"/>
                <w:highlight w:val="none"/>
              </w:rPr>
              <w:t>参审单位</w:t>
            </w:r>
            <w:r>
              <w:rPr>
                <w:rFonts w:hint="eastAsia"/>
                <w:highlight w:val="none"/>
              </w:rPr>
              <w:t>请注意：</w:t>
            </w:r>
            <w:r>
              <w:rPr>
                <w:rFonts w:hint="eastAsia"/>
                <w:highlight w:val="none"/>
                <w:lang w:eastAsia="zh-CN"/>
              </w:rPr>
              <w:t>肥西县派合商务服务有限公司</w:t>
            </w:r>
            <w:r>
              <w:rPr>
                <w:rFonts w:hint="eastAsia"/>
                <w:highlight w:val="none"/>
              </w:rPr>
              <w:t>对磋商文件进行的澄清、更正或更改，将在网站上及时发布，该公告内容为磋商文件的组成部分，对</w:t>
            </w:r>
            <w:r>
              <w:rPr>
                <w:rFonts w:hint="eastAsia"/>
                <w:szCs w:val="18"/>
                <w:highlight w:val="none"/>
              </w:rPr>
              <w:t>参审单位</w:t>
            </w:r>
            <w:r>
              <w:rPr>
                <w:rFonts w:hint="eastAsia"/>
                <w:highlight w:val="none"/>
              </w:rPr>
              <w:t>具有同样约束力效力。</w:t>
            </w:r>
            <w:r>
              <w:rPr>
                <w:rFonts w:hint="eastAsia"/>
                <w:szCs w:val="18"/>
                <w:highlight w:val="none"/>
              </w:rPr>
              <w:t>参审单位</w:t>
            </w:r>
            <w:r>
              <w:rPr>
                <w:rFonts w:hint="eastAsia"/>
                <w:highlight w:val="none"/>
              </w:rPr>
              <w:t>应主动上网查询。</w:t>
            </w:r>
            <w:r>
              <w:rPr>
                <w:rFonts w:hint="eastAsia"/>
                <w:highlight w:val="none"/>
                <w:lang w:eastAsia="zh-CN"/>
              </w:rPr>
              <w:t>肥西县派合商务服务有限公司</w:t>
            </w:r>
            <w:r>
              <w:rPr>
                <w:rFonts w:hint="eastAsia"/>
                <w:highlight w:val="none"/>
              </w:rPr>
              <w:t>不承担</w:t>
            </w:r>
            <w:r>
              <w:rPr>
                <w:rFonts w:hint="eastAsia"/>
                <w:szCs w:val="18"/>
                <w:highlight w:val="none"/>
              </w:rPr>
              <w:t>参审单位</w:t>
            </w:r>
            <w:r>
              <w:rPr>
                <w:rFonts w:hint="eastAsia"/>
                <w:highlight w:val="none"/>
              </w:rPr>
              <w:t>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9</w:t>
            </w:r>
            <w:r>
              <w:rPr>
                <w:bCs/>
                <w:kern w:val="2"/>
                <w:highlight w:val="none"/>
              </w:rPr>
              <w:t>.1</w:t>
            </w:r>
          </w:p>
        </w:tc>
        <w:tc>
          <w:tcPr>
            <w:tcW w:w="2031" w:type="dxa"/>
            <w:vAlign w:val="center"/>
          </w:tcPr>
          <w:p>
            <w:pPr>
              <w:pStyle w:val="37"/>
              <w:rPr>
                <w:b/>
                <w:highlight w:val="none"/>
              </w:rPr>
            </w:pPr>
            <w:r>
              <w:rPr>
                <w:rFonts w:hint="eastAsia"/>
                <w:highlight w:val="none"/>
              </w:rPr>
              <w:t>包别划分</w:t>
            </w:r>
          </w:p>
        </w:tc>
        <w:tc>
          <w:tcPr>
            <w:tcW w:w="6020" w:type="dxa"/>
            <w:vAlign w:val="center"/>
          </w:tcPr>
          <w:p>
            <w:pPr>
              <w:pStyle w:val="37"/>
              <w:jc w:val="both"/>
              <w:rPr>
                <w:b/>
                <w:highlight w:val="none"/>
              </w:rPr>
            </w:pPr>
            <w:r>
              <w:rPr>
                <w:rFonts w:hint="eastAsia" w:ascii="Segoe UI Symbol" w:hAnsi="Segoe UI Symbol" w:cs="Segoe UI Symbol"/>
                <w:highlight w:val="none"/>
                <w:lang w:eastAsia="zh-CN"/>
              </w:rPr>
              <w:t>☑</w:t>
            </w:r>
            <w:r>
              <w:rPr>
                <w:highlight w:val="none"/>
              </w:rPr>
              <w:t>不分包     □分为</w:t>
            </w:r>
            <w:r>
              <w:rPr>
                <w:highlight w:val="none"/>
                <w:u w:val="single"/>
              </w:rPr>
              <w:t xml:space="preserve">  </w:t>
            </w:r>
            <w:r>
              <w:rPr>
                <w:highlight w:val="none"/>
              </w:rPr>
              <w:t>个包</w:t>
            </w:r>
          </w:p>
          <w:p>
            <w:pPr>
              <w:pStyle w:val="37"/>
              <w:jc w:val="both"/>
              <w:rPr>
                <w:b/>
                <w:highlight w:val="none"/>
              </w:rPr>
            </w:pPr>
            <w:r>
              <w:rPr>
                <w:rFonts w:hint="eastAsia"/>
                <w:highlight w:val="none"/>
              </w:rPr>
              <w:t>参审单位</w:t>
            </w:r>
            <w:r>
              <w:rPr>
                <w:rFonts w:hint="eastAsia"/>
                <w:szCs w:val="24"/>
                <w:highlight w:val="none"/>
              </w:rPr>
              <w:t>参加多个包磋商的成交</w:t>
            </w:r>
            <w:r>
              <w:rPr>
                <w:szCs w:val="24"/>
                <w:highlight w:val="none"/>
              </w:rPr>
              <w:t>包</w:t>
            </w:r>
            <w:r>
              <w:rPr>
                <w:rFonts w:hint="eastAsia"/>
                <w:szCs w:val="24"/>
                <w:highlight w:val="none"/>
              </w:rPr>
              <w:t>数规定：</w:t>
            </w:r>
            <w:r>
              <w:rPr>
                <w:rFonts w:hint="eastAsia"/>
                <w:highlight w:val="none"/>
                <w:u w:val="single"/>
              </w:rPr>
              <w:t xml:space="preserve"> </w:t>
            </w:r>
            <w:r>
              <w:rPr>
                <w:rFonts w:hint="eastAsia"/>
                <w:highlight w:val="none"/>
                <w:u w:val="single"/>
                <w:lang w:val="en-US" w:eastAsia="zh-CN"/>
              </w:rPr>
              <w:t>/</w:t>
            </w:r>
            <w:r>
              <w:rPr>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3.1</w:t>
            </w:r>
          </w:p>
        </w:tc>
        <w:tc>
          <w:tcPr>
            <w:tcW w:w="2031" w:type="dxa"/>
            <w:vAlign w:val="center"/>
          </w:tcPr>
          <w:p>
            <w:pPr>
              <w:pStyle w:val="37"/>
              <w:rPr>
                <w:b/>
                <w:highlight w:val="none"/>
              </w:rPr>
            </w:pPr>
            <w:r>
              <w:rPr>
                <w:rFonts w:hint="eastAsia"/>
                <w:highlight w:val="none"/>
              </w:rPr>
              <w:t>磋商保证金</w:t>
            </w:r>
          </w:p>
        </w:tc>
        <w:tc>
          <w:tcPr>
            <w:tcW w:w="6020" w:type="dxa"/>
            <w:vAlign w:val="center"/>
          </w:tcPr>
          <w:p>
            <w:pPr>
              <w:spacing w:line="360" w:lineRule="auto"/>
              <w:jc w:val="left"/>
              <w:rPr>
                <w:rFonts w:cs="宋体"/>
                <w:sz w:val="24"/>
                <w:highlight w:val="none"/>
              </w:rPr>
            </w:pPr>
            <w:r>
              <w:rPr>
                <w:rFonts w:hint="eastAsia" w:cs="宋体"/>
                <w:sz w:val="24"/>
                <w:highlight w:val="none"/>
              </w:rPr>
              <w:t>是否要求</w:t>
            </w:r>
            <w:r>
              <w:rPr>
                <w:rFonts w:hint="eastAsia"/>
                <w:sz w:val="24"/>
                <w:szCs w:val="18"/>
                <w:highlight w:val="none"/>
              </w:rPr>
              <w:t>参审单位</w:t>
            </w:r>
            <w:r>
              <w:rPr>
                <w:rFonts w:hint="eastAsia" w:cs="宋体"/>
                <w:sz w:val="24"/>
                <w:highlight w:val="none"/>
              </w:rPr>
              <w:t>递交磋商保证金：</w:t>
            </w:r>
          </w:p>
          <w:p>
            <w:pPr>
              <w:spacing w:line="360" w:lineRule="auto"/>
              <w:jc w:val="left"/>
              <w:rPr>
                <w:rFonts w:cs="宋体"/>
                <w:sz w:val="24"/>
                <w:highlight w:val="none"/>
              </w:rPr>
            </w:pPr>
            <w:r>
              <w:rPr>
                <w:rFonts w:hint="eastAsia" w:cs="宋体"/>
                <w:sz w:val="24"/>
                <w:highlight w:val="none"/>
              </w:rPr>
              <w:sym w:font="Wingdings 2" w:char="00A3"/>
            </w:r>
            <w:r>
              <w:rPr>
                <w:rFonts w:hint="eastAsia" w:cs="宋体"/>
                <w:sz w:val="24"/>
                <w:highlight w:val="none"/>
              </w:rPr>
              <w:t>不要求</w:t>
            </w:r>
          </w:p>
          <w:p>
            <w:pPr>
              <w:spacing w:line="360" w:lineRule="auto"/>
              <w:jc w:val="left"/>
              <w:rPr>
                <w:rFonts w:cs="宋体"/>
                <w:b/>
                <w:bCs/>
                <w:sz w:val="24"/>
                <w:highlight w:val="none"/>
              </w:rPr>
            </w:pPr>
            <w:r>
              <w:rPr>
                <w:rFonts w:ascii="Segoe UI Symbol" w:hAnsi="Segoe UI Symbol" w:cs="Segoe UI Symbol"/>
                <w:b/>
                <w:bCs/>
                <w:sz w:val="24"/>
                <w:highlight w:val="none"/>
              </w:rPr>
              <w:t>☑</w:t>
            </w:r>
            <w:r>
              <w:rPr>
                <w:rFonts w:hint="eastAsia" w:cs="宋体"/>
                <w:b/>
                <w:bCs/>
                <w:sz w:val="24"/>
                <w:highlight w:val="none"/>
              </w:rPr>
              <w:t>要求</w:t>
            </w:r>
          </w:p>
          <w:p>
            <w:pPr>
              <w:spacing w:line="360" w:lineRule="auto"/>
              <w:rPr>
                <w:rFonts w:cs="宋体"/>
                <w:sz w:val="24"/>
                <w:highlight w:val="none"/>
              </w:rPr>
            </w:pPr>
            <w:r>
              <w:rPr>
                <w:rFonts w:hint="eastAsia" w:cs="宋体"/>
                <w:sz w:val="24"/>
                <w:highlight w:val="none"/>
              </w:rPr>
              <w:t>磋商保证金的形式：</w:t>
            </w:r>
            <w:r>
              <w:rPr>
                <w:rFonts w:hint="eastAsia" w:ascii="Segoe UI Symbol" w:hAnsi="Segoe UI Symbol" w:cs="Segoe UI Symbol"/>
                <w:sz w:val="24"/>
                <w:highlight w:val="none"/>
              </w:rPr>
              <w:t>☑</w:t>
            </w:r>
            <w:r>
              <w:rPr>
                <w:rFonts w:hint="eastAsia" w:cs="宋体"/>
                <w:sz w:val="24"/>
                <w:highlight w:val="none"/>
              </w:rPr>
              <w:t>银行转账  ☑银行电汇</w:t>
            </w:r>
          </w:p>
          <w:p>
            <w:pPr>
              <w:snapToGrid w:val="0"/>
              <w:spacing w:line="460" w:lineRule="exact"/>
              <w:rPr>
                <w:rFonts w:cs="宋体"/>
                <w:sz w:val="24"/>
                <w:highlight w:val="none"/>
              </w:rPr>
            </w:pPr>
            <w:r>
              <w:rPr>
                <w:rFonts w:hint="eastAsia" w:cs="宋体"/>
                <w:sz w:val="24"/>
                <w:highlight w:val="none"/>
              </w:rPr>
              <w:t>磋商保证金的金额：</w:t>
            </w:r>
            <w:r>
              <w:rPr>
                <w:rFonts w:cs="宋体"/>
                <w:b/>
                <w:bCs/>
                <w:sz w:val="24"/>
                <w:szCs w:val="24"/>
                <w:highlight w:val="none"/>
              </w:rPr>
              <w:t>磋商保证金的金额：人民币</w:t>
            </w:r>
            <w:r>
              <w:rPr>
                <w:rFonts w:hint="eastAsia" w:cs="宋体"/>
                <w:b/>
                <w:bCs/>
                <w:sz w:val="24"/>
                <w:szCs w:val="24"/>
                <w:highlight w:val="none"/>
                <w:lang w:val="en-US" w:eastAsia="zh-CN"/>
              </w:rPr>
              <w:t>302</w:t>
            </w:r>
            <w:r>
              <w:rPr>
                <w:rFonts w:hint="eastAsia" w:cs="宋体"/>
                <w:b/>
                <w:bCs/>
                <w:sz w:val="24"/>
                <w:szCs w:val="24"/>
                <w:highlight w:val="none"/>
              </w:rPr>
              <w:t>00</w:t>
            </w:r>
            <w:r>
              <w:rPr>
                <w:rFonts w:cs="宋体"/>
                <w:b/>
                <w:bCs/>
                <w:sz w:val="24"/>
                <w:szCs w:val="24"/>
                <w:highlight w:val="none"/>
              </w:rPr>
              <w:t>元</w:t>
            </w:r>
            <w:r>
              <w:rPr>
                <w:rFonts w:hint="eastAsia" w:cs="宋体"/>
                <w:b/>
                <w:bCs/>
                <w:sz w:val="24"/>
                <w:szCs w:val="24"/>
                <w:highlight w:val="none"/>
              </w:rPr>
              <w:t>；</w:t>
            </w:r>
            <w:r>
              <w:rPr>
                <w:rFonts w:cs="宋体"/>
                <w:b/>
                <w:bCs/>
                <w:sz w:val="24"/>
                <w:szCs w:val="24"/>
                <w:highlight w:val="none"/>
              </w:rPr>
              <w:t>含工本费：人民币</w:t>
            </w:r>
            <w:r>
              <w:rPr>
                <w:rFonts w:hint="eastAsia" w:cs="宋体"/>
                <w:b/>
                <w:bCs/>
                <w:sz w:val="24"/>
                <w:szCs w:val="24"/>
                <w:highlight w:val="none"/>
              </w:rPr>
              <w:t>2</w:t>
            </w:r>
            <w:r>
              <w:rPr>
                <w:rFonts w:cs="宋体"/>
                <w:b/>
                <w:bCs/>
                <w:sz w:val="24"/>
                <w:szCs w:val="24"/>
                <w:highlight w:val="none"/>
              </w:rPr>
              <w:t>00.00元（</w:t>
            </w:r>
            <w:r>
              <w:rPr>
                <w:rFonts w:hint="eastAsia" w:cs="宋体"/>
                <w:b/>
                <w:bCs/>
                <w:sz w:val="24"/>
                <w:szCs w:val="24"/>
                <w:highlight w:val="none"/>
              </w:rPr>
              <w:t>工本费</w:t>
            </w:r>
            <w:r>
              <w:rPr>
                <w:rFonts w:cs="宋体"/>
                <w:b/>
                <w:bCs/>
                <w:sz w:val="24"/>
                <w:szCs w:val="24"/>
                <w:highlight w:val="none"/>
              </w:rPr>
              <w:t>售后不退）</w:t>
            </w:r>
          </w:p>
          <w:p>
            <w:pPr>
              <w:spacing w:line="360" w:lineRule="auto"/>
              <w:jc w:val="left"/>
              <w:rPr>
                <w:rFonts w:cs="宋体"/>
                <w:sz w:val="24"/>
                <w:highlight w:val="none"/>
              </w:rPr>
            </w:pPr>
            <w:r>
              <w:rPr>
                <w:rFonts w:hint="eastAsia" w:cs="宋体"/>
                <w:sz w:val="24"/>
                <w:highlight w:val="none"/>
              </w:rPr>
              <w:t>递交要求：</w:t>
            </w:r>
          </w:p>
          <w:p>
            <w:pPr>
              <w:spacing w:line="360" w:lineRule="auto"/>
              <w:jc w:val="left"/>
              <w:rPr>
                <w:rFonts w:cs="宋体"/>
                <w:sz w:val="24"/>
                <w:szCs w:val="24"/>
                <w:highlight w:val="none"/>
              </w:rPr>
            </w:pPr>
            <w:r>
              <w:rPr>
                <w:rFonts w:hint="eastAsia" w:cs="宋体"/>
                <w:sz w:val="24"/>
                <w:szCs w:val="24"/>
                <w:highlight w:val="none"/>
              </w:rPr>
              <w:t>①磋商保证金的到账截止时间：磋商截止时间。</w:t>
            </w:r>
          </w:p>
          <w:p>
            <w:pPr>
              <w:spacing w:line="360" w:lineRule="auto"/>
              <w:jc w:val="both"/>
              <w:rPr>
                <w:rFonts w:cs="宋体"/>
                <w:sz w:val="24"/>
                <w:szCs w:val="24"/>
                <w:highlight w:val="none"/>
              </w:rPr>
            </w:pPr>
            <w:r>
              <w:rPr>
                <w:rFonts w:hint="eastAsia" w:cs="宋体"/>
                <w:sz w:val="24"/>
                <w:szCs w:val="24"/>
                <w:highlight w:val="none"/>
              </w:rPr>
              <w:t>②磋商保证金应当从</w:t>
            </w:r>
            <w:r>
              <w:rPr>
                <w:rFonts w:hint="eastAsia"/>
                <w:sz w:val="24"/>
                <w:szCs w:val="18"/>
                <w:highlight w:val="none"/>
              </w:rPr>
              <w:t>参审单位</w:t>
            </w:r>
            <w:r>
              <w:rPr>
                <w:rFonts w:hint="eastAsia" w:cs="宋体"/>
                <w:sz w:val="24"/>
                <w:szCs w:val="24"/>
                <w:highlight w:val="none"/>
              </w:rPr>
              <w:t>基本账户转出，转出保证金的账户与</w:t>
            </w:r>
            <w:r>
              <w:rPr>
                <w:rFonts w:hint="eastAsia"/>
                <w:sz w:val="24"/>
                <w:szCs w:val="18"/>
                <w:highlight w:val="none"/>
              </w:rPr>
              <w:t>参审单位</w:t>
            </w:r>
            <w:r>
              <w:rPr>
                <w:rFonts w:hint="eastAsia" w:cs="宋体"/>
                <w:sz w:val="24"/>
                <w:szCs w:val="24"/>
                <w:highlight w:val="none"/>
              </w:rPr>
              <w:t>响应文件提供的基本账户不一致的，视为未按磋商文件规定要求递交磋商保证金。</w:t>
            </w:r>
          </w:p>
          <w:p>
            <w:pPr>
              <w:spacing w:line="360" w:lineRule="auto"/>
              <w:jc w:val="left"/>
              <w:rPr>
                <w:rFonts w:cs="宋体"/>
                <w:b/>
                <w:bCs/>
                <w:sz w:val="24"/>
                <w:szCs w:val="24"/>
                <w:highlight w:val="none"/>
              </w:rPr>
            </w:pPr>
            <w:r>
              <w:rPr>
                <w:rFonts w:hint="eastAsia" w:cs="宋体"/>
                <w:b/>
                <w:bCs/>
                <w:sz w:val="24"/>
                <w:szCs w:val="24"/>
                <w:highlight w:val="none"/>
              </w:rPr>
              <w:t>③转入的开户银行及账号：</w:t>
            </w:r>
          </w:p>
          <w:p>
            <w:pPr>
              <w:snapToGrid w:val="0"/>
              <w:spacing w:line="460" w:lineRule="exact"/>
              <w:ind w:firstLine="120" w:firstLineChars="50"/>
              <w:rPr>
                <w:rFonts w:cs="宋体"/>
                <w:sz w:val="24"/>
                <w:szCs w:val="24"/>
                <w:highlight w:val="none"/>
              </w:rPr>
            </w:pPr>
            <w:r>
              <w:rPr>
                <w:rFonts w:hint="eastAsia" w:cs="宋体"/>
                <w:sz w:val="24"/>
                <w:szCs w:val="24"/>
                <w:highlight w:val="none"/>
              </w:rPr>
              <w:t>开户银行：广发银行合肥肥西支行</w:t>
            </w:r>
          </w:p>
          <w:p>
            <w:pPr>
              <w:snapToGrid w:val="0"/>
              <w:spacing w:line="460" w:lineRule="exact"/>
              <w:ind w:firstLine="120" w:firstLineChars="50"/>
              <w:rPr>
                <w:rFonts w:hint="eastAsia" w:eastAsia="宋体" w:cs="宋体"/>
                <w:sz w:val="24"/>
                <w:szCs w:val="24"/>
                <w:highlight w:val="none"/>
                <w:lang w:eastAsia="zh-CN"/>
              </w:rPr>
            </w:pPr>
            <w:r>
              <w:rPr>
                <w:rFonts w:hint="eastAsia" w:cs="宋体"/>
                <w:sz w:val="24"/>
                <w:szCs w:val="24"/>
                <w:highlight w:val="none"/>
              </w:rPr>
              <w:t>开户名：</w:t>
            </w:r>
            <w:bookmarkStart w:id="14" w:name="OLE_LINK3"/>
            <w:r>
              <w:rPr>
                <w:rFonts w:hint="eastAsia" w:cs="宋体"/>
                <w:sz w:val="24"/>
                <w:szCs w:val="24"/>
                <w:highlight w:val="none"/>
                <w:lang w:eastAsia="zh-CN"/>
              </w:rPr>
              <w:t>肥西县派合商务服务有限公司</w:t>
            </w:r>
            <w:bookmarkEnd w:id="14"/>
          </w:p>
          <w:p>
            <w:pPr>
              <w:snapToGrid w:val="0"/>
              <w:spacing w:line="460" w:lineRule="exact"/>
              <w:ind w:firstLine="120" w:firstLineChars="50"/>
              <w:rPr>
                <w:rFonts w:cs="宋体"/>
                <w:sz w:val="24"/>
                <w:szCs w:val="24"/>
                <w:highlight w:val="none"/>
                <w:u w:val="single"/>
              </w:rPr>
            </w:pPr>
            <w:r>
              <w:rPr>
                <w:rFonts w:hint="eastAsia" w:cs="宋体"/>
                <w:sz w:val="24"/>
                <w:szCs w:val="24"/>
                <w:highlight w:val="none"/>
              </w:rPr>
              <w:t>账号：9550880248258000130</w:t>
            </w:r>
          </w:p>
          <w:p>
            <w:pPr>
              <w:spacing w:line="360" w:lineRule="auto"/>
              <w:jc w:val="left"/>
              <w:rPr>
                <w:rFonts w:cs="宋体"/>
                <w:sz w:val="24"/>
                <w:highlight w:val="none"/>
              </w:rPr>
            </w:pPr>
            <w:r>
              <w:rPr>
                <w:rFonts w:hint="eastAsia" w:cs="宋体"/>
                <w:sz w:val="24"/>
                <w:highlight w:val="none"/>
              </w:rPr>
              <w:t>注意事项：</w:t>
            </w:r>
          </w:p>
          <w:p>
            <w:pPr>
              <w:numPr>
                <w:ilvl w:val="0"/>
                <w:numId w:val="1"/>
              </w:numPr>
              <w:spacing w:line="360" w:lineRule="auto"/>
              <w:jc w:val="left"/>
              <w:rPr>
                <w:rFonts w:hint="eastAsia" w:cs="宋体"/>
                <w:b/>
                <w:bCs/>
                <w:sz w:val="32"/>
                <w:szCs w:val="22"/>
                <w:highlight w:val="none"/>
                <w:lang w:val="en-US" w:eastAsia="zh-CN"/>
              </w:rPr>
            </w:pPr>
            <w:r>
              <w:rPr>
                <w:rFonts w:hint="eastAsia" w:cs="宋体"/>
                <w:b/>
                <w:bCs/>
                <w:sz w:val="32"/>
                <w:szCs w:val="22"/>
                <w:highlight w:val="none"/>
              </w:rPr>
              <w:t>磋商保证金交纳账号采用</w:t>
            </w:r>
            <w:r>
              <w:rPr>
                <w:rFonts w:hint="eastAsia" w:cs="宋体"/>
                <w:b/>
                <w:bCs/>
                <w:sz w:val="32"/>
                <w:szCs w:val="22"/>
                <w:highlight w:val="none"/>
                <w:lang w:val="en-US" w:eastAsia="zh-CN"/>
              </w:rPr>
              <w:t>实体</w:t>
            </w:r>
            <w:r>
              <w:rPr>
                <w:rFonts w:hint="eastAsia" w:cs="宋体"/>
                <w:b/>
                <w:bCs/>
                <w:sz w:val="32"/>
                <w:szCs w:val="22"/>
                <w:highlight w:val="none"/>
              </w:rPr>
              <w:t>账号，请</w:t>
            </w:r>
            <w:r>
              <w:rPr>
                <w:rFonts w:hint="eastAsia"/>
                <w:b/>
                <w:bCs/>
                <w:sz w:val="32"/>
                <w:szCs w:val="21"/>
                <w:highlight w:val="none"/>
              </w:rPr>
              <w:t>参审单位</w:t>
            </w:r>
            <w:r>
              <w:rPr>
                <w:rFonts w:hint="eastAsia" w:cs="宋体"/>
                <w:b/>
                <w:bCs/>
                <w:sz w:val="32"/>
                <w:szCs w:val="22"/>
                <w:highlight w:val="none"/>
              </w:rPr>
              <w:t>参与磋商</w:t>
            </w:r>
            <w:r>
              <w:rPr>
                <w:rFonts w:hint="eastAsia" w:cs="宋体"/>
                <w:b/>
                <w:bCs/>
                <w:sz w:val="32"/>
                <w:szCs w:val="22"/>
                <w:highlight w:val="none"/>
                <w:lang w:val="en-US" w:eastAsia="zh-CN"/>
              </w:rPr>
              <w:t>递交参审文件时</w:t>
            </w:r>
            <w:r>
              <w:rPr>
                <w:rFonts w:hint="eastAsia" w:cs="宋体"/>
                <w:b/>
                <w:bCs/>
                <w:sz w:val="32"/>
                <w:szCs w:val="22"/>
                <w:highlight w:val="none"/>
              </w:rPr>
              <w:t>，</w:t>
            </w:r>
            <w:r>
              <w:rPr>
                <w:rFonts w:hint="eastAsia" w:cs="宋体"/>
                <w:b/>
                <w:bCs/>
                <w:sz w:val="32"/>
                <w:szCs w:val="22"/>
                <w:highlight w:val="none"/>
                <w:lang w:val="en-US" w:eastAsia="zh-CN"/>
              </w:rPr>
              <w:t>务必备注如下：</w:t>
            </w:r>
          </w:p>
          <w:p>
            <w:pPr>
              <w:numPr>
                <w:ilvl w:val="0"/>
                <w:numId w:val="0"/>
              </w:numPr>
              <w:spacing w:line="360" w:lineRule="auto"/>
              <w:jc w:val="left"/>
              <w:rPr>
                <w:rFonts w:hint="eastAsia" w:cs="宋体"/>
                <w:b/>
                <w:bCs/>
                <w:color w:val="FF0000"/>
                <w:sz w:val="32"/>
                <w:szCs w:val="22"/>
                <w:highlight w:val="none"/>
                <w:u w:val="single"/>
                <w:lang w:val="en-US" w:eastAsia="zh-CN"/>
              </w:rPr>
            </w:pPr>
            <w:r>
              <w:rPr>
                <w:rFonts w:hint="eastAsia" w:cs="宋体"/>
                <w:b/>
                <w:bCs/>
                <w:color w:val="FF0000"/>
                <w:sz w:val="32"/>
                <w:szCs w:val="22"/>
                <w:highlight w:val="none"/>
                <w:u w:val="single"/>
                <w:lang w:val="en-US" w:eastAsia="zh-CN"/>
              </w:rPr>
              <w:t>（项目编号）磋商保证金</w:t>
            </w:r>
          </w:p>
          <w:p>
            <w:pPr>
              <w:numPr>
                <w:ilvl w:val="0"/>
                <w:numId w:val="0"/>
              </w:numPr>
              <w:spacing w:line="360" w:lineRule="auto"/>
              <w:jc w:val="left"/>
              <w:rPr>
                <w:rFonts w:hint="default" w:cs="宋体"/>
                <w:b/>
                <w:bCs/>
                <w:sz w:val="32"/>
                <w:szCs w:val="22"/>
                <w:highlight w:val="none"/>
                <w:lang w:val="en-US" w:eastAsia="zh-CN"/>
              </w:rPr>
            </w:pPr>
            <w:r>
              <w:rPr>
                <w:rFonts w:hint="eastAsia" w:cs="宋体"/>
                <w:b/>
                <w:bCs/>
                <w:sz w:val="32"/>
                <w:szCs w:val="22"/>
                <w:highlight w:val="none"/>
                <w:lang w:val="en-US" w:eastAsia="zh-CN"/>
              </w:rPr>
              <w:t>参审单位如未进行备注的，可能会因评审委员会无法识别磋商保证金到账情况导致参审文件被否决，责任由参审单位自行承担。</w:t>
            </w:r>
          </w:p>
          <w:p>
            <w:pPr>
              <w:spacing w:line="360" w:lineRule="auto"/>
              <w:jc w:val="left"/>
              <w:rPr>
                <w:rFonts w:cs="宋体"/>
                <w:sz w:val="24"/>
                <w:highlight w:val="none"/>
              </w:rPr>
            </w:pPr>
            <w:r>
              <w:rPr>
                <w:rFonts w:hint="eastAsia" w:cs="宋体"/>
                <w:sz w:val="24"/>
                <w:highlight w:val="none"/>
              </w:rPr>
              <w:t>（2）如本项目前次磋商失败，退还</w:t>
            </w:r>
            <w:r>
              <w:rPr>
                <w:rFonts w:hint="eastAsia"/>
                <w:sz w:val="24"/>
                <w:szCs w:val="18"/>
                <w:highlight w:val="none"/>
              </w:rPr>
              <w:t>参审单位</w:t>
            </w:r>
            <w:r>
              <w:rPr>
                <w:rFonts w:hint="eastAsia" w:cs="宋体"/>
                <w:sz w:val="24"/>
                <w:highlight w:val="none"/>
                <w:u w:val="single"/>
                <w:lang w:val="en-US" w:eastAsia="zh-CN"/>
              </w:rPr>
              <w:t>300</w:t>
            </w:r>
            <w:r>
              <w:rPr>
                <w:rFonts w:hint="eastAsia" w:cs="宋体"/>
                <w:sz w:val="24"/>
                <w:highlight w:val="none"/>
                <w:u w:val="single"/>
              </w:rPr>
              <w:t>00</w:t>
            </w:r>
            <w:r>
              <w:rPr>
                <w:rFonts w:cs="宋体"/>
                <w:sz w:val="24"/>
                <w:highlight w:val="none"/>
                <w:u w:val="single"/>
              </w:rPr>
              <w:t>.00</w:t>
            </w:r>
            <w:r>
              <w:rPr>
                <w:rFonts w:cs="宋体"/>
                <w:sz w:val="24"/>
                <w:highlight w:val="none"/>
              </w:rPr>
              <w:t>元</w:t>
            </w:r>
            <w:r>
              <w:rPr>
                <w:rFonts w:hint="eastAsia" w:cs="宋体"/>
                <w:sz w:val="24"/>
                <w:highlight w:val="none"/>
              </w:rPr>
              <w:t>。</w:t>
            </w:r>
            <w:r>
              <w:rPr>
                <w:rFonts w:hint="eastAsia"/>
                <w:sz w:val="24"/>
                <w:szCs w:val="18"/>
                <w:highlight w:val="none"/>
              </w:rPr>
              <w:t>参审单位</w:t>
            </w:r>
            <w:r>
              <w:rPr>
                <w:rFonts w:hint="eastAsia" w:cs="宋体"/>
                <w:sz w:val="24"/>
                <w:highlight w:val="none"/>
              </w:rPr>
              <w:t>参与本次磋商，须向本项目本次公告公布的磋商保证金账号重新交纳磋商保证金。</w:t>
            </w:r>
          </w:p>
          <w:p>
            <w:pPr>
              <w:spacing w:line="360" w:lineRule="auto"/>
              <w:jc w:val="left"/>
              <w:rPr>
                <w:rFonts w:hint="eastAsia" w:cs="宋体"/>
                <w:sz w:val="24"/>
                <w:highlight w:val="none"/>
              </w:rPr>
            </w:pPr>
            <w:r>
              <w:rPr>
                <w:rFonts w:hint="eastAsia" w:cs="宋体"/>
                <w:sz w:val="24"/>
                <w:highlight w:val="none"/>
              </w:rPr>
              <w:t>（3）凡转账到其他项目</w:t>
            </w:r>
            <w:r>
              <w:rPr>
                <w:rFonts w:hint="eastAsia" w:cs="宋体"/>
                <w:sz w:val="24"/>
                <w:highlight w:val="none"/>
                <w:lang w:val="en-US" w:eastAsia="zh-CN"/>
              </w:rPr>
              <w:t>磋商保证金</w:t>
            </w:r>
            <w:r>
              <w:rPr>
                <w:rFonts w:hint="eastAsia" w:cs="宋体"/>
                <w:sz w:val="24"/>
                <w:highlight w:val="none"/>
              </w:rPr>
              <w:t>账户或本项目前次公告账户的，磋商保证金无效。</w:t>
            </w:r>
          </w:p>
          <w:p>
            <w:pPr>
              <w:spacing w:line="360" w:lineRule="auto"/>
              <w:jc w:val="both"/>
              <w:rPr>
                <w:b/>
                <w:highlight w:val="none"/>
              </w:rPr>
            </w:pPr>
            <w:r>
              <w:rPr>
                <w:rFonts w:hint="eastAsia" w:ascii="宋体" w:hAnsi="宋体" w:eastAsia="宋体" w:cs="宋体"/>
                <w:b w:val="0"/>
                <w:bCs w:val="0"/>
                <w:sz w:val="24"/>
                <w:szCs w:val="20"/>
                <w:highlight w:val="none"/>
                <w:lang w:val="en-US" w:eastAsia="zh-CN" w:bidi="ar-SA"/>
              </w:rPr>
              <w:t>（4）参审单位参与本项目多个包别磋商的（如分多包别的），应该按包别分别递交磋商保证金。未递交磋商保证金的包别，其磋商无效。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4.1</w:t>
            </w:r>
          </w:p>
        </w:tc>
        <w:tc>
          <w:tcPr>
            <w:tcW w:w="2031" w:type="dxa"/>
            <w:vAlign w:val="center"/>
          </w:tcPr>
          <w:p>
            <w:pPr>
              <w:pStyle w:val="37"/>
              <w:rPr>
                <w:b/>
                <w:highlight w:val="none"/>
              </w:rPr>
            </w:pPr>
            <w:r>
              <w:rPr>
                <w:rFonts w:hint="eastAsia"/>
                <w:highlight w:val="none"/>
              </w:rPr>
              <w:t>磋商有效期</w:t>
            </w:r>
          </w:p>
        </w:tc>
        <w:tc>
          <w:tcPr>
            <w:tcW w:w="6020" w:type="dxa"/>
            <w:vAlign w:val="center"/>
          </w:tcPr>
          <w:p>
            <w:pPr>
              <w:pStyle w:val="37"/>
              <w:rPr>
                <w:b/>
                <w:highlight w:val="none"/>
              </w:rPr>
            </w:pP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0 </w:t>
            </w:r>
            <w:r>
              <w:rPr>
                <w:rFonts w:hint="eastAsia"/>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5.1</w:t>
            </w:r>
          </w:p>
        </w:tc>
        <w:tc>
          <w:tcPr>
            <w:tcW w:w="2031" w:type="dxa"/>
            <w:vAlign w:val="center"/>
          </w:tcPr>
          <w:p>
            <w:pPr>
              <w:pStyle w:val="37"/>
              <w:rPr>
                <w:b/>
                <w:highlight w:val="none"/>
              </w:rPr>
            </w:pPr>
            <w:r>
              <w:rPr>
                <w:rFonts w:hint="eastAsia"/>
                <w:highlight w:val="none"/>
              </w:rPr>
              <w:t>响应文件要求</w:t>
            </w:r>
          </w:p>
        </w:tc>
        <w:tc>
          <w:tcPr>
            <w:tcW w:w="6020" w:type="dxa"/>
            <w:vAlign w:val="center"/>
          </w:tcPr>
          <w:p>
            <w:pPr>
              <w:pStyle w:val="37"/>
              <w:rPr>
                <w:b/>
                <w:highlight w:val="none"/>
              </w:rPr>
            </w:pPr>
            <w:r>
              <w:rPr>
                <w:rFonts w:hint="eastAsia"/>
                <w:highlight w:val="non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5.3</w:t>
            </w:r>
          </w:p>
        </w:tc>
        <w:tc>
          <w:tcPr>
            <w:tcW w:w="2031" w:type="dxa"/>
            <w:vAlign w:val="center"/>
          </w:tcPr>
          <w:p>
            <w:pPr>
              <w:pStyle w:val="37"/>
              <w:rPr>
                <w:b/>
                <w:highlight w:val="none"/>
              </w:rPr>
            </w:pPr>
            <w:r>
              <w:rPr>
                <w:rFonts w:hint="eastAsia"/>
                <w:highlight w:val="none"/>
              </w:rPr>
              <w:t>磋商现场提交的其他材料要求</w:t>
            </w:r>
          </w:p>
        </w:tc>
        <w:tc>
          <w:tcPr>
            <w:tcW w:w="6020" w:type="dxa"/>
            <w:vAlign w:val="center"/>
          </w:tcPr>
          <w:p>
            <w:pPr>
              <w:pStyle w:val="37"/>
              <w:rPr>
                <w:b/>
                <w:highlight w:val="none"/>
              </w:rPr>
            </w:pPr>
            <w:r>
              <w:rPr>
                <w:rFonts w:hint="eastAsia"/>
                <w:highlight w:val="none"/>
              </w:rPr>
              <w:t xml:space="preserve"> /</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6.1</w:t>
            </w:r>
          </w:p>
        </w:tc>
        <w:tc>
          <w:tcPr>
            <w:tcW w:w="2031" w:type="dxa"/>
            <w:vAlign w:val="center"/>
          </w:tcPr>
          <w:p>
            <w:pPr>
              <w:pStyle w:val="37"/>
              <w:rPr>
                <w:b/>
                <w:highlight w:val="none"/>
              </w:rPr>
            </w:pPr>
            <w:r>
              <w:rPr>
                <w:rFonts w:hint="eastAsia"/>
                <w:highlight w:val="none"/>
              </w:rPr>
              <w:t>响应文件提交截止时间</w:t>
            </w:r>
          </w:p>
        </w:tc>
        <w:tc>
          <w:tcPr>
            <w:tcW w:w="6020" w:type="dxa"/>
            <w:vAlign w:val="center"/>
          </w:tcPr>
          <w:p>
            <w:pPr>
              <w:pStyle w:val="37"/>
              <w:rPr>
                <w:b/>
                <w:highlight w:val="none"/>
              </w:rPr>
            </w:pPr>
            <w:r>
              <w:rPr>
                <w:rFonts w:hint="eastAsia"/>
                <w:highlight w:val="non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w:t>
            </w:r>
            <w:r>
              <w:rPr>
                <w:bCs/>
                <w:kern w:val="2"/>
                <w:highlight w:val="none"/>
              </w:rPr>
              <w:t>7.3</w:t>
            </w:r>
          </w:p>
        </w:tc>
        <w:tc>
          <w:tcPr>
            <w:tcW w:w="2031" w:type="dxa"/>
            <w:vAlign w:val="center"/>
          </w:tcPr>
          <w:p>
            <w:pPr>
              <w:pStyle w:val="37"/>
              <w:rPr>
                <w:b/>
                <w:highlight w:val="none"/>
              </w:rPr>
            </w:pPr>
            <w:r>
              <w:rPr>
                <w:rFonts w:hint="eastAsia"/>
                <w:highlight w:val="none"/>
              </w:rPr>
              <w:t>响应文件解密时间</w:t>
            </w:r>
          </w:p>
        </w:tc>
        <w:tc>
          <w:tcPr>
            <w:tcW w:w="6020" w:type="dxa"/>
            <w:vAlign w:val="center"/>
          </w:tcPr>
          <w:p>
            <w:pPr>
              <w:pStyle w:val="37"/>
              <w:rPr>
                <w:b/>
                <w:highlight w:val="none"/>
              </w:rPr>
            </w:pPr>
            <w:r>
              <w:rPr>
                <w:rFonts w:hint="eastAsia"/>
                <w:highlight w:val="none"/>
              </w:rPr>
              <w:t>响应文件提交截止时间后</w:t>
            </w:r>
            <w:r>
              <w:rPr>
                <w:rFonts w:hint="eastAsia"/>
                <w:highlight w:val="none"/>
                <w:u w:val="single"/>
                <w:lang w:val="en-US" w:eastAsia="zh-CN"/>
              </w:rPr>
              <w:t xml:space="preserve"> </w:t>
            </w:r>
            <w:r>
              <w:rPr>
                <w:rFonts w:hint="eastAsia"/>
                <w:highlight w:val="none"/>
                <w:u w:val="single"/>
              </w:rPr>
              <w:t>30</w:t>
            </w:r>
            <w:r>
              <w:rPr>
                <w:rFonts w:hint="eastAsia"/>
                <w:highlight w:val="none"/>
                <w:u w:val="single"/>
                <w:lang w:val="en-US" w:eastAsia="zh-CN"/>
              </w:rPr>
              <w:t xml:space="preserve"> </w:t>
            </w:r>
            <w:r>
              <w:rPr>
                <w:rFonts w:hint="eastAsia"/>
                <w:highlight w:val="none"/>
              </w:rPr>
              <w:t>分钟内（以系统解密倒计时为准）</w:t>
            </w:r>
          </w:p>
          <w:p>
            <w:pPr>
              <w:pStyle w:val="37"/>
              <w:rPr>
                <w:b/>
                <w:highlight w:val="none"/>
                <w:u w:val="single"/>
              </w:rPr>
            </w:pPr>
            <w:r>
              <w:rPr>
                <w:rFonts w:hint="eastAsia"/>
                <w:highlight w:val="none"/>
              </w:rPr>
              <w:t>其他要求：响应文件解密可以采用网上远程方式，无需到磋商现场进行解密。解密的CA锁必须与响应文件加密的CA锁一致，否则造成的后果由</w:t>
            </w:r>
            <w:r>
              <w:rPr>
                <w:rFonts w:hint="eastAsia"/>
                <w:szCs w:val="18"/>
                <w:highlight w:val="none"/>
              </w:rPr>
              <w:t>参审单位</w:t>
            </w:r>
            <w:r>
              <w:rPr>
                <w:rFonts w:hint="eastAsia"/>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19</w:t>
            </w:r>
            <w:r>
              <w:rPr>
                <w:bCs/>
                <w:kern w:val="2"/>
                <w:highlight w:val="none"/>
              </w:rPr>
              <w:t>.1</w:t>
            </w:r>
          </w:p>
        </w:tc>
        <w:tc>
          <w:tcPr>
            <w:tcW w:w="2031" w:type="dxa"/>
            <w:vAlign w:val="center"/>
          </w:tcPr>
          <w:p>
            <w:pPr>
              <w:pStyle w:val="37"/>
              <w:rPr>
                <w:b/>
                <w:highlight w:val="none"/>
              </w:rPr>
            </w:pPr>
            <w:r>
              <w:rPr>
                <w:rFonts w:hint="eastAsia"/>
                <w:highlight w:val="none"/>
              </w:rPr>
              <w:t>磋商时间</w:t>
            </w:r>
          </w:p>
        </w:tc>
        <w:tc>
          <w:tcPr>
            <w:tcW w:w="6020" w:type="dxa"/>
            <w:vAlign w:val="center"/>
          </w:tcPr>
          <w:p>
            <w:pPr>
              <w:pStyle w:val="37"/>
              <w:rPr>
                <w:b/>
                <w:highlight w:val="none"/>
              </w:rPr>
            </w:pPr>
            <w:r>
              <w:rPr>
                <w:rFonts w:hint="eastAsia"/>
                <w:highlight w:val="non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p>
        </w:tc>
        <w:tc>
          <w:tcPr>
            <w:tcW w:w="2031" w:type="dxa"/>
            <w:vAlign w:val="center"/>
          </w:tcPr>
          <w:p>
            <w:pPr>
              <w:pStyle w:val="37"/>
              <w:rPr>
                <w:b/>
                <w:highlight w:val="none"/>
              </w:rPr>
            </w:pPr>
            <w:r>
              <w:rPr>
                <w:rFonts w:hint="eastAsia"/>
                <w:highlight w:val="none"/>
              </w:rPr>
              <w:t>磋商地点</w:t>
            </w:r>
          </w:p>
        </w:tc>
        <w:tc>
          <w:tcPr>
            <w:tcW w:w="6020" w:type="dxa"/>
            <w:vAlign w:val="center"/>
          </w:tcPr>
          <w:p>
            <w:pPr>
              <w:pStyle w:val="37"/>
              <w:rPr>
                <w:b/>
                <w:highlight w:val="none"/>
              </w:rPr>
            </w:pPr>
            <w:r>
              <w:rPr>
                <w:rFonts w:hint="eastAsia"/>
                <w:highlight w:val="none"/>
              </w:rPr>
              <w:t>详见磋商邀请</w:t>
            </w:r>
          </w:p>
          <w:p>
            <w:pPr>
              <w:spacing w:line="360" w:lineRule="auto"/>
              <w:rPr>
                <w:rFonts w:hint="eastAsia" w:eastAsia="宋体"/>
                <w:sz w:val="24"/>
                <w:highlight w:val="none"/>
                <w:u w:val="single"/>
                <w:lang w:val="en-US" w:eastAsia="zh-CN"/>
              </w:rPr>
            </w:pPr>
            <w:r>
              <w:rPr>
                <w:rFonts w:hint="eastAsia"/>
                <w:b/>
                <w:bCs/>
                <w:sz w:val="24"/>
                <w:szCs w:val="18"/>
                <w:highlight w:val="none"/>
                <w:u w:val="none"/>
              </w:rPr>
              <w:t>备注：</w:t>
            </w:r>
            <w:r>
              <w:rPr>
                <w:rFonts w:hint="eastAsia"/>
                <w:b/>
                <w:sz w:val="24"/>
                <w:szCs w:val="18"/>
                <w:highlight w:val="none"/>
                <w:u w:val="none"/>
              </w:rPr>
              <w:t>参审单位</w:t>
            </w:r>
            <w:r>
              <w:rPr>
                <w:rFonts w:hint="eastAsia"/>
                <w:b/>
                <w:bCs/>
                <w:sz w:val="24"/>
                <w:szCs w:val="18"/>
                <w:highlight w:val="none"/>
                <w:u w:val="none"/>
              </w:rPr>
              <w:t>可以在线解密响应文件，无须现场参加磋商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19.3</w:t>
            </w:r>
          </w:p>
        </w:tc>
        <w:tc>
          <w:tcPr>
            <w:tcW w:w="2031" w:type="dxa"/>
            <w:vAlign w:val="center"/>
          </w:tcPr>
          <w:p>
            <w:pPr>
              <w:pStyle w:val="37"/>
              <w:rPr>
                <w:b/>
                <w:highlight w:val="none"/>
              </w:rPr>
            </w:pPr>
            <w:r>
              <w:rPr>
                <w:rFonts w:hint="eastAsia"/>
                <w:highlight w:val="none"/>
              </w:rPr>
              <w:t>评审方法</w:t>
            </w:r>
          </w:p>
        </w:tc>
        <w:tc>
          <w:tcPr>
            <w:tcW w:w="6020" w:type="dxa"/>
            <w:vAlign w:val="center"/>
          </w:tcPr>
          <w:p>
            <w:pPr>
              <w:pStyle w:val="37"/>
              <w:rPr>
                <w:b/>
                <w:highlight w:val="none"/>
              </w:rPr>
            </w:pPr>
            <w:r>
              <w:rPr>
                <w:rFonts w:hint="eastAsia" w:ascii="Segoe UI Symbol" w:hAnsi="Segoe UI Symbol" w:cs="Segoe UI Symbol"/>
                <w:highlight w:val="none"/>
                <w:lang w:eastAsia="zh-CN"/>
              </w:rPr>
              <w:t>☑</w:t>
            </w:r>
            <w:r>
              <w:rPr>
                <w:rFonts w:hint="eastAsia"/>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24</w:t>
            </w:r>
            <w:r>
              <w:rPr>
                <w:bCs/>
                <w:kern w:val="2"/>
                <w:highlight w:val="none"/>
              </w:rPr>
              <w:t>.</w:t>
            </w:r>
            <w:r>
              <w:rPr>
                <w:rFonts w:hint="eastAsia"/>
                <w:bCs/>
                <w:kern w:val="2"/>
                <w:highlight w:val="none"/>
              </w:rPr>
              <w:t>1</w:t>
            </w:r>
          </w:p>
        </w:tc>
        <w:tc>
          <w:tcPr>
            <w:tcW w:w="2031" w:type="dxa"/>
            <w:vMerge w:val="restart"/>
            <w:vAlign w:val="center"/>
          </w:tcPr>
          <w:p>
            <w:pPr>
              <w:pStyle w:val="37"/>
              <w:rPr>
                <w:b/>
                <w:highlight w:val="none"/>
              </w:rPr>
            </w:pPr>
            <w:r>
              <w:rPr>
                <w:rFonts w:hint="eastAsia"/>
                <w:highlight w:val="none"/>
              </w:rPr>
              <w:t>确定成交候选人和成交人</w:t>
            </w:r>
          </w:p>
        </w:tc>
        <w:tc>
          <w:tcPr>
            <w:tcW w:w="6020" w:type="dxa"/>
            <w:vAlign w:val="center"/>
          </w:tcPr>
          <w:p>
            <w:pPr>
              <w:pStyle w:val="37"/>
              <w:rPr>
                <w:rFonts w:hint="default" w:eastAsia="宋体"/>
                <w:b/>
                <w:highlight w:val="none"/>
                <w:u w:val="single"/>
                <w:lang w:val="en-US" w:eastAsia="zh-CN"/>
              </w:rPr>
            </w:pPr>
            <w:r>
              <w:rPr>
                <w:rFonts w:hint="eastAsia"/>
                <w:highlight w:val="none"/>
              </w:rPr>
              <w:t>磋商小组推荐成交</w:t>
            </w:r>
            <w:r>
              <w:rPr>
                <w:highlight w:val="none"/>
              </w:rPr>
              <w:t>候选</w:t>
            </w:r>
            <w:r>
              <w:rPr>
                <w:rFonts w:hint="eastAsia"/>
                <w:highlight w:val="none"/>
              </w:rPr>
              <w:t>人的</w:t>
            </w:r>
            <w:r>
              <w:rPr>
                <w:highlight w:val="none"/>
              </w:rPr>
              <w:t>数量</w:t>
            </w:r>
            <w:r>
              <w:rPr>
                <w:rFonts w:hint="eastAsia"/>
                <w:highlight w:val="none"/>
              </w:rPr>
              <w:t>：</w:t>
            </w:r>
            <w:r>
              <w:rPr>
                <w:rFonts w:hint="eastAsia"/>
                <w:highlight w:val="none"/>
                <w:u w:val="single"/>
                <w:lang w:val="en-US" w:eastAsia="zh-CN"/>
              </w:rPr>
              <w:t xml:space="preserve"> </w:t>
            </w:r>
            <w:r>
              <w:rPr>
                <w:rFonts w:hint="eastAsia"/>
                <w:highlight w:val="none"/>
                <w:u w:val="single"/>
              </w:rPr>
              <w:t>1</w:t>
            </w:r>
            <w:r>
              <w:rPr>
                <w:highlight w:val="none"/>
                <w:u w:val="single"/>
              </w:rPr>
              <w:t>家</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p>
        </w:tc>
        <w:tc>
          <w:tcPr>
            <w:tcW w:w="2031" w:type="dxa"/>
            <w:vMerge w:val="continue"/>
            <w:vAlign w:val="center"/>
          </w:tcPr>
          <w:p>
            <w:pPr>
              <w:pStyle w:val="37"/>
              <w:rPr>
                <w:highlight w:val="none"/>
              </w:rPr>
            </w:pPr>
          </w:p>
        </w:tc>
        <w:tc>
          <w:tcPr>
            <w:tcW w:w="6020" w:type="dxa"/>
            <w:vAlign w:val="center"/>
          </w:tcPr>
          <w:p>
            <w:pPr>
              <w:pStyle w:val="37"/>
              <w:rPr>
                <w:b/>
                <w:highlight w:val="none"/>
              </w:rPr>
            </w:pPr>
            <w:r>
              <w:rPr>
                <w:rFonts w:hint="eastAsia"/>
                <w:highlight w:val="none"/>
              </w:rPr>
              <w:t>确定成交人：</w:t>
            </w:r>
          </w:p>
          <w:p>
            <w:pPr>
              <w:pStyle w:val="37"/>
              <w:rPr>
                <w:b/>
                <w:highlight w:val="none"/>
              </w:rPr>
            </w:pPr>
            <w:r>
              <w:rPr>
                <w:rFonts w:hint="eastAsia" w:ascii="Segoe UI Symbol" w:hAnsi="Segoe UI Symbol" w:cs="Segoe UI Symbol"/>
                <w:highlight w:val="none"/>
                <w:lang w:eastAsia="zh-CN"/>
              </w:rPr>
              <w:t>☑</w:t>
            </w:r>
            <w:r>
              <w:rPr>
                <w:szCs w:val="18"/>
                <w:highlight w:val="none"/>
              </w:rPr>
              <w:t>业主</w:t>
            </w:r>
            <w:r>
              <w:rPr>
                <w:rFonts w:hint="eastAsia"/>
                <w:szCs w:val="18"/>
                <w:highlight w:val="none"/>
              </w:rPr>
              <w:t>单位</w:t>
            </w:r>
            <w:r>
              <w:rPr>
                <w:rFonts w:hint="eastAsia"/>
                <w:highlight w:val="none"/>
              </w:rPr>
              <w:t>委托磋商小组确定  □</w:t>
            </w:r>
            <w:r>
              <w:rPr>
                <w:szCs w:val="18"/>
                <w:highlight w:val="none"/>
              </w:rPr>
              <w:t>业主</w:t>
            </w:r>
            <w:r>
              <w:rPr>
                <w:rFonts w:hint="eastAsia"/>
                <w:szCs w:val="18"/>
                <w:highlight w:val="none"/>
              </w:rPr>
              <w:t>单位</w:t>
            </w:r>
            <w:r>
              <w:rPr>
                <w:rFonts w:hint="eastAsia"/>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28</w:t>
            </w:r>
            <w:r>
              <w:rPr>
                <w:bCs/>
                <w:kern w:val="2"/>
                <w:highlight w:val="none"/>
              </w:rPr>
              <w:t>.1</w:t>
            </w:r>
          </w:p>
        </w:tc>
        <w:tc>
          <w:tcPr>
            <w:tcW w:w="2031" w:type="dxa"/>
            <w:vAlign w:val="center"/>
          </w:tcPr>
          <w:p>
            <w:pPr>
              <w:pStyle w:val="37"/>
              <w:rPr>
                <w:b/>
                <w:highlight w:val="none"/>
              </w:rPr>
            </w:pPr>
            <w:r>
              <w:rPr>
                <w:rFonts w:hint="eastAsia"/>
                <w:highlight w:val="none"/>
                <w:lang w:eastAsia="zh-CN"/>
              </w:rPr>
              <w:t>成交确认书</w:t>
            </w:r>
            <w:r>
              <w:rPr>
                <w:rFonts w:hint="eastAsia"/>
                <w:highlight w:val="none"/>
              </w:rPr>
              <w:t>发出的形式</w:t>
            </w:r>
          </w:p>
        </w:tc>
        <w:tc>
          <w:tcPr>
            <w:tcW w:w="6020" w:type="dxa"/>
            <w:vAlign w:val="center"/>
          </w:tcPr>
          <w:p>
            <w:pPr>
              <w:pStyle w:val="37"/>
              <w:rPr>
                <w:b/>
                <w:highlight w:val="none"/>
              </w:rPr>
            </w:pPr>
            <w:r>
              <w:rPr>
                <w:rFonts w:hint="eastAsia" w:ascii="Segoe UI Symbol" w:hAnsi="Segoe UI Symbol" w:cs="Segoe UI Symbol"/>
                <w:highlight w:val="none"/>
                <w:lang w:eastAsia="zh-CN"/>
              </w:rPr>
              <w:t>☑</w:t>
            </w:r>
            <w:r>
              <w:rPr>
                <w:rFonts w:hint="eastAsia" w:cs="宋体"/>
                <w:highlight w:val="none"/>
              </w:rPr>
              <w:t>书面</w:t>
            </w:r>
            <w:r>
              <w:rPr>
                <w:rFonts w:hint="eastAsia"/>
                <w:highlight w:val="none"/>
              </w:rPr>
              <w:t xml:space="preserve"> </w:t>
            </w:r>
            <w:r>
              <w:rPr>
                <w:highlight w:val="none"/>
              </w:rPr>
              <w:t xml:space="preserve">    </w:t>
            </w:r>
            <w:r>
              <w:rPr>
                <w:rFonts w:hint="eastAsia"/>
                <w:highlight w:val="none"/>
              </w:rPr>
              <w:sym w:font="Wingdings 2" w:char="00A3"/>
            </w:r>
            <w:r>
              <w:rPr>
                <w:rFonts w:hint="eastAsia"/>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29</w:t>
            </w:r>
            <w:r>
              <w:rPr>
                <w:bCs/>
                <w:kern w:val="2"/>
                <w:highlight w:val="none"/>
              </w:rPr>
              <w:t>.1</w:t>
            </w:r>
          </w:p>
        </w:tc>
        <w:tc>
          <w:tcPr>
            <w:tcW w:w="2031" w:type="dxa"/>
            <w:vAlign w:val="center"/>
          </w:tcPr>
          <w:p>
            <w:pPr>
              <w:pStyle w:val="37"/>
              <w:rPr>
                <w:b/>
                <w:highlight w:val="none"/>
              </w:rPr>
            </w:pPr>
            <w:r>
              <w:rPr>
                <w:rFonts w:hint="eastAsia"/>
                <w:highlight w:val="none"/>
              </w:rPr>
              <w:t>告知磋商结果的形式</w:t>
            </w:r>
          </w:p>
        </w:tc>
        <w:tc>
          <w:tcPr>
            <w:tcW w:w="6020" w:type="dxa"/>
            <w:vAlign w:val="center"/>
          </w:tcPr>
          <w:p>
            <w:pPr>
              <w:pStyle w:val="37"/>
              <w:rPr>
                <w:b/>
                <w:bCs/>
                <w:highlight w:val="none"/>
              </w:rPr>
            </w:pPr>
            <w:r>
              <w:rPr>
                <w:rFonts w:hint="eastAsia" w:ascii="Segoe UI Symbol" w:hAnsi="Segoe UI Symbol" w:cs="Segoe UI Symbol"/>
                <w:highlight w:val="none"/>
                <w:lang w:eastAsia="zh-CN"/>
              </w:rPr>
              <w:t>☑</w:t>
            </w:r>
            <w:r>
              <w:rPr>
                <w:rFonts w:hint="eastAsia"/>
                <w:szCs w:val="18"/>
                <w:highlight w:val="none"/>
              </w:rPr>
              <w:t>参审单位</w:t>
            </w:r>
            <w:r>
              <w:rPr>
                <w:rFonts w:hint="eastAsia"/>
                <w:highlight w:val="none"/>
              </w:rPr>
              <w:t>自行登录系统查看</w:t>
            </w:r>
          </w:p>
          <w:p>
            <w:pPr>
              <w:pStyle w:val="37"/>
              <w:rPr>
                <w:b/>
                <w:bCs/>
                <w:szCs w:val="24"/>
                <w:highlight w:val="none"/>
              </w:rPr>
            </w:pPr>
            <w:r>
              <w:rPr>
                <w:rFonts w:hint="eastAsia"/>
                <w:highlight w:val="none"/>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30</w:t>
            </w:r>
            <w:r>
              <w:rPr>
                <w:bCs/>
                <w:kern w:val="2"/>
                <w:highlight w:val="none"/>
              </w:rPr>
              <w:t>.1</w:t>
            </w:r>
          </w:p>
        </w:tc>
        <w:tc>
          <w:tcPr>
            <w:tcW w:w="2031" w:type="dxa"/>
            <w:vAlign w:val="center"/>
          </w:tcPr>
          <w:p>
            <w:pPr>
              <w:pStyle w:val="37"/>
              <w:rPr>
                <w:b/>
                <w:highlight w:val="none"/>
              </w:rPr>
            </w:pPr>
            <w:r>
              <w:rPr>
                <w:rFonts w:hint="eastAsia"/>
                <w:highlight w:val="none"/>
              </w:rPr>
              <w:t>履约保证金</w:t>
            </w:r>
          </w:p>
        </w:tc>
        <w:tc>
          <w:tcPr>
            <w:tcW w:w="6020" w:type="dxa"/>
            <w:vAlign w:val="center"/>
          </w:tcPr>
          <w:p>
            <w:pPr>
              <w:pStyle w:val="37"/>
              <w:rPr>
                <w:b/>
                <w:highlight w:val="none"/>
              </w:rPr>
            </w:pPr>
            <w:r>
              <w:rPr>
                <w:rFonts w:hint="eastAsia" w:ascii="Segoe UI Symbol" w:hAnsi="Segoe UI Symbol" w:cs="Segoe UI Symbol"/>
                <w:highlight w:val="none"/>
                <w:lang w:eastAsia="zh-CN"/>
              </w:rPr>
              <w:t>□</w:t>
            </w:r>
            <w:r>
              <w:rPr>
                <w:rFonts w:hint="eastAsia" w:cs="宋体"/>
                <w:highlight w:val="none"/>
              </w:rPr>
              <w:t>不收取</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sym w:font="Wingdings 2" w:char="0052"/>
            </w:r>
            <w:r>
              <w:rPr>
                <w:rFonts w:hint="eastAsia" w:ascii="Segoe UI Symbol" w:hAnsi="Segoe UI Symbol" w:cs="Segoe UI Symbol"/>
                <w:highlight w:val="none"/>
                <w:lang w:eastAsia="zh-CN"/>
              </w:rPr>
              <w:t>收取</w:t>
            </w:r>
          </w:p>
          <w:p>
            <w:pPr>
              <w:pStyle w:val="37"/>
              <w:rPr>
                <w:rFonts w:hint="eastAsia" w:ascii="Segoe UI Symbol" w:hAnsi="Segoe UI Symbol" w:cs="Segoe UI Symbol"/>
                <w:highlight w:val="none"/>
                <w:lang w:val="en-US" w:eastAsia="zh-CN"/>
              </w:rPr>
            </w:pPr>
            <w:r>
              <w:rPr>
                <w:rFonts w:hint="eastAsia" w:ascii="Segoe UI Symbol" w:hAnsi="Segoe UI Symbol" w:cs="Segoe UI Symbol"/>
                <w:highlight w:val="none"/>
                <w:lang w:eastAsia="zh-CN"/>
              </w:rPr>
              <w:t>（1）履约保证金金额：</w:t>
            </w:r>
            <w:r>
              <w:rPr>
                <w:rFonts w:hint="eastAsia" w:ascii="Segoe UI Symbol" w:hAnsi="Segoe UI Symbol" w:cs="Segoe UI Symbol"/>
                <w:highlight w:val="none"/>
                <w:u w:val="single"/>
                <w:lang w:val="en-US" w:eastAsia="zh-CN"/>
              </w:rPr>
              <w:t xml:space="preserve"> 成交金额的2% </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（2）履约保证金形式：</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val="en-US" w:eastAsia="zh-CN"/>
              </w:rPr>
              <w:t>☑</w:t>
            </w:r>
            <w:r>
              <w:rPr>
                <w:rFonts w:hint="eastAsia" w:ascii="Segoe UI Symbol" w:hAnsi="Segoe UI Symbol" w:cs="Segoe UI Symbol"/>
                <w:highlight w:val="none"/>
                <w:lang w:eastAsia="zh-CN"/>
              </w:rPr>
              <w:t>现金（银行转账、银行电汇）</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val="en-US" w:eastAsia="zh-CN"/>
              </w:rPr>
              <w:t>☑</w:t>
            </w:r>
            <w:r>
              <w:rPr>
                <w:rFonts w:hint="eastAsia" w:ascii="Segoe UI Symbol" w:hAnsi="Segoe UI Symbol" w:cs="Segoe UI Symbol"/>
                <w:highlight w:val="none"/>
                <w:lang w:eastAsia="zh-CN"/>
              </w:rPr>
              <w:t>纸质保函（纸质银行保函、纸质担保机构担保、纸质保证保险）</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（3）具体要求：</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①采用纸质银行保函的，应为不可撤销、不可转让的见索即付独立保函。</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②采用纸质担保机构担保的，应为经安徽省地方金融监督管理局审查批准，依法取得融资担保业务经营许可证的融资担保机构出具的不可撤销、不可转让的见索即付独立保函。</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③采用纸质保证保险的，应为保险公司出具的不可撤销、不可转让的见索即付保证保险。</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w:t>
            </w:r>
            <w:r>
              <w:rPr>
                <w:rFonts w:hint="eastAsia" w:ascii="Segoe UI Symbol" w:hAnsi="Segoe UI Symbol" w:cs="Segoe UI Symbol"/>
                <w:highlight w:val="none"/>
                <w:lang w:val="en-US" w:eastAsia="zh-CN"/>
              </w:rPr>
              <w:t>4</w:t>
            </w:r>
            <w:r>
              <w:rPr>
                <w:rFonts w:hint="eastAsia" w:ascii="Segoe UI Symbol" w:hAnsi="Segoe UI Symbol" w:cs="Segoe UI Symbol"/>
                <w:highlight w:val="none"/>
                <w:lang w:eastAsia="zh-CN"/>
              </w:rPr>
              <w:t>）本招标项目是否减免履约保证金：</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☑不减免</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 xml:space="preserve">□减免，适用减免履约保证金的情形： </w:t>
            </w:r>
            <w:r>
              <w:rPr>
                <w:rFonts w:hint="eastAsia" w:ascii="Segoe UI Symbol" w:hAnsi="Segoe UI Symbol" w:cs="Segoe UI Symbol"/>
                <w:highlight w:val="none"/>
                <w:lang w:val="en-US" w:eastAsia="zh-CN"/>
              </w:rPr>
              <w:t>/</w:t>
            </w:r>
            <w:r>
              <w:rPr>
                <w:rFonts w:hint="eastAsia" w:ascii="Segoe UI Symbol" w:hAnsi="Segoe UI Symbol" w:cs="Segoe UI Symbol"/>
                <w:highlight w:val="none"/>
                <w:lang w:eastAsia="zh-CN"/>
              </w:rPr>
              <w:t xml:space="preserve"> </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其他要求：</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w:t>
            </w:r>
            <w:r>
              <w:rPr>
                <w:rFonts w:hint="eastAsia" w:ascii="Segoe UI Symbol" w:hAnsi="Segoe UI Symbol" w:cs="Segoe UI Symbol"/>
                <w:highlight w:val="none"/>
                <w:lang w:val="en-US" w:eastAsia="zh-CN"/>
              </w:rPr>
              <w:t>1</w:t>
            </w:r>
            <w:r>
              <w:rPr>
                <w:rFonts w:hint="eastAsia" w:ascii="Segoe UI Symbol" w:hAnsi="Segoe UI Symbol" w:cs="Segoe UI Symbol"/>
                <w:highlight w:val="none"/>
                <w:lang w:eastAsia="zh-CN"/>
              </w:rPr>
              <w:t>）履约保证金采用现金（银行转账、银行电汇）形式提交的，同时退还银行同期活期存款利息。</w:t>
            </w:r>
          </w:p>
          <w:p>
            <w:pPr>
              <w:pStyle w:val="37"/>
              <w:rPr>
                <w:rFonts w:hint="eastAsia" w:ascii="Segoe UI Symbol" w:hAnsi="Segoe UI Symbol" w:cs="Segoe UI Symbol"/>
                <w:highlight w:val="none"/>
                <w:lang w:eastAsia="zh-CN"/>
              </w:rPr>
            </w:pPr>
            <w:r>
              <w:rPr>
                <w:rFonts w:hint="eastAsia" w:ascii="Segoe UI Symbol" w:hAnsi="Segoe UI Symbol" w:cs="Segoe UI Symbol"/>
                <w:highlight w:val="none"/>
                <w:lang w:eastAsia="zh-CN"/>
              </w:rPr>
              <w:t>（</w:t>
            </w:r>
            <w:r>
              <w:rPr>
                <w:rFonts w:hint="eastAsia" w:ascii="Segoe UI Symbol" w:hAnsi="Segoe UI Symbol" w:cs="Segoe UI Symbol"/>
                <w:highlight w:val="none"/>
                <w:lang w:val="en-US" w:eastAsia="zh-CN"/>
              </w:rPr>
              <w:t>2</w:t>
            </w:r>
            <w:r>
              <w:rPr>
                <w:rFonts w:hint="eastAsia" w:ascii="Segoe UI Symbol" w:hAnsi="Segoe UI Symbol" w:cs="Segoe UI Symbol"/>
                <w:highlight w:val="none"/>
                <w:lang w:eastAsia="zh-CN"/>
              </w:rPr>
              <w:t>）履约保证金提交期限的要求：签订合同前。</w:t>
            </w:r>
          </w:p>
          <w:p>
            <w:pPr>
              <w:pStyle w:val="37"/>
              <w:rPr>
                <w:b/>
                <w:highlight w:val="none"/>
              </w:rPr>
            </w:pPr>
            <w:r>
              <w:rPr>
                <w:rFonts w:hint="eastAsia" w:ascii="Segoe UI Symbol" w:hAnsi="Segoe UI Symbol" w:cs="Segoe UI Symbol"/>
                <w:highlight w:val="none"/>
                <w:lang w:eastAsia="zh-CN"/>
              </w:rPr>
              <w:t>（</w:t>
            </w:r>
            <w:r>
              <w:rPr>
                <w:rFonts w:hint="eastAsia" w:ascii="Segoe UI Symbol" w:hAnsi="Segoe UI Symbol" w:cs="Segoe UI Symbol"/>
                <w:highlight w:val="none"/>
                <w:lang w:val="en-US" w:eastAsia="zh-CN"/>
              </w:rPr>
              <w:t>3</w:t>
            </w:r>
            <w:r>
              <w:rPr>
                <w:rFonts w:hint="eastAsia" w:ascii="Segoe UI Symbol" w:hAnsi="Segoe UI Symbol" w:cs="Segoe UI Symbol"/>
                <w:highlight w:val="none"/>
                <w:lang w:eastAsia="zh-CN"/>
              </w:rPr>
              <w:t>）履约保证金退还时限：</w:t>
            </w:r>
            <w:r>
              <w:rPr>
                <w:rFonts w:hint="eastAsia" w:ascii="Segoe UI Symbol" w:hAnsi="Segoe UI Symbol" w:cs="Segoe UI Symbol"/>
                <w:highlight w:val="none"/>
                <w:lang w:val="en-US" w:eastAsia="zh-CN"/>
              </w:rPr>
              <w:t>项目</w:t>
            </w:r>
            <w:r>
              <w:rPr>
                <w:rFonts w:hint="eastAsia" w:ascii="Segoe UI Symbol" w:hAnsi="Segoe UI Symbol" w:cs="Segoe UI Symbol"/>
                <w:highlight w:val="none"/>
                <w:lang w:eastAsia="zh-CN"/>
              </w:rPr>
              <w:t>验收合格后30个工作日内退还。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31</w:t>
            </w:r>
            <w:r>
              <w:rPr>
                <w:bCs/>
                <w:kern w:val="2"/>
                <w:highlight w:val="none"/>
              </w:rPr>
              <w:t>.1</w:t>
            </w:r>
          </w:p>
        </w:tc>
        <w:tc>
          <w:tcPr>
            <w:tcW w:w="2031" w:type="dxa"/>
            <w:vAlign w:val="center"/>
          </w:tcPr>
          <w:p>
            <w:pPr>
              <w:pStyle w:val="37"/>
              <w:rPr>
                <w:b/>
                <w:highlight w:val="none"/>
              </w:rPr>
            </w:pPr>
            <w:r>
              <w:rPr>
                <w:rFonts w:hint="eastAsia"/>
                <w:highlight w:val="none"/>
              </w:rPr>
              <w:t>代理费</w:t>
            </w:r>
          </w:p>
        </w:tc>
        <w:tc>
          <w:tcPr>
            <w:tcW w:w="6020" w:type="dxa"/>
            <w:vAlign w:val="center"/>
          </w:tcPr>
          <w:p>
            <w:pPr>
              <w:pStyle w:val="37"/>
              <w:rPr>
                <w:b/>
                <w:highlight w:val="none"/>
              </w:rPr>
            </w:pPr>
            <w:r>
              <w:rPr>
                <w:rFonts w:hint="eastAsia"/>
                <w:highlight w:val="none"/>
              </w:rPr>
              <w:t>□不收取</w:t>
            </w:r>
          </w:p>
          <w:p>
            <w:pPr>
              <w:pStyle w:val="37"/>
              <w:rPr>
                <w:bCs/>
                <w:highlight w:val="none"/>
              </w:rPr>
            </w:pPr>
            <w:r>
              <w:rPr>
                <w:rFonts w:hint="eastAsia" w:ascii="Segoe UI Symbol" w:hAnsi="Segoe UI Symbol" w:cs="Segoe UI Symbol"/>
                <w:highlight w:val="none"/>
                <w:lang w:eastAsia="zh-CN"/>
              </w:rPr>
              <w:t>☑</w:t>
            </w:r>
            <w:r>
              <w:rPr>
                <w:rFonts w:hint="eastAsia" w:cs="宋体"/>
                <w:highlight w:val="none"/>
              </w:rPr>
              <w:t>收取</w:t>
            </w:r>
          </w:p>
          <w:p>
            <w:pPr>
              <w:pStyle w:val="37"/>
              <w:rPr>
                <w:rFonts w:hint="eastAsia" w:eastAsia="宋体"/>
                <w:b/>
                <w:highlight w:val="none"/>
                <w:lang w:val="en-US" w:eastAsia="zh-CN"/>
              </w:rPr>
            </w:pPr>
            <w:r>
              <w:rPr>
                <w:rFonts w:hint="eastAsia"/>
                <w:highlight w:val="none"/>
              </w:rPr>
              <w:t>（1）金额</w:t>
            </w:r>
            <w:r>
              <w:rPr>
                <w:rFonts w:hint="eastAsia"/>
                <w:highlight w:val="none"/>
                <w:lang w:eastAsia="zh-CN"/>
              </w:rPr>
              <w:t>：</w:t>
            </w:r>
          </w:p>
          <w:p>
            <w:pPr>
              <w:pStyle w:val="37"/>
              <w:rPr>
                <w:b/>
                <w:highlight w:val="none"/>
              </w:rPr>
            </w:pPr>
            <w:r>
              <w:rPr>
                <w:highlight w:val="none"/>
              </w:rPr>
              <w:t>□</w:t>
            </w:r>
            <w:r>
              <w:rPr>
                <w:rFonts w:hint="eastAsia"/>
                <w:highlight w:val="none"/>
              </w:rPr>
              <w:t>定额收取：人民币</w:t>
            </w:r>
            <w:r>
              <w:rPr>
                <w:rFonts w:hint="eastAsia"/>
                <w:highlight w:val="none"/>
                <w:u w:val="single"/>
                <w:lang w:val="en-US" w:eastAsia="zh-CN"/>
              </w:rPr>
              <w:t xml:space="preserve">      </w:t>
            </w:r>
            <w:r>
              <w:rPr>
                <w:rFonts w:hint="eastAsia"/>
                <w:highlight w:val="none"/>
              </w:rPr>
              <w:t>元</w:t>
            </w:r>
          </w:p>
          <w:p>
            <w:pPr>
              <w:pStyle w:val="37"/>
              <w:rPr>
                <w:rFonts w:hint="eastAsia" w:eastAsia="宋体"/>
                <w:highlight w:val="none"/>
                <w:lang w:val="en-US" w:eastAsia="zh-CN"/>
              </w:rPr>
            </w:pPr>
            <w:r>
              <w:rPr>
                <w:rFonts w:hint="eastAsia" w:ascii="Segoe UI Symbol" w:hAnsi="Segoe UI Symbol" w:cs="Segoe UI Symbol"/>
                <w:highlight w:val="none"/>
                <w:lang w:eastAsia="zh-CN"/>
              </w:rPr>
              <w:t>☑</w:t>
            </w:r>
            <w:r>
              <w:rPr>
                <w:rFonts w:hint="eastAsia"/>
                <w:highlight w:val="none"/>
              </w:rPr>
              <w:t>按下列标准收取：</w:t>
            </w:r>
            <w:r>
              <w:rPr>
                <w:rFonts w:hint="eastAsia"/>
                <w:highlight w:val="none"/>
                <w:u w:val="single"/>
              </w:rPr>
              <w:t xml:space="preserve"> 详见“</w:t>
            </w:r>
            <w:r>
              <w:rPr>
                <w:rFonts w:hint="eastAsia"/>
                <w:szCs w:val="18"/>
                <w:highlight w:val="none"/>
                <w:u w:val="single"/>
              </w:rPr>
              <w:t>参审单位</w:t>
            </w:r>
            <w:r>
              <w:rPr>
                <w:rFonts w:hint="eastAsia"/>
                <w:highlight w:val="none"/>
                <w:u w:val="single"/>
              </w:rPr>
              <w:t>须知正文31.代理费”，代理费不足</w:t>
            </w:r>
            <w:r>
              <w:rPr>
                <w:rFonts w:hint="eastAsia"/>
                <w:highlight w:val="none"/>
                <w:u w:val="single"/>
                <w:lang w:val="en-US" w:eastAsia="zh-CN"/>
              </w:rPr>
              <w:t>4</w:t>
            </w:r>
            <w:r>
              <w:rPr>
                <w:rFonts w:hint="eastAsia"/>
                <w:highlight w:val="none"/>
                <w:u w:val="single"/>
              </w:rPr>
              <w:t>000元按</w:t>
            </w:r>
            <w:r>
              <w:rPr>
                <w:rFonts w:hint="eastAsia"/>
                <w:highlight w:val="none"/>
                <w:u w:val="single"/>
                <w:lang w:val="en-US" w:eastAsia="zh-CN"/>
              </w:rPr>
              <w:t>4</w:t>
            </w:r>
            <w:r>
              <w:rPr>
                <w:rFonts w:hint="eastAsia"/>
                <w:highlight w:val="none"/>
                <w:u w:val="single"/>
              </w:rPr>
              <w:t>000元收取。</w:t>
            </w:r>
            <w:r>
              <w:rPr>
                <w:rFonts w:hint="eastAsia"/>
                <w:highlight w:val="none"/>
                <w:u w:val="single"/>
                <w:lang w:val="en-US" w:eastAsia="zh-CN"/>
              </w:rPr>
              <w:t xml:space="preserve"> </w:t>
            </w:r>
          </w:p>
          <w:p>
            <w:pPr>
              <w:pStyle w:val="37"/>
              <w:rPr>
                <w:b/>
                <w:highlight w:val="none"/>
              </w:rPr>
            </w:pPr>
            <w:r>
              <w:rPr>
                <w:rFonts w:hint="eastAsia"/>
                <w:highlight w:val="none"/>
              </w:rPr>
              <w:t>（2）支付方式：</w:t>
            </w:r>
            <w:r>
              <w:rPr>
                <w:rFonts w:hint="eastAsia" w:ascii="Segoe UI Symbol" w:hAnsi="Segoe UI Symbol" w:cs="Segoe UI Symbol"/>
                <w:highlight w:val="none"/>
                <w:lang w:eastAsia="zh-CN"/>
              </w:rPr>
              <w:t>☑</w:t>
            </w:r>
            <w:r>
              <w:rPr>
                <w:highlight w:val="none"/>
              </w:rPr>
              <w:t>转账/电汇</w:t>
            </w:r>
          </w:p>
          <w:p>
            <w:pPr>
              <w:pStyle w:val="37"/>
              <w:rPr>
                <w:rFonts w:hint="eastAsia" w:eastAsia="宋体"/>
                <w:b/>
                <w:highlight w:val="none"/>
                <w:lang w:eastAsia="zh-CN"/>
              </w:rPr>
            </w:pPr>
            <w:r>
              <w:rPr>
                <w:rFonts w:hint="eastAsia"/>
                <w:highlight w:val="none"/>
              </w:rPr>
              <w:t>（3）收取单位：</w:t>
            </w:r>
            <w:r>
              <w:rPr>
                <w:rFonts w:hint="eastAsia"/>
                <w:highlight w:val="non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34</w:t>
            </w:r>
            <w:r>
              <w:rPr>
                <w:bCs/>
                <w:kern w:val="2"/>
                <w:highlight w:val="none"/>
              </w:rPr>
              <w:t>.3</w:t>
            </w:r>
          </w:p>
        </w:tc>
        <w:tc>
          <w:tcPr>
            <w:tcW w:w="2031" w:type="dxa"/>
            <w:vAlign w:val="center"/>
          </w:tcPr>
          <w:p>
            <w:pPr>
              <w:pStyle w:val="37"/>
              <w:rPr>
                <w:b/>
                <w:highlight w:val="none"/>
              </w:rPr>
            </w:pPr>
            <w:r>
              <w:rPr>
                <w:rFonts w:hint="eastAsia"/>
                <w:highlight w:val="none"/>
              </w:rPr>
              <w:t>异议函递交方式、接收部门、联系电话和通讯地址</w:t>
            </w:r>
          </w:p>
        </w:tc>
        <w:tc>
          <w:tcPr>
            <w:tcW w:w="6020" w:type="dxa"/>
            <w:vAlign w:val="center"/>
          </w:tcPr>
          <w:p>
            <w:pPr>
              <w:pStyle w:val="37"/>
              <w:rPr>
                <w:bCs/>
                <w:highlight w:val="none"/>
              </w:rPr>
            </w:pPr>
            <w:r>
              <w:rPr>
                <w:rFonts w:hint="eastAsia"/>
                <w:highlight w:val="none"/>
              </w:rPr>
              <w:t>递交方式：书面形式递交</w:t>
            </w:r>
          </w:p>
          <w:p>
            <w:pPr>
              <w:pStyle w:val="37"/>
              <w:rPr>
                <w:rFonts w:hint="eastAsia" w:eastAsia="宋体"/>
                <w:b/>
                <w:bCs/>
                <w:highlight w:val="none"/>
                <w:lang w:eastAsia="zh-CN"/>
              </w:rPr>
            </w:pPr>
            <w:r>
              <w:rPr>
                <w:rFonts w:hint="eastAsia"/>
                <w:highlight w:val="none"/>
              </w:rPr>
              <w:t>接收部门：</w:t>
            </w:r>
            <w:r>
              <w:rPr>
                <w:rFonts w:hint="eastAsia"/>
                <w:highlight w:val="none"/>
                <w:lang w:eastAsia="zh-CN"/>
              </w:rPr>
              <w:t>肥西县派合商务服务有限公司</w:t>
            </w:r>
          </w:p>
          <w:p>
            <w:pPr>
              <w:pStyle w:val="37"/>
              <w:rPr>
                <w:rFonts w:hint="eastAsia" w:eastAsia="宋体"/>
                <w:b/>
                <w:bCs/>
                <w:highlight w:val="none"/>
                <w:lang w:val="en-US" w:eastAsia="zh-CN"/>
              </w:rPr>
            </w:pPr>
            <w:r>
              <w:rPr>
                <w:highlight w:val="none"/>
              </w:rPr>
              <w:t>联系电话：</w:t>
            </w:r>
            <w:r>
              <w:rPr>
                <w:rFonts w:hint="eastAsia"/>
                <w:highlight w:val="none"/>
              </w:rPr>
              <w:t>0551-</w:t>
            </w:r>
            <w:r>
              <w:rPr>
                <w:rFonts w:hint="eastAsia"/>
                <w:highlight w:val="none"/>
                <w:lang w:eastAsia="zh-CN"/>
              </w:rPr>
              <w:t>68825007</w:t>
            </w:r>
          </w:p>
          <w:p>
            <w:pPr>
              <w:pStyle w:val="37"/>
              <w:rPr>
                <w:b/>
                <w:highlight w:val="none"/>
              </w:rPr>
            </w:pPr>
            <w:r>
              <w:rPr>
                <w:rFonts w:hint="eastAsia"/>
                <w:highlight w:val="none"/>
              </w:rPr>
              <w:t>通讯地址：肥西县上派镇紫石路与佛光路交叉口肥光办公区3号楼2楼321</w:t>
            </w:r>
            <w:r>
              <w:rPr>
                <w:rFonts w:hint="eastAsia"/>
                <w:highlight w:val="none"/>
                <w:lang w:val="en-US" w:eastAsia="zh-CN"/>
              </w:rPr>
              <w:t>7-1</w:t>
            </w:r>
            <w:r>
              <w:rPr>
                <w:rFonts w:hint="eastAsia"/>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35</w:t>
            </w:r>
          </w:p>
        </w:tc>
        <w:tc>
          <w:tcPr>
            <w:tcW w:w="2031" w:type="dxa"/>
            <w:vAlign w:val="center"/>
          </w:tcPr>
          <w:p>
            <w:pPr>
              <w:pStyle w:val="37"/>
              <w:rPr>
                <w:b/>
                <w:highlight w:val="none"/>
              </w:rPr>
            </w:pPr>
            <w:r>
              <w:rPr>
                <w:rFonts w:hint="eastAsia"/>
                <w:highlight w:val="none"/>
              </w:rPr>
              <w:t>其他内容</w:t>
            </w:r>
          </w:p>
        </w:tc>
        <w:tc>
          <w:tcPr>
            <w:tcW w:w="6020" w:type="dxa"/>
            <w:vAlign w:val="center"/>
          </w:tcPr>
          <w:p>
            <w:pPr>
              <w:pStyle w:val="37"/>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1</w:t>
            </w:r>
          </w:p>
        </w:tc>
        <w:tc>
          <w:tcPr>
            <w:tcW w:w="2031" w:type="dxa"/>
            <w:vAlign w:val="center"/>
          </w:tcPr>
          <w:p>
            <w:pPr>
              <w:pStyle w:val="37"/>
              <w:rPr>
                <w:b/>
                <w:highlight w:val="none"/>
              </w:rPr>
            </w:pPr>
            <w:r>
              <w:rPr>
                <w:rFonts w:hint="eastAsia"/>
                <w:highlight w:val="none"/>
              </w:rPr>
              <w:t>承包方式</w:t>
            </w:r>
          </w:p>
        </w:tc>
        <w:tc>
          <w:tcPr>
            <w:tcW w:w="6020" w:type="dxa"/>
            <w:vAlign w:val="center"/>
          </w:tcPr>
          <w:p>
            <w:pPr>
              <w:pStyle w:val="37"/>
              <w:rPr>
                <w:b/>
                <w:highlight w:val="none"/>
              </w:rPr>
            </w:pPr>
            <w:r>
              <w:rPr>
                <w:rFonts w:hint="eastAsia" w:ascii="Segoe UI Symbol" w:hAnsi="Segoe UI Symbol" w:cs="Segoe UI Symbol"/>
                <w:highlight w:val="none"/>
                <w:lang w:eastAsia="zh-CN"/>
              </w:rPr>
              <w:t>□</w:t>
            </w:r>
            <w:r>
              <w:rPr>
                <w:rFonts w:hint="eastAsia" w:cs="宋体"/>
                <w:highlight w:val="none"/>
              </w:rPr>
              <w:t>施工总承包</w:t>
            </w:r>
            <w:r>
              <w:rPr>
                <w:rFonts w:hint="eastAsia"/>
                <w:highlight w:val="none"/>
              </w:rPr>
              <w:t xml:space="preserve">  </w:t>
            </w:r>
            <w:r>
              <w:rPr>
                <w:rFonts w:hint="eastAsia"/>
                <w:highlight w:val="none"/>
                <w:lang w:eastAsia="zh-CN"/>
              </w:rPr>
              <w:t>☑</w:t>
            </w:r>
            <w:r>
              <w:rPr>
                <w:rFonts w:hint="eastAsia"/>
                <w:highlight w:val="none"/>
              </w:rPr>
              <w:t>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2</w:t>
            </w:r>
          </w:p>
        </w:tc>
        <w:tc>
          <w:tcPr>
            <w:tcW w:w="2031" w:type="dxa"/>
            <w:vAlign w:val="center"/>
          </w:tcPr>
          <w:p>
            <w:pPr>
              <w:pStyle w:val="37"/>
              <w:rPr>
                <w:b/>
                <w:highlight w:val="none"/>
              </w:rPr>
            </w:pPr>
            <w:r>
              <w:rPr>
                <w:rFonts w:hint="eastAsia"/>
                <w:highlight w:val="none"/>
              </w:rPr>
              <w:t>计价方式</w:t>
            </w:r>
          </w:p>
        </w:tc>
        <w:tc>
          <w:tcPr>
            <w:tcW w:w="6020" w:type="dxa"/>
            <w:vAlign w:val="center"/>
          </w:tcPr>
          <w:p>
            <w:pPr>
              <w:pStyle w:val="37"/>
              <w:rPr>
                <w:b/>
                <w:highlight w:val="none"/>
              </w:rPr>
            </w:pPr>
            <w:r>
              <w:rPr>
                <w:rFonts w:hint="eastAsia" w:ascii="Segoe UI Symbol" w:hAnsi="Segoe UI Symbol" w:cs="Segoe UI Symbol"/>
                <w:highlight w:val="none"/>
                <w:lang w:eastAsia="zh-CN"/>
              </w:rPr>
              <w:t>☑</w:t>
            </w:r>
            <w:r>
              <w:rPr>
                <w:rFonts w:hint="eastAsia" w:cs="宋体"/>
                <w:highlight w:val="none"/>
              </w:rPr>
              <w:t>工程量清单综合单价报价法</w:t>
            </w:r>
          </w:p>
          <w:p>
            <w:pPr>
              <w:pStyle w:val="37"/>
              <w:rPr>
                <w:b/>
                <w:highlight w:val="none"/>
              </w:rPr>
            </w:pPr>
            <w:r>
              <w:rPr>
                <w:rFonts w:hint="eastAsia"/>
                <w:highlight w:val="none"/>
              </w:rPr>
              <w:t>□全费用综合单价报价法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3</w:t>
            </w:r>
          </w:p>
        </w:tc>
        <w:tc>
          <w:tcPr>
            <w:tcW w:w="2031" w:type="dxa"/>
            <w:vAlign w:val="center"/>
          </w:tcPr>
          <w:p>
            <w:pPr>
              <w:pStyle w:val="37"/>
              <w:rPr>
                <w:b/>
                <w:highlight w:val="none"/>
              </w:rPr>
            </w:pPr>
            <w:r>
              <w:rPr>
                <w:rFonts w:hint="eastAsia"/>
                <w:highlight w:val="none"/>
              </w:rPr>
              <w:t>计划</w:t>
            </w:r>
            <w:r>
              <w:rPr>
                <w:highlight w:val="none"/>
              </w:rPr>
              <w:t>工期</w:t>
            </w:r>
          </w:p>
        </w:tc>
        <w:tc>
          <w:tcPr>
            <w:tcW w:w="6020" w:type="dxa"/>
            <w:vAlign w:val="center"/>
          </w:tcPr>
          <w:p>
            <w:pPr>
              <w:pStyle w:val="37"/>
              <w:rPr>
                <w:b/>
                <w:bCs/>
                <w:highlight w:val="none"/>
              </w:rPr>
            </w:pPr>
            <w:r>
              <w:rPr>
                <w:rFonts w:hint="eastAsia"/>
                <w:b/>
                <w:bCs/>
                <w:highlight w:val="none"/>
              </w:rPr>
              <w:t>计划</w:t>
            </w:r>
            <w:r>
              <w:rPr>
                <w:b/>
                <w:bCs/>
                <w:highlight w:val="none"/>
              </w:rPr>
              <w:t>工期：</w:t>
            </w:r>
            <w:r>
              <w:rPr>
                <w:rFonts w:hint="eastAsia"/>
                <w:b/>
                <w:bCs/>
                <w:highlight w:val="none"/>
                <w:u w:val="single"/>
                <w:lang w:val="en-US" w:eastAsia="zh-CN"/>
              </w:rPr>
              <w:t xml:space="preserve"> 75 </w:t>
            </w:r>
            <w:r>
              <w:rPr>
                <w:b/>
                <w:bCs/>
                <w:highlight w:val="none"/>
              </w:rPr>
              <w:t>日历天</w:t>
            </w:r>
          </w:p>
          <w:p>
            <w:pPr>
              <w:pStyle w:val="37"/>
              <w:rPr>
                <w:b/>
                <w:highlight w:val="none"/>
              </w:rPr>
            </w:pPr>
            <w:r>
              <w:rPr>
                <w:highlight w:val="none"/>
              </w:rPr>
              <w:t>计划开工日期</w:t>
            </w:r>
            <w:bookmarkStart w:id="15" w:name="EB2a2e1a22d449405a860670c095486ab8"/>
            <w:r>
              <w:rPr>
                <w:highlight w:val="none"/>
              </w:rPr>
              <w:t>：</w:t>
            </w:r>
            <w:r>
              <w:rPr>
                <w:rFonts w:ascii="宋体" w:hAnsi="宋体" w:eastAsia="宋体" w:cs="宋体"/>
                <w:sz w:val="24"/>
                <w:szCs w:val="24"/>
                <w:highlight w:val="none"/>
              </w:rPr>
              <w:t>2024</w:t>
            </w:r>
            <w:r>
              <w:rPr>
                <w:rFonts w:hint="eastAsia" w:ascii="宋体" w:hAnsi="宋体" w:eastAsia="宋体" w:cs="宋体"/>
                <w:sz w:val="24"/>
                <w:szCs w:val="24"/>
                <w:highlight w:val="none"/>
                <w:lang w:val="en-US" w:eastAsia="zh-CN"/>
              </w:rPr>
              <w:t>年</w:t>
            </w:r>
            <w:r>
              <w:rPr>
                <w:rFonts w:hint="eastAsia" w:cs="宋体"/>
                <w:sz w:val="24"/>
                <w:szCs w:val="24"/>
                <w:highlight w:val="none"/>
                <w:lang w:val="en-US" w:eastAsia="zh-CN"/>
              </w:rPr>
              <w:t>02</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eastAsia="zh-CN"/>
              </w:rPr>
              <w:t>，</w:t>
            </w:r>
            <w:r>
              <w:rPr>
                <w:rFonts w:hint="eastAsia"/>
                <w:highlight w:val="none"/>
              </w:rPr>
              <w:t>具体开工时间以开工令为准。</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4</w:t>
            </w:r>
          </w:p>
        </w:tc>
        <w:tc>
          <w:tcPr>
            <w:tcW w:w="2031" w:type="dxa"/>
            <w:vAlign w:val="center"/>
          </w:tcPr>
          <w:p>
            <w:pPr>
              <w:pStyle w:val="37"/>
              <w:rPr>
                <w:b/>
                <w:highlight w:val="none"/>
              </w:rPr>
            </w:pPr>
            <w:r>
              <w:rPr>
                <w:rFonts w:hint="eastAsia"/>
                <w:highlight w:val="none"/>
              </w:rPr>
              <w:t>质量标准要求</w:t>
            </w:r>
          </w:p>
        </w:tc>
        <w:tc>
          <w:tcPr>
            <w:tcW w:w="6020" w:type="dxa"/>
            <w:vAlign w:val="center"/>
          </w:tcPr>
          <w:p>
            <w:pPr>
              <w:pStyle w:val="39"/>
              <w:tabs>
                <w:tab w:val="left" w:pos="1152"/>
              </w:tabs>
              <w:spacing w:before="0" w:beforeAutospacing="0" w:after="0" w:afterAutospacing="0" w:line="360" w:lineRule="auto"/>
              <w:rPr>
                <w:rFonts w:cs="@仿宋_GB2312"/>
                <w:bCs/>
                <w:szCs w:val="28"/>
                <w:highlight w:val="none"/>
              </w:rPr>
            </w:pPr>
            <w:r>
              <w:rPr>
                <w:rFonts w:hint="eastAsia" w:cs="@仿宋_GB2312"/>
                <w:bCs/>
                <w:szCs w:val="28"/>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5</w:t>
            </w:r>
          </w:p>
        </w:tc>
        <w:tc>
          <w:tcPr>
            <w:tcW w:w="2031" w:type="dxa"/>
            <w:vAlign w:val="center"/>
          </w:tcPr>
          <w:p>
            <w:pPr>
              <w:pStyle w:val="37"/>
              <w:rPr>
                <w:b/>
                <w:highlight w:val="none"/>
              </w:rPr>
            </w:pPr>
            <w:r>
              <w:rPr>
                <w:rFonts w:hint="eastAsia"/>
                <w:highlight w:val="none"/>
              </w:rPr>
              <w:t>项目经理其他要求</w:t>
            </w:r>
          </w:p>
        </w:tc>
        <w:tc>
          <w:tcPr>
            <w:tcW w:w="6020" w:type="dxa"/>
            <w:vAlign w:val="center"/>
          </w:tcPr>
          <w:p>
            <w:pPr>
              <w:pStyle w:val="37"/>
              <w:rPr>
                <w:b/>
                <w:highlight w:val="none"/>
              </w:rPr>
            </w:pPr>
            <w:r>
              <w:rPr>
                <w:rFonts w:hint="eastAsia"/>
                <w:highlight w:val="none"/>
              </w:rPr>
              <w:t>（1）项目经理不得同时担任两个及以上建设工程施工项目负责人，以下情形除外：</w:t>
            </w:r>
          </w:p>
          <w:p>
            <w:pPr>
              <w:pStyle w:val="37"/>
              <w:rPr>
                <w:b/>
                <w:highlight w:val="none"/>
              </w:rPr>
            </w:pPr>
            <w:r>
              <w:rPr>
                <w:rFonts w:hint="eastAsia"/>
                <w:highlight w:val="none"/>
              </w:rPr>
              <w:t>①法定情形；</w:t>
            </w:r>
          </w:p>
          <w:p>
            <w:pPr>
              <w:pStyle w:val="37"/>
              <w:rPr>
                <w:b/>
                <w:highlight w:val="none"/>
              </w:rPr>
            </w:pPr>
            <w:r>
              <w:rPr>
                <w:rFonts w:hint="eastAsia"/>
                <w:highlight w:val="none"/>
              </w:rPr>
              <w:t>②虽在其他项目上担任项目经理岗位，但本项目成交后能够从该项目撤离，全面履约。</w:t>
            </w:r>
          </w:p>
          <w:p>
            <w:pPr>
              <w:pStyle w:val="37"/>
              <w:rPr>
                <w:b/>
                <w:highlight w:val="none"/>
              </w:rPr>
            </w:pPr>
            <w:r>
              <w:rPr>
                <w:rFonts w:hint="eastAsia"/>
                <w:highlight w:val="none"/>
              </w:rPr>
              <w:t>（2）成交后若项目经理在其他项目上担任项目经理岗位，导致该项目经理无法进场履约的，</w:t>
            </w:r>
            <w:r>
              <w:rPr>
                <w:szCs w:val="18"/>
                <w:highlight w:val="none"/>
              </w:rPr>
              <w:t>业主</w:t>
            </w:r>
            <w:r>
              <w:rPr>
                <w:rFonts w:hint="eastAsia"/>
                <w:szCs w:val="18"/>
                <w:highlight w:val="none"/>
              </w:rPr>
              <w:t>单位</w:t>
            </w:r>
            <w:r>
              <w:rPr>
                <w:rFonts w:hint="eastAsia"/>
                <w:highlight w:val="none"/>
              </w:rPr>
              <w:t>可取消其成交资格。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.6</w:t>
            </w:r>
          </w:p>
        </w:tc>
        <w:tc>
          <w:tcPr>
            <w:tcW w:w="2031" w:type="dxa"/>
            <w:vAlign w:val="center"/>
          </w:tcPr>
          <w:p>
            <w:pPr>
              <w:pStyle w:val="37"/>
              <w:rPr>
                <w:b/>
                <w:highlight w:val="none"/>
              </w:rPr>
            </w:pPr>
            <w:r>
              <w:rPr>
                <w:rFonts w:hint="eastAsia"/>
                <w:highlight w:val="none"/>
              </w:rPr>
              <w:t>安全文明要求</w:t>
            </w:r>
          </w:p>
        </w:tc>
        <w:tc>
          <w:tcPr>
            <w:tcW w:w="6020" w:type="dxa"/>
            <w:vAlign w:val="center"/>
          </w:tcPr>
          <w:p>
            <w:pPr>
              <w:pStyle w:val="37"/>
              <w:rPr>
                <w:b/>
                <w:highlight w:val="none"/>
              </w:rPr>
            </w:pPr>
            <w:r>
              <w:rPr>
                <w:rFonts w:hint="eastAsia"/>
                <w:highlight w:val="none"/>
              </w:rPr>
              <w:t>必须确保安全文明施工，符合国家和项目所在地现行相关规定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7</w:t>
            </w:r>
          </w:p>
        </w:tc>
        <w:tc>
          <w:tcPr>
            <w:tcW w:w="2031" w:type="dxa"/>
            <w:vAlign w:val="center"/>
          </w:tcPr>
          <w:p>
            <w:pPr>
              <w:pStyle w:val="37"/>
              <w:rPr>
                <w:b/>
                <w:highlight w:val="none"/>
              </w:rPr>
            </w:pPr>
            <w:r>
              <w:rPr>
                <w:rFonts w:hint="eastAsia"/>
                <w:highlight w:val="none"/>
              </w:rPr>
              <w:t>总包及分包规定</w:t>
            </w:r>
          </w:p>
        </w:tc>
        <w:tc>
          <w:tcPr>
            <w:tcW w:w="6020" w:type="dxa"/>
            <w:vAlign w:val="center"/>
          </w:tcPr>
          <w:p>
            <w:pPr>
              <w:pStyle w:val="37"/>
              <w:rPr>
                <w:highlight w:val="none"/>
              </w:rPr>
            </w:pPr>
            <w:r>
              <w:rPr>
                <w:rFonts w:hint="eastAsia"/>
                <w:szCs w:val="18"/>
                <w:highlight w:val="none"/>
              </w:rPr>
              <w:t>参审单位</w:t>
            </w:r>
            <w:r>
              <w:rPr>
                <w:rFonts w:hint="eastAsia"/>
                <w:highlight w:val="none"/>
              </w:rPr>
              <w:t>不得在成交后将工程转包</w:t>
            </w:r>
            <w:r>
              <w:rPr>
                <w:rFonts w:hint="eastAsia"/>
                <w:highlight w:val="none"/>
                <w:lang w:eastAsia="zh-CN"/>
              </w:rPr>
              <w:t>给其他</w:t>
            </w:r>
            <w:r>
              <w:rPr>
                <w:rFonts w:hint="eastAsia"/>
                <w:highlight w:val="none"/>
              </w:rPr>
              <w:t>施工单位。</w:t>
            </w:r>
          </w:p>
          <w:p>
            <w:pPr>
              <w:spacing w:line="360" w:lineRule="auto"/>
              <w:jc w:val="left"/>
              <w:rPr>
                <w:rFonts w:hint="eastAsia" w:eastAsia="宋体"/>
                <w:b/>
                <w:sz w:val="24"/>
                <w:highlight w:val="none"/>
                <w:lang w:eastAsia="zh-CN"/>
              </w:rPr>
            </w:pPr>
            <w:r>
              <w:rPr>
                <w:rFonts w:hint="eastAsia"/>
                <w:b/>
                <w:sz w:val="24"/>
                <w:highlight w:val="none"/>
              </w:rPr>
              <w:t>分包情况</w:t>
            </w:r>
            <w:r>
              <w:rPr>
                <w:rFonts w:hint="eastAsia"/>
                <w:b/>
                <w:sz w:val="24"/>
                <w:highlight w:val="none"/>
                <w:lang w:eastAsia="zh-CN"/>
              </w:rPr>
              <w:t>：</w:t>
            </w:r>
          </w:p>
          <w:p>
            <w:pPr>
              <w:spacing w:line="360" w:lineRule="auto"/>
              <w:jc w:val="left"/>
              <w:rPr>
                <w:sz w:val="24"/>
                <w:highlight w:val="none"/>
              </w:rPr>
            </w:pPr>
            <w:r>
              <w:rPr>
                <w:rFonts w:hint="eastAsia"/>
                <w:sz w:val="24"/>
                <w:highlight w:val="none"/>
              </w:rPr>
              <w:t>□允许专业分包，分包项目、内容及分包商需经</w:t>
            </w:r>
            <w:r>
              <w:rPr>
                <w:sz w:val="24"/>
                <w:szCs w:val="18"/>
                <w:highlight w:val="none"/>
              </w:rPr>
              <w:t>业主</w:t>
            </w:r>
            <w:r>
              <w:rPr>
                <w:rFonts w:hint="eastAsia"/>
                <w:sz w:val="24"/>
                <w:szCs w:val="18"/>
                <w:highlight w:val="none"/>
              </w:rPr>
              <w:t>单位</w:t>
            </w:r>
            <w:r>
              <w:rPr>
                <w:rFonts w:hint="eastAsia"/>
                <w:sz w:val="24"/>
                <w:highlight w:val="none"/>
              </w:rPr>
              <w:t>及监理单位同意和认可</w:t>
            </w:r>
          </w:p>
          <w:p>
            <w:pPr>
              <w:pStyle w:val="37"/>
              <w:rPr>
                <w:b/>
                <w:highlight w:val="none"/>
              </w:rPr>
            </w:pPr>
            <w:r>
              <w:rPr>
                <w:rFonts w:hint="eastAsia" w:ascii="Segoe UI Symbol" w:hAnsi="Segoe UI Symbol" w:cs="Segoe UI Symbol"/>
                <w:highlight w:val="none"/>
                <w:lang w:eastAsia="zh-CN"/>
              </w:rPr>
              <w:t>☑</w:t>
            </w:r>
            <w:r>
              <w:rPr>
                <w:rFonts w:hint="eastAsia" w:cs="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8</w:t>
            </w:r>
          </w:p>
        </w:tc>
        <w:tc>
          <w:tcPr>
            <w:tcW w:w="2031" w:type="dxa"/>
            <w:vAlign w:val="center"/>
          </w:tcPr>
          <w:p>
            <w:pPr>
              <w:pStyle w:val="37"/>
              <w:rPr>
                <w:b/>
                <w:highlight w:val="none"/>
              </w:rPr>
            </w:pPr>
            <w:r>
              <w:rPr>
                <w:rFonts w:hint="eastAsia"/>
                <w:highlight w:val="none"/>
              </w:rPr>
              <w:t>现场条件</w:t>
            </w:r>
          </w:p>
        </w:tc>
        <w:tc>
          <w:tcPr>
            <w:tcW w:w="6020" w:type="dxa"/>
            <w:vAlign w:val="center"/>
          </w:tcPr>
          <w:p>
            <w:pPr>
              <w:pStyle w:val="37"/>
              <w:rPr>
                <w:b/>
                <w:highlight w:val="none"/>
              </w:rPr>
            </w:pPr>
            <w:r>
              <w:rPr>
                <w:rFonts w:hint="eastAsia"/>
                <w:highlight w:val="none"/>
              </w:rPr>
              <w:t>具备开工条件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9</w:t>
            </w:r>
          </w:p>
        </w:tc>
        <w:tc>
          <w:tcPr>
            <w:tcW w:w="2031" w:type="dxa"/>
            <w:vAlign w:val="center"/>
          </w:tcPr>
          <w:p>
            <w:pPr>
              <w:pStyle w:val="37"/>
              <w:rPr>
                <w:b/>
                <w:highlight w:val="none"/>
              </w:rPr>
            </w:pPr>
            <w:r>
              <w:rPr>
                <w:szCs w:val="18"/>
                <w:highlight w:val="none"/>
              </w:rPr>
              <w:t>业主</w:t>
            </w:r>
            <w:r>
              <w:rPr>
                <w:rFonts w:hint="eastAsia"/>
                <w:szCs w:val="18"/>
                <w:highlight w:val="none"/>
              </w:rPr>
              <w:t>单位</w:t>
            </w:r>
            <w:r>
              <w:rPr>
                <w:rFonts w:hint="eastAsia"/>
                <w:highlight w:val="none"/>
              </w:rPr>
              <w:t>提供的资料</w:t>
            </w:r>
          </w:p>
        </w:tc>
        <w:tc>
          <w:tcPr>
            <w:tcW w:w="6020" w:type="dxa"/>
            <w:vAlign w:val="center"/>
          </w:tcPr>
          <w:p>
            <w:pPr>
              <w:adjustRightInd w:val="0"/>
              <w:snapToGrid w:val="0"/>
              <w:spacing w:line="360" w:lineRule="auto"/>
              <w:jc w:val="left"/>
              <w:rPr>
                <w:bCs/>
                <w:sz w:val="24"/>
                <w:szCs w:val="28"/>
                <w:highlight w:val="none"/>
              </w:rPr>
            </w:pPr>
            <w:r>
              <w:rPr>
                <w:rFonts w:hint="eastAsia" w:ascii="Segoe UI Symbol" w:hAnsi="Segoe UI Symbol" w:cs="Segoe UI Symbol"/>
                <w:bCs/>
                <w:sz w:val="24"/>
                <w:szCs w:val="28"/>
                <w:highlight w:val="none"/>
                <w:lang w:eastAsia="zh-CN"/>
              </w:rPr>
              <w:t>☑</w:t>
            </w:r>
            <w:r>
              <w:rPr>
                <w:rFonts w:hint="eastAsia"/>
                <w:bCs/>
                <w:sz w:val="24"/>
                <w:szCs w:val="28"/>
                <w:highlight w:val="none"/>
              </w:rPr>
              <w:t>磋商文件</w:t>
            </w:r>
          </w:p>
          <w:p>
            <w:pPr>
              <w:adjustRightInd w:val="0"/>
              <w:snapToGrid w:val="0"/>
              <w:spacing w:line="360" w:lineRule="auto"/>
              <w:jc w:val="left"/>
              <w:rPr>
                <w:bCs/>
                <w:sz w:val="24"/>
                <w:szCs w:val="28"/>
                <w:highlight w:val="none"/>
              </w:rPr>
            </w:pPr>
            <w:r>
              <w:rPr>
                <w:rFonts w:hint="eastAsia" w:ascii="Segoe UI Symbol" w:hAnsi="Segoe UI Symbol" w:cs="Segoe UI Symbol"/>
                <w:bCs/>
                <w:sz w:val="24"/>
                <w:szCs w:val="28"/>
                <w:highlight w:val="none"/>
                <w:lang w:eastAsia="zh-CN"/>
              </w:rPr>
              <w:t>☑</w:t>
            </w:r>
            <w:r>
              <w:rPr>
                <w:rFonts w:hint="eastAsia"/>
                <w:bCs/>
                <w:sz w:val="24"/>
                <w:szCs w:val="28"/>
                <w:highlight w:val="none"/>
              </w:rPr>
              <w:t>工程量清单</w:t>
            </w:r>
          </w:p>
          <w:p>
            <w:pPr>
              <w:adjustRightInd w:val="0"/>
              <w:snapToGrid w:val="0"/>
              <w:spacing w:line="360" w:lineRule="auto"/>
              <w:jc w:val="left"/>
              <w:rPr>
                <w:bCs/>
                <w:sz w:val="24"/>
                <w:szCs w:val="28"/>
                <w:highlight w:val="none"/>
              </w:rPr>
            </w:pPr>
            <w:r>
              <w:rPr>
                <w:rFonts w:hint="eastAsia" w:ascii="Segoe UI Symbol" w:hAnsi="Segoe UI Symbol" w:cs="Segoe UI Symbol"/>
                <w:bCs/>
                <w:sz w:val="24"/>
                <w:szCs w:val="28"/>
                <w:highlight w:val="none"/>
                <w:lang w:eastAsia="zh-CN"/>
              </w:rPr>
              <w:t>☑</w:t>
            </w:r>
            <w:r>
              <w:rPr>
                <w:rFonts w:hint="eastAsia"/>
                <w:bCs/>
                <w:sz w:val="24"/>
                <w:szCs w:val="28"/>
                <w:highlight w:val="none"/>
              </w:rPr>
              <w:t>最高限价（控制价）</w:t>
            </w:r>
          </w:p>
          <w:p>
            <w:pPr>
              <w:adjustRightInd w:val="0"/>
              <w:snapToGrid w:val="0"/>
              <w:spacing w:line="360" w:lineRule="auto"/>
              <w:jc w:val="left"/>
              <w:rPr>
                <w:bCs/>
                <w:sz w:val="24"/>
                <w:szCs w:val="28"/>
                <w:highlight w:val="none"/>
              </w:rPr>
            </w:pPr>
            <w:r>
              <w:rPr>
                <w:rFonts w:hint="eastAsia" w:ascii="Segoe UI Symbol" w:hAnsi="Segoe UI Symbol" w:cs="Segoe UI Symbol"/>
                <w:bCs/>
                <w:sz w:val="24"/>
                <w:szCs w:val="28"/>
                <w:highlight w:val="none"/>
                <w:lang w:eastAsia="zh-CN"/>
              </w:rPr>
              <w:t>☑</w:t>
            </w:r>
            <w:r>
              <w:rPr>
                <w:rFonts w:hint="eastAsia"/>
                <w:bCs/>
                <w:sz w:val="24"/>
                <w:szCs w:val="28"/>
                <w:highlight w:val="none"/>
              </w:rPr>
              <w:t>电子版图纸</w:t>
            </w:r>
          </w:p>
          <w:p>
            <w:pPr>
              <w:adjustRightInd w:val="0"/>
              <w:snapToGrid w:val="0"/>
              <w:spacing w:line="360" w:lineRule="auto"/>
              <w:jc w:val="left"/>
              <w:rPr>
                <w:bCs/>
                <w:sz w:val="24"/>
                <w:szCs w:val="28"/>
                <w:highlight w:val="none"/>
              </w:rPr>
            </w:pPr>
            <w:r>
              <w:rPr>
                <w:rFonts w:hint="eastAsia"/>
                <w:bCs/>
                <w:sz w:val="24"/>
                <w:szCs w:val="28"/>
                <w:highlight w:val="none"/>
              </w:rPr>
              <w:t>获得方式：</w:t>
            </w:r>
          </w:p>
          <w:p>
            <w:pPr>
              <w:adjustRightInd w:val="0"/>
              <w:snapToGrid w:val="0"/>
              <w:spacing w:line="360" w:lineRule="auto"/>
              <w:jc w:val="left"/>
              <w:rPr>
                <w:sz w:val="24"/>
                <w:highlight w:val="none"/>
              </w:rPr>
            </w:pPr>
            <w:r>
              <w:rPr>
                <w:rFonts w:hint="eastAsia"/>
                <w:b/>
                <w:bCs/>
                <w:sz w:val="24"/>
                <w:highlight w:val="none"/>
              </w:rPr>
              <w:t>上述资料请</w:t>
            </w:r>
            <w:r>
              <w:rPr>
                <w:rFonts w:hint="eastAsia"/>
                <w:b/>
                <w:sz w:val="24"/>
                <w:szCs w:val="18"/>
                <w:highlight w:val="none"/>
              </w:rPr>
              <w:t>参审单位</w:t>
            </w:r>
            <w:r>
              <w:rPr>
                <w:rFonts w:hint="eastAsia"/>
                <w:b/>
                <w:bCs/>
                <w:sz w:val="24"/>
                <w:highlight w:val="none"/>
              </w:rPr>
              <w:t>在获取磋商文件后，</w:t>
            </w:r>
            <w:r>
              <w:rPr>
                <w:rFonts w:hint="eastAsia"/>
                <w:b/>
                <w:bCs/>
                <w:sz w:val="24"/>
                <w:highlight w:val="none"/>
                <w:lang w:eastAsia="zh-CN"/>
              </w:rPr>
              <w:t>自行登录</w:t>
            </w:r>
            <w:r>
              <w:rPr>
                <w:rFonts w:hint="eastAsia"/>
                <w:b/>
                <w:bCs/>
                <w:sz w:val="24"/>
                <w:highlight w:val="none"/>
              </w:rPr>
              <w:t>系统下载本项目附件。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10</w:t>
            </w:r>
          </w:p>
        </w:tc>
        <w:tc>
          <w:tcPr>
            <w:tcW w:w="2031" w:type="dxa"/>
            <w:vAlign w:val="center"/>
          </w:tcPr>
          <w:p>
            <w:pPr>
              <w:pStyle w:val="37"/>
              <w:rPr>
                <w:b/>
                <w:highlight w:val="none"/>
              </w:rPr>
            </w:pPr>
            <w:r>
              <w:rPr>
                <w:rFonts w:hint="eastAsia"/>
                <w:highlight w:val="none"/>
              </w:rPr>
              <w:t>工程量清单和最高限价（控制价）编制费</w:t>
            </w:r>
          </w:p>
        </w:tc>
        <w:tc>
          <w:tcPr>
            <w:tcW w:w="6020" w:type="dxa"/>
            <w:vAlign w:val="center"/>
          </w:tcPr>
          <w:p>
            <w:pPr>
              <w:pStyle w:val="37"/>
              <w:numPr>
                <w:ilvl w:val="0"/>
                <w:numId w:val="2"/>
              </w:numPr>
              <w:jc w:val="both"/>
              <w:rPr>
                <w:rFonts w:hint="eastAsia"/>
                <w:highlight w:val="none"/>
              </w:rPr>
            </w:pPr>
            <w:r>
              <w:rPr>
                <w:rFonts w:hint="eastAsia"/>
                <w:highlight w:val="none"/>
              </w:rPr>
              <w:t>本项目最高限价（控制价）材料、设备价格依据造价管理部门出台的信息价格并结合市场实际价格综合考虑编制，</w:t>
            </w:r>
            <w:r>
              <w:rPr>
                <w:rFonts w:hint="eastAsia"/>
                <w:szCs w:val="18"/>
                <w:highlight w:val="none"/>
              </w:rPr>
              <w:t>参审单位</w:t>
            </w:r>
            <w:r>
              <w:rPr>
                <w:rFonts w:hint="eastAsia"/>
                <w:highlight w:val="none"/>
              </w:rPr>
              <w:t>应根据设计图纸、工程量清单、补疑，并结合企业自身实力理性报价。</w:t>
            </w:r>
          </w:p>
          <w:p>
            <w:pPr>
              <w:pStyle w:val="37"/>
              <w:numPr>
                <w:ilvl w:val="0"/>
                <w:numId w:val="2"/>
              </w:numPr>
              <w:jc w:val="both"/>
              <w:rPr>
                <w:bCs/>
                <w:sz w:val="24"/>
                <w:szCs w:val="28"/>
                <w:highlight w:val="none"/>
              </w:rPr>
            </w:pPr>
            <w:r>
              <w:rPr>
                <w:rFonts w:hint="eastAsia" w:cs="宋体"/>
                <w:sz w:val="24"/>
                <w:szCs w:val="24"/>
                <w:highlight w:val="none"/>
              </w:rPr>
              <w:t>本项目涉及有关独立费内容，全部以补疑形式明确，工程量清单、最高限价（控制价）不单独开项，</w:t>
            </w:r>
            <w:r>
              <w:rPr>
                <w:rFonts w:hint="eastAsia"/>
                <w:sz w:val="24"/>
                <w:szCs w:val="18"/>
                <w:highlight w:val="none"/>
              </w:rPr>
              <w:t>参审单位</w:t>
            </w:r>
            <w:r>
              <w:rPr>
                <w:rFonts w:hint="eastAsia" w:cs="宋体"/>
                <w:sz w:val="24"/>
                <w:szCs w:val="24"/>
                <w:highlight w:val="none"/>
              </w:rPr>
              <w:t>应根据补疑描述内容将该部分价格在分部分项工程费用内综合考虑。</w:t>
            </w:r>
          </w:p>
          <w:p>
            <w:pPr>
              <w:pStyle w:val="37"/>
              <w:numPr>
                <w:ilvl w:val="0"/>
                <w:numId w:val="2"/>
              </w:numPr>
              <w:jc w:val="both"/>
              <w:rPr>
                <w:bCs/>
                <w:sz w:val="24"/>
                <w:szCs w:val="28"/>
                <w:highlight w:val="none"/>
              </w:rPr>
            </w:pPr>
            <w:r>
              <w:rPr>
                <w:rFonts w:hint="eastAsia"/>
                <w:bCs/>
                <w:sz w:val="24"/>
                <w:szCs w:val="28"/>
                <w:highlight w:val="none"/>
              </w:rPr>
              <w:t>工程量清单和最高限价（控制价）编制费</w:t>
            </w:r>
          </w:p>
          <w:p>
            <w:pPr>
              <w:pStyle w:val="37"/>
              <w:numPr>
                <w:ilvl w:val="0"/>
                <w:numId w:val="0"/>
              </w:numPr>
              <w:jc w:val="both"/>
              <w:rPr>
                <w:bCs/>
                <w:sz w:val="24"/>
                <w:szCs w:val="28"/>
                <w:highlight w:val="none"/>
              </w:rPr>
            </w:pPr>
            <w:r>
              <w:rPr>
                <w:rFonts w:hint="eastAsia"/>
                <w:bCs/>
                <w:sz w:val="24"/>
                <w:szCs w:val="28"/>
                <w:highlight w:val="none"/>
              </w:rPr>
              <w:t>（1）成交人在领取</w:t>
            </w:r>
            <w:r>
              <w:rPr>
                <w:rFonts w:hint="eastAsia"/>
                <w:bCs/>
                <w:sz w:val="24"/>
                <w:szCs w:val="28"/>
                <w:highlight w:val="none"/>
                <w:lang w:eastAsia="zh-CN"/>
              </w:rPr>
              <w:t>成交确认书</w:t>
            </w:r>
            <w:r>
              <w:rPr>
                <w:rFonts w:hint="eastAsia"/>
                <w:bCs/>
                <w:sz w:val="24"/>
                <w:szCs w:val="28"/>
                <w:highlight w:val="none"/>
              </w:rPr>
              <w:t>前须缴纳工程量清单和最高限价（控制价）编制费，可以转账（同城）、电汇（异地）方式。</w:t>
            </w:r>
          </w:p>
          <w:p>
            <w:pPr>
              <w:pStyle w:val="37"/>
              <w:jc w:val="both"/>
              <w:rPr>
                <w:highlight w:val="none"/>
              </w:rPr>
            </w:pPr>
            <w:r>
              <w:rPr>
                <w:rFonts w:hint="eastAsia"/>
                <w:highlight w:val="none"/>
              </w:rPr>
              <w:t>（</w:t>
            </w:r>
            <w:r>
              <w:rPr>
                <w:highlight w:val="none"/>
              </w:rPr>
              <w:t>2</w:t>
            </w:r>
            <w:r>
              <w:rPr>
                <w:rFonts w:hint="eastAsia"/>
                <w:highlight w:val="none"/>
              </w:rPr>
              <w:t>）工程量清单和最高限价（控制价）编制费：以成交价为计算基数，分包别参照皖价服[2007]86号文件规定的标准的70%收取，不足1000元的按1000元收取。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11</w:t>
            </w:r>
          </w:p>
        </w:tc>
        <w:tc>
          <w:tcPr>
            <w:tcW w:w="2031" w:type="dxa"/>
            <w:vAlign w:val="center"/>
          </w:tcPr>
          <w:p>
            <w:pPr>
              <w:adjustRightInd w:val="0"/>
              <w:spacing w:line="360" w:lineRule="auto"/>
              <w:jc w:val="left"/>
              <w:rPr>
                <w:sz w:val="24"/>
                <w:highlight w:val="none"/>
              </w:rPr>
            </w:pPr>
            <w:r>
              <w:rPr>
                <w:rFonts w:hint="eastAsia"/>
                <w:sz w:val="24"/>
                <w:highlight w:val="none"/>
              </w:rPr>
              <w:t>特别</w:t>
            </w:r>
            <w:r>
              <w:rPr>
                <w:sz w:val="24"/>
                <w:highlight w:val="none"/>
              </w:rPr>
              <w:t>提醒</w:t>
            </w:r>
          </w:p>
        </w:tc>
        <w:tc>
          <w:tcPr>
            <w:tcW w:w="6020" w:type="dxa"/>
            <w:vAlign w:val="center"/>
          </w:tcPr>
          <w:p>
            <w:pPr>
              <w:adjustRightInd w:val="0"/>
              <w:spacing w:line="360" w:lineRule="auto"/>
              <w:jc w:val="both"/>
              <w:rPr>
                <w:bCs/>
                <w:sz w:val="24"/>
                <w:szCs w:val="28"/>
                <w:highlight w:val="none"/>
              </w:rPr>
            </w:pPr>
            <w:r>
              <w:rPr>
                <w:rFonts w:hint="eastAsia"/>
                <w:bCs/>
                <w:sz w:val="24"/>
                <w:szCs w:val="28"/>
                <w:highlight w:val="none"/>
              </w:rPr>
              <w:t>（1）项目经理必须是</w:t>
            </w:r>
            <w:r>
              <w:rPr>
                <w:rFonts w:hint="eastAsia"/>
                <w:sz w:val="24"/>
                <w:szCs w:val="18"/>
                <w:highlight w:val="none"/>
              </w:rPr>
              <w:t>参审单位</w:t>
            </w:r>
            <w:r>
              <w:rPr>
                <w:rFonts w:hint="eastAsia"/>
                <w:bCs/>
                <w:sz w:val="24"/>
                <w:szCs w:val="28"/>
                <w:highlight w:val="none"/>
              </w:rPr>
              <w:t>本单位工作人员，提供虚假资料谋取成交将被依法处罚，记入不良行为记录，并予以曝光。</w:t>
            </w:r>
          </w:p>
          <w:p>
            <w:pPr>
              <w:adjustRightInd w:val="0"/>
              <w:spacing w:line="360" w:lineRule="auto"/>
              <w:jc w:val="both"/>
              <w:rPr>
                <w:bCs/>
                <w:sz w:val="24"/>
                <w:szCs w:val="28"/>
                <w:highlight w:val="none"/>
              </w:rPr>
            </w:pPr>
            <w:r>
              <w:rPr>
                <w:rFonts w:hint="eastAsia"/>
                <w:bCs/>
                <w:sz w:val="24"/>
                <w:szCs w:val="28"/>
                <w:highlight w:val="none"/>
              </w:rPr>
              <w:t>（2）如本项目图纸中出现特定性、唯一性品牌的表述，该品牌仅作为参考，施工过程中不具有限定性。</w:t>
            </w:r>
          </w:p>
          <w:p>
            <w:pPr>
              <w:adjustRightInd w:val="0"/>
              <w:spacing w:line="360" w:lineRule="auto"/>
              <w:jc w:val="both"/>
              <w:rPr>
                <w:bCs/>
                <w:sz w:val="24"/>
                <w:szCs w:val="28"/>
                <w:highlight w:val="none"/>
              </w:rPr>
            </w:pPr>
            <w:r>
              <w:rPr>
                <w:rFonts w:hint="eastAsia"/>
                <w:bCs/>
                <w:sz w:val="24"/>
                <w:szCs w:val="28"/>
                <w:highlight w:val="none"/>
              </w:rPr>
              <w:t>（3）</w:t>
            </w:r>
            <w:r>
              <w:rPr>
                <w:rFonts w:hint="eastAsia"/>
                <w:sz w:val="24"/>
                <w:szCs w:val="18"/>
                <w:highlight w:val="none"/>
              </w:rPr>
              <w:t>参审单位</w:t>
            </w:r>
            <w:r>
              <w:rPr>
                <w:rFonts w:hint="eastAsia"/>
                <w:bCs/>
                <w:sz w:val="24"/>
                <w:szCs w:val="28"/>
                <w:highlight w:val="none"/>
              </w:rPr>
              <w:t>对所提交的</w:t>
            </w:r>
            <w:r>
              <w:rPr>
                <w:rFonts w:hint="eastAsia"/>
                <w:sz w:val="24"/>
                <w:szCs w:val="18"/>
                <w:highlight w:val="none"/>
              </w:rPr>
              <w:t>参审单位</w:t>
            </w:r>
            <w:r>
              <w:rPr>
                <w:rFonts w:hint="eastAsia"/>
                <w:bCs/>
                <w:sz w:val="24"/>
                <w:szCs w:val="28"/>
                <w:highlight w:val="none"/>
              </w:rPr>
              <w:t>或拟派项目经理业绩、</w:t>
            </w:r>
            <w:r>
              <w:rPr>
                <w:rFonts w:hint="eastAsia"/>
                <w:sz w:val="24"/>
                <w:szCs w:val="18"/>
                <w:highlight w:val="none"/>
              </w:rPr>
              <w:t>参审单位</w:t>
            </w:r>
            <w:r>
              <w:rPr>
                <w:rFonts w:hint="eastAsia"/>
                <w:bCs/>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pPr>
              <w:adjustRightInd w:val="0"/>
              <w:spacing w:line="360" w:lineRule="auto"/>
              <w:jc w:val="both"/>
              <w:rPr>
                <w:bCs/>
                <w:sz w:val="24"/>
                <w:szCs w:val="28"/>
                <w:highlight w:val="none"/>
              </w:rPr>
            </w:pPr>
            <w:r>
              <w:rPr>
                <w:rFonts w:hint="eastAsia"/>
                <w:bCs/>
                <w:sz w:val="24"/>
                <w:szCs w:val="28"/>
                <w:highlight w:val="none"/>
              </w:rPr>
              <w:t>（4）</w:t>
            </w:r>
            <w:r>
              <w:rPr>
                <w:rFonts w:hint="eastAsia"/>
                <w:sz w:val="24"/>
                <w:szCs w:val="18"/>
                <w:highlight w:val="none"/>
              </w:rPr>
              <w:t>业主单位</w:t>
            </w:r>
            <w:r>
              <w:rPr>
                <w:rFonts w:hint="eastAsia"/>
                <w:bCs/>
                <w:sz w:val="24"/>
                <w:szCs w:val="28"/>
                <w:highlight w:val="none"/>
              </w:rPr>
              <w:t>和成交人未履行下述义务的，将依法对</w:t>
            </w:r>
            <w:r>
              <w:rPr>
                <w:rFonts w:hint="eastAsia"/>
                <w:sz w:val="24"/>
                <w:szCs w:val="18"/>
                <w:highlight w:val="none"/>
              </w:rPr>
              <w:t>业主单位</w:t>
            </w:r>
            <w:r>
              <w:rPr>
                <w:rFonts w:hint="eastAsia"/>
                <w:bCs/>
                <w:sz w:val="24"/>
                <w:szCs w:val="28"/>
                <w:highlight w:val="none"/>
              </w:rPr>
              <w:t>和成交人进行处理，追究相关责任：</w:t>
            </w:r>
          </w:p>
          <w:p>
            <w:pPr>
              <w:adjustRightInd w:val="0"/>
              <w:spacing w:line="360" w:lineRule="auto"/>
              <w:jc w:val="both"/>
              <w:rPr>
                <w:bCs/>
                <w:sz w:val="24"/>
                <w:szCs w:val="28"/>
                <w:highlight w:val="none"/>
              </w:rPr>
            </w:pPr>
            <w:r>
              <w:rPr>
                <w:rFonts w:hint="eastAsia"/>
                <w:bCs/>
                <w:sz w:val="24"/>
                <w:szCs w:val="28"/>
                <w:highlight w:val="none"/>
              </w:rPr>
              <w:t>①磋商文件载明在规定期限内成交人应领取《</w:t>
            </w:r>
            <w:r>
              <w:rPr>
                <w:rFonts w:hint="eastAsia"/>
                <w:bCs/>
                <w:sz w:val="24"/>
                <w:szCs w:val="28"/>
                <w:highlight w:val="none"/>
                <w:lang w:eastAsia="zh-CN"/>
              </w:rPr>
              <w:t>成交确认书</w:t>
            </w:r>
            <w:r>
              <w:rPr>
                <w:rFonts w:hint="eastAsia"/>
                <w:bCs/>
                <w:sz w:val="24"/>
                <w:szCs w:val="28"/>
                <w:highlight w:val="none"/>
              </w:rPr>
              <w:t>》，若成交人未在规定期限内领取《</w:t>
            </w:r>
            <w:r>
              <w:rPr>
                <w:rFonts w:hint="eastAsia"/>
                <w:bCs/>
                <w:sz w:val="24"/>
                <w:szCs w:val="28"/>
                <w:highlight w:val="none"/>
                <w:lang w:eastAsia="zh-CN"/>
              </w:rPr>
              <w:t>成交确认书</w:t>
            </w:r>
            <w:r>
              <w:rPr>
                <w:rFonts w:hint="eastAsia"/>
                <w:bCs/>
                <w:sz w:val="24"/>
                <w:szCs w:val="28"/>
                <w:highlight w:val="none"/>
              </w:rPr>
              <w:t xml:space="preserve">》， </w:t>
            </w:r>
            <w:r>
              <w:rPr>
                <w:rFonts w:hint="eastAsia"/>
                <w:sz w:val="24"/>
                <w:szCs w:val="18"/>
                <w:highlight w:val="none"/>
              </w:rPr>
              <w:t>业主单位</w:t>
            </w:r>
            <w:r>
              <w:rPr>
                <w:rFonts w:hint="eastAsia"/>
                <w:bCs/>
                <w:sz w:val="24"/>
                <w:szCs w:val="28"/>
                <w:highlight w:val="none"/>
              </w:rPr>
              <w:t>有权取消成交人成交资格，并将相关违约行为报送监管部门，实施信用惩戒；</w:t>
            </w:r>
          </w:p>
          <w:p>
            <w:pPr>
              <w:adjustRightInd w:val="0"/>
              <w:spacing w:line="360" w:lineRule="auto"/>
              <w:jc w:val="both"/>
              <w:rPr>
                <w:bCs/>
                <w:sz w:val="24"/>
                <w:szCs w:val="28"/>
                <w:highlight w:val="none"/>
              </w:rPr>
            </w:pPr>
            <w:r>
              <w:rPr>
                <w:rFonts w:hint="eastAsia"/>
                <w:bCs/>
                <w:sz w:val="24"/>
                <w:szCs w:val="28"/>
                <w:highlight w:val="none"/>
              </w:rPr>
              <w:t>②成交人应在规定期限内提交履约担保并与</w:t>
            </w:r>
            <w:r>
              <w:rPr>
                <w:rFonts w:hint="eastAsia"/>
                <w:sz w:val="24"/>
                <w:szCs w:val="18"/>
                <w:highlight w:val="none"/>
              </w:rPr>
              <w:t>业主单位</w:t>
            </w:r>
            <w:r>
              <w:rPr>
                <w:rFonts w:hint="eastAsia"/>
                <w:bCs/>
                <w:sz w:val="24"/>
                <w:szCs w:val="28"/>
                <w:highlight w:val="none"/>
              </w:rPr>
              <w:t>签订合同，若成交人未能在规定期限内提交履约担保或签订合同，</w:t>
            </w:r>
            <w:r>
              <w:rPr>
                <w:rFonts w:hint="eastAsia"/>
                <w:sz w:val="24"/>
                <w:szCs w:val="18"/>
                <w:highlight w:val="none"/>
              </w:rPr>
              <w:t>业主单位</w:t>
            </w:r>
            <w:r>
              <w:rPr>
                <w:rFonts w:hint="eastAsia"/>
                <w:bCs/>
                <w:sz w:val="24"/>
                <w:szCs w:val="28"/>
                <w:highlight w:val="none"/>
              </w:rPr>
              <w:t>有权取消成交人成交资格，并将相关违约行为报送监管部门，实施信用惩戒；</w:t>
            </w:r>
          </w:p>
          <w:p>
            <w:pPr>
              <w:adjustRightInd w:val="0"/>
              <w:spacing w:line="360" w:lineRule="auto"/>
              <w:jc w:val="both"/>
              <w:rPr>
                <w:bCs/>
                <w:sz w:val="24"/>
                <w:szCs w:val="28"/>
                <w:highlight w:val="none"/>
              </w:rPr>
            </w:pPr>
            <w:r>
              <w:rPr>
                <w:rFonts w:hint="eastAsia"/>
                <w:bCs/>
                <w:sz w:val="24"/>
                <w:szCs w:val="28"/>
                <w:highlight w:val="none"/>
              </w:rPr>
              <w:t>③合同签订后，成交人存在规定时间内不组织人员进场开工、不履行供货安装义务等情况，</w:t>
            </w:r>
            <w:r>
              <w:rPr>
                <w:rFonts w:hint="eastAsia"/>
                <w:sz w:val="24"/>
                <w:szCs w:val="18"/>
                <w:highlight w:val="none"/>
              </w:rPr>
              <w:t>业主单位</w:t>
            </w:r>
            <w:r>
              <w:rPr>
                <w:rFonts w:hint="eastAsia"/>
                <w:bCs/>
                <w:sz w:val="24"/>
                <w:szCs w:val="28"/>
                <w:highlight w:val="none"/>
              </w:rPr>
              <w:t>有权解除合同，并追究违约责任，同时将相关违约行为报送监管部门，记不良行为记录，实施信用惩戒；</w:t>
            </w:r>
          </w:p>
          <w:p>
            <w:pPr>
              <w:adjustRightInd w:val="0"/>
              <w:spacing w:line="360" w:lineRule="auto"/>
              <w:jc w:val="both"/>
              <w:rPr>
                <w:bCs/>
                <w:sz w:val="24"/>
                <w:szCs w:val="28"/>
                <w:highlight w:val="none"/>
              </w:rPr>
            </w:pPr>
            <w:r>
              <w:rPr>
                <w:rFonts w:hint="eastAsia"/>
                <w:bCs/>
                <w:sz w:val="24"/>
                <w:szCs w:val="28"/>
                <w:highlight w:val="none"/>
              </w:rPr>
              <w:t>④成交人在成交后被监管部门查实存在违法行为，不满足磋商条件的，由</w:t>
            </w:r>
            <w:r>
              <w:rPr>
                <w:rFonts w:hint="eastAsia"/>
                <w:sz w:val="24"/>
                <w:szCs w:val="18"/>
                <w:highlight w:val="none"/>
              </w:rPr>
              <w:t>业主单位</w:t>
            </w:r>
            <w:r>
              <w:rPr>
                <w:rFonts w:hint="eastAsia"/>
                <w:bCs/>
                <w:sz w:val="24"/>
                <w:szCs w:val="28"/>
                <w:highlight w:val="none"/>
              </w:rPr>
              <w:t>取消其资格，并做好项目后续工作；</w:t>
            </w:r>
          </w:p>
          <w:p>
            <w:pPr>
              <w:adjustRightInd w:val="0"/>
              <w:spacing w:line="360" w:lineRule="auto"/>
              <w:jc w:val="both"/>
              <w:rPr>
                <w:sz w:val="24"/>
                <w:highlight w:val="none"/>
              </w:rPr>
            </w:pPr>
            <w:r>
              <w:rPr>
                <w:rFonts w:hint="eastAsia"/>
                <w:bCs/>
                <w:sz w:val="24"/>
                <w:szCs w:val="28"/>
                <w:highlight w:val="none"/>
              </w:rPr>
              <w:t>⑤项目实施后发生投诉、信访举报案件、履约存在争议时，拒绝协助配合执法部门调查案件的，</w:t>
            </w:r>
            <w:r>
              <w:rPr>
                <w:rFonts w:hint="eastAsia"/>
                <w:sz w:val="24"/>
                <w:szCs w:val="18"/>
                <w:highlight w:val="none"/>
              </w:rPr>
              <w:t>业主单位</w:t>
            </w:r>
            <w:r>
              <w:rPr>
                <w:rFonts w:hint="eastAsia"/>
                <w:bCs/>
                <w:sz w:val="24"/>
                <w:szCs w:val="28"/>
                <w:highlight w:val="none"/>
              </w:rPr>
              <w:t>可以解除合同，并追究其违约责任。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12</w:t>
            </w:r>
          </w:p>
        </w:tc>
        <w:tc>
          <w:tcPr>
            <w:tcW w:w="2031" w:type="dxa"/>
            <w:vAlign w:val="center"/>
          </w:tcPr>
          <w:p>
            <w:pPr>
              <w:pStyle w:val="40"/>
              <w:spacing w:line="360" w:lineRule="auto"/>
              <w:jc w:val="left"/>
              <w:rPr>
                <w:sz w:val="24"/>
                <w:highlight w:val="none"/>
              </w:rPr>
            </w:pPr>
            <w:r>
              <w:rPr>
                <w:sz w:val="24"/>
                <w:highlight w:val="none"/>
              </w:rPr>
              <w:t>同义词语</w:t>
            </w:r>
          </w:p>
        </w:tc>
        <w:tc>
          <w:tcPr>
            <w:tcW w:w="6020" w:type="dxa"/>
            <w:vAlign w:val="center"/>
          </w:tcPr>
          <w:p>
            <w:pPr>
              <w:pStyle w:val="40"/>
              <w:spacing w:line="360" w:lineRule="auto"/>
              <w:jc w:val="both"/>
              <w:rPr>
                <w:sz w:val="24"/>
                <w:highlight w:val="none"/>
              </w:rPr>
            </w:pPr>
            <w:r>
              <w:rPr>
                <w:spacing w:val="-1"/>
                <w:sz w:val="24"/>
                <w:highlight w:val="none"/>
              </w:rPr>
              <w:t>构成</w:t>
            </w:r>
            <w:r>
              <w:rPr>
                <w:rFonts w:hint="eastAsia"/>
                <w:spacing w:val="-1"/>
                <w:sz w:val="24"/>
                <w:highlight w:val="none"/>
              </w:rPr>
              <w:t>磋商</w:t>
            </w:r>
            <w:r>
              <w:rPr>
                <w:spacing w:val="-1"/>
                <w:sz w:val="24"/>
                <w:highlight w:val="none"/>
              </w:rPr>
              <w:t xml:space="preserve">文件组成部分的“通用合同条款”、“专用合同条款”、“技术标准和要求”和“工程量清单” </w:t>
            </w:r>
            <w:r>
              <w:rPr>
                <w:spacing w:val="-12"/>
                <w:sz w:val="24"/>
                <w:highlight w:val="none"/>
              </w:rPr>
              <w:t>等章节中 “发包人”和“承包人”，等同于</w:t>
            </w:r>
            <w:r>
              <w:rPr>
                <w:rFonts w:hint="eastAsia"/>
                <w:spacing w:val="-12"/>
                <w:sz w:val="24"/>
                <w:highlight w:val="none"/>
              </w:rPr>
              <w:t>磋商</w:t>
            </w:r>
            <w:r>
              <w:rPr>
                <w:sz w:val="24"/>
                <w:highlight w:val="none"/>
              </w:rPr>
              <w:t>阶段的“</w:t>
            </w:r>
            <w:r>
              <w:rPr>
                <w:rFonts w:hint="eastAsia"/>
                <w:sz w:val="24"/>
                <w:szCs w:val="18"/>
                <w:highlight w:val="none"/>
              </w:rPr>
              <w:t>业主单位</w:t>
            </w:r>
            <w:r>
              <w:rPr>
                <w:sz w:val="24"/>
                <w:highlight w:val="none"/>
              </w:rPr>
              <w:t>”和“</w:t>
            </w:r>
            <w:r>
              <w:rPr>
                <w:rFonts w:hint="eastAsia"/>
                <w:sz w:val="24"/>
                <w:szCs w:val="18"/>
                <w:highlight w:val="none"/>
              </w:rPr>
              <w:t>参审单位</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w:t>
            </w:r>
            <w:r>
              <w:rPr>
                <w:rFonts w:hint="eastAsia"/>
                <w:bCs/>
                <w:kern w:val="2"/>
                <w:highlight w:val="none"/>
              </w:rPr>
              <w:t>.13</w:t>
            </w:r>
          </w:p>
        </w:tc>
        <w:tc>
          <w:tcPr>
            <w:tcW w:w="2031" w:type="dxa"/>
            <w:vAlign w:val="center"/>
          </w:tcPr>
          <w:p>
            <w:pPr>
              <w:pStyle w:val="37"/>
              <w:rPr>
                <w:b/>
                <w:highlight w:val="none"/>
              </w:rPr>
            </w:pPr>
            <w:r>
              <w:rPr>
                <w:rFonts w:hint="eastAsia"/>
                <w:highlight w:val="none"/>
              </w:rPr>
              <w:t>社保</w:t>
            </w:r>
            <w:r>
              <w:rPr>
                <w:highlight w:val="none"/>
              </w:rPr>
              <w:t>证明材料</w:t>
            </w:r>
          </w:p>
          <w:p>
            <w:pPr>
              <w:pStyle w:val="37"/>
              <w:rPr>
                <w:b/>
                <w:highlight w:val="none"/>
              </w:rPr>
            </w:pPr>
            <w:r>
              <w:rPr>
                <w:rFonts w:hint="eastAsia"/>
                <w:highlight w:val="none"/>
              </w:rPr>
              <w:t>（如有</w:t>
            </w:r>
            <w:r>
              <w:rPr>
                <w:highlight w:val="none"/>
              </w:rPr>
              <w:t>）</w:t>
            </w:r>
          </w:p>
        </w:tc>
        <w:tc>
          <w:tcPr>
            <w:tcW w:w="6020" w:type="dxa"/>
            <w:vAlign w:val="center"/>
          </w:tcPr>
          <w:p>
            <w:pPr>
              <w:pStyle w:val="37"/>
              <w:rPr>
                <w:b/>
                <w:highlight w:val="none"/>
              </w:rPr>
            </w:pPr>
            <w:r>
              <w:rPr>
                <w:rFonts w:hint="eastAsia"/>
                <w:highlight w:val="none"/>
              </w:rPr>
              <w:t>本项目磋商文件中要求提供的社保</w:t>
            </w:r>
            <w:r>
              <w:rPr>
                <w:highlight w:val="none"/>
              </w:rPr>
              <w:t>证明材料</w:t>
            </w:r>
            <w:r>
              <w:rPr>
                <w:rFonts w:hint="eastAsia"/>
                <w:highlight w:val="none"/>
              </w:rPr>
              <w:t>为下述形式之一（响应文件中须提供扫描件）：</w:t>
            </w:r>
          </w:p>
          <w:p>
            <w:pPr>
              <w:pStyle w:val="37"/>
              <w:rPr>
                <w:b/>
                <w:highlight w:val="none"/>
              </w:rPr>
            </w:pPr>
            <w:r>
              <w:rPr>
                <w:rFonts w:hint="eastAsia"/>
                <w:highlight w:val="none"/>
              </w:rPr>
              <w:t>（1）</w:t>
            </w:r>
            <w:r>
              <w:rPr>
                <w:highlight w:val="none"/>
              </w:rPr>
              <w:t>社保局官方网站查询的缴费记录截图；</w:t>
            </w:r>
          </w:p>
          <w:p>
            <w:pPr>
              <w:pStyle w:val="37"/>
              <w:rPr>
                <w:b/>
                <w:highlight w:val="none"/>
              </w:rPr>
            </w:pPr>
            <w:r>
              <w:rPr>
                <w:rFonts w:hint="eastAsia"/>
                <w:highlight w:val="none"/>
              </w:rPr>
              <w:t>（2）</w:t>
            </w:r>
            <w:r>
              <w:rPr>
                <w:highlight w:val="none"/>
              </w:rPr>
              <w:t>社保局的书面证明材料；</w:t>
            </w:r>
          </w:p>
          <w:p>
            <w:pPr>
              <w:pStyle w:val="37"/>
              <w:rPr>
                <w:b/>
                <w:highlight w:val="none"/>
              </w:rPr>
            </w:pPr>
            <w:r>
              <w:rPr>
                <w:rFonts w:hint="eastAsia"/>
                <w:highlight w:val="none"/>
              </w:rPr>
              <w:t>（3）</w:t>
            </w:r>
            <w:r>
              <w:rPr>
                <w:highlight w:val="none"/>
              </w:rPr>
              <w:t>经</w:t>
            </w:r>
            <w:r>
              <w:rPr>
                <w:rFonts w:hint="eastAsia"/>
                <w:szCs w:val="18"/>
                <w:highlight w:val="none"/>
              </w:rPr>
              <w:t>参审单位</w:t>
            </w:r>
            <w:r>
              <w:rPr>
                <w:highlight w:val="none"/>
              </w:rPr>
              <w:t>委托的第三方人力资源服务机构或与</w:t>
            </w:r>
            <w:r>
              <w:rPr>
                <w:rFonts w:hint="eastAsia"/>
                <w:szCs w:val="18"/>
                <w:highlight w:val="none"/>
              </w:rPr>
              <w:t>参审单位</w:t>
            </w:r>
            <w:r>
              <w:rPr>
                <w:highlight w:val="none"/>
              </w:rPr>
              <w:t>有直接隶属关系的机构可以代缴社保，但须提供有关证明材料并经</w:t>
            </w:r>
            <w:r>
              <w:rPr>
                <w:rFonts w:hint="eastAsia"/>
                <w:highlight w:val="none"/>
              </w:rPr>
              <w:t>磋商小组</w:t>
            </w:r>
            <w:r>
              <w:rPr>
                <w:highlight w:val="none"/>
              </w:rPr>
              <w:t>确认。</w:t>
            </w:r>
          </w:p>
          <w:p>
            <w:pPr>
              <w:pStyle w:val="37"/>
              <w:rPr>
                <w:b/>
                <w:highlight w:val="none"/>
              </w:rPr>
            </w:pPr>
            <w:r>
              <w:rPr>
                <w:rFonts w:hint="eastAsia"/>
                <w:highlight w:val="none"/>
              </w:rPr>
              <w:t>（4）</w:t>
            </w:r>
            <w:r>
              <w:rPr>
                <w:highlight w:val="none"/>
              </w:rPr>
              <w:t>参与</w:t>
            </w:r>
            <w:r>
              <w:rPr>
                <w:rFonts w:hint="eastAsia"/>
                <w:highlight w:val="none"/>
              </w:rPr>
              <w:t>磋商</w:t>
            </w:r>
            <w:r>
              <w:rPr>
                <w:highlight w:val="none"/>
              </w:rPr>
              <w:t>的院校，社保证明可以用以下任意一种：</w:t>
            </w:r>
          </w:p>
          <w:p>
            <w:pPr>
              <w:pStyle w:val="37"/>
              <w:rPr>
                <w:b/>
                <w:highlight w:val="none"/>
              </w:rPr>
            </w:pPr>
            <w:r>
              <w:rPr>
                <w:rFonts w:hint="eastAsia"/>
                <w:highlight w:val="none"/>
              </w:rPr>
              <w:t>①</w:t>
            </w:r>
            <w:r>
              <w:rPr>
                <w:highlight w:val="none"/>
              </w:rPr>
              <w:t>加盖</w:t>
            </w:r>
            <w:r>
              <w:rPr>
                <w:rFonts w:hint="eastAsia"/>
                <w:szCs w:val="18"/>
                <w:highlight w:val="none"/>
              </w:rPr>
              <w:t>参审单位</w:t>
            </w:r>
            <w:r>
              <w:rPr>
                <w:highlight w:val="none"/>
              </w:rPr>
              <w:t>公章的教师证（须为本</w:t>
            </w:r>
            <w:r>
              <w:rPr>
                <w:rFonts w:hint="eastAsia"/>
                <w:highlight w:val="none"/>
              </w:rPr>
              <w:t>单位</w:t>
            </w:r>
            <w:r>
              <w:rPr>
                <w:highlight w:val="none"/>
              </w:rPr>
              <w:t>人员）</w:t>
            </w:r>
            <w:r>
              <w:rPr>
                <w:rFonts w:hint="eastAsia"/>
                <w:highlight w:val="none"/>
              </w:rPr>
              <w:t>；</w:t>
            </w:r>
          </w:p>
          <w:p>
            <w:pPr>
              <w:pStyle w:val="37"/>
              <w:rPr>
                <w:b/>
                <w:highlight w:val="none"/>
              </w:rPr>
            </w:pPr>
            <w:r>
              <w:rPr>
                <w:rFonts w:hint="eastAsia"/>
                <w:highlight w:val="none"/>
              </w:rPr>
              <w:t>②</w:t>
            </w:r>
            <w:r>
              <w:rPr>
                <w:highlight w:val="none"/>
              </w:rPr>
              <w:t>医保证明材料</w:t>
            </w:r>
            <w:r>
              <w:rPr>
                <w:rFonts w:hint="eastAsia"/>
                <w:highlight w:val="none"/>
              </w:rPr>
              <w:t>。</w:t>
            </w:r>
          </w:p>
          <w:p>
            <w:pPr>
              <w:pStyle w:val="37"/>
              <w:rPr>
                <w:b/>
                <w:highlight w:val="none"/>
              </w:rPr>
            </w:pPr>
            <w:r>
              <w:rPr>
                <w:rFonts w:hint="eastAsia"/>
                <w:highlight w:val="none"/>
              </w:rPr>
              <w:t>（5）</w:t>
            </w:r>
            <w:r>
              <w:rPr>
                <w:highlight w:val="none"/>
              </w:rPr>
              <w:t>其他经</w:t>
            </w:r>
            <w:r>
              <w:rPr>
                <w:rFonts w:hint="eastAsia"/>
                <w:highlight w:val="none"/>
              </w:rPr>
              <w:t>磋商小组</w:t>
            </w:r>
            <w:r>
              <w:rPr>
                <w:highlight w:val="none"/>
              </w:rPr>
              <w:t>认可的证明材料。</w:t>
            </w:r>
          </w:p>
          <w:p>
            <w:pPr>
              <w:pStyle w:val="37"/>
              <w:rPr>
                <w:b/>
                <w:highlight w:val="none"/>
              </w:rPr>
            </w:pPr>
            <w:r>
              <w:rPr>
                <w:rFonts w:hint="eastAsia"/>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bCs/>
                <w:kern w:val="2"/>
                <w:highlight w:val="none"/>
              </w:rPr>
              <w:t>35.1</w:t>
            </w:r>
            <w:r>
              <w:rPr>
                <w:rFonts w:hint="eastAsia"/>
                <w:bCs/>
                <w:kern w:val="2"/>
                <w:highlight w:val="none"/>
              </w:rPr>
              <w:t>4</w:t>
            </w:r>
          </w:p>
        </w:tc>
        <w:tc>
          <w:tcPr>
            <w:tcW w:w="2031" w:type="dxa"/>
            <w:vAlign w:val="center"/>
          </w:tcPr>
          <w:p>
            <w:pPr>
              <w:pStyle w:val="37"/>
              <w:rPr>
                <w:b/>
                <w:highlight w:val="none"/>
              </w:rPr>
            </w:pPr>
            <w:r>
              <w:rPr>
                <w:rFonts w:hint="eastAsia"/>
                <w:highlight w:val="none"/>
              </w:rPr>
              <w:t>解释权</w:t>
            </w:r>
          </w:p>
        </w:tc>
        <w:tc>
          <w:tcPr>
            <w:tcW w:w="6020" w:type="dxa"/>
            <w:vAlign w:val="center"/>
          </w:tcPr>
          <w:p>
            <w:pPr>
              <w:spacing w:line="360" w:lineRule="auto"/>
              <w:rPr>
                <w:bCs/>
                <w:sz w:val="24"/>
                <w:szCs w:val="24"/>
                <w:highlight w:val="none"/>
              </w:rPr>
            </w:pPr>
            <w:r>
              <w:rPr>
                <w:rFonts w:hint="eastAsia"/>
                <w:bCs/>
                <w:sz w:val="24"/>
                <w:szCs w:val="24"/>
                <w:highlight w:val="none"/>
              </w:rPr>
              <w:t>（1）</w:t>
            </w:r>
            <w:r>
              <w:rPr>
                <w:bCs/>
                <w:sz w:val="24"/>
                <w:szCs w:val="24"/>
                <w:highlight w:val="none"/>
              </w:rPr>
              <w:t>构成本</w:t>
            </w:r>
            <w:r>
              <w:rPr>
                <w:rFonts w:hint="eastAsia"/>
                <w:bCs/>
                <w:sz w:val="24"/>
                <w:szCs w:val="24"/>
                <w:highlight w:val="none"/>
              </w:rPr>
              <w:t>磋商</w:t>
            </w:r>
            <w:r>
              <w:rPr>
                <w:bCs/>
                <w:sz w:val="24"/>
                <w:szCs w:val="24"/>
                <w:highlight w:val="none"/>
              </w:rPr>
              <w:t>文件的各个组成文件应互为解释，互为说明；</w:t>
            </w:r>
          </w:p>
          <w:p>
            <w:pPr>
              <w:spacing w:line="360" w:lineRule="auto"/>
              <w:rPr>
                <w:bCs/>
                <w:sz w:val="24"/>
                <w:szCs w:val="24"/>
                <w:highlight w:val="none"/>
              </w:rPr>
            </w:pPr>
            <w:r>
              <w:rPr>
                <w:rFonts w:hint="eastAsia"/>
                <w:bCs/>
                <w:sz w:val="24"/>
                <w:szCs w:val="24"/>
                <w:highlight w:val="none"/>
              </w:rPr>
              <w:t>（2）</w:t>
            </w:r>
            <w:r>
              <w:rPr>
                <w:bCs/>
                <w:sz w:val="24"/>
                <w:szCs w:val="24"/>
                <w:highlight w:val="none"/>
              </w:rPr>
              <w:t>同一组成文件中就同一事项的规定或约定不一致的，以编排顺序在后者为准；</w:t>
            </w:r>
          </w:p>
          <w:p>
            <w:pPr>
              <w:spacing w:line="360" w:lineRule="auto"/>
              <w:rPr>
                <w:bCs/>
                <w:sz w:val="24"/>
                <w:szCs w:val="24"/>
                <w:highlight w:val="none"/>
              </w:rPr>
            </w:pPr>
            <w:r>
              <w:rPr>
                <w:rFonts w:hint="eastAsia"/>
                <w:bCs/>
                <w:sz w:val="24"/>
                <w:szCs w:val="24"/>
                <w:highlight w:val="none"/>
              </w:rPr>
              <w:t>（3）</w:t>
            </w:r>
            <w:r>
              <w:rPr>
                <w:bCs/>
                <w:sz w:val="24"/>
                <w:szCs w:val="24"/>
                <w:highlight w:val="none"/>
              </w:rPr>
              <w:t>如有不明确或不一致，构成合同文件组成内容的，以合同文件约定内容为准，且以专用合同条款约定的合同文件优先顺序解释；</w:t>
            </w:r>
          </w:p>
          <w:p>
            <w:pPr>
              <w:spacing w:line="360" w:lineRule="auto"/>
              <w:rPr>
                <w:bCs/>
                <w:sz w:val="24"/>
                <w:szCs w:val="24"/>
                <w:highlight w:val="none"/>
              </w:rPr>
            </w:pPr>
            <w:r>
              <w:rPr>
                <w:rFonts w:hint="eastAsia"/>
                <w:bCs/>
                <w:sz w:val="24"/>
                <w:szCs w:val="24"/>
                <w:highlight w:val="none"/>
              </w:rPr>
              <w:t>（4）</w:t>
            </w:r>
            <w:r>
              <w:rPr>
                <w:bCs/>
                <w:sz w:val="24"/>
                <w:szCs w:val="24"/>
                <w:highlight w:val="none"/>
              </w:rPr>
              <w:t>除</w:t>
            </w:r>
            <w:r>
              <w:rPr>
                <w:rFonts w:hint="eastAsia"/>
                <w:bCs/>
                <w:sz w:val="24"/>
                <w:szCs w:val="24"/>
                <w:highlight w:val="none"/>
              </w:rPr>
              <w:t>磋商</w:t>
            </w:r>
            <w:r>
              <w:rPr>
                <w:bCs/>
                <w:sz w:val="24"/>
                <w:szCs w:val="24"/>
                <w:highlight w:val="none"/>
              </w:rPr>
              <w:t>文件中有特别规定外，仅适用于</w:t>
            </w:r>
            <w:r>
              <w:rPr>
                <w:rFonts w:hint="eastAsia"/>
                <w:bCs/>
                <w:sz w:val="24"/>
                <w:szCs w:val="24"/>
                <w:highlight w:val="none"/>
              </w:rPr>
              <w:t>磋商及响应文件提交</w:t>
            </w:r>
            <w:r>
              <w:rPr>
                <w:bCs/>
                <w:sz w:val="24"/>
                <w:szCs w:val="24"/>
                <w:highlight w:val="none"/>
              </w:rPr>
              <w:t>阶段的规定，按</w:t>
            </w:r>
            <w:r>
              <w:rPr>
                <w:rFonts w:hint="eastAsia"/>
                <w:bCs/>
                <w:sz w:val="24"/>
                <w:szCs w:val="24"/>
                <w:highlight w:val="none"/>
              </w:rPr>
              <w:t>磋商</w:t>
            </w:r>
            <w:r>
              <w:rPr>
                <w:bCs/>
                <w:sz w:val="24"/>
                <w:szCs w:val="24"/>
                <w:highlight w:val="none"/>
              </w:rPr>
              <w:t>公告、</w:t>
            </w:r>
            <w:r>
              <w:rPr>
                <w:rFonts w:hint="eastAsia"/>
                <w:bCs/>
                <w:sz w:val="24"/>
                <w:szCs w:val="24"/>
                <w:highlight w:val="none"/>
              </w:rPr>
              <w:t>磋商邀请、</w:t>
            </w:r>
            <w:r>
              <w:rPr>
                <w:rFonts w:hint="eastAsia"/>
                <w:sz w:val="24"/>
                <w:szCs w:val="18"/>
                <w:highlight w:val="none"/>
              </w:rPr>
              <w:t>参审单位</w:t>
            </w:r>
            <w:r>
              <w:rPr>
                <w:bCs/>
                <w:sz w:val="24"/>
                <w:szCs w:val="24"/>
                <w:highlight w:val="none"/>
              </w:rPr>
              <w:t>须知、评</w:t>
            </w:r>
            <w:r>
              <w:rPr>
                <w:rFonts w:hint="eastAsia"/>
                <w:bCs/>
                <w:sz w:val="24"/>
                <w:szCs w:val="24"/>
                <w:highlight w:val="none"/>
              </w:rPr>
              <w:t>审方</w:t>
            </w:r>
            <w:r>
              <w:rPr>
                <w:bCs/>
                <w:sz w:val="24"/>
                <w:szCs w:val="24"/>
                <w:highlight w:val="none"/>
              </w:rPr>
              <w:t>法</w:t>
            </w:r>
            <w:r>
              <w:rPr>
                <w:rFonts w:hint="eastAsia"/>
                <w:bCs/>
                <w:sz w:val="24"/>
                <w:szCs w:val="24"/>
                <w:highlight w:val="none"/>
              </w:rPr>
              <w:t>和标准</w:t>
            </w:r>
            <w:r>
              <w:rPr>
                <w:bCs/>
                <w:sz w:val="24"/>
                <w:szCs w:val="24"/>
                <w:highlight w:val="none"/>
              </w:rPr>
              <w:t>、</w:t>
            </w:r>
            <w:r>
              <w:rPr>
                <w:rFonts w:hint="eastAsia"/>
                <w:bCs/>
                <w:sz w:val="24"/>
                <w:szCs w:val="24"/>
                <w:highlight w:val="none"/>
              </w:rPr>
              <w:t>响应</w:t>
            </w:r>
            <w:r>
              <w:rPr>
                <w:bCs/>
                <w:sz w:val="24"/>
                <w:szCs w:val="24"/>
                <w:highlight w:val="none"/>
              </w:rPr>
              <w:t>文件格式的先后顺序解释；</w:t>
            </w:r>
          </w:p>
          <w:p>
            <w:pPr>
              <w:pStyle w:val="37"/>
              <w:rPr>
                <w:b/>
                <w:highlight w:val="none"/>
              </w:rPr>
            </w:pPr>
            <w:r>
              <w:rPr>
                <w:rFonts w:hint="eastAsia"/>
                <w:highlight w:val="none"/>
              </w:rPr>
              <w:t>（5）</w:t>
            </w:r>
            <w:r>
              <w:rPr>
                <w:highlight w:val="none"/>
              </w:rPr>
              <w:t>按本款前述规定仍不能形成结论的，由</w:t>
            </w:r>
            <w:r>
              <w:rPr>
                <w:rFonts w:hint="eastAsia"/>
                <w:szCs w:val="18"/>
                <w:highlight w:val="none"/>
              </w:rPr>
              <w:t>业主单位</w:t>
            </w:r>
            <w:r>
              <w:rPr>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35.1</w:t>
            </w:r>
            <w:r>
              <w:rPr>
                <w:bCs/>
                <w:kern w:val="2"/>
                <w:highlight w:val="none"/>
              </w:rPr>
              <w:t>5</w:t>
            </w:r>
          </w:p>
        </w:tc>
        <w:tc>
          <w:tcPr>
            <w:tcW w:w="2031" w:type="dxa"/>
            <w:vAlign w:val="center"/>
          </w:tcPr>
          <w:p>
            <w:pPr>
              <w:pStyle w:val="37"/>
              <w:rPr>
                <w:b/>
                <w:highlight w:val="none"/>
              </w:rPr>
            </w:pPr>
            <w:r>
              <w:rPr>
                <w:rFonts w:hint="eastAsia"/>
                <w:highlight w:val="none"/>
              </w:rPr>
              <w:t>其他补充说明</w:t>
            </w:r>
          </w:p>
        </w:tc>
        <w:tc>
          <w:tcPr>
            <w:tcW w:w="6020" w:type="dxa"/>
            <w:vAlign w:val="center"/>
          </w:tcPr>
          <w:p>
            <w:pPr>
              <w:pStyle w:val="37"/>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35.1</w:t>
            </w:r>
            <w:r>
              <w:rPr>
                <w:bCs/>
                <w:kern w:val="2"/>
                <w:highlight w:val="none"/>
              </w:rPr>
              <w:t>6</w:t>
            </w:r>
          </w:p>
        </w:tc>
        <w:tc>
          <w:tcPr>
            <w:tcW w:w="2031" w:type="dxa"/>
            <w:vAlign w:val="center"/>
          </w:tcPr>
          <w:p>
            <w:pPr>
              <w:pStyle w:val="40"/>
              <w:spacing w:line="360" w:lineRule="auto"/>
              <w:jc w:val="center"/>
              <w:rPr>
                <w:sz w:val="24"/>
                <w:highlight w:val="none"/>
              </w:rPr>
            </w:pPr>
            <w:r>
              <w:rPr>
                <w:rFonts w:hint="eastAsia"/>
                <w:sz w:val="24"/>
                <w:szCs w:val="24"/>
                <w:highlight w:val="none"/>
              </w:rPr>
              <w:t>相关政策要求</w:t>
            </w:r>
          </w:p>
        </w:tc>
        <w:tc>
          <w:tcPr>
            <w:tcW w:w="6020" w:type="dxa"/>
          </w:tcPr>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1）承包人在工程实施过程中的用工行为，必须严格按照《保障农民工工资支付条例》（国令第724号）、《安徽省人民政府办公厅关于全面治理拖欠农民工工资问题的实施意见》（皖政办〔2016〕22号）以及《合肥市人民政府办公厅关于全面治理拖欠农民工工资问题的实施意见》（合政办〔2017〕37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号文件）执行。本工程工资性工程款及工资性工程进度款按《关于发布合肥市建设工程人工费计算最低标准的通知》（合造价〔2022〕8号）及《合肥建设工程市场价格信息》（合肥市城乡建设局）规定执行。</w:t>
            </w:r>
            <w:r>
              <w:rPr>
                <w:rFonts w:hint="eastAsia"/>
                <w:sz w:val="24"/>
                <w:szCs w:val="24"/>
                <w:highlight w:val="none"/>
                <w:lang w:val="en-US" w:eastAsia="zh-CN"/>
              </w:rPr>
              <w:t>成交</w:t>
            </w:r>
            <w:r>
              <w:rPr>
                <w:rFonts w:hint="eastAsia"/>
                <w:sz w:val="24"/>
                <w:szCs w:val="24"/>
                <w:highlight w:val="none"/>
                <w:lang w:val="en-US"/>
              </w:rPr>
              <w:t>后承包人按上述文件规定办理相关专户设立、工资支付等事宜。</w:t>
            </w:r>
          </w:p>
          <w:p>
            <w:pPr>
              <w:pStyle w:val="40"/>
              <w:tabs>
                <w:tab w:val="left" w:pos="829"/>
              </w:tabs>
              <w:spacing w:line="360" w:lineRule="auto"/>
              <w:rPr>
                <w:rFonts w:hint="eastAsia"/>
                <w:sz w:val="24"/>
                <w:szCs w:val="24"/>
                <w:highlight w:val="none"/>
                <w:lang w:val="en-US"/>
              </w:rPr>
            </w:pPr>
            <w:r>
              <w:rPr>
                <w:rFonts w:hint="eastAsia"/>
                <w:sz w:val="24"/>
                <w:szCs w:val="24"/>
                <w:highlight w:val="none"/>
                <w:lang w:val="en-US"/>
              </w:rPr>
              <w:t>（2）建设工程不可竞争费构成及计费标准按《关于贯彻执行&lt;2018版安徽省建设工程计价依据动态调整（第1期）&gt;的通知》（合建监管〔2024〕13号）执行，本工程最高投标限价（招标控制价）已按规定的措施项目、费率和单价列出招标工程施工扬尘污染防治费用和建筑工人实名制管理费用清单，</w:t>
            </w:r>
            <w:r>
              <w:rPr>
                <w:rFonts w:hint="eastAsia"/>
                <w:sz w:val="24"/>
                <w:szCs w:val="24"/>
                <w:highlight w:val="none"/>
                <w:lang w:val="en-US" w:eastAsia="zh-CN"/>
              </w:rPr>
              <w:t>参审单位</w:t>
            </w:r>
            <w:r>
              <w:rPr>
                <w:rFonts w:hint="eastAsia"/>
                <w:sz w:val="24"/>
                <w:szCs w:val="24"/>
                <w:highlight w:val="none"/>
                <w:lang w:val="en-US"/>
              </w:rPr>
              <w:t>应承诺投标报价中已包含</w:t>
            </w:r>
            <w:r>
              <w:rPr>
                <w:rFonts w:hint="eastAsia"/>
                <w:sz w:val="24"/>
                <w:szCs w:val="24"/>
                <w:highlight w:val="none"/>
                <w:lang w:val="en-US" w:eastAsia="zh-CN"/>
              </w:rPr>
              <w:t>磋商文件</w:t>
            </w:r>
            <w:r>
              <w:rPr>
                <w:rFonts w:hint="eastAsia"/>
                <w:sz w:val="24"/>
                <w:szCs w:val="24"/>
                <w:highlight w:val="none"/>
                <w:lang w:val="en-US"/>
              </w:rPr>
              <w:t>公布的施工扬尘污染防治费用和建筑工人实名制管理费用。工程竣工结算时，未落实的施工扬尘污染防治和建筑工人实名制管理措施项目, 应按清单所列金额从工程结算价款中扣除。</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（3）注册地不在合肥市行政区域范围（含四县一市）的</w:t>
            </w:r>
            <w:r>
              <w:rPr>
                <w:rFonts w:hint="eastAsia"/>
                <w:sz w:val="24"/>
                <w:szCs w:val="24"/>
                <w:highlight w:val="none"/>
                <w:lang w:val="en-US" w:eastAsia="zh-CN"/>
              </w:rPr>
              <w:t>成交</w:t>
            </w:r>
            <w:r>
              <w:rPr>
                <w:rFonts w:hint="eastAsia"/>
                <w:sz w:val="24"/>
                <w:szCs w:val="24"/>
                <w:highlight w:val="none"/>
                <w:lang w:val="en-US"/>
              </w:rPr>
              <w:t>人，应按照《纳税人跨县（市、区）提供建筑服务增值税征收管理暂行办法》（国家税务总局公告2016年第17号）规定，在建筑服务发生地及时足额预缴增值税。</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（4）省外建设工程企业按照《关于优化进皖建设工程企业信息登记服务和管理有关工作的通知》（建市函〔2022〕</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580号）进行相关信息登记。</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（5）工程质量保证金执行《关于以保函等方式替代工程质量保证金的通知》（合建〔2020〕29号）。</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（6）农民工工资保证金保函严格执行转发《关于印发〈安徽省工程建设领域农民工工资保证金实施办法〉的通知》</w:t>
            </w:r>
          </w:p>
          <w:p>
            <w:pPr>
              <w:pStyle w:val="40"/>
              <w:tabs>
                <w:tab w:val="left" w:pos="829"/>
              </w:tabs>
              <w:spacing w:line="360" w:lineRule="auto"/>
              <w:rPr>
                <w:sz w:val="24"/>
                <w:szCs w:val="24"/>
                <w:highlight w:val="none"/>
              </w:rPr>
            </w:pPr>
            <w:r>
              <w:rPr>
                <w:rFonts w:hint="eastAsia"/>
                <w:sz w:val="24"/>
                <w:szCs w:val="24"/>
                <w:highlight w:val="none"/>
                <w:lang w:val="en-US"/>
              </w:rPr>
              <w:t>的通知（合治欠办</w:t>
            </w:r>
            <w:r>
              <w:rPr>
                <w:rFonts w:hint="eastAsia"/>
                <w:sz w:val="24"/>
                <w:szCs w:val="24"/>
                <w:highlight w:val="none"/>
                <w:lang w:val="en-US" w:eastAsia="zh-CN"/>
              </w:rPr>
              <w:t>〔</w:t>
            </w:r>
            <w:r>
              <w:rPr>
                <w:rFonts w:hint="eastAsia"/>
                <w:sz w:val="24"/>
                <w:szCs w:val="24"/>
                <w:highlight w:val="none"/>
                <w:lang w:val="en-US"/>
              </w:rPr>
              <w:t>2022</w:t>
            </w:r>
            <w:r>
              <w:rPr>
                <w:rFonts w:hint="eastAsia"/>
                <w:sz w:val="24"/>
                <w:szCs w:val="24"/>
                <w:highlight w:val="none"/>
                <w:lang w:val="en-US" w:eastAsia="zh-CN"/>
              </w:rPr>
              <w:t>〕</w:t>
            </w:r>
            <w:r>
              <w:rPr>
                <w:rFonts w:hint="eastAsia"/>
                <w:sz w:val="24"/>
                <w:szCs w:val="24"/>
                <w:highlight w:val="none"/>
                <w:lang w:val="en-US"/>
              </w:rPr>
              <w:t>5号）</w:t>
            </w:r>
            <w:r>
              <w:rPr>
                <w:rFonts w:hint="eastAsia"/>
                <w:sz w:val="24"/>
                <w:szCs w:val="24"/>
                <w:highlight w:val="none"/>
                <w:lang w:val="en-US" w:eastAsia="zh-CN"/>
              </w:rPr>
              <w:t>，</w:t>
            </w:r>
            <w:r>
              <w:rPr>
                <w:rFonts w:hint="eastAsia"/>
                <w:sz w:val="24"/>
                <w:szCs w:val="24"/>
                <w:highlight w:val="none"/>
                <w:lang w:val="en-US"/>
              </w:rPr>
              <w:t>支持以银行保函、保险机构保单保函方式存储。</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（7）劳资专管员执行《关于加强建设领域劳资专管员管理工作的通知》（合治欠发〔2021〕6号）。</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（8）关于投标保证金、履约保证金、工程质量保证金执行《关于加快推进房屋建筑和市政基础设施工程实行工程担保制度的通知》（建市〔2020〕84号）。</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（9）保证保险产品应按《中国银保监会办公厅关于进一步加强和改进财产保险公司产品监管有关问题的通知》执行。</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（10）采用一级建造师投标的应按《住房和城乡建设部办公厅关于全面实行一级建造师电子注册证书的通知》（建办市〔2021〕40号）执行。</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（11）工程建设领域农民工工资专用账户执行安徽省人社厅等部门印发的《贯彻落实〈工程建设领域农民工工资专用账户管理暂行办法〉的通知》（皖人社发〔2022〕5号）及《贯彻落实</w:t>
            </w:r>
            <w:r>
              <w:rPr>
                <w:rFonts w:hint="eastAsia"/>
                <w:sz w:val="24"/>
                <w:szCs w:val="24"/>
                <w:highlight w:val="none"/>
                <w:lang w:val="en-US" w:eastAsia="zh-CN"/>
              </w:rPr>
              <w:t>〈</w:t>
            </w:r>
            <w:r>
              <w:rPr>
                <w:rFonts w:hint="eastAsia"/>
                <w:sz w:val="24"/>
                <w:szCs w:val="24"/>
                <w:highlight w:val="none"/>
                <w:lang w:val="en-US"/>
              </w:rPr>
              <w:t>工程建设领域农民工工资专用账户管理暂行办法</w:t>
            </w:r>
            <w:r>
              <w:rPr>
                <w:rFonts w:hint="eastAsia"/>
                <w:sz w:val="24"/>
                <w:szCs w:val="24"/>
                <w:highlight w:val="none"/>
                <w:lang w:val="en-US" w:eastAsia="zh-CN"/>
              </w:rPr>
              <w:t>〉</w:t>
            </w:r>
            <w:r>
              <w:rPr>
                <w:rFonts w:hint="eastAsia"/>
                <w:sz w:val="24"/>
                <w:szCs w:val="24"/>
                <w:highlight w:val="none"/>
                <w:lang w:val="en-US"/>
              </w:rPr>
              <w:t>的通知》的通知（合治欠办〔2022〕7号）。</w:t>
            </w:r>
          </w:p>
          <w:p>
            <w:pPr>
              <w:pStyle w:val="40"/>
              <w:tabs>
                <w:tab w:val="left" w:pos="829"/>
              </w:tabs>
              <w:spacing w:line="360" w:lineRule="auto"/>
              <w:rPr>
                <w:sz w:val="24"/>
                <w:szCs w:val="24"/>
                <w:highlight w:val="none"/>
                <w:lang w:val="en-US"/>
              </w:rPr>
            </w:pPr>
            <w:r>
              <w:rPr>
                <w:rFonts w:hint="eastAsia"/>
                <w:sz w:val="24"/>
                <w:szCs w:val="24"/>
                <w:highlight w:val="none"/>
                <w:lang w:val="en-US"/>
              </w:rPr>
              <w:t>（12）为切实保障建筑行业农民工工资支付、加快培育新时代建筑产业工人队伍、有效破解拖欠工程款问题，严格执行《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的通知》（建市规〔2023〕2号）。</w:t>
            </w:r>
          </w:p>
          <w:p>
            <w:pPr>
              <w:spacing w:line="360" w:lineRule="auto"/>
              <w:rPr>
                <w:highlight w:val="none"/>
              </w:rPr>
            </w:pPr>
            <w:r>
              <w:rPr>
                <w:rFonts w:hint="eastAsia" w:cs="宋体"/>
                <w:sz w:val="24"/>
                <w:szCs w:val="24"/>
                <w:highlight w:val="none"/>
                <w:lang w:bidi="zh-CN"/>
              </w:rPr>
              <w:t>（</w:t>
            </w:r>
            <w:r>
              <w:rPr>
                <w:rFonts w:hint="eastAsia" w:cs="宋体"/>
                <w:sz w:val="24"/>
                <w:szCs w:val="24"/>
                <w:highlight w:val="none"/>
                <w:lang w:val="en-US" w:bidi="zh-CN"/>
              </w:rPr>
              <w:t>13</w:t>
            </w:r>
            <w:r>
              <w:rPr>
                <w:rFonts w:hint="eastAsia" w:cs="宋体"/>
                <w:sz w:val="24"/>
                <w:szCs w:val="24"/>
                <w:highlight w:val="none"/>
                <w:lang w:bidi="zh-CN"/>
              </w:rPr>
              <w:t>）合肥市人民政府关于建立根治欠薪长效工作机制的实施意见（合政〔</w:t>
            </w:r>
            <w:r>
              <w:rPr>
                <w:rFonts w:cs="宋体"/>
                <w:sz w:val="24"/>
                <w:szCs w:val="24"/>
                <w:highlight w:val="none"/>
                <w:lang w:bidi="zh-CN"/>
              </w:rPr>
              <w:t>2022〕204号</w:t>
            </w:r>
            <w:r>
              <w:rPr>
                <w:rFonts w:hint="eastAsia" w:cs="宋体"/>
                <w:sz w:val="24"/>
                <w:szCs w:val="24"/>
                <w:highlight w:val="none"/>
                <w:lang w:bidi="zh-CN"/>
              </w:rPr>
              <w:t>）。</w:t>
            </w:r>
          </w:p>
          <w:p>
            <w:pPr>
              <w:pStyle w:val="40"/>
              <w:tabs>
                <w:tab w:val="left" w:pos="829"/>
              </w:tabs>
              <w:spacing w:line="360" w:lineRule="auto"/>
              <w:rPr>
                <w:rFonts w:hint="eastAsia" w:eastAsia="宋体"/>
                <w:sz w:val="24"/>
                <w:szCs w:val="24"/>
                <w:highlight w:val="none"/>
                <w:lang w:eastAsia="zh-CN"/>
              </w:rPr>
            </w:pPr>
            <w:r>
              <w:rPr>
                <w:rFonts w:hint="eastAsia"/>
                <w:b/>
                <w:bCs/>
                <w:sz w:val="24"/>
                <w:szCs w:val="24"/>
                <w:highlight w:val="none"/>
                <w:lang w:val="en-US"/>
              </w:rPr>
              <w:t>注：</w:t>
            </w:r>
          </w:p>
          <w:p>
            <w:pPr>
              <w:pStyle w:val="40"/>
              <w:tabs>
                <w:tab w:val="left" w:pos="829"/>
              </w:tabs>
              <w:spacing w:line="360" w:lineRule="auto"/>
              <w:rPr>
                <w:rFonts w:hint="eastAsia" w:eastAsia="宋体"/>
                <w:sz w:val="24"/>
                <w:szCs w:val="24"/>
                <w:highlight w:val="none"/>
                <w:lang w:eastAsia="zh-CN"/>
              </w:rPr>
            </w:pPr>
            <w:r>
              <w:rPr>
                <w:rFonts w:hint="eastAsia"/>
                <w:sz w:val="24"/>
                <w:szCs w:val="24"/>
                <w:highlight w:val="none"/>
                <w:lang w:val="en-US"/>
              </w:rPr>
              <w:t>①未列明的按照国家、省、市相关政策执行。</w:t>
            </w:r>
          </w:p>
          <w:p>
            <w:pPr>
              <w:pStyle w:val="40"/>
              <w:tabs>
                <w:tab w:val="left" w:pos="829"/>
              </w:tabs>
              <w:spacing w:line="360" w:lineRule="auto"/>
              <w:rPr>
                <w:b/>
                <w:bCs/>
                <w:sz w:val="24"/>
                <w:highlight w:val="none"/>
              </w:rPr>
            </w:pPr>
            <w:r>
              <w:rPr>
                <w:rFonts w:hint="eastAsia"/>
                <w:sz w:val="24"/>
                <w:szCs w:val="24"/>
                <w:highlight w:val="none"/>
                <w:lang w:val="en-US"/>
              </w:rPr>
              <w:t>②如有相关政策文件更新，按照最新政策文件执行。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highlight w:val="none"/>
              </w:rPr>
            </w:pPr>
            <w:r>
              <w:rPr>
                <w:rFonts w:hint="eastAsia"/>
                <w:bCs/>
                <w:kern w:val="2"/>
                <w:highlight w:val="none"/>
              </w:rPr>
              <w:t>35.17</w:t>
            </w:r>
          </w:p>
        </w:tc>
        <w:tc>
          <w:tcPr>
            <w:tcW w:w="2031" w:type="dxa"/>
            <w:vAlign w:val="center"/>
          </w:tcPr>
          <w:p>
            <w:pPr>
              <w:pStyle w:val="37"/>
              <w:rPr>
                <w:bCs/>
                <w:highlight w:val="none"/>
              </w:rPr>
            </w:pPr>
            <w:r>
              <w:rPr>
                <w:rFonts w:hint="eastAsia"/>
                <w:szCs w:val="18"/>
                <w:highlight w:val="none"/>
              </w:rPr>
              <w:t>业主单位</w:t>
            </w:r>
            <w:r>
              <w:rPr>
                <w:rFonts w:hint="eastAsia"/>
                <w:highlight w:val="none"/>
              </w:rPr>
              <w:t>其他要求及重要提示</w:t>
            </w:r>
          </w:p>
        </w:tc>
        <w:tc>
          <w:tcPr>
            <w:tcW w:w="6020" w:type="dxa"/>
            <w:vAlign w:val="center"/>
          </w:tcPr>
          <w:p>
            <w:pPr>
              <w:pStyle w:val="37"/>
              <w:rPr>
                <w:highlight w:val="none"/>
              </w:rPr>
            </w:pPr>
            <w:r>
              <w:rPr>
                <w:rFonts w:hint="eastAsia"/>
                <w:highlight w:val="none"/>
              </w:rPr>
              <w:t>/</w:t>
            </w:r>
          </w:p>
        </w:tc>
      </w:tr>
    </w:tbl>
    <w:p>
      <w:pPr>
        <w:spacing w:line="360" w:lineRule="auto"/>
        <w:jc w:val="center"/>
        <w:outlineLvl w:val="1"/>
        <w:rPr>
          <w:b/>
          <w:sz w:val="24"/>
          <w:szCs w:val="24"/>
          <w:highlight w:val="none"/>
        </w:rPr>
      </w:pPr>
      <w:r>
        <w:rPr>
          <w:b/>
          <w:sz w:val="28"/>
          <w:highlight w:val="none"/>
        </w:rPr>
        <w:br w:type="page"/>
      </w:r>
      <w:bookmarkStart w:id="16" w:name="_Toc9679"/>
      <w:r>
        <w:rPr>
          <w:rFonts w:hint="eastAsia"/>
          <w:b/>
          <w:sz w:val="24"/>
          <w:szCs w:val="24"/>
          <w:highlight w:val="none"/>
        </w:rPr>
        <w:t>二、参审单位</w:t>
      </w:r>
      <w:r>
        <w:rPr>
          <w:b/>
          <w:sz w:val="24"/>
          <w:szCs w:val="24"/>
          <w:highlight w:val="none"/>
        </w:rPr>
        <w:t>须知</w:t>
      </w:r>
      <w:r>
        <w:rPr>
          <w:rFonts w:hint="eastAsia"/>
          <w:b/>
          <w:sz w:val="24"/>
          <w:szCs w:val="24"/>
          <w:highlight w:val="none"/>
        </w:rPr>
        <w:t>正文</w:t>
      </w:r>
      <w:bookmarkEnd w:id="16"/>
    </w:p>
    <w:p>
      <w:pPr>
        <w:spacing w:line="360" w:lineRule="auto"/>
        <w:ind w:firstLine="482" w:firstLineChars="200"/>
        <w:outlineLvl w:val="2"/>
        <w:rPr>
          <w:b/>
          <w:sz w:val="24"/>
          <w:highlight w:val="none"/>
        </w:rPr>
      </w:pPr>
      <w:r>
        <w:rPr>
          <w:rFonts w:hint="eastAsia"/>
          <w:b/>
          <w:sz w:val="24"/>
          <w:highlight w:val="none"/>
        </w:rPr>
        <w:t>1</w:t>
      </w:r>
      <w:r>
        <w:rPr>
          <w:b/>
          <w:sz w:val="24"/>
          <w:highlight w:val="none"/>
        </w:rPr>
        <w:t>.</w:t>
      </w:r>
      <w:r>
        <w:rPr>
          <w:rFonts w:hint="eastAsia"/>
          <w:b/>
          <w:sz w:val="24"/>
          <w:highlight w:val="none"/>
        </w:rPr>
        <w:t>适用范围</w:t>
      </w:r>
    </w:p>
    <w:p>
      <w:pPr>
        <w:spacing w:line="360" w:lineRule="auto"/>
        <w:ind w:firstLine="480" w:firstLineChars="200"/>
        <w:rPr>
          <w:sz w:val="24"/>
          <w:highlight w:val="none"/>
        </w:rPr>
      </w:pPr>
      <w:r>
        <w:rPr>
          <w:sz w:val="24"/>
          <w:highlight w:val="none"/>
        </w:rPr>
        <w:t>1.1</w:t>
      </w:r>
      <w:r>
        <w:rPr>
          <w:rFonts w:hint="eastAsia"/>
          <w:sz w:val="24"/>
          <w:highlight w:val="none"/>
          <w:lang w:val="en-US" w:eastAsia="zh-CN"/>
        </w:rPr>
        <w:t xml:space="preserve"> </w:t>
      </w:r>
      <w:r>
        <w:rPr>
          <w:rFonts w:hint="eastAsia"/>
          <w:sz w:val="24"/>
          <w:highlight w:val="none"/>
        </w:rPr>
        <w:t>本磋商文件仅适用于本次磋商所述的工程项目。</w:t>
      </w:r>
    </w:p>
    <w:p>
      <w:pPr>
        <w:spacing w:line="360" w:lineRule="auto"/>
        <w:ind w:firstLine="482" w:firstLineChars="200"/>
        <w:outlineLvl w:val="2"/>
        <w:rPr>
          <w:b/>
          <w:sz w:val="24"/>
          <w:highlight w:val="none"/>
        </w:rPr>
      </w:pPr>
      <w:r>
        <w:rPr>
          <w:rFonts w:hint="eastAsia"/>
          <w:b/>
          <w:sz w:val="24"/>
          <w:highlight w:val="none"/>
        </w:rPr>
        <w:t>2</w:t>
      </w:r>
      <w:r>
        <w:rPr>
          <w:b/>
          <w:sz w:val="24"/>
          <w:highlight w:val="none"/>
        </w:rPr>
        <w:t>.</w:t>
      </w:r>
      <w:r>
        <w:rPr>
          <w:rFonts w:hint="eastAsia"/>
          <w:b/>
          <w:sz w:val="24"/>
          <w:highlight w:val="none"/>
        </w:rPr>
        <w:t>定义</w:t>
      </w:r>
    </w:p>
    <w:p>
      <w:pPr>
        <w:spacing w:line="360" w:lineRule="auto"/>
        <w:ind w:firstLine="480" w:firstLineChars="200"/>
        <w:rPr>
          <w:sz w:val="24"/>
          <w:highlight w:val="none"/>
        </w:rPr>
      </w:pPr>
      <w:r>
        <w:rPr>
          <w:rFonts w:hint="eastAsia"/>
          <w:sz w:val="24"/>
          <w:highlight w:val="none"/>
        </w:rPr>
        <w:t>2.</w:t>
      </w:r>
      <w:r>
        <w:rPr>
          <w:sz w:val="24"/>
          <w:highlight w:val="none"/>
        </w:rPr>
        <w:t>1</w:t>
      </w:r>
      <w:r>
        <w:rPr>
          <w:rFonts w:hint="eastAsia"/>
          <w:sz w:val="24"/>
          <w:highlight w:val="none"/>
          <w:lang w:val="en-US" w:eastAsia="zh-CN"/>
        </w:rPr>
        <w:t xml:space="preserve"> </w:t>
      </w:r>
      <w:r>
        <w:rPr>
          <w:rFonts w:hint="eastAsia"/>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80" w:firstLineChars="200"/>
        <w:rPr>
          <w:sz w:val="24"/>
          <w:highlight w:val="none"/>
        </w:rPr>
      </w:pPr>
      <w:r>
        <w:rPr>
          <w:sz w:val="24"/>
          <w:highlight w:val="none"/>
        </w:rPr>
        <w:t>2.2</w:t>
      </w:r>
      <w:r>
        <w:rPr>
          <w:rFonts w:hint="eastAsia"/>
          <w:sz w:val="24"/>
          <w:highlight w:val="none"/>
          <w:lang w:val="en-US" w:eastAsia="zh-CN"/>
        </w:rPr>
        <w:t xml:space="preserve"> </w:t>
      </w:r>
      <w:r>
        <w:rPr>
          <w:sz w:val="24"/>
          <w:highlight w:val="none"/>
        </w:rPr>
        <w:t>时限（年份、月份等）计算：系指从</w:t>
      </w:r>
      <w:r>
        <w:rPr>
          <w:rFonts w:hint="eastAsia"/>
          <w:sz w:val="24"/>
          <w:highlight w:val="none"/>
        </w:rPr>
        <w:t>磋商</w:t>
      </w:r>
      <w:r>
        <w:rPr>
          <w:sz w:val="24"/>
          <w:highlight w:val="none"/>
        </w:rPr>
        <w:t>之日向前追溯X年/月（“X”为“一”及以后整数）起算。</w:t>
      </w:r>
    </w:p>
    <w:p>
      <w:pPr>
        <w:spacing w:line="360" w:lineRule="auto"/>
        <w:ind w:firstLine="480" w:firstLineChars="200"/>
        <w:rPr>
          <w:sz w:val="24"/>
          <w:highlight w:val="none"/>
        </w:rPr>
      </w:pPr>
      <w:r>
        <w:rPr>
          <w:sz w:val="24"/>
          <w:highlight w:val="none"/>
        </w:rPr>
        <w:t>2.3</w:t>
      </w:r>
      <w:r>
        <w:rPr>
          <w:rFonts w:hint="eastAsia"/>
          <w:sz w:val="24"/>
          <w:highlight w:val="none"/>
          <w:lang w:val="en-US" w:eastAsia="zh-CN"/>
        </w:rPr>
        <w:t xml:space="preserve"> </w:t>
      </w:r>
      <w:r>
        <w:rPr>
          <w:sz w:val="24"/>
          <w:highlight w:val="none"/>
        </w:rPr>
        <w:t>业绩：除非本</w:t>
      </w:r>
      <w:r>
        <w:rPr>
          <w:rFonts w:hint="eastAsia"/>
          <w:sz w:val="24"/>
          <w:highlight w:val="none"/>
        </w:rPr>
        <w:t>磋商</w:t>
      </w:r>
      <w:r>
        <w:rPr>
          <w:sz w:val="24"/>
          <w:highlight w:val="none"/>
        </w:rPr>
        <w:t>文件</w:t>
      </w:r>
      <w:r>
        <w:rPr>
          <w:rFonts w:hint="eastAsia"/>
          <w:sz w:val="24"/>
          <w:highlight w:val="none"/>
        </w:rPr>
        <w:t>中</w:t>
      </w:r>
      <w:r>
        <w:rPr>
          <w:sz w:val="24"/>
          <w:highlight w:val="none"/>
        </w:rPr>
        <w:t>另有规定，</w:t>
      </w:r>
      <w:r>
        <w:rPr>
          <w:rFonts w:hint="eastAsia"/>
          <w:sz w:val="24"/>
          <w:highlight w:val="none"/>
        </w:rPr>
        <w:t>业绩系指符合本磋商文件规定且已交</w:t>
      </w:r>
      <w:r>
        <w:rPr>
          <w:sz w:val="24"/>
          <w:highlight w:val="none"/>
        </w:rPr>
        <w:t>/竣工验收合格的业绩</w:t>
      </w:r>
      <w:r>
        <w:rPr>
          <w:rFonts w:hint="eastAsia"/>
          <w:sz w:val="24"/>
          <w:highlight w:val="none"/>
        </w:rPr>
        <w:t>。参审单位</w:t>
      </w:r>
      <w:r>
        <w:rPr>
          <w:sz w:val="24"/>
          <w:highlight w:val="none"/>
        </w:rPr>
        <w:t>与其关联公司（如母公司、控股公司、分公司、子公司、同一法定代表人的公司等）之间签订的合同，均不予认可。</w:t>
      </w:r>
    </w:p>
    <w:p>
      <w:pPr>
        <w:spacing w:line="360" w:lineRule="auto"/>
        <w:ind w:firstLine="482" w:firstLineChars="200"/>
        <w:outlineLvl w:val="2"/>
        <w:rPr>
          <w:b/>
          <w:sz w:val="24"/>
          <w:szCs w:val="18"/>
          <w:highlight w:val="none"/>
        </w:rPr>
      </w:pPr>
      <w:r>
        <w:rPr>
          <w:rFonts w:hint="eastAsia"/>
          <w:b/>
          <w:sz w:val="24"/>
          <w:highlight w:val="none"/>
        </w:rPr>
        <w:t>3</w:t>
      </w:r>
      <w:r>
        <w:rPr>
          <w:b/>
          <w:sz w:val="24"/>
          <w:highlight w:val="none"/>
        </w:rPr>
        <w:t>.</w:t>
      </w:r>
      <w:r>
        <w:rPr>
          <w:rFonts w:hint="eastAsia"/>
          <w:b/>
          <w:sz w:val="24"/>
          <w:szCs w:val="18"/>
          <w:highlight w:val="none"/>
        </w:rPr>
        <w:t>业主单位</w:t>
      </w:r>
      <w:r>
        <w:rPr>
          <w:rFonts w:hint="eastAsia"/>
          <w:b/>
          <w:sz w:val="24"/>
          <w:highlight w:val="none"/>
        </w:rPr>
        <w:t>、代理机构及</w:t>
      </w:r>
      <w:r>
        <w:rPr>
          <w:rFonts w:hint="eastAsia"/>
          <w:b/>
          <w:sz w:val="24"/>
          <w:szCs w:val="18"/>
          <w:highlight w:val="none"/>
        </w:rPr>
        <w:t>参审单位</w:t>
      </w:r>
    </w:p>
    <w:p>
      <w:pPr>
        <w:spacing w:line="360" w:lineRule="auto"/>
        <w:ind w:firstLine="480" w:firstLineChars="200"/>
        <w:rPr>
          <w:sz w:val="24"/>
          <w:highlight w:val="none"/>
        </w:rPr>
      </w:pPr>
      <w:r>
        <w:rPr>
          <w:rFonts w:hint="eastAsia"/>
          <w:sz w:val="24"/>
          <w:highlight w:val="none"/>
        </w:rPr>
        <w:t>3.1</w:t>
      </w:r>
      <w:r>
        <w:rPr>
          <w:rFonts w:hint="eastAsia"/>
          <w:sz w:val="24"/>
          <w:highlight w:val="none"/>
          <w:lang w:val="en-US" w:eastAsia="zh-CN"/>
        </w:rPr>
        <w:t xml:space="preserve"> </w:t>
      </w:r>
      <w:r>
        <w:rPr>
          <w:rFonts w:hint="eastAsia"/>
          <w:sz w:val="24"/>
          <w:highlight w:val="none"/>
        </w:rPr>
        <w:t>业主单位：是指依法开展磋商活动的法人或者其他组织。本项目的业主单位见参审单位须知前附表。</w:t>
      </w:r>
    </w:p>
    <w:p>
      <w:pPr>
        <w:spacing w:line="360" w:lineRule="auto"/>
        <w:ind w:firstLine="480" w:firstLineChars="200"/>
        <w:rPr>
          <w:sz w:val="24"/>
          <w:highlight w:val="none"/>
        </w:rPr>
      </w:pPr>
      <w:r>
        <w:rPr>
          <w:rFonts w:hint="eastAsia"/>
          <w:sz w:val="24"/>
          <w:highlight w:val="none"/>
        </w:rPr>
        <w:t>3.2</w:t>
      </w:r>
      <w:r>
        <w:rPr>
          <w:rFonts w:hint="eastAsia"/>
          <w:sz w:val="24"/>
          <w:highlight w:val="none"/>
          <w:lang w:val="en-US" w:eastAsia="zh-CN"/>
        </w:rPr>
        <w:t xml:space="preserve"> </w:t>
      </w:r>
      <w:r>
        <w:rPr>
          <w:rFonts w:hint="eastAsia"/>
          <w:sz w:val="24"/>
          <w:highlight w:val="none"/>
        </w:rPr>
        <w:t>代理机构：是指从事代理业务的社会中介机构。本项目的代理机构见参审单位须知前附表。</w:t>
      </w:r>
    </w:p>
    <w:p>
      <w:pPr>
        <w:spacing w:line="360" w:lineRule="auto"/>
        <w:ind w:firstLine="480" w:firstLineChars="200"/>
        <w:rPr>
          <w:sz w:val="24"/>
          <w:highlight w:val="none"/>
        </w:rPr>
      </w:pPr>
      <w:r>
        <w:rPr>
          <w:rFonts w:hint="eastAsia"/>
          <w:sz w:val="24"/>
          <w:highlight w:val="none"/>
        </w:rPr>
        <w:t>3.</w:t>
      </w:r>
      <w:r>
        <w:rPr>
          <w:sz w:val="24"/>
          <w:highlight w:val="none"/>
        </w:rPr>
        <w:t>3</w:t>
      </w:r>
      <w:r>
        <w:rPr>
          <w:rFonts w:hint="eastAsia"/>
          <w:sz w:val="24"/>
          <w:highlight w:val="none"/>
          <w:lang w:val="en-US" w:eastAsia="zh-CN"/>
        </w:rPr>
        <w:t xml:space="preserve"> </w:t>
      </w:r>
      <w:r>
        <w:rPr>
          <w:rFonts w:hint="eastAsia"/>
          <w:sz w:val="24"/>
          <w:highlight w:val="none"/>
        </w:rPr>
        <w:t xml:space="preserve">参审单位：是指向业主单位提供工程、货物或者服务的法人、非法人组织或者自然人。分支机构不得参加代理活动，但银行、保险、石油石化、电力、电信等特殊行业除外。本项目的参审单位须满足以下条件： </w:t>
      </w:r>
    </w:p>
    <w:p>
      <w:pPr>
        <w:spacing w:line="360" w:lineRule="auto"/>
        <w:ind w:firstLine="480" w:firstLineChars="200"/>
        <w:rPr>
          <w:sz w:val="24"/>
          <w:highlight w:val="none"/>
        </w:rPr>
      </w:pPr>
      <w:r>
        <w:rPr>
          <w:rFonts w:hint="eastAsia"/>
          <w:sz w:val="24"/>
          <w:highlight w:val="none"/>
        </w:rPr>
        <w:t>3.</w:t>
      </w:r>
      <w:r>
        <w:rPr>
          <w:sz w:val="24"/>
          <w:highlight w:val="none"/>
        </w:rPr>
        <w:t>3</w:t>
      </w:r>
      <w:r>
        <w:rPr>
          <w:rFonts w:hint="eastAsia"/>
          <w:sz w:val="24"/>
          <w:highlight w:val="none"/>
        </w:rPr>
        <w:t>.1</w:t>
      </w:r>
      <w:r>
        <w:rPr>
          <w:rFonts w:hint="eastAsia"/>
          <w:sz w:val="24"/>
          <w:highlight w:val="none"/>
          <w:lang w:val="en-US" w:eastAsia="zh-CN"/>
        </w:rPr>
        <w:t xml:space="preserve"> </w:t>
      </w:r>
      <w:r>
        <w:rPr>
          <w:rFonts w:hint="eastAsia"/>
          <w:sz w:val="24"/>
          <w:highlight w:val="none"/>
        </w:rPr>
        <w:t>在中华人民共和国境内注册，能够独立承担民事责任，有生产或供应能力的本国参审单位。</w:t>
      </w:r>
    </w:p>
    <w:p>
      <w:pPr>
        <w:spacing w:line="360" w:lineRule="auto"/>
        <w:ind w:firstLine="480" w:firstLineChars="200"/>
        <w:rPr>
          <w:sz w:val="24"/>
          <w:highlight w:val="none"/>
        </w:rPr>
      </w:pPr>
      <w:r>
        <w:rPr>
          <w:rFonts w:hint="eastAsia"/>
          <w:sz w:val="24"/>
          <w:highlight w:val="none"/>
        </w:rPr>
        <w:t>3.</w:t>
      </w:r>
      <w:r>
        <w:rPr>
          <w:sz w:val="24"/>
          <w:highlight w:val="none"/>
        </w:rPr>
        <w:t>3</w:t>
      </w:r>
      <w:r>
        <w:rPr>
          <w:rFonts w:hint="eastAsia"/>
          <w:sz w:val="24"/>
          <w:highlight w:val="none"/>
        </w:rPr>
        <w:t>.</w:t>
      </w:r>
      <w:r>
        <w:rPr>
          <w:sz w:val="24"/>
          <w:highlight w:val="none"/>
        </w:rPr>
        <w:t>2</w:t>
      </w:r>
      <w:r>
        <w:rPr>
          <w:rFonts w:hint="eastAsia"/>
          <w:sz w:val="24"/>
          <w:highlight w:val="none"/>
          <w:lang w:val="en-US" w:eastAsia="zh-CN"/>
        </w:rPr>
        <w:t xml:space="preserve"> </w:t>
      </w:r>
      <w:r>
        <w:rPr>
          <w:rFonts w:hint="eastAsia"/>
          <w:sz w:val="24"/>
          <w:highlight w:val="none"/>
        </w:rPr>
        <w:t>以代理机构认可的方式获得了本项目的磋商文件。</w:t>
      </w:r>
    </w:p>
    <w:p>
      <w:pPr>
        <w:spacing w:line="360" w:lineRule="auto"/>
        <w:ind w:firstLine="480" w:firstLineChars="200"/>
        <w:rPr>
          <w:sz w:val="24"/>
          <w:highlight w:val="none"/>
        </w:rPr>
      </w:pPr>
      <w:r>
        <w:rPr>
          <w:rFonts w:hint="eastAsia"/>
          <w:sz w:val="24"/>
          <w:highlight w:val="none"/>
        </w:rPr>
        <w:t>3.4</w:t>
      </w:r>
      <w:r>
        <w:rPr>
          <w:rFonts w:hint="eastAsia"/>
          <w:sz w:val="24"/>
          <w:highlight w:val="none"/>
          <w:lang w:val="en-US" w:eastAsia="zh-CN"/>
        </w:rPr>
        <w:t xml:space="preserve"> </w:t>
      </w:r>
      <w:r>
        <w:rPr>
          <w:rFonts w:hint="eastAsia"/>
          <w:sz w:val="24"/>
          <w:highlight w:val="none"/>
        </w:rPr>
        <w:t>若参审单位须知前附表中允许联合体参加磋商，对联合体规定如下：</w:t>
      </w:r>
    </w:p>
    <w:p>
      <w:pPr>
        <w:spacing w:line="360" w:lineRule="auto"/>
        <w:ind w:firstLine="480" w:firstLineChars="200"/>
        <w:rPr>
          <w:sz w:val="24"/>
          <w:highlight w:val="none"/>
        </w:rPr>
      </w:pPr>
      <w:r>
        <w:rPr>
          <w:rFonts w:hint="eastAsia"/>
          <w:sz w:val="24"/>
          <w:highlight w:val="none"/>
        </w:rPr>
        <w:t>3.4.1</w:t>
      </w:r>
      <w:r>
        <w:rPr>
          <w:rFonts w:hint="eastAsia"/>
          <w:sz w:val="24"/>
          <w:highlight w:val="none"/>
          <w:lang w:val="en-US" w:eastAsia="zh-CN"/>
        </w:rPr>
        <w:t xml:space="preserve"> </w:t>
      </w:r>
      <w:r>
        <w:rPr>
          <w:rFonts w:hint="eastAsia"/>
          <w:sz w:val="24"/>
          <w:highlight w:val="none"/>
        </w:rPr>
        <w:t>两个以上参审单位可以组成一个磋商联合体，以一个参审单位的身份磋商。</w:t>
      </w:r>
    </w:p>
    <w:p>
      <w:pPr>
        <w:spacing w:line="360" w:lineRule="auto"/>
        <w:ind w:firstLine="480" w:firstLineChars="200"/>
        <w:rPr>
          <w:sz w:val="24"/>
          <w:highlight w:val="none"/>
        </w:rPr>
      </w:pPr>
      <w:r>
        <w:rPr>
          <w:rFonts w:hint="eastAsia"/>
          <w:sz w:val="24"/>
          <w:highlight w:val="none"/>
        </w:rPr>
        <w:t>3.4.</w:t>
      </w:r>
      <w:r>
        <w:rPr>
          <w:sz w:val="24"/>
          <w:highlight w:val="none"/>
        </w:rPr>
        <w:t>2</w:t>
      </w:r>
      <w:r>
        <w:rPr>
          <w:rFonts w:hint="eastAsia"/>
          <w:sz w:val="24"/>
          <w:highlight w:val="none"/>
          <w:lang w:val="en-US" w:eastAsia="zh-CN"/>
        </w:rPr>
        <w:t xml:space="preserve"> </w:t>
      </w:r>
      <w:r>
        <w:rPr>
          <w:rFonts w:hint="eastAsia"/>
          <w:sz w:val="24"/>
          <w:highlight w:val="none"/>
        </w:rPr>
        <w:t>业主单位根据本项目对参审单位的特殊要求，联合体中至少应当有一方符合相关规定。</w:t>
      </w:r>
    </w:p>
    <w:p>
      <w:pPr>
        <w:spacing w:line="360" w:lineRule="auto"/>
        <w:ind w:firstLine="480" w:firstLineChars="200"/>
        <w:rPr>
          <w:rFonts w:cs="宋体"/>
          <w:sz w:val="24"/>
          <w:szCs w:val="24"/>
          <w:highlight w:val="none"/>
        </w:rPr>
      </w:pPr>
      <w:r>
        <w:rPr>
          <w:rFonts w:hint="eastAsia" w:cs="宋体"/>
          <w:sz w:val="24"/>
          <w:szCs w:val="24"/>
          <w:highlight w:val="none"/>
          <w:lang w:bidi="ar"/>
        </w:rPr>
        <w:t>3.4.</w:t>
      </w:r>
      <w:r>
        <w:rPr>
          <w:rFonts w:cs="宋体"/>
          <w:sz w:val="24"/>
          <w:szCs w:val="24"/>
          <w:highlight w:val="none"/>
          <w:lang w:bidi="ar"/>
        </w:rPr>
        <w:t>3</w:t>
      </w:r>
      <w:r>
        <w:rPr>
          <w:rFonts w:hint="eastAsia" w:cs="宋体"/>
          <w:sz w:val="24"/>
          <w:szCs w:val="24"/>
          <w:highlight w:val="none"/>
          <w:lang w:val="en-US" w:eastAsia="zh-CN" w:bidi="ar"/>
        </w:rPr>
        <w:t xml:space="preserve"> </w:t>
      </w:r>
      <w:r>
        <w:rPr>
          <w:rFonts w:hint="eastAsia" w:cs="宋体"/>
          <w:sz w:val="24"/>
          <w:szCs w:val="24"/>
          <w:highlight w:val="none"/>
          <w:lang w:bidi="ar"/>
        </w:rPr>
        <w:t>联合体各方应签订联合体协议，明确约定联合体各方承担的工作和相应的责任，并将联合体协议作为响应文件的一部分提交。</w:t>
      </w:r>
    </w:p>
    <w:p>
      <w:pPr>
        <w:spacing w:line="360" w:lineRule="auto"/>
        <w:ind w:firstLine="480" w:firstLineChars="200"/>
        <w:rPr>
          <w:rFonts w:cs="宋体"/>
          <w:sz w:val="24"/>
          <w:szCs w:val="24"/>
          <w:highlight w:val="none"/>
        </w:rPr>
      </w:pPr>
      <w:r>
        <w:rPr>
          <w:rFonts w:hint="eastAsia" w:cs="宋体"/>
          <w:sz w:val="24"/>
          <w:szCs w:val="24"/>
          <w:highlight w:val="none"/>
          <w:lang w:bidi="ar"/>
        </w:rPr>
        <w:t>3.4.</w:t>
      </w:r>
      <w:r>
        <w:rPr>
          <w:rFonts w:cs="宋体"/>
          <w:sz w:val="24"/>
          <w:szCs w:val="24"/>
          <w:highlight w:val="none"/>
          <w:lang w:bidi="ar"/>
        </w:rPr>
        <w:t>4</w:t>
      </w:r>
      <w:r>
        <w:rPr>
          <w:rFonts w:hint="eastAsia" w:cs="宋体"/>
          <w:sz w:val="24"/>
          <w:szCs w:val="24"/>
          <w:highlight w:val="none"/>
          <w:lang w:val="en-US" w:eastAsia="zh-CN" w:bidi="ar"/>
        </w:rPr>
        <w:t xml:space="preserve"> </w:t>
      </w:r>
      <w:r>
        <w:rPr>
          <w:rFonts w:hint="eastAsia" w:cs="宋体"/>
          <w:sz w:val="24"/>
          <w:szCs w:val="24"/>
          <w:highlight w:val="none"/>
          <w:lang w:bidi="ar"/>
        </w:rPr>
        <w:t>联合体中有同类资质的</w:t>
      </w:r>
      <w:r>
        <w:rPr>
          <w:rFonts w:hint="eastAsia"/>
          <w:sz w:val="24"/>
          <w:szCs w:val="18"/>
          <w:highlight w:val="none"/>
        </w:rPr>
        <w:t>参审单位</w:t>
      </w:r>
      <w:r>
        <w:rPr>
          <w:rFonts w:hint="eastAsia" w:cs="宋体"/>
          <w:sz w:val="24"/>
          <w:szCs w:val="24"/>
          <w:highlight w:val="none"/>
          <w:lang w:bidi="ar"/>
        </w:rPr>
        <w:t>按照联合体分工承担相同工作的，应当按照资质等级较低的</w:t>
      </w:r>
      <w:r>
        <w:rPr>
          <w:rFonts w:hint="eastAsia"/>
          <w:sz w:val="24"/>
          <w:szCs w:val="18"/>
          <w:highlight w:val="none"/>
        </w:rPr>
        <w:t>参审单位</w:t>
      </w:r>
      <w:r>
        <w:rPr>
          <w:rFonts w:hint="eastAsia" w:cs="宋体"/>
          <w:sz w:val="24"/>
          <w:szCs w:val="24"/>
          <w:highlight w:val="none"/>
          <w:lang w:bidi="ar"/>
        </w:rPr>
        <w:t>确定资质等级。</w:t>
      </w:r>
    </w:p>
    <w:p>
      <w:pPr>
        <w:spacing w:line="360" w:lineRule="auto"/>
        <w:ind w:firstLine="480" w:firstLineChars="200"/>
        <w:rPr>
          <w:rFonts w:cs="宋体"/>
          <w:sz w:val="24"/>
          <w:szCs w:val="24"/>
          <w:highlight w:val="none"/>
        </w:rPr>
      </w:pPr>
      <w:r>
        <w:rPr>
          <w:rFonts w:hint="eastAsia" w:cs="宋体"/>
          <w:sz w:val="24"/>
          <w:szCs w:val="24"/>
          <w:highlight w:val="none"/>
          <w:lang w:bidi="ar"/>
        </w:rPr>
        <w:t>3.4.</w:t>
      </w:r>
      <w:r>
        <w:rPr>
          <w:rFonts w:cs="宋体"/>
          <w:sz w:val="24"/>
          <w:szCs w:val="24"/>
          <w:highlight w:val="none"/>
          <w:lang w:bidi="ar"/>
        </w:rPr>
        <w:t>5</w:t>
      </w:r>
      <w:r>
        <w:rPr>
          <w:rFonts w:hint="eastAsia" w:cs="宋体"/>
          <w:sz w:val="24"/>
          <w:szCs w:val="24"/>
          <w:highlight w:val="none"/>
          <w:lang w:val="en-US" w:eastAsia="zh-CN" w:bidi="ar"/>
        </w:rPr>
        <w:t xml:space="preserve"> </w:t>
      </w:r>
      <w:r>
        <w:rPr>
          <w:rFonts w:hint="eastAsia" w:cs="宋体"/>
          <w:sz w:val="24"/>
          <w:szCs w:val="24"/>
          <w:highlight w:val="none"/>
          <w:lang w:bidi="ar"/>
        </w:rPr>
        <w:t>以联合体形式参加代理活动的，联合体各方不得再单独参加或者与其他</w:t>
      </w:r>
      <w:r>
        <w:rPr>
          <w:rFonts w:hint="eastAsia"/>
          <w:sz w:val="24"/>
          <w:szCs w:val="18"/>
          <w:highlight w:val="none"/>
        </w:rPr>
        <w:t>参审单位</w:t>
      </w:r>
      <w:r>
        <w:rPr>
          <w:rFonts w:hint="eastAsia" w:cs="宋体"/>
          <w:sz w:val="24"/>
          <w:szCs w:val="24"/>
          <w:highlight w:val="none"/>
          <w:lang w:bidi="ar"/>
        </w:rPr>
        <w:t>另外组成联合体参加本项目磋商，否则相关响应文件将被认定为</w:t>
      </w:r>
      <w:r>
        <w:rPr>
          <w:rFonts w:hint="eastAsia" w:cs="宋体"/>
          <w:b/>
          <w:bCs/>
          <w:sz w:val="24"/>
          <w:szCs w:val="24"/>
          <w:highlight w:val="none"/>
          <w:lang w:bidi="ar"/>
        </w:rPr>
        <w:t>响应无效</w:t>
      </w:r>
      <w:r>
        <w:rPr>
          <w:rFonts w:hint="eastAsia" w:cs="宋体"/>
          <w:sz w:val="24"/>
          <w:szCs w:val="24"/>
          <w:highlight w:val="none"/>
          <w:lang w:bidi="ar"/>
        </w:rPr>
        <w:t>。</w:t>
      </w:r>
    </w:p>
    <w:p>
      <w:pPr>
        <w:spacing w:line="360" w:lineRule="auto"/>
        <w:ind w:firstLine="480" w:firstLineChars="200"/>
        <w:rPr>
          <w:rFonts w:cs="宋体"/>
          <w:sz w:val="24"/>
          <w:szCs w:val="24"/>
          <w:highlight w:val="none"/>
        </w:rPr>
      </w:pPr>
      <w:r>
        <w:rPr>
          <w:rFonts w:hint="eastAsia" w:cs="宋体"/>
          <w:sz w:val="24"/>
          <w:szCs w:val="24"/>
          <w:highlight w:val="none"/>
          <w:lang w:bidi="ar"/>
        </w:rPr>
        <w:t>3.4.</w:t>
      </w:r>
      <w:r>
        <w:rPr>
          <w:rFonts w:cs="宋体"/>
          <w:sz w:val="24"/>
          <w:szCs w:val="24"/>
          <w:highlight w:val="none"/>
          <w:lang w:bidi="ar"/>
        </w:rPr>
        <w:t>6</w:t>
      </w:r>
      <w:r>
        <w:rPr>
          <w:rFonts w:hint="eastAsia" w:cs="宋体"/>
          <w:sz w:val="24"/>
          <w:szCs w:val="24"/>
          <w:highlight w:val="none"/>
          <w:lang w:val="en-US" w:eastAsia="zh-CN" w:bidi="ar"/>
        </w:rPr>
        <w:t xml:space="preserve"> </w:t>
      </w:r>
      <w:r>
        <w:rPr>
          <w:rFonts w:hint="eastAsia" w:cs="宋体"/>
          <w:sz w:val="24"/>
          <w:szCs w:val="24"/>
          <w:highlight w:val="none"/>
          <w:lang w:bidi="ar"/>
        </w:rPr>
        <w:t>对联合体参加磋商的其他资格要求见</w:t>
      </w:r>
      <w:r>
        <w:rPr>
          <w:rFonts w:hint="eastAsia"/>
          <w:sz w:val="24"/>
          <w:szCs w:val="18"/>
          <w:highlight w:val="none"/>
        </w:rPr>
        <w:t>参审单位</w:t>
      </w:r>
      <w:r>
        <w:rPr>
          <w:rFonts w:hint="eastAsia" w:cs="宋体"/>
          <w:sz w:val="24"/>
          <w:szCs w:val="24"/>
          <w:highlight w:val="none"/>
          <w:lang w:bidi="ar"/>
        </w:rPr>
        <w:t>资格。</w:t>
      </w:r>
    </w:p>
    <w:p>
      <w:pPr>
        <w:spacing w:line="360" w:lineRule="auto"/>
        <w:ind w:firstLine="480" w:firstLineChars="200"/>
        <w:rPr>
          <w:rFonts w:cs="宋体"/>
          <w:sz w:val="24"/>
          <w:szCs w:val="24"/>
          <w:highlight w:val="none"/>
        </w:rPr>
      </w:pPr>
      <w:r>
        <w:rPr>
          <w:rFonts w:hint="eastAsia" w:cs="宋体"/>
          <w:sz w:val="24"/>
          <w:szCs w:val="24"/>
          <w:highlight w:val="none"/>
          <w:lang w:bidi="ar"/>
        </w:rPr>
        <w:t>3.6</w:t>
      </w:r>
      <w:r>
        <w:rPr>
          <w:rFonts w:hint="eastAsia" w:cs="宋体"/>
          <w:sz w:val="24"/>
          <w:szCs w:val="24"/>
          <w:highlight w:val="none"/>
          <w:lang w:val="en-US" w:eastAsia="zh-CN" w:bidi="ar"/>
        </w:rPr>
        <w:t xml:space="preserve"> </w:t>
      </w:r>
      <w:r>
        <w:rPr>
          <w:rFonts w:hint="eastAsia" w:cs="宋体"/>
          <w:sz w:val="24"/>
          <w:szCs w:val="24"/>
          <w:highlight w:val="none"/>
          <w:lang w:bidi="ar"/>
        </w:rPr>
        <w:t>单位负责人为同一人或者存在直接控股、管理关系的不同</w:t>
      </w:r>
      <w:r>
        <w:rPr>
          <w:rFonts w:hint="eastAsia"/>
          <w:sz w:val="24"/>
          <w:szCs w:val="18"/>
          <w:highlight w:val="none"/>
        </w:rPr>
        <w:t>参审单位</w:t>
      </w:r>
      <w:r>
        <w:rPr>
          <w:rFonts w:hint="eastAsia" w:cs="宋体"/>
          <w:sz w:val="24"/>
          <w:szCs w:val="24"/>
          <w:highlight w:val="none"/>
          <w:lang w:bidi="ar"/>
        </w:rPr>
        <w:t>，不得参加同一合同项下的代理活动。否则其相关响应文件将被认定为</w:t>
      </w:r>
      <w:r>
        <w:rPr>
          <w:rFonts w:hint="eastAsia" w:cs="宋体"/>
          <w:b/>
          <w:bCs/>
          <w:sz w:val="24"/>
          <w:szCs w:val="24"/>
          <w:highlight w:val="none"/>
          <w:lang w:bidi="ar"/>
        </w:rPr>
        <w:t>响应无效</w:t>
      </w:r>
      <w:r>
        <w:rPr>
          <w:rFonts w:hint="eastAsia" w:cs="宋体"/>
          <w:sz w:val="24"/>
          <w:szCs w:val="24"/>
          <w:highlight w:val="none"/>
          <w:lang w:bidi="ar"/>
        </w:rPr>
        <w:t>。</w:t>
      </w:r>
    </w:p>
    <w:p>
      <w:pPr>
        <w:spacing w:line="360" w:lineRule="auto"/>
        <w:ind w:firstLine="482" w:firstLineChars="200"/>
        <w:rPr>
          <w:rFonts w:cs="宋体"/>
          <w:sz w:val="24"/>
          <w:szCs w:val="24"/>
          <w:highlight w:val="none"/>
        </w:rPr>
      </w:pPr>
      <w:r>
        <w:rPr>
          <w:rFonts w:hint="eastAsia" w:cs="宋体"/>
          <w:b/>
          <w:bCs/>
          <w:sz w:val="24"/>
          <w:szCs w:val="24"/>
          <w:highlight w:val="none"/>
          <w:lang w:bidi="ar"/>
        </w:rPr>
        <w:t xml:space="preserve">4.资金来源 </w:t>
      </w:r>
    </w:p>
    <w:p>
      <w:pPr>
        <w:spacing w:line="360" w:lineRule="auto"/>
        <w:ind w:firstLine="480" w:firstLineChars="200"/>
        <w:rPr>
          <w:rFonts w:cs="宋体"/>
          <w:sz w:val="24"/>
          <w:szCs w:val="24"/>
          <w:highlight w:val="none"/>
        </w:rPr>
      </w:pPr>
      <w:r>
        <w:rPr>
          <w:rFonts w:hint="eastAsia" w:cs="宋体"/>
          <w:sz w:val="24"/>
          <w:szCs w:val="24"/>
          <w:highlight w:val="none"/>
          <w:lang w:bidi="ar"/>
        </w:rPr>
        <w:t>4.1</w:t>
      </w:r>
      <w:r>
        <w:rPr>
          <w:rFonts w:hint="eastAsia" w:cs="宋体"/>
          <w:sz w:val="24"/>
          <w:szCs w:val="24"/>
          <w:highlight w:val="none"/>
          <w:lang w:val="en-US" w:eastAsia="zh-CN" w:bidi="ar"/>
        </w:rPr>
        <w:t xml:space="preserve"> </w:t>
      </w:r>
      <w:r>
        <w:rPr>
          <w:rFonts w:hint="eastAsia" w:cs="宋体"/>
          <w:sz w:val="24"/>
          <w:szCs w:val="24"/>
          <w:highlight w:val="none"/>
          <w:lang w:bidi="ar"/>
        </w:rPr>
        <w:t>本项目的</w:t>
      </w:r>
      <w:r>
        <w:rPr>
          <w:rFonts w:hint="eastAsia"/>
          <w:sz w:val="24"/>
          <w:szCs w:val="18"/>
          <w:highlight w:val="none"/>
        </w:rPr>
        <w:t>业主单位</w:t>
      </w:r>
      <w:r>
        <w:rPr>
          <w:rFonts w:hint="eastAsia" w:cs="宋体"/>
          <w:sz w:val="24"/>
          <w:szCs w:val="24"/>
          <w:highlight w:val="none"/>
          <w:lang w:bidi="ar"/>
        </w:rPr>
        <w:t>已获得足以支付本次磋商后所签订的合同项下的资金。</w:t>
      </w:r>
    </w:p>
    <w:p>
      <w:pPr>
        <w:spacing w:line="360" w:lineRule="auto"/>
        <w:ind w:firstLine="480" w:firstLineChars="200"/>
        <w:rPr>
          <w:sz w:val="24"/>
          <w:highlight w:val="none"/>
        </w:rPr>
      </w:pPr>
      <w:r>
        <w:rPr>
          <w:rFonts w:hint="eastAsia" w:cs="宋体"/>
          <w:sz w:val="24"/>
          <w:szCs w:val="24"/>
          <w:highlight w:val="none"/>
          <w:lang w:bidi="ar"/>
        </w:rPr>
        <w:t>4.2</w:t>
      </w:r>
      <w:r>
        <w:rPr>
          <w:rFonts w:hint="eastAsia" w:cs="宋体"/>
          <w:sz w:val="24"/>
          <w:szCs w:val="24"/>
          <w:highlight w:val="none"/>
          <w:lang w:val="en-US" w:eastAsia="zh-CN" w:bidi="ar"/>
        </w:rPr>
        <w:t xml:space="preserve"> </w:t>
      </w:r>
      <w:r>
        <w:rPr>
          <w:rFonts w:hint="eastAsia" w:cs="宋体"/>
          <w:sz w:val="24"/>
          <w:szCs w:val="24"/>
          <w:highlight w:val="none"/>
          <w:lang w:bidi="ar"/>
        </w:rPr>
        <w:t>项目预算金额或分项（或分包）预算金额见磋商公告。</w:t>
      </w:r>
    </w:p>
    <w:p>
      <w:pPr>
        <w:spacing w:line="360" w:lineRule="auto"/>
        <w:ind w:firstLine="482" w:firstLineChars="200"/>
        <w:outlineLvl w:val="2"/>
        <w:rPr>
          <w:b/>
          <w:sz w:val="24"/>
          <w:highlight w:val="none"/>
        </w:rPr>
      </w:pPr>
      <w:r>
        <w:rPr>
          <w:rFonts w:hint="eastAsia"/>
          <w:b/>
          <w:sz w:val="24"/>
          <w:highlight w:val="none"/>
        </w:rPr>
        <w:t>5</w:t>
      </w:r>
      <w:r>
        <w:rPr>
          <w:b/>
          <w:sz w:val="24"/>
          <w:highlight w:val="none"/>
        </w:rPr>
        <w:t>.</w:t>
      </w:r>
      <w:r>
        <w:rPr>
          <w:rFonts w:hint="eastAsia"/>
          <w:b/>
          <w:sz w:val="24"/>
          <w:highlight w:val="none"/>
        </w:rPr>
        <w:t>磋商费用</w:t>
      </w:r>
    </w:p>
    <w:p>
      <w:pPr>
        <w:spacing w:line="360" w:lineRule="auto"/>
        <w:ind w:firstLine="480" w:firstLineChars="200"/>
        <w:outlineLvl w:val="2"/>
        <w:rPr>
          <w:sz w:val="24"/>
          <w:highlight w:val="none"/>
        </w:rPr>
      </w:pPr>
      <w:r>
        <w:rPr>
          <w:rFonts w:hint="eastAsia"/>
          <w:sz w:val="24"/>
          <w:highlight w:val="none"/>
        </w:rPr>
        <w:t>不论磋商的结果如何，</w:t>
      </w:r>
      <w:r>
        <w:rPr>
          <w:rFonts w:hint="eastAsia"/>
          <w:sz w:val="24"/>
          <w:szCs w:val="18"/>
          <w:highlight w:val="none"/>
        </w:rPr>
        <w:t>参审单位</w:t>
      </w:r>
      <w:r>
        <w:rPr>
          <w:rFonts w:hint="eastAsia"/>
          <w:sz w:val="24"/>
          <w:highlight w:val="none"/>
        </w:rPr>
        <w:t>应承担其所有与准备和参加磋商有关的费用。</w:t>
      </w:r>
    </w:p>
    <w:p>
      <w:pPr>
        <w:spacing w:line="360" w:lineRule="auto"/>
        <w:ind w:firstLine="482" w:firstLineChars="200"/>
        <w:outlineLvl w:val="2"/>
        <w:rPr>
          <w:b/>
          <w:sz w:val="24"/>
          <w:highlight w:val="none"/>
        </w:rPr>
      </w:pPr>
      <w:r>
        <w:rPr>
          <w:rFonts w:hint="eastAsia"/>
          <w:b/>
          <w:sz w:val="24"/>
          <w:highlight w:val="none"/>
        </w:rPr>
        <w:t>6</w:t>
      </w:r>
      <w:r>
        <w:rPr>
          <w:b/>
          <w:sz w:val="24"/>
          <w:highlight w:val="none"/>
        </w:rPr>
        <w:t>.</w:t>
      </w:r>
      <w:r>
        <w:rPr>
          <w:rFonts w:hint="eastAsia"/>
          <w:b/>
          <w:sz w:val="24"/>
          <w:highlight w:val="none"/>
        </w:rPr>
        <w:t>适用法律</w:t>
      </w:r>
    </w:p>
    <w:p>
      <w:pPr>
        <w:spacing w:line="360" w:lineRule="auto"/>
        <w:ind w:firstLine="480" w:firstLineChars="200"/>
        <w:outlineLvl w:val="2"/>
        <w:rPr>
          <w:sz w:val="24"/>
          <w:highlight w:val="none"/>
        </w:rPr>
      </w:pPr>
      <w:r>
        <w:rPr>
          <w:rFonts w:hint="eastAsia" w:cs="宋体"/>
          <w:sz w:val="24"/>
          <w:szCs w:val="24"/>
          <w:highlight w:val="none"/>
          <w:lang w:bidi="ar"/>
        </w:rPr>
        <w:t>本项目</w:t>
      </w:r>
      <w:r>
        <w:rPr>
          <w:rFonts w:hint="eastAsia"/>
          <w:sz w:val="24"/>
          <w:szCs w:val="18"/>
          <w:highlight w:val="none"/>
        </w:rPr>
        <w:t>业主单位</w:t>
      </w:r>
      <w:r>
        <w:rPr>
          <w:rFonts w:hint="eastAsia" w:cs="宋体"/>
          <w:sz w:val="24"/>
          <w:szCs w:val="24"/>
          <w:highlight w:val="none"/>
          <w:lang w:bidi="ar"/>
        </w:rPr>
        <w:t>、代理机构、</w:t>
      </w:r>
      <w:r>
        <w:rPr>
          <w:rFonts w:hint="eastAsia"/>
          <w:sz w:val="24"/>
          <w:szCs w:val="18"/>
          <w:highlight w:val="none"/>
        </w:rPr>
        <w:t>参审单位</w:t>
      </w:r>
      <w:r>
        <w:rPr>
          <w:rFonts w:hint="eastAsia" w:cs="宋体"/>
          <w:sz w:val="24"/>
          <w:szCs w:val="24"/>
          <w:highlight w:val="none"/>
          <w:lang w:bidi="ar"/>
        </w:rPr>
        <w:t>、磋商小组的相关行为均受《中华人民共和国民法典》有关规定约束，其权利受到上述法律法规的保护。</w:t>
      </w:r>
    </w:p>
    <w:p>
      <w:pPr>
        <w:spacing w:line="360" w:lineRule="auto"/>
        <w:ind w:firstLine="482" w:firstLineChars="200"/>
        <w:outlineLvl w:val="2"/>
        <w:rPr>
          <w:b/>
          <w:sz w:val="24"/>
          <w:highlight w:val="none"/>
        </w:rPr>
      </w:pPr>
      <w:r>
        <w:rPr>
          <w:rFonts w:hint="eastAsia"/>
          <w:b/>
          <w:sz w:val="24"/>
          <w:highlight w:val="none"/>
        </w:rPr>
        <w:t>7</w:t>
      </w:r>
      <w:r>
        <w:rPr>
          <w:b/>
          <w:sz w:val="24"/>
          <w:highlight w:val="none"/>
        </w:rPr>
        <w:t>.</w:t>
      </w:r>
      <w:r>
        <w:rPr>
          <w:rFonts w:hint="eastAsia"/>
          <w:b/>
          <w:sz w:val="24"/>
          <w:highlight w:val="none"/>
        </w:rPr>
        <w:t>磋商文件构成</w:t>
      </w:r>
    </w:p>
    <w:p>
      <w:pPr>
        <w:spacing w:line="360" w:lineRule="auto"/>
        <w:ind w:firstLine="480" w:firstLineChars="200"/>
        <w:outlineLvl w:val="2"/>
        <w:rPr>
          <w:sz w:val="24"/>
          <w:highlight w:val="none"/>
        </w:rPr>
      </w:pPr>
      <w:r>
        <w:rPr>
          <w:rFonts w:hint="eastAsia"/>
          <w:sz w:val="24"/>
          <w:highlight w:val="none"/>
        </w:rPr>
        <w:t>7.1</w:t>
      </w:r>
      <w:r>
        <w:rPr>
          <w:rFonts w:hint="eastAsia"/>
          <w:sz w:val="24"/>
          <w:highlight w:val="none"/>
          <w:lang w:val="en-US" w:eastAsia="zh-CN"/>
        </w:rPr>
        <w:t xml:space="preserve"> </w:t>
      </w:r>
      <w:r>
        <w:rPr>
          <w:rFonts w:hint="eastAsia"/>
          <w:sz w:val="24"/>
          <w:highlight w:val="none"/>
        </w:rPr>
        <w:t>磋商文件包括下列内容：</w:t>
      </w:r>
    </w:p>
    <w:p>
      <w:pPr>
        <w:spacing w:line="360" w:lineRule="auto"/>
        <w:ind w:firstLine="840" w:firstLineChars="350"/>
        <w:rPr>
          <w:sz w:val="24"/>
          <w:highlight w:val="none"/>
        </w:rPr>
      </w:pPr>
      <w:r>
        <w:rPr>
          <w:rFonts w:hint="eastAsia"/>
          <w:sz w:val="24"/>
          <w:highlight w:val="none"/>
        </w:rPr>
        <w:t>第一章</w:t>
      </w:r>
      <w:r>
        <w:rPr>
          <w:sz w:val="24"/>
          <w:highlight w:val="none"/>
        </w:rPr>
        <w:t xml:space="preserve">  </w:t>
      </w:r>
      <w:r>
        <w:rPr>
          <w:rFonts w:hint="eastAsia"/>
          <w:sz w:val="24"/>
          <w:highlight w:val="none"/>
        </w:rPr>
        <w:t>磋商邀请</w:t>
      </w:r>
    </w:p>
    <w:p>
      <w:pPr>
        <w:spacing w:line="360" w:lineRule="auto"/>
        <w:ind w:firstLine="840" w:firstLineChars="350"/>
        <w:rPr>
          <w:sz w:val="24"/>
          <w:highlight w:val="none"/>
        </w:rPr>
      </w:pPr>
      <w:r>
        <w:rPr>
          <w:rFonts w:hint="eastAsia"/>
          <w:sz w:val="24"/>
          <w:highlight w:val="none"/>
        </w:rPr>
        <w:t>第二章</w:t>
      </w:r>
      <w:r>
        <w:rPr>
          <w:sz w:val="24"/>
          <w:highlight w:val="none"/>
        </w:rPr>
        <w:t xml:space="preserve">  </w:t>
      </w:r>
      <w:r>
        <w:rPr>
          <w:rFonts w:hint="eastAsia"/>
          <w:sz w:val="24"/>
          <w:szCs w:val="18"/>
          <w:highlight w:val="none"/>
        </w:rPr>
        <w:t>参审单位</w:t>
      </w:r>
      <w:r>
        <w:rPr>
          <w:sz w:val="24"/>
          <w:highlight w:val="none"/>
        </w:rPr>
        <w:t>须知</w:t>
      </w:r>
    </w:p>
    <w:p>
      <w:pPr>
        <w:spacing w:line="360" w:lineRule="auto"/>
        <w:ind w:firstLine="840" w:firstLineChars="350"/>
        <w:rPr>
          <w:sz w:val="24"/>
          <w:highlight w:val="none"/>
        </w:rPr>
      </w:pPr>
      <w:r>
        <w:rPr>
          <w:rFonts w:hint="eastAsia"/>
          <w:sz w:val="24"/>
          <w:highlight w:val="none"/>
        </w:rPr>
        <w:t>第三章</w:t>
      </w:r>
      <w:r>
        <w:rPr>
          <w:sz w:val="24"/>
          <w:highlight w:val="none"/>
        </w:rPr>
        <w:t xml:space="preserve">  </w:t>
      </w:r>
      <w:r>
        <w:rPr>
          <w:rFonts w:hint="eastAsia"/>
          <w:sz w:val="24"/>
          <w:highlight w:val="none"/>
        </w:rPr>
        <w:t>项目需求</w:t>
      </w:r>
    </w:p>
    <w:p>
      <w:pPr>
        <w:spacing w:line="360" w:lineRule="auto"/>
        <w:ind w:firstLine="840" w:firstLineChars="350"/>
        <w:rPr>
          <w:sz w:val="24"/>
          <w:highlight w:val="none"/>
        </w:rPr>
      </w:pPr>
      <w:r>
        <w:rPr>
          <w:rFonts w:hint="eastAsia"/>
          <w:sz w:val="24"/>
          <w:highlight w:val="none"/>
        </w:rPr>
        <w:t>第四章</w:t>
      </w:r>
      <w:r>
        <w:rPr>
          <w:sz w:val="24"/>
          <w:highlight w:val="none"/>
        </w:rPr>
        <w:t xml:space="preserve">  </w:t>
      </w:r>
      <w:r>
        <w:rPr>
          <w:rFonts w:hint="eastAsia"/>
          <w:sz w:val="24"/>
          <w:highlight w:val="none"/>
        </w:rPr>
        <w:t>评审方法</w:t>
      </w:r>
      <w:r>
        <w:rPr>
          <w:sz w:val="24"/>
          <w:highlight w:val="none"/>
        </w:rPr>
        <w:t>和标准</w:t>
      </w:r>
    </w:p>
    <w:p>
      <w:pPr>
        <w:spacing w:line="360" w:lineRule="auto"/>
        <w:ind w:firstLine="840" w:firstLineChars="350"/>
        <w:rPr>
          <w:rFonts w:hint="eastAsia" w:cs="宋体"/>
          <w:sz w:val="24"/>
          <w:szCs w:val="24"/>
          <w:highlight w:val="none"/>
          <w:lang w:bidi="ar"/>
        </w:rPr>
      </w:pPr>
      <w:r>
        <w:rPr>
          <w:rFonts w:hint="eastAsia"/>
          <w:sz w:val="24"/>
          <w:highlight w:val="none"/>
        </w:rPr>
        <w:t>第五章</w:t>
      </w:r>
      <w:r>
        <w:rPr>
          <w:sz w:val="24"/>
          <w:highlight w:val="none"/>
        </w:rPr>
        <w:t xml:space="preserve">  </w:t>
      </w:r>
      <w:r>
        <w:rPr>
          <w:rFonts w:hint="eastAsia" w:cs="宋体"/>
          <w:sz w:val="24"/>
          <w:szCs w:val="24"/>
          <w:highlight w:val="none"/>
          <w:lang w:bidi="ar"/>
        </w:rPr>
        <w:t>合同条款及格式</w:t>
      </w:r>
    </w:p>
    <w:p>
      <w:pPr>
        <w:spacing w:line="360" w:lineRule="auto"/>
        <w:ind w:firstLine="840" w:firstLineChars="350"/>
        <w:rPr>
          <w:sz w:val="24"/>
          <w:highlight w:val="none"/>
        </w:rPr>
      </w:pPr>
      <w:r>
        <w:rPr>
          <w:rFonts w:hint="eastAsia" w:cs="宋体"/>
          <w:sz w:val="24"/>
          <w:szCs w:val="24"/>
          <w:highlight w:val="none"/>
          <w:lang w:val="en-US" w:eastAsia="zh-CN" w:bidi="ar"/>
        </w:rPr>
        <w:t xml:space="preserve">第六章  </w:t>
      </w:r>
      <w:r>
        <w:rPr>
          <w:rFonts w:hint="eastAsia"/>
          <w:sz w:val="24"/>
          <w:highlight w:val="none"/>
        </w:rPr>
        <w:t>响应</w:t>
      </w:r>
      <w:r>
        <w:rPr>
          <w:sz w:val="24"/>
          <w:highlight w:val="none"/>
        </w:rPr>
        <w:t>文件格式</w:t>
      </w:r>
    </w:p>
    <w:p>
      <w:pPr>
        <w:spacing w:line="360" w:lineRule="auto"/>
        <w:ind w:firstLine="480" w:firstLineChars="200"/>
        <w:outlineLvl w:val="2"/>
        <w:rPr>
          <w:sz w:val="24"/>
          <w:highlight w:val="none"/>
        </w:rPr>
      </w:pPr>
      <w:r>
        <w:rPr>
          <w:sz w:val="24"/>
          <w:highlight w:val="none"/>
        </w:rPr>
        <w:t>7.2</w:t>
      </w:r>
      <w:r>
        <w:rPr>
          <w:rFonts w:hint="eastAsia"/>
          <w:sz w:val="24"/>
          <w:highlight w:val="none"/>
          <w:lang w:val="en-US" w:eastAsia="zh-CN"/>
        </w:rPr>
        <w:t xml:space="preserve"> </w:t>
      </w:r>
      <w:r>
        <w:rPr>
          <w:rFonts w:hint="eastAsia"/>
          <w:sz w:val="24"/>
          <w:highlight w:val="none"/>
        </w:rPr>
        <w:t>磋商</w:t>
      </w:r>
      <w:r>
        <w:rPr>
          <w:sz w:val="24"/>
          <w:highlight w:val="none"/>
        </w:rPr>
        <w:t>文件中有不一致的，有</w:t>
      </w:r>
      <w:r>
        <w:rPr>
          <w:rFonts w:hint="eastAsia"/>
          <w:sz w:val="24"/>
          <w:highlight w:val="none"/>
        </w:rPr>
        <w:t>澄清</w:t>
      </w:r>
      <w:r>
        <w:rPr>
          <w:sz w:val="24"/>
          <w:highlight w:val="none"/>
        </w:rPr>
        <w:t>的部分以最终的</w:t>
      </w:r>
      <w:r>
        <w:rPr>
          <w:rFonts w:hint="eastAsia"/>
          <w:sz w:val="24"/>
          <w:highlight w:val="none"/>
        </w:rPr>
        <w:t>澄清更正</w:t>
      </w:r>
      <w:r>
        <w:rPr>
          <w:sz w:val="24"/>
          <w:highlight w:val="none"/>
        </w:rPr>
        <w:t>内容为准</w:t>
      </w:r>
      <w:r>
        <w:rPr>
          <w:rFonts w:hint="eastAsia"/>
          <w:sz w:val="24"/>
          <w:highlight w:val="none"/>
        </w:rPr>
        <w:t>。</w:t>
      </w:r>
    </w:p>
    <w:p>
      <w:pPr>
        <w:spacing w:line="360" w:lineRule="auto"/>
        <w:ind w:firstLine="480" w:firstLineChars="200"/>
        <w:outlineLvl w:val="2"/>
        <w:rPr>
          <w:sz w:val="24"/>
          <w:highlight w:val="none"/>
        </w:rPr>
      </w:pPr>
      <w:r>
        <w:rPr>
          <w:sz w:val="24"/>
          <w:highlight w:val="none"/>
        </w:rPr>
        <w:t>7.3</w:t>
      </w:r>
      <w:r>
        <w:rPr>
          <w:rFonts w:hint="eastAsia"/>
          <w:sz w:val="24"/>
          <w:highlight w:val="none"/>
          <w:lang w:val="en-US" w:eastAsia="zh-CN"/>
        </w:rPr>
        <w:t xml:space="preserve"> </w:t>
      </w:r>
      <w:r>
        <w:rPr>
          <w:sz w:val="24"/>
          <w:highlight w:val="none"/>
        </w:rPr>
        <w:t>现场</w:t>
      </w:r>
      <w:r>
        <w:rPr>
          <w:rFonts w:hint="eastAsia"/>
          <w:sz w:val="24"/>
          <w:highlight w:val="none"/>
        </w:rPr>
        <w:t>考察</w:t>
      </w:r>
      <w:r>
        <w:rPr>
          <w:sz w:val="24"/>
          <w:highlight w:val="none"/>
        </w:rPr>
        <w:t>及相关事项见</w:t>
      </w:r>
      <w:r>
        <w:rPr>
          <w:rFonts w:hint="eastAsia"/>
          <w:sz w:val="24"/>
          <w:highlight w:val="none"/>
          <w:u w:val="single"/>
          <w:lang w:val="en-US" w:eastAsia="zh-CN"/>
        </w:rPr>
        <w:t xml:space="preserve"> </w:t>
      </w:r>
      <w:r>
        <w:rPr>
          <w:rFonts w:hint="eastAsia"/>
          <w:sz w:val="24"/>
          <w:szCs w:val="18"/>
          <w:highlight w:val="none"/>
          <w:u w:val="single"/>
        </w:rPr>
        <w:t>参审单位</w:t>
      </w:r>
      <w:r>
        <w:rPr>
          <w:sz w:val="24"/>
          <w:highlight w:val="none"/>
          <w:u w:val="single"/>
        </w:rPr>
        <w:t>须知前附表</w:t>
      </w:r>
      <w:r>
        <w:rPr>
          <w:rFonts w:hint="eastAsia"/>
          <w:sz w:val="24"/>
          <w:highlight w:val="none"/>
          <w:u w:val="single"/>
          <w:lang w:val="en-US" w:eastAsia="zh-CN"/>
        </w:rPr>
        <w:t xml:space="preserve"> </w:t>
      </w:r>
      <w:r>
        <w:rPr>
          <w:sz w:val="24"/>
          <w:highlight w:val="none"/>
        </w:rPr>
        <w:t>。</w:t>
      </w:r>
    </w:p>
    <w:p>
      <w:pPr>
        <w:spacing w:line="360" w:lineRule="auto"/>
        <w:ind w:firstLine="480" w:firstLineChars="200"/>
        <w:outlineLvl w:val="2"/>
        <w:rPr>
          <w:sz w:val="24"/>
          <w:highlight w:val="none"/>
        </w:rPr>
      </w:pPr>
      <w:r>
        <w:rPr>
          <w:sz w:val="24"/>
          <w:highlight w:val="none"/>
        </w:rPr>
        <w:t>7.4</w:t>
      </w:r>
      <w:r>
        <w:rPr>
          <w:rFonts w:hint="eastAsia"/>
          <w:sz w:val="24"/>
          <w:highlight w:val="none"/>
          <w:lang w:val="en-US" w:eastAsia="zh-CN"/>
        </w:rPr>
        <w:t xml:space="preserve"> </w:t>
      </w:r>
      <w:r>
        <w:rPr>
          <w:rFonts w:hint="eastAsia"/>
          <w:sz w:val="24"/>
          <w:szCs w:val="18"/>
          <w:highlight w:val="none"/>
        </w:rPr>
        <w:t>参审单位</w:t>
      </w:r>
      <w:r>
        <w:rPr>
          <w:sz w:val="24"/>
          <w:highlight w:val="none"/>
        </w:rPr>
        <w:t>应认真阅读</w:t>
      </w:r>
      <w:r>
        <w:rPr>
          <w:rFonts w:hint="eastAsia"/>
          <w:sz w:val="24"/>
          <w:highlight w:val="none"/>
        </w:rPr>
        <w:t>磋商</w:t>
      </w:r>
      <w:r>
        <w:rPr>
          <w:sz w:val="24"/>
          <w:highlight w:val="none"/>
        </w:rPr>
        <w:t>文件所有的事项、格式、条款和技术规范等。</w:t>
      </w:r>
    </w:p>
    <w:p>
      <w:pPr>
        <w:spacing w:line="360" w:lineRule="auto"/>
        <w:ind w:firstLine="482" w:firstLineChars="200"/>
        <w:rPr>
          <w:b/>
          <w:sz w:val="24"/>
          <w:highlight w:val="none"/>
        </w:rPr>
      </w:pPr>
      <w:r>
        <w:rPr>
          <w:rFonts w:hint="eastAsia"/>
          <w:b/>
          <w:sz w:val="24"/>
          <w:highlight w:val="none"/>
        </w:rPr>
        <w:t>9</w:t>
      </w:r>
      <w:r>
        <w:rPr>
          <w:b/>
          <w:sz w:val="24"/>
          <w:highlight w:val="none"/>
        </w:rPr>
        <w:t>.</w:t>
      </w:r>
      <w:r>
        <w:rPr>
          <w:rFonts w:hint="eastAsia"/>
          <w:b/>
          <w:sz w:val="24"/>
          <w:highlight w:val="none"/>
        </w:rPr>
        <w:t>磋商范围及响应文件</w:t>
      </w:r>
      <w:r>
        <w:rPr>
          <w:rFonts w:hint="eastAsia"/>
          <w:b/>
          <w:sz w:val="24"/>
          <w:highlight w:val="none"/>
          <w:lang w:eastAsia="zh-CN"/>
        </w:rPr>
        <w:t>成交</w:t>
      </w:r>
      <w:r>
        <w:rPr>
          <w:rFonts w:hint="eastAsia"/>
          <w:b/>
          <w:sz w:val="24"/>
          <w:highlight w:val="none"/>
        </w:rPr>
        <w:t>准和计量单位的使用</w:t>
      </w:r>
    </w:p>
    <w:p>
      <w:pPr>
        <w:spacing w:line="360" w:lineRule="auto"/>
        <w:ind w:firstLine="480" w:firstLineChars="200"/>
        <w:rPr>
          <w:sz w:val="24"/>
          <w:highlight w:val="none"/>
        </w:rPr>
      </w:pPr>
      <w:r>
        <w:rPr>
          <w:sz w:val="24"/>
          <w:highlight w:val="none"/>
        </w:rPr>
        <w:t>9.1</w:t>
      </w:r>
      <w:r>
        <w:rPr>
          <w:rFonts w:hint="eastAsia"/>
          <w:sz w:val="24"/>
          <w:highlight w:val="none"/>
          <w:lang w:val="en-US" w:eastAsia="zh-CN"/>
        </w:rPr>
        <w:t xml:space="preserve"> </w:t>
      </w:r>
      <w:r>
        <w:rPr>
          <w:sz w:val="24"/>
          <w:highlight w:val="none"/>
        </w:rPr>
        <w:t>项目有分包的，</w:t>
      </w:r>
      <w:r>
        <w:rPr>
          <w:rFonts w:hint="eastAsia"/>
          <w:sz w:val="24"/>
          <w:szCs w:val="18"/>
          <w:highlight w:val="none"/>
        </w:rPr>
        <w:t>参审单位</w:t>
      </w:r>
      <w:r>
        <w:rPr>
          <w:sz w:val="24"/>
          <w:highlight w:val="none"/>
        </w:rPr>
        <w:t>可</w:t>
      </w:r>
      <w:r>
        <w:rPr>
          <w:rFonts w:hint="eastAsia"/>
          <w:sz w:val="24"/>
          <w:highlight w:val="none"/>
        </w:rPr>
        <w:t>参与</w:t>
      </w:r>
      <w:r>
        <w:rPr>
          <w:sz w:val="24"/>
          <w:highlight w:val="none"/>
        </w:rPr>
        <w:t>其中某一个或</w:t>
      </w:r>
      <w:r>
        <w:rPr>
          <w:rFonts w:hint="eastAsia"/>
          <w:sz w:val="24"/>
          <w:highlight w:val="none"/>
        </w:rPr>
        <w:t>多</w:t>
      </w:r>
      <w:r>
        <w:rPr>
          <w:sz w:val="24"/>
          <w:highlight w:val="none"/>
        </w:rPr>
        <w:t>个分包</w:t>
      </w:r>
      <w:r>
        <w:rPr>
          <w:rFonts w:hint="eastAsia"/>
          <w:sz w:val="24"/>
          <w:highlight w:val="none"/>
        </w:rPr>
        <w:t>的磋商</w:t>
      </w:r>
      <w:r>
        <w:rPr>
          <w:sz w:val="24"/>
          <w:highlight w:val="none"/>
        </w:rPr>
        <w:t>，</w:t>
      </w:r>
      <w:r>
        <w:rPr>
          <w:rFonts w:hint="eastAsia"/>
          <w:sz w:val="24"/>
          <w:highlight w:val="none"/>
        </w:rPr>
        <w:t>成交包数详见</w:t>
      </w:r>
      <w:r>
        <w:rPr>
          <w:rFonts w:hint="eastAsia"/>
          <w:sz w:val="24"/>
          <w:highlight w:val="none"/>
          <w:u w:val="single"/>
          <w:lang w:val="en-US" w:eastAsia="zh-CN"/>
        </w:rPr>
        <w:t xml:space="preserve"> </w:t>
      </w:r>
      <w:r>
        <w:rPr>
          <w:rFonts w:hint="eastAsia"/>
          <w:sz w:val="24"/>
          <w:szCs w:val="18"/>
          <w:highlight w:val="none"/>
          <w:u w:val="single"/>
        </w:rPr>
        <w:t>参审单位</w:t>
      </w:r>
      <w:r>
        <w:rPr>
          <w:sz w:val="24"/>
          <w:highlight w:val="none"/>
          <w:u w:val="single"/>
        </w:rPr>
        <w:t>须知前附表</w:t>
      </w:r>
      <w:r>
        <w:rPr>
          <w:rFonts w:hint="eastAsia"/>
          <w:sz w:val="24"/>
          <w:highlight w:val="none"/>
          <w:u w:val="single"/>
          <w:lang w:val="en-US" w:eastAsia="zh-CN"/>
        </w:rPr>
        <w:t xml:space="preserve"> </w:t>
      </w:r>
      <w:r>
        <w:rPr>
          <w:sz w:val="24"/>
          <w:highlight w:val="none"/>
        </w:rPr>
        <w:t>中规定。</w:t>
      </w:r>
    </w:p>
    <w:p>
      <w:pPr>
        <w:spacing w:line="360" w:lineRule="auto"/>
        <w:ind w:firstLine="480" w:firstLineChars="200"/>
        <w:rPr>
          <w:sz w:val="24"/>
          <w:highlight w:val="none"/>
        </w:rPr>
      </w:pPr>
      <w:r>
        <w:rPr>
          <w:sz w:val="24"/>
          <w:highlight w:val="none"/>
        </w:rPr>
        <w:t>9.</w:t>
      </w:r>
      <w:r>
        <w:rPr>
          <w:rFonts w:hint="eastAsia"/>
          <w:sz w:val="24"/>
          <w:highlight w:val="none"/>
        </w:rPr>
        <w:t>2</w:t>
      </w:r>
      <w:r>
        <w:rPr>
          <w:rFonts w:hint="eastAsia"/>
          <w:sz w:val="24"/>
          <w:highlight w:val="none"/>
          <w:lang w:val="en-US" w:eastAsia="zh-CN"/>
        </w:rPr>
        <w:t xml:space="preserve"> </w:t>
      </w:r>
      <w:r>
        <w:rPr>
          <w:sz w:val="24"/>
          <w:highlight w:val="none"/>
        </w:rPr>
        <w:t>无论磋商文件中是否要求，</w:t>
      </w:r>
      <w:r>
        <w:rPr>
          <w:rFonts w:hint="eastAsia"/>
          <w:sz w:val="24"/>
          <w:szCs w:val="18"/>
          <w:highlight w:val="none"/>
        </w:rPr>
        <w:t>参审单位</w:t>
      </w:r>
      <w:r>
        <w:rPr>
          <w:sz w:val="24"/>
          <w:highlight w:val="none"/>
        </w:rPr>
        <w:t>所</w:t>
      </w:r>
      <w:r>
        <w:rPr>
          <w:rFonts w:hint="eastAsia"/>
          <w:sz w:val="24"/>
          <w:highlight w:val="none"/>
        </w:rPr>
        <w:t>承担</w:t>
      </w:r>
      <w:r>
        <w:rPr>
          <w:sz w:val="24"/>
          <w:highlight w:val="none"/>
        </w:rPr>
        <w:t>工程及伴随的货物和</w:t>
      </w:r>
      <w:r>
        <w:rPr>
          <w:rFonts w:hint="eastAsia"/>
          <w:sz w:val="24"/>
          <w:highlight w:val="none"/>
        </w:rPr>
        <w:t>服务</w:t>
      </w:r>
      <w:r>
        <w:rPr>
          <w:sz w:val="24"/>
          <w:highlight w:val="none"/>
        </w:rPr>
        <w:t>均应符合国家强制性标准。</w:t>
      </w:r>
    </w:p>
    <w:p>
      <w:pPr>
        <w:spacing w:line="360" w:lineRule="auto"/>
        <w:ind w:firstLine="480" w:firstLineChars="200"/>
        <w:rPr>
          <w:sz w:val="24"/>
          <w:highlight w:val="none"/>
        </w:rPr>
      </w:pPr>
      <w:r>
        <w:rPr>
          <w:sz w:val="24"/>
          <w:highlight w:val="none"/>
        </w:rPr>
        <w:t>9.</w:t>
      </w:r>
      <w:r>
        <w:rPr>
          <w:rFonts w:hint="eastAsia"/>
          <w:sz w:val="24"/>
          <w:highlight w:val="none"/>
        </w:rPr>
        <w:t>3</w:t>
      </w:r>
      <w:r>
        <w:rPr>
          <w:rFonts w:hint="eastAsia"/>
          <w:sz w:val="24"/>
          <w:highlight w:val="none"/>
          <w:lang w:val="en-US" w:eastAsia="zh-CN"/>
        </w:rPr>
        <w:t xml:space="preserve"> </w:t>
      </w:r>
      <w:r>
        <w:rPr>
          <w:rFonts w:hint="eastAsia"/>
          <w:sz w:val="24"/>
          <w:szCs w:val="18"/>
          <w:highlight w:val="none"/>
        </w:rPr>
        <w:t>参审单位</w:t>
      </w:r>
      <w:r>
        <w:rPr>
          <w:sz w:val="24"/>
          <w:highlight w:val="none"/>
        </w:rPr>
        <w:t>与</w:t>
      </w:r>
      <w:r>
        <w:rPr>
          <w:rFonts w:hint="eastAsia"/>
          <w:sz w:val="24"/>
          <w:highlight w:val="none"/>
        </w:rPr>
        <w:t>代理机构</w:t>
      </w:r>
      <w:r>
        <w:rPr>
          <w:sz w:val="24"/>
          <w:highlight w:val="none"/>
        </w:rPr>
        <w:t>之间与磋商有关的所有往来通知、函件和响应文件均用中文表述。</w:t>
      </w:r>
      <w:r>
        <w:rPr>
          <w:rFonts w:hint="eastAsia"/>
          <w:sz w:val="24"/>
          <w:szCs w:val="18"/>
          <w:highlight w:val="none"/>
        </w:rPr>
        <w:t>参审单位</w:t>
      </w:r>
      <w:r>
        <w:rPr>
          <w:sz w:val="24"/>
          <w:highlight w:val="none"/>
        </w:rPr>
        <w:t>随响应文件提供的证明文件和资料可以</w:t>
      </w:r>
      <w:r>
        <w:rPr>
          <w:rFonts w:hint="eastAsia"/>
          <w:sz w:val="24"/>
          <w:highlight w:val="none"/>
          <w:lang w:eastAsia="zh-CN"/>
        </w:rPr>
        <w:t>为其他</w:t>
      </w:r>
      <w:r>
        <w:rPr>
          <w:sz w:val="24"/>
          <w:highlight w:val="none"/>
        </w:rPr>
        <w:t>语言，但必须附中文译文。翻译的中文资料与外文资料如果出现差异时，以中文为准。</w:t>
      </w:r>
    </w:p>
    <w:p>
      <w:pPr>
        <w:spacing w:line="360" w:lineRule="auto"/>
        <w:ind w:firstLine="480" w:firstLineChars="200"/>
        <w:rPr>
          <w:sz w:val="24"/>
          <w:highlight w:val="none"/>
        </w:rPr>
      </w:pPr>
      <w:r>
        <w:rPr>
          <w:sz w:val="24"/>
          <w:highlight w:val="none"/>
        </w:rPr>
        <w:t>9.</w:t>
      </w:r>
      <w:r>
        <w:rPr>
          <w:rFonts w:hint="eastAsia"/>
          <w:sz w:val="24"/>
          <w:highlight w:val="none"/>
        </w:rPr>
        <w:t>4</w:t>
      </w:r>
      <w:r>
        <w:rPr>
          <w:rFonts w:hint="eastAsia"/>
          <w:sz w:val="24"/>
          <w:highlight w:val="none"/>
          <w:lang w:val="en-US" w:eastAsia="zh-CN"/>
        </w:rPr>
        <w:t xml:space="preserve"> </w:t>
      </w:r>
      <w:r>
        <w:rPr>
          <w:sz w:val="24"/>
          <w:highlight w:val="none"/>
        </w:rPr>
        <w:t>除磋商文件中有特殊要求外，响应文件中所使用的计量单位，应采用中华人民共和国法定计量单位。</w:t>
      </w:r>
    </w:p>
    <w:p>
      <w:pPr>
        <w:spacing w:line="360" w:lineRule="auto"/>
        <w:ind w:firstLine="482" w:firstLineChars="200"/>
        <w:rPr>
          <w:b/>
          <w:sz w:val="24"/>
          <w:highlight w:val="none"/>
        </w:rPr>
      </w:pPr>
      <w:r>
        <w:rPr>
          <w:rFonts w:hint="eastAsia"/>
          <w:b/>
          <w:sz w:val="24"/>
          <w:highlight w:val="none"/>
        </w:rPr>
        <w:t>1</w:t>
      </w:r>
      <w:r>
        <w:rPr>
          <w:b/>
          <w:sz w:val="24"/>
          <w:highlight w:val="none"/>
        </w:rPr>
        <w:t>0.</w:t>
      </w:r>
      <w:r>
        <w:rPr>
          <w:rFonts w:hint="eastAsia"/>
          <w:b/>
          <w:sz w:val="24"/>
          <w:highlight w:val="none"/>
        </w:rPr>
        <w:t>响应文件构成</w:t>
      </w:r>
    </w:p>
    <w:p>
      <w:pPr>
        <w:spacing w:line="360" w:lineRule="auto"/>
        <w:ind w:firstLine="480" w:firstLineChars="200"/>
        <w:rPr>
          <w:sz w:val="24"/>
          <w:highlight w:val="none"/>
        </w:rPr>
      </w:pPr>
      <w:r>
        <w:rPr>
          <w:sz w:val="24"/>
          <w:highlight w:val="none"/>
        </w:rPr>
        <w:t>10.1</w:t>
      </w:r>
      <w:r>
        <w:rPr>
          <w:rFonts w:hint="eastAsia"/>
          <w:sz w:val="24"/>
          <w:highlight w:val="none"/>
          <w:lang w:val="en-US" w:eastAsia="zh-CN"/>
        </w:rPr>
        <w:t xml:space="preserve"> </w:t>
      </w:r>
      <w:r>
        <w:rPr>
          <w:rFonts w:hint="eastAsia"/>
          <w:sz w:val="24"/>
          <w:szCs w:val="18"/>
          <w:highlight w:val="none"/>
        </w:rPr>
        <w:t>参审单位</w:t>
      </w:r>
      <w:r>
        <w:rPr>
          <w:sz w:val="24"/>
          <w:highlight w:val="none"/>
        </w:rPr>
        <w:t>应完整地按磋商文件提供的响应文件格式及要求编写响应文件，具体内容详见</w:t>
      </w:r>
      <w:r>
        <w:rPr>
          <w:rFonts w:hint="eastAsia"/>
          <w:sz w:val="24"/>
          <w:highlight w:val="none"/>
          <w:lang w:eastAsia="zh-CN"/>
        </w:rPr>
        <w:t>第六章</w:t>
      </w:r>
      <w:r>
        <w:rPr>
          <w:sz w:val="24"/>
          <w:highlight w:val="none"/>
        </w:rPr>
        <w:t>响应文件格式的相关内容。</w:t>
      </w:r>
    </w:p>
    <w:p>
      <w:pPr>
        <w:spacing w:line="360" w:lineRule="auto"/>
        <w:ind w:firstLine="480" w:firstLineChars="200"/>
        <w:rPr>
          <w:sz w:val="24"/>
          <w:highlight w:val="none"/>
        </w:rPr>
      </w:pPr>
      <w:r>
        <w:rPr>
          <w:sz w:val="24"/>
          <w:highlight w:val="none"/>
        </w:rPr>
        <w:t>10.2</w:t>
      </w:r>
      <w:r>
        <w:rPr>
          <w:rFonts w:hint="eastAsia"/>
          <w:sz w:val="24"/>
          <w:highlight w:val="none"/>
          <w:lang w:val="en-US" w:eastAsia="zh-CN"/>
        </w:rPr>
        <w:t xml:space="preserve"> </w:t>
      </w:r>
      <w:r>
        <w:rPr>
          <w:sz w:val="24"/>
          <w:highlight w:val="none"/>
        </w:rPr>
        <w:t>上述文件应按照磋商文件规定的格式填写、签署和盖章。</w:t>
      </w:r>
    </w:p>
    <w:p>
      <w:pPr>
        <w:spacing w:line="360" w:lineRule="auto"/>
        <w:ind w:firstLine="482" w:firstLineChars="200"/>
        <w:rPr>
          <w:b/>
          <w:sz w:val="24"/>
          <w:highlight w:val="none"/>
        </w:rPr>
      </w:pPr>
      <w:r>
        <w:rPr>
          <w:rFonts w:hint="eastAsia"/>
          <w:b/>
          <w:sz w:val="24"/>
          <w:highlight w:val="none"/>
        </w:rPr>
        <w:t>1</w:t>
      </w:r>
      <w:r>
        <w:rPr>
          <w:b/>
          <w:sz w:val="24"/>
          <w:highlight w:val="none"/>
        </w:rPr>
        <w:t>1.</w:t>
      </w:r>
      <w:r>
        <w:rPr>
          <w:rFonts w:hint="eastAsia"/>
          <w:b/>
          <w:sz w:val="24"/>
          <w:highlight w:val="none"/>
        </w:rPr>
        <w:t>证明标的的合格性和符合磋商文件规定的技术文件</w:t>
      </w:r>
    </w:p>
    <w:p>
      <w:pPr>
        <w:spacing w:line="360" w:lineRule="auto"/>
        <w:ind w:firstLine="480" w:firstLineChars="200"/>
        <w:rPr>
          <w:sz w:val="24"/>
          <w:highlight w:val="none"/>
        </w:rPr>
      </w:pPr>
      <w:r>
        <w:rPr>
          <w:sz w:val="24"/>
          <w:highlight w:val="none"/>
        </w:rPr>
        <w:t>1</w:t>
      </w:r>
      <w:r>
        <w:rPr>
          <w:rFonts w:hint="eastAsia"/>
          <w:sz w:val="24"/>
          <w:highlight w:val="none"/>
        </w:rPr>
        <w:t>1</w:t>
      </w:r>
      <w:r>
        <w:rPr>
          <w:sz w:val="24"/>
          <w:highlight w:val="none"/>
        </w:rPr>
        <w:t>.1</w:t>
      </w:r>
      <w:r>
        <w:rPr>
          <w:rFonts w:hint="eastAsia"/>
          <w:sz w:val="24"/>
          <w:highlight w:val="none"/>
          <w:lang w:val="en-US" w:eastAsia="zh-CN"/>
        </w:rPr>
        <w:t xml:space="preserve"> </w:t>
      </w:r>
      <w:r>
        <w:rPr>
          <w:rFonts w:hint="eastAsia"/>
          <w:sz w:val="24"/>
          <w:szCs w:val="18"/>
          <w:highlight w:val="none"/>
        </w:rPr>
        <w:t>参审单位</w:t>
      </w:r>
      <w:r>
        <w:rPr>
          <w:rFonts w:hint="eastAsia"/>
          <w:sz w:val="24"/>
          <w:highlight w:val="none"/>
        </w:rPr>
        <w:t>应提交磋商文件要求的证明文件，证明其响应内容符合磋商文件规定。该证明文件是响应文件的一部分</w:t>
      </w:r>
      <w:r>
        <w:rPr>
          <w:sz w:val="24"/>
          <w:highlight w:val="none"/>
        </w:rPr>
        <w:t>。</w:t>
      </w:r>
    </w:p>
    <w:p>
      <w:pPr>
        <w:spacing w:line="360" w:lineRule="auto"/>
        <w:ind w:firstLine="480" w:firstLineChars="200"/>
        <w:rPr>
          <w:sz w:val="24"/>
          <w:highlight w:val="none"/>
        </w:rPr>
      </w:pPr>
      <w:r>
        <w:rPr>
          <w:sz w:val="24"/>
          <w:highlight w:val="none"/>
        </w:rPr>
        <w:t>1</w:t>
      </w:r>
      <w:r>
        <w:rPr>
          <w:rFonts w:hint="eastAsia"/>
          <w:sz w:val="24"/>
          <w:highlight w:val="none"/>
        </w:rPr>
        <w:t>1</w:t>
      </w:r>
      <w:r>
        <w:rPr>
          <w:sz w:val="24"/>
          <w:highlight w:val="none"/>
        </w:rPr>
        <w:t>.2</w:t>
      </w:r>
      <w:r>
        <w:rPr>
          <w:rFonts w:hint="eastAsia"/>
          <w:sz w:val="24"/>
          <w:highlight w:val="none"/>
          <w:lang w:val="en-US" w:eastAsia="zh-CN"/>
        </w:rPr>
        <w:t xml:space="preserve"> </w:t>
      </w:r>
      <w:r>
        <w:rPr>
          <w:sz w:val="24"/>
          <w:highlight w:val="none"/>
        </w:rPr>
        <w:t>上款所述的证明文件，可以是文字资料、图纸和数据</w:t>
      </w:r>
      <w:bookmarkStart w:id="17" w:name="_Hlk11703583"/>
      <w:r>
        <w:rPr>
          <w:rFonts w:hint="eastAsia"/>
          <w:sz w:val="24"/>
          <w:highlight w:val="none"/>
        </w:rPr>
        <w:t>。</w:t>
      </w:r>
    </w:p>
    <w:bookmarkEnd w:id="17"/>
    <w:p>
      <w:pPr>
        <w:spacing w:line="360" w:lineRule="auto"/>
        <w:ind w:firstLine="480" w:firstLineChars="200"/>
        <w:rPr>
          <w:sz w:val="24"/>
          <w:highlight w:val="none"/>
        </w:rPr>
      </w:pPr>
      <w:r>
        <w:rPr>
          <w:rFonts w:hint="eastAsia"/>
          <w:sz w:val="24"/>
          <w:highlight w:val="none"/>
        </w:rPr>
        <w:t>1</w:t>
      </w:r>
      <w:r>
        <w:rPr>
          <w:sz w:val="24"/>
          <w:highlight w:val="none"/>
        </w:rPr>
        <w:t>1.3</w:t>
      </w:r>
      <w:r>
        <w:rPr>
          <w:rFonts w:hint="eastAsia"/>
          <w:sz w:val="24"/>
          <w:highlight w:val="none"/>
          <w:lang w:val="en-US" w:eastAsia="zh-CN"/>
        </w:rPr>
        <w:t xml:space="preserve"> </w:t>
      </w:r>
      <w:r>
        <w:rPr>
          <w:rFonts w:hint="eastAsia"/>
          <w:sz w:val="24"/>
          <w:highlight w:val="none"/>
        </w:rPr>
        <w:t>本条所指证明文件不包括对磋商文件相关部分的文字、图标的复制。</w:t>
      </w:r>
    </w:p>
    <w:p>
      <w:pPr>
        <w:spacing w:line="360" w:lineRule="auto"/>
        <w:ind w:firstLine="480" w:firstLineChars="200"/>
        <w:rPr>
          <w:sz w:val="24"/>
          <w:highlight w:val="none"/>
        </w:rPr>
      </w:pPr>
      <w:r>
        <w:rPr>
          <w:sz w:val="24"/>
          <w:highlight w:val="none"/>
        </w:rPr>
        <w:t>1</w:t>
      </w:r>
      <w:r>
        <w:rPr>
          <w:rFonts w:hint="eastAsia"/>
          <w:sz w:val="24"/>
          <w:highlight w:val="none"/>
        </w:rPr>
        <w:t>1</w:t>
      </w:r>
      <w:r>
        <w:rPr>
          <w:sz w:val="24"/>
          <w:highlight w:val="none"/>
        </w:rPr>
        <w:t>.</w:t>
      </w:r>
      <w:r>
        <w:rPr>
          <w:rFonts w:hint="eastAsia"/>
          <w:sz w:val="24"/>
          <w:highlight w:val="none"/>
        </w:rPr>
        <w:t>4</w:t>
      </w:r>
      <w:r>
        <w:rPr>
          <w:rFonts w:hint="eastAsia"/>
          <w:sz w:val="24"/>
          <w:highlight w:val="none"/>
          <w:lang w:val="en-US" w:eastAsia="zh-CN"/>
        </w:rPr>
        <w:t xml:space="preserve"> </w:t>
      </w:r>
      <w:r>
        <w:rPr>
          <w:sz w:val="24"/>
          <w:highlight w:val="none"/>
        </w:rPr>
        <w:t>为保证公平公正，除非磋商文件另有规定或说明，</w:t>
      </w:r>
      <w:r>
        <w:rPr>
          <w:rFonts w:hint="eastAsia"/>
          <w:sz w:val="24"/>
          <w:szCs w:val="18"/>
          <w:highlight w:val="none"/>
        </w:rPr>
        <w:t>参审单位</w:t>
      </w:r>
      <w:r>
        <w:rPr>
          <w:sz w:val="24"/>
          <w:highlight w:val="none"/>
        </w:rPr>
        <w:t>对同一项目</w:t>
      </w:r>
      <w:r>
        <w:rPr>
          <w:rFonts w:hint="eastAsia"/>
          <w:sz w:val="24"/>
          <w:highlight w:val="none"/>
        </w:rPr>
        <w:t>磋商</w:t>
      </w:r>
      <w:r>
        <w:rPr>
          <w:sz w:val="24"/>
          <w:highlight w:val="none"/>
        </w:rPr>
        <w:t>时，不得同时提供</w:t>
      </w:r>
      <w:r>
        <w:rPr>
          <w:rFonts w:hint="eastAsia"/>
          <w:sz w:val="24"/>
          <w:highlight w:val="none"/>
        </w:rPr>
        <w:t>备选磋商</w:t>
      </w:r>
      <w:r>
        <w:rPr>
          <w:sz w:val="24"/>
          <w:highlight w:val="none"/>
        </w:rPr>
        <w:t>方案。</w:t>
      </w:r>
    </w:p>
    <w:p>
      <w:pPr>
        <w:spacing w:line="360" w:lineRule="auto"/>
        <w:ind w:firstLine="482" w:firstLineChars="200"/>
        <w:rPr>
          <w:b/>
          <w:sz w:val="24"/>
          <w:highlight w:val="none"/>
        </w:rPr>
      </w:pPr>
      <w:r>
        <w:rPr>
          <w:rFonts w:hint="eastAsia"/>
          <w:b/>
          <w:sz w:val="24"/>
          <w:highlight w:val="none"/>
        </w:rPr>
        <w:t>1</w:t>
      </w:r>
      <w:r>
        <w:rPr>
          <w:b/>
          <w:sz w:val="24"/>
          <w:highlight w:val="none"/>
        </w:rPr>
        <w:t>2.</w:t>
      </w:r>
      <w:r>
        <w:rPr>
          <w:rFonts w:hint="eastAsia"/>
          <w:b/>
          <w:sz w:val="24"/>
          <w:highlight w:val="none"/>
        </w:rPr>
        <w:t>报价</w:t>
      </w:r>
    </w:p>
    <w:p>
      <w:pPr>
        <w:spacing w:line="360" w:lineRule="auto"/>
        <w:ind w:firstLine="480" w:firstLineChars="200"/>
        <w:rPr>
          <w:sz w:val="24"/>
          <w:highlight w:val="none"/>
        </w:rPr>
      </w:pPr>
      <w:r>
        <w:rPr>
          <w:sz w:val="24"/>
          <w:highlight w:val="none"/>
        </w:rPr>
        <w:t>1</w:t>
      </w:r>
      <w:r>
        <w:rPr>
          <w:rFonts w:hint="eastAsia"/>
          <w:sz w:val="24"/>
          <w:highlight w:val="none"/>
        </w:rPr>
        <w:t>2</w:t>
      </w:r>
      <w:r>
        <w:rPr>
          <w:sz w:val="24"/>
          <w:highlight w:val="none"/>
        </w:rPr>
        <w:t>.1</w:t>
      </w:r>
      <w:r>
        <w:rPr>
          <w:rFonts w:hint="eastAsia"/>
          <w:sz w:val="24"/>
          <w:highlight w:val="none"/>
          <w:lang w:val="en-US" w:eastAsia="zh-CN"/>
        </w:rPr>
        <w:t xml:space="preserve"> </w:t>
      </w:r>
      <w:r>
        <w:rPr>
          <w:rFonts w:hint="eastAsia"/>
          <w:sz w:val="24"/>
          <w:szCs w:val="18"/>
          <w:highlight w:val="none"/>
        </w:rPr>
        <w:t>参审单位</w:t>
      </w:r>
      <w:r>
        <w:rPr>
          <w:sz w:val="24"/>
          <w:highlight w:val="none"/>
        </w:rPr>
        <w:t>的报价应当包括满足本次</w:t>
      </w:r>
      <w:r>
        <w:rPr>
          <w:rFonts w:hint="eastAsia"/>
          <w:sz w:val="24"/>
          <w:highlight w:val="none"/>
        </w:rPr>
        <w:t>磋商</w:t>
      </w:r>
      <w:r>
        <w:rPr>
          <w:sz w:val="24"/>
          <w:highlight w:val="none"/>
        </w:rPr>
        <w:t>全部</w:t>
      </w:r>
      <w:r>
        <w:rPr>
          <w:rFonts w:hint="eastAsia"/>
          <w:sz w:val="24"/>
          <w:highlight w:val="none"/>
        </w:rPr>
        <w:t>内容。所有报价均应以人民币报价，</w:t>
      </w:r>
      <w:r>
        <w:rPr>
          <w:rFonts w:hint="eastAsia"/>
          <w:sz w:val="24"/>
          <w:szCs w:val="18"/>
          <w:highlight w:val="none"/>
        </w:rPr>
        <w:t>参审单位</w:t>
      </w:r>
      <w:r>
        <w:rPr>
          <w:rFonts w:hint="eastAsia"/>
          <w:sz w:val="24"/>
          <w:highlight w:val="none"/>
        </w:rPr>
        <w:t>的磋商报价应遵守《中华人民共和国价格法》。</w:t>
      </w:r>
    </w:p>
    <w:p>
      <w:pPr>
        <w:spacing w:line="360" w:lineRule="auto"/>
        <w:ind w:firstLine="480" w:firstLineChars="200"/>
        <w:rPr>
          <w:sz w:val="24"/>
          <w:highlight w:val="none"/>
        </w:rPr>
      </w:pPr>
      <w:r>
        <w:rPr>
          <w:sz w:val="24"/>
          <w:highlight w:val="none"/>
        </w:rPr>
        <w:t>12.</w:t>
      </w:r>
      <w:r>
        <w:rPr>
          <w:rFonts w:hint="eastAsia"/>
          <w:sz w:val="24"/>
          <w:highlight w:val="none"/>
        </w:rPr>
        <w:t>2</w:t>
      </w:r>
      <w:r>
        <w:rPr>
          <w:rFonts w:hint="eastAsia"/>
          <w:sz w:val="24"/>
          <w:highlight w:val="none"/>
          <w:lang w:val="en-US" w:eastAsia="zh-CN"/>
        </w:rPr>
        <w:t xml:space="preserve"> </w:t>
      </w:r>
      <w:r>
        <w:rPr>
          <w:rFonts w:hint="eastAsia"/>
          <w:sz w:val="24"/>
          <w:szCs w:val="18"/>
          <w:highlight w:val="none"/>
        </w:rPr>
        <w:t>参审单位</w:t>
      </w:r>
      <w:r>
        <w:rPr>
          <w:rFonts w:hint="eastAsia"/>
          <w:sz w:val="24"/>
          <w:highlight w:val="none"/>
        </w:rPr>
        <w:t>应在分项报价表上标明磋商工程的单价（如适用）和总价，未标明的视同包含在磋商报价中。</w:t>
      </w:r>
    </w:p>
    <w:p>
      <w:pPr>
        <w:spacing w:line="360" w:lineRule="auto"/>
        <w:ind w:firstLine="480" w:firstLineChars="200"/>
        <w:rPr>
          <w:sz w:val="24"/>
          <w:highlight w:val="none"/>
        </w:rPr>
      </w:pPr>
      <w:r>
        <w:rPr>
          <w:sz w:val="24"/>
          <w:highlight w:val="none"/>
        </w:rPr>
        <w:t>12.</w:t>
      </w:r>
      <w:r>
        <w:rPr>
          <w:rFonts w:hint="eastAsia"/>
          <w:sz w:val="24"/>
          <w:highlight w:val="none"/>
        </w:rPr>
        <w:t>3</w:t>
      </w:r>
      <w:r>
        <w:rPr>
          <w:rFonts w:hint="eastAsia"/>
          <w:sz w:val="24"/>
          <w:highlight w:val="none"/>
          <w:lang w:val="en-US" w:eastAsia="zh-CN"/>
        </w:rPr>
        <w:t xml:space="preserve"> </w:t>
      </w:r>
      <w:r>
        <w:rPr>
          <w:sz w:val="24"/>
          <w:highlight w:val="none"/>
        </w:rPr>
        <w:t>报价不得高于磋商文件（公告）列明的项目预算</w:t>
      </w:r>
      <w:r>
        <w:rPr>
          <w:rFonts w:hint="eastAsia"/>
          <w:sz w:val="24"/>
          <w:highlight w:val="none"/>
        </w:rPr>
        <w:t>、最高限价（控制价）</w:t>
      </w:r>
      <w:r>
        <w:rPr>
          <w:sz w:val="24"/>
          <w:highlight w:val="none"/>
        </w:rPr>
        <w:t>，否则其响应文件将被认定为</w:t>
      </w:r>
      <w:r>
        <w:rPr>
          <w:b/>
          <w:sz w:val="24"/>
          <w:highlight w:val="none"/>
        </w:rPr>
        <w:t>响应无效</w:t>
      </w:r>
      <w:r>
        <w:rPr>
          <w:sz w:val="24"/>
          <w:highlight w:val="none"/>
        </w:rPr>
        <w:t>。</w:t>
      </w:r>
    </w:p>
    <w:p>
      <w:pPr>
        <w:spacing w:line="360" w:lineRule="auto"/>
        <w:ind w:firstLine="480" w:firstLineChars="200"/>
        <w:rPr>
          <w:sz w:val="24"/>
          <w:highlight w:val="none"/>
        </w:rPr>
      </w:pPr>
      <w:r>
        <w:rPr>
          <w:sz w:val="24"/>
          <w:highlight w:val="none"/>
        </w:rPr>
        <w:t>12.</w:t>
      </w:r>
      <w:r>
        <w:rPr>
          <w:rFonts w:hint="eastAsia"/>
          <w:sz w:val="24"/>
          <w:highlight w:val="none"/>
        </w:rPr>
        <w:t>4</w:t>
      </w:r>
      <w:r>
        <w:rPr>
          <w:rFonts w:hint="eastAsia"/>
          <w:sz w:val="24"/>
          <w:highlight w:val="none"/>
          <w:lang w:val="en-US" w:eastAsia="zh-CN"/>
        </w:rPr>
        <w:t xml:space="preserve"> </w:t>
      </w:r>
      <w:r>
        <w:rPr>
          <w:rFonts w:hint="eastAsia"/>
          <w:sz w:val="24"/>
          <w:highlight w:val="none"/>
        </w:rPr>
        <w:t>报价</w:t>
      </w:r>
      <w:r>
        <w:rPr>
          <w:sz w:val="24"/>
          <w:highlight w:val="none"/>
        </w:rPr>
        <w:t>在合同履行过程中是固定不变的，不得以任何理由予以变更。任何包含价格调整要求的</w:t>
      </w:r>
      <w:r>
        <w:rPr>
          <w:rFonts w:hint="eastAsia"/>
          <w:sz w:val="24"/>
          <w:highlight w:val="none"/>
        </w:rPr>
        <w:t>磋商</w:t>
      </w:r>
      <w:r>
        <w:rPr>
          <w:sz w:val="24"/>
          <w:highlight w:val="none"/>
        </w:rPr>
        <w:t>，其</w:t>
      </w:r>
      <w:r>
        <w:rPr>
          <w:rFonts w:hint="eastAsia"/>
          <w:sz w:val="24"/>
          <w:highlight w:val="none"/>
        </w:rPr>
        <w:t>响应文件将被认定为</w:t>
      </w:r>
      <w:r>
        <w:rPr>
          <w:rFonts w:hint="eastAsia"/>
          <w:b/>
          <w:sz w:val="24"/>
          <w:highlight w:val="none"/>
        </w:rPr>
        <w:t>响应无效</w:t>
      </w:r>
      <w:r>
        <w:rPr>
          <w:sz w:val="24"/>
          <w:highlight w:val="none"/>
        </w:rPr>
        <w:t>。</w:t>
      </w:r>
    </w:p>
    <w:p>
      <w:pPr>
        <w:spacing w:line="360" w:lineRule="auto"/>
        <w:ind w:firstLine="480" w:firstLineChars="200"/>
        <w:rPr>
          <w:sz w:val="24"/>
          <w:highlight w:val="none"/>
        </w:rPr>
      </w:pPr>
      <w:r>
        <w:rPr>
          <w:sz w:val="24"/>
          <w:highlight w:val="none"/>
        </w:rPr>
        <w:t>1</w:t>
      </w:r>
      <w:r>
        <w:rPr>
          <w:rFonts w:hint="eastAsia"/>
          <w:sz w:val="24"/>
          <w:highlight w:val="none"/>
        </w:rPr>
        <w:t>2</w:t>
      </w:r>
      <w:r>
        <w:rPr>
          <w:sz w:val="24"/>
          <w:highlight w:val="none"/>
        </w:rPr>
        <w:t>.</w:t>
      </w:r>
      <w:r>
        <w:rPr>
          <w:rFonts w:hint="eastAsia"/>
          <w:sz w:val="24"/>
          <w:highlight w:val="none"/>
        </w:rPr>
        <w:t>5</w:t>
      </w:r>
      <w:r>
        <w:rPr>
          <w:rFonts w:hint="eastAsia"/>
          <w:sz w:val="24"/>
          <w:highlight w:val="none"/>
          <w:lang w:val="en-US" w:eastAsia="zh-CN"/>
        </w:rPr>
        <w:t xml:space="preserve"> </w:t>
      </w:r>
      <w:r>
        <w:rPr>
          <w:rFonts w:hint="eastAsia"/>
          <w:sz w:val="24"/>
          <w:szCs w:val="18"/>
          <w:highlight w:val="none"/>
        </w:rPr>
        <w:t>业主单位</w:t>
      </w:r>
      <w:r>
        <w:rPr>
          <w:sz w:val="24"/>
          <w:highlight w:val="none"/>
        </w:rPr>
        <w:t>不接受具有附加条件的报价。</w:t>
      </w:r>
    </w:p>
    <w:p>
      <w:pPr>
        <w:spacing w:line="360" w:lineRule="auto"/>
        <w:ind w:firstLine="482" w:firstLineChars="200"/>
        <w:rPr>
          <w:b/>
          <w:sz w:val="24"/>
          <w:highlight w:val="none"/>
        </w:rPr>
      </w:pPr>
      <w:r>
        <w:rPr>
          <w:rFonts w:hint="eastAsia"/>
          <w:b/>
          <w:sz w:val="24"/>
          <w:highlight w:val="none"/>
        </w:rPr>
        <w:t>1</w:t>
      </w:r>
      <w:r>
        <w:rPr>
          <w:b/>
          <w:sz w:val="24"/>
          <w:highlight w:val="none"/>
        </w:rPr>
        <w:t>3.</w:t>
      </w:r>
      <w:r>
        <w:rPr>
          <w:rFonts w:hint="eastAsia"/>
          <w:b/>
          <w:sz w:val="24"/>
          <w:highlight w:val="none"/>
        </w:rPr>
        <w:t>磋商保证金</w:t>
      </w:r>
    </w:p>
    <w:p>
      <w:pPr>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.1</w:t>
      </w:r>
      <w:r>
        <w:rPr>
          <w:rFonts w:hint="eastAsia"/>
          <w:sz w:val="24"/>
          <w:highlight w:val="none"/>
          <w:lang w:val="en-US" w:eastAsia="zh-CN"/>
        </w:rPr>
        <w:t xml:space="preserve"> </w:t>
      </w:r>
      <w:r>
        <w:rPr>
          <w:rFonts w:hint="eastAsia"/>
          <w:sz w:val="24"/>
          <w:szCs w:val="18"/>
          <w:highlight w:val="none"/>
        </w:rPr>
        <w:t>参审单位</w:t>
      </w:r>
      <w:r>
        <w:rPr>
          <w:rFonts w:hint="eastAsia"/>
          <w:sz w:val="24"/>
          <w:highlight w:val="none"/>
        </w:rPr>
        <w:t>应提交</w:t>
      </w:r>
      <w:r>
        <w:rPr>
          <w:rFonts w:hint="eastAsia"/>
          <w:sz w:val="24"/>
          <w:highlight w:val="none"/>
          <w:u w:val="single"/>
          <w:lang w:val="en-US" w:eastAsia="zh-CN"/>
        </w:rPr>
        <w:t xml:space="preserve"> </w:t>
      </w:r>
      <w:r>
        <w:rPr>
          <w:rFonts w:hint="eastAsia"/>
          <w:sz w:val="24"/>
          <w:szCs w:val="18"/>
          <w:highlight w:val="none"/>
          <w:u w:val="single"/>
        </w:rPr>
        <w:t>参审单位</w:t>
      </w:r>
      <w:r>
        <w:rPr>
          <w:rFonts w:hint="eastAsia"/>
          <w:sz w:val="24"/>
          <w:highlight w:val="none"/>
          <w:u w:val="single"/>
        </w:rPr>
        <w:t>须知前附表</w:t>
      </w:r>
      <w:r>
        <w:rPr>
          <w:rFonts w:hint="eastAsia"/>
          <w:sz w:val="24"/>
          <w:highlight w:val="none"/>
          <w:u w:val="single"/>
          <w:lang w:val="en-US" w:eastAsia="zh-CN"/>
        </w:rPr>
        <w:t xml:space="preserve"> </w:t>
      </w:r>
      <w:r>
        <w:rPr>
          <w:rFonts w:hint="eastAsia"/>
          <w:sz w:val="24"/>
          <w:highlight w:val="none"/>
        </w:rPr>
        <w:t>中规定的磋商保证金，并作为其响应文件的一部分。</w:t>
      </w:r>
      <w:r>
        <w:rPr>
          <w:rFonts w:hint="eastAsia"/>
          <w:sz w:val="24"/>
          <w:szCs w:val="18"/>
          <w:highlight w:val="none"/>
        </w:rPr>
        <w:t>参审单位</w:t>
      </w:r>
      <w:r>
        <w:rPr>
          <w:rFonts w:hint="eastAsia"/>
          <w:sz w:val="24"/>
          <w:highlight w:val="none"/>
        </w:rPr>
        <w:t>未按规定提交磋商保证金的，其响应文件将被认定为</w:t>
      </w:r>
      <w:r>
        <w:rPr>
          <w:rFonts w:hint="eastAsia"/>
          <w:b/>
          <w:sz w:val="24"/>
          <w:highlight w:val="none"/>
        </w:rPr>
        <w:t>响应无效</w:t>
      </w:r>
      <w:r>
        <w:rPr>
          <w:rFonts w:hint="eastAsia"/>
          <w:sz w:val="24"/>
          <w:highlight w:val="none"/>
        </w:rPr>
        <w:t>。</w:t>
      </w:r>
    </w:p>
    <w:p>
      <w:pPr>
        <w:spacing w:line="360" w:lineRule="auto"/>
        <w:ind w:firstLine="480" w:firstLineChars="200"/>
        <w:rPr>
          <w:sz w:val="24"/>
          <w:highlight w:val="none"/>
        </w:rPr>
      </w:pPr>
      <w:r>
        <w:rPr>
          <w:rFonts w:hint="eastAsia"/>
          <w:sz w:val="24"/>
          <w:highlight w:val="none"/>
        </w:rPr>
        <w:t>1</w:t>
      </w:r>
      <w:r>
        <w:rPr>
          <w:sz w:val="24"/>
          <w:highlight w:val="none"/>
        </w:rPr>
        <w:t>3.2</w:t>
      </w:r>
      <w:r>
        <w:rPr>
          <w:rFonts w:hint="eastAsia"/>
          <w:sz w:val="24"/>
          <w:highlight w:val="none"/>
          <w:lang w:val="en-US" w:eastAsia="zh-CN"/>
        </w:rPr>
        <w:t xml:space="preserve"> </w:t>
      </w:r>
      <w:r>
        <w:rPr>
          <w:rFonts w:hint="eastAsia"/>
          <w:sz w:val="24"/>
          <w:szCs w:val="18"/>
          <w:highlight w:val="none"/>
        </w:rPr>
        <w:t>参审单位</w:t>
      </w:r>
      <w:r>
        <w:rPr>
          <w:rFonts w:hint="eastAsia"/>
          <w:sz w:val="24"/>
          <w:highlight w:val="none"/>
        </w:rPr>
        <w:t>请注意：</w:t>
      </w:r>
    </w:p>
    <w:p>
      <w:pPr>
        <w:spacing w:line="360" w:lineRule="auto"/>
        <w:ind w:firstLine="480" w:firstLineChars="200"/>
        <w:rPr>
          <w:sz w:val="24"/>
          <w:highlight w:val="none"/>
        </w:rPr>
      </w:pPr>
      <w:r>
        <w:rPr>
          <w:rFonts w:hint="eastAsia"/>
          <w:sz w:val="24"/>
          <w:highlight w:val="none"/>
        </w:rPr>
        <w:t>（</w:t>
      </w:r>
      <w:r>
        <w:rPr>
          <w:sz w:val="24"/>
          <w:highlight w:val="none"/>
        </w:rPr>
        <w:t>1）前次</w:t>
      </w:r>
      <w:r>
        <w:rPr>
          <w:rFonts w:hint="eastAsia"/>
          <w:sz w:val="24"/>
          <w:highlight w:val="none"/>
        </w:rPr>
        <w:t>磋商</w:t>
      </w:r>
      <w:r>
        <w:rPr>
          <w:sz w:val="24"/>
          <w:highlight w:val="none"/>
        </w:rPr>
        <w:t>失败的，</w:t>
      </w:r>
      <w:r>
        <w:rPr>
          <w:rFonts w:hint="eastAsia"/>
          <w:sz w:val="24"/>
          <w:highlight w:val="none"/>
        </w:rPr>
        <w:t>代理机构</w:t>
      </w:r>
      <w:r>
        <w:rPr>
          <w:sz w:val="24"/>
          <w:highlight w:val="none"/>
        </w:rPr>
        <w:t>将退还</w:t>
      </w:r>
      <w:r>
        <w:rPr>
          <w:rFonts w:hint="eastAsia"/>
          <w:sz w:val="24"/>
          <w:szCs w:val="18"/>
          <w:highlight w:val="none"/>
        </w:rPr>
        <w:t>参审单位</w:t>
      </w:r>
      <w:r>
        <w:rPr>
          <w:sz w:val="24"/>
          <w:highlight w:val="none"/>
        </w:rPr>
        <w:t>的</w:t>
      </w:r>
      <w:r>
        <w:rPr>
          <w:rFonts w:hint="eastAsia"/>
          <w:sz w:val="24"/>
          <w:highlight w:val="none"/>
        </w:rPr>
        <w:t>磋商</w:t>
      </w:r>
      <w:r>
        <w:rPr>
          <w:sz w:val="24"/>
          <w:highlight w:val="none"/>
        </w:rPr>
        <w:t>保证金</w:t>
      </w:r>
      <w:r>
        <w:rPr>
          <w:rFonts w:hint="eastAsia"/>
          <w:sz w:val="24"/>
          <w:highlight w:val="none"/>
        </w:rPr>
        <w:t>（不含工本费）</w:t>
      </w:r>
      <w:r>
        <w:rPr>
          <w:sz w:val="24"/>
          <w:highlight w:val="none"/>
        </w:rPr>
        <w:t>。</w:t>
      </w:r>
    </w:p>
    <w:p>
      <w:pPr>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代理机构磋商</w:t>
      </w:r>
      <w:r>
        <w:rPr>
          <w:sz w:val="24"/>
          <w:highlight w:val="none"/>
        </w:rPr>
        <w:t>保证金缴纳账号采用动态虚拟账号（分包项目每一个包别对应一个账号），项目</w:t>
      </w:r>
      <w:r>
        <w:rPr>
          <w:rFonts w:hint="eastAsia"/>
          <w:sz w:val="24"/>
          <w:highlight w:val="none"/>
        </w:rPr>
        <w:t>磋商</w:t>
      </w:r>
      <w:r>
        <w:rPr>
          <w:sz w:val="24"/>
          <w:highlight w:val="none"/>
        </w:rPr>
        <w:t>失败后，</w:t>
      </w:r>
      <w:r>
        <w:rPr>
          <w:rFonts w:hint="eastAsia"/>
          <w:sz w:val="24"/>
          <w:highlight w:val="none"/>
        </w:rPr>
        <w:t>磋商</w:t>
      </w:r>
      <w:r>
        <w:rPr>
          <w:sz w:val="24"/>
          <w:highlight w:val="none"/>
        </w:rPr>
        <w:t>保证金缴纳账号将会发生变化，请</w:t>
      </w:r>
      <w:r>
        <w:rPr>
          <w:rFonts w:hint="eastAsia"/>
          <w:sz w:val="24"/>
          <w:szCs w:val="18"/>
          <w:highlight w:val="none"/>
        </w:rPr>
        <w:t>参审单位</w:t>
      </w:r>
      <w:r>
        <w:rPr>
          <w:sz w:val="24"/>
          <w:highlight w:val="none"/>
        </w:rPr>
        <w:t>参与后续</w:t>
      </w:r>
      <w:r>
        <w:rPr>
          <w:rFonts w:hint="eastAsia"/>
          <w:sz w:val="24"/>
          <w:highlight w:val="none"/>
        </w:rPr>
        <w:t>磋商</w:t>
      </w:r>
      <w:r>
        <w:rPr>
          <w:sz w:val="24"/>
          <w:highlight w:val="none"/>
        </w:rPr>
        <w:t>时，注意勿将</w:t>
      </w:r>
      <w:r>
        <w:rPr>
          <w:rFonts w:hint="eastAsia"/>
          <w:sz w:val="24"/>
          <w:highlight w:val="none"/>
        </w:rPr>
        <w:t>磋商</w:t>
      </w:r>
      <w:r>
        <w:rPr>
          <w:sz w:val="24"/>
          <w:highlight w:val="none"/>
        </w:rPr>
        <w:t>保证金错交至其他项目虚拟账号或前次公告账号。</w:t>
      </w:r>
    </w:p>
    <w:p>
      <w:pPr>
        <w:spacing w:line="360" w:lineRule="auto"/>
        <w:ind w:firstLine="480" w:firstLineChars="200"/>
        <w:rPr>
          <w:sz w:val="24"/>
          <w:highlight w:val="none"/>
        </w:rPr>
      </w:pPr>
      <w:r>
        <w:rPr>
          <w:rFonts w:hint="eastAsia"/>
          <w:sz w:val="24"/>
          <w:highlight w:val="none"/>
        </w:rPr>
        <w:t>（</w:t>
      </w:r>
      <w:r>
        <w:rPr>
          <w:sz w:val="24"/>
          <w:highlight w:val="none"/>
        </w:rPr>
        <w:t>3）凡转账到其他项目虚拟账号或本项目前次公告账号的，</w:t>
      </w:r>
      <w:r>
        <w:rPr>
          <w:rFonts w:hint="eastAsia"/>
          <w:sz w:val="24"/>
          <w:highlight w:val="none"/>
        </w:rPr>
        <w:t>其响应文件将被认定为</w:t>
      </w:r>
      <w:r>
        <w:rPr>
          <w:rFonts w:hint="eastAsia"/>
          <w:b/>
          <w:sz w:val="24"/>
          <w:highlight w:val="none"/>
        </w:rPr>
        <w:t>响应无效</w:t>
      </w:r>
      <w:r>
        <w:rPr>
          <w:rFonts w:hint="eastAsia"/>
          <w:sz w:val="24"/>
          <w:highlight w:val="none"/>
        </w:rPr>
        <w:t>。</w:t>
      </w:r>
    </w:p>
    <w:p>
      <w:pPr>
        <w:spacing w:line="360" w:lineRule="auto"/>
        <w:ind w:firstLine="480" w:firstLineChars="200"/>
        <w:rPr>
          <w:sz w:val="24"/>
          <w:highlight w:val="none"/>
        </w:rPr>
      </w:pPr>
      <w:r>
        <w:rPr>
          <w:sz w:val="24"/>
          <w:highlight w:val="none"/>
        </w:rPr>
        <w:t>13.</w:t>
      </w:r>
      <w:r>
        <w:rPr>
          <w:rFonts w:hint="eastAsia"/>
          <w:sz w:val="24"/>
          <w:highlight w:val="none"/>
        </w:rPr>
        <w:t>3</w:t>
      </w:r>
      <w:r>
        <w:rPr>
          <w:rFonts w:hint="eastAsia"/>
          <w:sz w:val="24"/>
          <w:highlight w:val="none"/>
          <w:lang w:val="en-US" w:eastAsia="zh-CN"/>
        </w:rPr>
        <w:t xml:space="preserve"> </w:t>
      </w:r>
      <w:r>
        <w:rPr>
          <w:sz w:val="24"/>
          <w:highlight w:val="none"/>
        </w:rPr>
        <w:t>磋商保证金缴纳人名称与</w:t>
      </w:r>
      <w:r>
        <w:rPr>
          <w:rFonts w:hint="eastAsia"/>
          <w:sz w:val="24"/>
          <w:szCs w:val="18"/>
          <w:highlight w:val="none"/>
        </w:rPr>
        <w:t>参审单位</w:t>
      </w:r>
      <w:r>
        <w:rPr>
          <w:sz w:val="24"/>
          <w:highlight w:val="none"/>
        </w:rPr>
        <w:t>名称应当一致。除非磋商文件另有规定，分公司或子公司代缴磋商保证金，视同名称不一致。磋商保证金缴纳人名称与</w:t>
      </w:r>
      <w:r>
        <w:rPr>
          <w:rFonts w:hint="eastAsia"/>
          <w:sz w:val="24"/>
          <w:szCs w:val="18"/>
          <w:highlight w:val="none"/>
        </w:rPr>
        <w:t>参审单位</w:t>
      </w:r>
      <w:r>
        <w:rPr>
          <w:sz w:val="24"/>
          <w:highlight w:val="none"/>
        </w:rPr>
        <w:t>名称不一致的，</w:t>
      </w:r>
      <w:r>
        <w:rPr>
          <w:rFonts w:hint="eastAsia"/>
          <w:sz w:val="24"/>
          <w:highlight w:val="none"/>
        </w:rPr>
        <w:t>其响应文件将被认定为</w:t>
      </w:r>
      <w:r>
        <w:rPr>
          <w:rFonts w:hint="eastAsia"/>
          <w:b/>
          <w:sz w:val="24"/>
          <w:highlight w:val="none"/>
        </w:rPr>
        <w:t>响应无效</w:t>
      </w:r>
      <w:r>
        <w:rPr>
          <w:rFonts w:hint="eastAsia"/>
          <w:sz w:val="24"/>
          <w:highlight w:val="none"/>
        </w:rPr>
        <w:t>。</w:t>
      </w:r>
    </w:p>
    <w:p>
      <w:pPr>
        <w:spacing w:line="360" w:lineRule="auto"/>
        <w:ind w:firstLine="480" w:firstLineChars="200"/>
        <w:rPr>
          <w:sz w:val="24"/>
          <w:highlight w:val="none"/>
        </w:rPr>
      </w:pPr>
      <w:r>
        <w:rPr>
          <w:sz w:val="24"/>
          <w:highlight w:val="none"/>
        </w:rPr>
        <w:t>13.</w:t>
      </w:r>
      <w:r>
        <w:rPr>
          <w:rFonts w:hint="eastAsia"/>
          <w:sz w:val="24"/>
          <w:highlight w:val="none"/>
        </w:rPr>
        <w:t>4</w:t>
      </w:r>
      <w:r>
        <w:rPr>
          <w:rFonts w:hint="eastAsia"/>
          <w:sz w:val="24"/>
          <w:highlight w:val="none"/>
          <w:lang w:val="en-US" w:eastAsia="zh-CN"/>
        </w:rPr>
        <w:t xml:space="preserve"> </w:t>
      </w:r>
      <w:r>
        <w:rPr>
          <w:sz w:val="24"/>
          <w:highlight w:val="none"/>
        </w:rPr>
        <w:t>联合体参加磋商的，可以由联合体中的一方或者共同提交磋商保证金。以一方名义提交磋商保证金的，对联合体各方均具有约束力。</w:t>
      </w:r>
    </w:p>
    <w:p>
      <w:pPr>
        <w:spacing w:line="360" w:lineRule="auto"/>
        <w:ind w:firstLine="480" w:firstLineChars="200"/>
        <w:rPr>
          <w:sz w:val="24"/>
          <w:highlight w:val="none"/>
        </w:rPr>
      </w:pPr>
      <w:r>
        <w:rPr>
          <w:sz w:val="24"/>
          <w:highlight w:val="none"/>
        </w:rPr>
        <w:t>13.</w:t>
      </w:r>
      <w:r>
        <w:rPr>
          <w:rFonts w:hint="eastAsia"/>
          <w:sz w:val="24"/>
          <w:highlight w:val="none"/>
        </w:rPr>
        <w:t>5</w:t>
      </w:r>
      <w:r>
        <w:rPr>
          <w:rFonts w:hint="eastAsia"/>
          <w:sz w:val="24"/>
          <w:highlight w:val="none"/>
          <w:lang w:val="en-US" w:eastAsia="zh-CN"/>
        </w:rPr>
        <w:t xml:space="preserve"> </w:t>
      </w:r>
      <w:r>
        <w:rPr>
          <w:rFonts w:hint="eastAsia"/>
          <w:sz w:val="24"/>
          <w:highlight w:val="none"/>
        </w:rPr>
        <w:t>代理机构</w:t>
      </w:r>
      <w:r>
        <w:rPr>
          <w:sz w:val="24"/>
          <w:highlight w:val="none"/>
        </w:rPr>
        <w:t>将在</w:t>
      </w:r>
      <w:r>
        <w:rPr>
          <w:rFonts w:hint="eastAsia"/>
          <w:sz w:val="24"/>
          <w:highlight w:val="none"/>
          <w:lang w:eastAsia="zh-CN"/>
        </w:rPr>
        <w:t>成交确认书</w:t>
      </w:r>
      <w:r>
        <w:rPr>
          <w:sz w:val="24"/>
          <w:highlight w:val="none"/>
        </w:rPr>
        <w:t>发出后五个工作日内退还未</w:t>
      </w:r>
      <w:r>
        <w:rPr>
          <w:rFonts w:hint="eastAsia"/>
          <w:sz w:val="24"/>
          <w:highlight w:val="none"/>
        </w:rPr>
        <w:t>成交人</w:t>
      </w:r>
      <w:r>
        <w:rPr>
          <w:sz w:val="24"/>
          <w:highlight w:val="none"/>
        </w:rPr>
        <w:t>的磋商保证金，在合同签订后五个工作日内退还</w:t>
      </w:r>
      <w:r>
        <w:rPr>
          <w:rFonts w:hint="eastAsia"/>
          <w:sz w:val="24"/>
          <w:highlight w:val="none"/>
        </w:rPr>
        <w:t>成交人</w:t>
      </w:r>
      <w:r>
        <w:rPr>
          <w:sz w:val="24"/>
          <w:highlight w:val="none"/>
        </w:rPr>
        <w:t>的磋商保证金；</w:t>
      </w:r>
    </w:p>
    <w:p>
      <w:pPr>
        <w:spacing w:line="360" w:lineRule="auto"/>
        <w:ind w:firstLine="480" w:firstLineChars="200"/>
        <w:rPr>
          <w:sz w:val="24"/>
          <w:highlight w:val="none"/>
        </w:rPr>
      </w:pPr>
      <w:r>
        <w:rPr>
          <w:sz w:val="24"/>
          <w:highlight w:val="none"/>
        </w:rPr>
        <w:t>13.</w:t>
      </w:r>
      <w:r>
        <w:rPr>
          <w:rFonts w:hint="eastAsia"/>
          <w:sz w:val="24"/>
          <w:highlight w:val="none"/>
        </w:rPr>
        <w:t>6</w:t>
      </w:r>
      <w:r>
        <w:rPr>
          <w:rFonts w:hint="eastAsia"/>
          <w:sz w:val="24"/>
          <w:highlight w:val="none"/>
          <w:lang w:val="en-US" w:eastAsia="zh-CN"/>
        </w:rPr>
        <w:t xml:space="preserve"> </w:t>
      </w:r>
      <w:r>
        <w:rPr>
          <w:sz w:val="24"/>
          <w:highlight w:val="none"/>
        </w:rPr>
        <w:t>因</w:t>
      </w:r>
      <w:r>
        <w:rPr>
          <w:rFonts w:hint="eastAsia"/>
          <w:sz w:val="24"/>
          <w:szCs w:val="18"/>
          <w:highlight w:val="none"/>
        </w:rPr>
        <w:t>参审单位</w:t>
      </w:r>
      <w:r>
        <w:rPr>
          <w:sz w:val="24"/>
          <w:highlight w:val="none"/>
        </w:rPr>
        <w:t>自身原因导致无法及时退还的，</w:t>
      </w:r>
      <w:r>
        <w:rPr>
          <w:rFonts w:hint="eastAsia"/>
          <w:sz w:val="24"/>
          <w:szCs w:val="18"/>
          <w:highlight w:val="none"/>
        </w:rPr>
        <w:t>业主单位</w:t>
      </w:r>
      <w:r>
        <w:rPr>
          <w:sz w:val="24"/>
          <w:highlight w:val="none"/>
        </w:rPr>
        <w:t>或</w:t>
      </w:r>
      <w:r>
        <w:rPr>
          <w:rFonts w:hint="eastAsia"/>
          <w:sz w:val="24"/>
          <w:highlight w:val="none"/>
        </w:rPr>
        <w:t>代理机构</w:t>
      </w:r>
      <w:r>
        <w:rPr>
          <w:sz w:val="24"/>
          <w:highlight w:val="none"/>
        </w:rPr>
        <w:t>将不承担相应责任。</w:t>
      </w:r>
    </w:p>
    <w:p>
      <w:pPr>
        <w:spacing w:line="360" w:lineRule="auto"/>
        <w:ind w:firstLine="480" w:firstLineChars="200"/>
        <w:rPr>
          <w:sz w:val="24"/>
          <w:highlight w:val="none"/>
        </w:rPr>
      </w:pPr>
      <w:r>
        <w:rPr>
          <w:sz w:val="24"/>
          <w:highlight w:val="none"/>
        </w:rPr>
        <w:t>13.7</w:t>
      </w:r>
      <w:r>
        <w:rPr>
          <w:rFonts w:hint="eastAsia"/>
          <w:sz w:val="24"/>
          <w:highlight w:val="none"/>
          <w:lang w:val="en-US" w:eastAsia="zh-CN"/>
        </w:rPr>
        <w:t xml:space="preserve"> </w:t>
      </w:r>
      <w:r>
        <w:rPr>
          <w:sz w:val="24"/>
          <w:highlight w:val="none"/>
        </w:rPr>
        <w:t>有下列情形之一的，磋商保证金不予退还：</w:t>
      </w:r>
    </w:p>
    <w:p>
      <w:pPr>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szCs w:val="18"/>
          <w:highlight w:val="none"/>
        </w:rPr>
        <w:t>参审单位</w:t>
      </w:r>
      <w:r>
        <w:rPr>
          <w:sz w:val="24"/>
          <w:highlight w:val="none"/>
        </w:rPr>
        <w:t>在提交响应文件截止时间后撤回响应文件的；</w:t>
      </w:r>
    </w:p>
    <w:p>
      <w:pPr>
        <w:spacing w:line="360" w:lineRule="auto"/>
        <w:ind w:firstLine="480" w:firstLineChars="200"/>
        <w:rPr>
          <w:sz w:val="24"/>
          <w:highlight w:val="none"/>
        </w:rPr>
      </w:pPr>
      <w:r>
        <w:rPr>
          <w:rFonts w:hint="eastAsia"/>
          <w:sz w:val="24"/>
          <w:highlight w:val="none"/>
        </w:rPr>
        <w:t>（2</w:t>
      </w:r>
      <w:r>
        <w:rPr>
          <w:sz w:val="24"/>
          <w:highlight w:val="none"/>
        </w:rPr>
        <w:t>）除因不可抗力或磋商文件认可的情形以外，</w:t>
      </w:r>
      <w:r>
        <w:rPr>
          <w:rFonts w:hint="eastAsia"/>
          <w:sz w:val="24"/>
          <w:highlight w:val="none"/>
        </w:rPr>
        <w:t>成交人</w:t>
      </w:r>
      <w:r>
        <w:rPr>
          <w:sz w:val="24"/>
          <w:highlight w:val="none"/>
        </w:rPr>
        <w:t>不与</w:t>
      </w:r>
      <w:r>
        <w:rPr>
          <w:rFonts w:hint="eastAsia"/>
          <w:sz w:val="24"/>
          <w:szCs w:val="18"/>
          <w:highlight w:val="none"/>
        </w:rPr>
        <w:t>业主单位</w:t>
      </w:r>
      <w:r>
        <w:rPr>
          <w:sz w:val="24"/>
          <w:highlight w:val="none"/>
        </w:rPr>
        <w:t>签订合同的；</w:t>
      </w:r>
    </w:p>
    <w:p>
      <w:pPr>
        <w:spacing w:line="360" w:lineRule="auto"/>
        <w:ind w:firstLine="480" w:firstLineChars="200"/>
        <w:rPr>
          <w:sz w:val="24"/>
          <w:highlight w:val="none"/>
        </w:rPr>
      </w:pPr>
      <w:r>
        <w:rPr>
          <w:rFonts w:hint="eastAsia"/>
          <w:sz w:val="24"/>
          <w:highlight w:val="none"/>
        </w:rPr>
        <w:t>（3</w:t>
      </w:r>
      <w:r>
        <w:rPr>
          <w:sz w:val="24"/>
          <w:highlight w:val="none"/>
        </w:rPr>
        <w:t>）</w:t>
      </w:r>
      <w:r>
        <w:rPr>
          <w:rFonts w:hint="eastAsia"/>
          <w:sz w:val="24"/>
          <w:szCs w:val="18"/>
          <w:highlight w:val="none"/>
        </w:rPr>
        <w:t>参审单位</w:t>
      </w:r>
      <w:r>
        <w:rPr>
          <w:sz w:val="24"/>
          <w:highlight w:val="none"/>
        </w:rPr>
        <w:t>须知前附表中规定的其他不予退还磋商保证金的情形。</w:t>
      </w:r>
    </w:p>
    <w:p>
      <w:pPr>
        <w:spacing w:line="360" w:lineRule="auto"/>
        <w:ind w:firstLine="482" w:firstLineChars="200"/>
        <w:rPr>
          <w:b/>
          <w:sz w:val="24"/>
          <w:highlight w:val="none"/>
        </w:rPr>
      </w:pPr>
      <w:r>
        <w:rPr>
          <w:rFonts w:hint="eastAsia"/>
          <w:b/>
          <w:sz w:val="24"/>
          <w:highlight w:val="none"/>
        </w:rPr>
        <w:t>1</w:t>
      </w:r>
      <w:r>
        <w:rPr>
          <w:b/>
          <w:sz w:val="24"/>
          <w:highlight w:val="none"/>
        </w:rPr>
        <w:t>4.</w:t>
      </w:r>
      <w:r>
        <w:rPr>
          <w:rFonts w:hint="eastAsia"/>
          <w:b/>
          <w:sz w:val="24"/>
          <w:highlight w:val="none"/>
        </w:rPr>
        <w:t>磋商有效期</w:t>
      </w:r>
    </w:p>
    <w:p>
      <w:pPr>
        <w:spacing w:line="360" w:lineRule="auto"/>
        <w:ind w:firstLine="480" w:firstLineChars="200"/>
        <w:rPr>
          <w:sz w:val="24"/>
          <w:highlight w:val="none"/>
        </w:rPr>
      </w:pPr>
      <w:r>
        <w:rPr>
          <w:sz w:val="24"/>
          <w:highlight w:val="none"/>
        </w:rPr>
        <w:t>14.1</w:t>
      </w:r>
      <w:r>
        <w:rPr>
          <w:rFonts w:hint="eastAsia"/>
          <w:sz w:val="24"/>
          <w:highlight w:val="none"/>
          <w:lang w:val="en-US" w:eastAsia="zh-CN"/>
        </w:rPr>
        <w:t xml:space="preserve"> </w:t>
      </w:r>
      <w:r>
        <w:rPr>
          <w:sz w:val="24"/>
          <w:highlight w:val="none"/>
        </w:rPr>
        <w:t>磋商有效期为从响应文件提交截止之日算起的日历天数，磋商有效期详见</w:t>
      </w:r>
      <w:r>
        <w:rPr>
          <w:rFonts w:hint="eastAsia"/>
          <w:sz w:val="24"/>
          <w:highlight w:val="none"/>
          <w:u w:val="single"/>
          <w:lang w:val="en-US" w:eastAsia="zh-CN"/>
        </w:rPr>
        <w:t xml:space="preserve"> </w:t>
      </w:r>
      <w:r>
        <w:rPr>
          <w:rFonts w:hint="eastAsia"/>
          <w:sz w:val="24"/>
          <w:szCs w:val="18"/>
          <w:highlight w:val="none"/>
          <w:u w:val="single"/>
        </w:rPr>
        <w:t>参审单位</w:t>
      </w:r>
      <w:r>
        <w:rPr>
          <w:sz w:val="24"/>
          <w:highlight w:val="none"/>
          <w:u w:val="single"/>
        </w:rPr>
        <w:t>须知前附表</w:t>
      </w:r>
      <w:r>
        <w:rPr>
          <w:rFonts w:hint="eastAsia"/>
          <w:sz w:val="24"/>
          <w:highlight w:val="none"/>
          <w:u w:val="single"/>
          <w:lang w:val="en-US" w:eastAsia="zh-CN"/>
        </w:rPr>
        <w:t xml:space="preserve"> </w:t>
      </w:r>
      <w:r>
        <w:rPr>
          <w:sz w:val="24"/>
          <w:highlight w:val="none"/>
        </w:rPr>
        <w:t>。</w:t>
      </w:r>
    </w:p>
    <w:p>
      <w:pPr>
        <w:spacing w:line="360" w:lineRule="auto"/>
        <w:ind w:firstLine="480" w:firstLineChars="200"/>
        <w:rPr>
          <w:sz w:val="24"/>
          <w:highlight w:val="none"/>
        </w:rPr>
      </w:pPr>
      <w:r>
        <w:rPr>
          <w:sz w:val="24"/>
          <w:highlight w:val="none"/>
        </w:rPr>
        <w:t>14.2</w:t>
      </w:r>
      <w:r>
        <w:rPr>
          <w:rFonts w:hint="eastAsia"/>
          <w:sz w:val="24"/>
          <w:highlight w:val="none"/>
          <w:lang w:val="en-US" w:eastAsia="zh-CN"/>
        </w:rPr>
        <w:t xml:space="preserve"> </w:t>
      </w:r>
      <w:r>
        <w:rPr>
          <w:sz w:val="24"/>
          <w:highlight w:val="none"/>
        </w:rPr>
        <w:t>在磋商有效期内，</w:t>
      </w:r>
      <w:r>
        <w:rPr>
          <w:rFonts w:hint="eastAsia"/>
          <w:sz w:val="24"/>
          <w:szCs w:val="18"/>
          <w:highlight w:val="none"/>
        </w:rPr>
        <w:t>参审单位</w:t>
      </w:r>
      <w:r>
        <w:rPr>
          <w:sz w:val="24"/>
          <w:highlight w:val="none"/>
        </w:rPr>
        <w:t>的磋商保持有效，</w:t>
      </w:r>
      <w:r>
        <w:rPr>
          <w:rFonts w:hint="eastAsia"/>
          <w:sz w:val="24"/>
          <w:szCs w:val="18"/>
          <w:highlight w:val="none"/>
        </w:rPr>
        <w:t>参审单位</w:t>
      </w:r>
      <w:r>
        <w:rPr>
          <w:sz w:val="24"/>
          <w:highlight w:val="none"/>
        </w:rPr>
        <w:t>不得要求撤销或修改其响应文件。磋商有效期不满足要求的响应，其响应文件将被认定为</w:t>
      </w:r>
      <w:r>
        <w:rPr>
          <w:b/>
          <w:sz w:val="24"/>
          <w:highlight w:val="none"/>
        </w:rPr>
        <w:t>响应无效</w:t>
      </w:r>
      <w:r>
        <w:rPr>
          <w:sz w:val="24"/>
          <w:highlight w:val="none"/>
        </w:rPr>
        <w:t>。</w:t>
      </w:r>
    </w:p>
    <w:p>
      <w:pPr>
        <w:spacing w:line="360" w:lineRule="auto"/>
        <w:ind w:firstLine="480" w:firstLineChars="200"/>
        <w:rPr>
          <w:sz w:val="24"/>
          <w:highlight w:val="none"/>
        </w:rPr>
      </w:pPr>
      <w:r>
        <w:rPr>
          <w:sz w:val="24"/>
          <w:highlight w:val="none"/>
        </w:rPr>
        <w:t>14.3</w:t>
      </w:r>
      <w:r>
        <w:rPr>
          <w:rFonts w:hint="eastAsia"/>
          <w:sz w:val="24"/>
          <w:highlight w:val="none"/>
          <w:lang w:val="en-US" w:eastAsia="zh-CN"/>
        </w:rPr>
        <w:t xml:space="preserve"> </w:t>
      </w:r>
      <w:r>
        <w:rPr>
          <w:sz w:val="24"/>
          <w:highlight w:val="none"/>
        </w:rPr>
        <w:t>为保证有充分时间签订合同，</w:t>
      </w:r>
      <w:r>
        <w:rPr>
          <w:rFonts w:hint="eastAsia"/>
          <w:sz w:val="24"/>
          <w:szCs w:val="18"/>
          <w:highlight w:val="none"/>
        </w:rPr>
        <w:t>业主单位</w:t>
      </w:r>
      <w:r>
        <w:rPr>
          <w:sz w:val="24"/>
          <w:highlight w:val="none"/>
        </w:rPr>
        <w:t>或</w:t>
      </w:r>
      <w:r>
        <w:rPr>
          <w:rFonts w:hint="eastAsia"/>
          <w:sz w:val="24"/>
          <w:highlight w:val="none"/>
        </w:rPr>
        <w:t>代理机构</w:t>
      </w:r>
      <w:r>
        <w:rPr>
          <w:sz w:val="24"/>
          <w:highlight w:val="none"/>
        </w:rPr>
        <w:t>可根据实际情况，在原</w:t>
      </w:r>
      <w:r>
        <w:rPr>
          <w:rFonts w:hint="eastAsia"/>
          <w:sz w:val="24"/>
          <w:highlight w:val="none"/>
        </w:rPr>
        <w:t>磋商</w:t>
      </w:r>
      <w:r>
        <w:rPr>
          <w:sz w:val="24"/>
          <w:highlight w:val="none"/>
        </w:rPr>
        <w:t>有效期截止之前，要求</w:t>
      </w:r>
      <w:r>
        <w:rPr>
          <w:rFonts w:hint="eastAsia"/>
          <w:sz w:val="24"/>
          <w:szCs w:val="18"/>
          <w:highlight w:val="none"/>
        </w:rPr>
        <w:t>参审单位</w:t>
      </w:r>
      <w:r>
        <w:rPr>
          <w:sz w:val="24"/>
          <w:highlight w:val="none"/>
        </w:rPr>
        <w:t>延长磋商有效期。接受该要求的</w:t>
      </w:r>
      <w:r>
        <w:rPr>
          <w:rFonts w:hint="eastAsia"/>
          <w:sz w:val="24"/>
          <w:szCs w:val="18"/>
          <w:highlight w:val="none"/>
        </w:rPr>
        <w:t>参审单位</w:t>
      </w:r>
      <w:r>
        <w:rPr>
          <w:sz w:val="24"/>
          <w:highlight w:val="none"/>
        </w:rPr>
        <w:t>将不会被要求和允许修正其响应文件。</w:t>
      </w:r>
      <w:r>
        <w:rPr>
          <w:rFonts w:hint="eastAsia"/>
          <w:sz w:val="24"/>
          <w:szCs w:val="18"/>
          <w:highlight w:val="none"/>
        </w:rPr>
        <w:t>参审单位</w:t>
      </w:r>
      <w:r>
        <w:rPr>
          <w:sz w:val="24"/>
          <w:highlight w:val="none"/>
        </w:rPr>
        <w:t>可以拒绝延长磋商有效期的要求，且不承担任何责任。上述要求和答复都应以书面形式提交。</w:t>
      </w:r>
    </w:p>
    <w:p>
      <w:pPr>
        <w:spacing w:line="360" w:lineRule="auto"/>
        <w:ind w:firstLine="482" w:firstLineChars="200"/>
        <w:rPr>
          <w:b/>
          <w:sz w:val="24"/>
          <w:highlight w:val="none"/>
        </w:rPr>
      </w:pPr>
      <w:r>
        <w:rPr>
          <w:rFonts w:hint="eastAsia"/>
          <w:b/>
          <w:sz w:val="24"/>
          <w:highlight w:val="none"/>
        </w:rPr>
        <w:t>1</w:t>
      </w:r>
      <w:r>
        <w:rPr>
          <w:b/>
          <w:sz w:val="24"/>
          <w:highlight w:val="none"/>
        </w:rPr>
        <w:t>5.</w:t>
      </w:r>
      <w:r>
        <w:rPr>
          <w:rFonts w:hint="eastAsia"/>
          <w:b/>
          <w:sz w:val="24"/>
          <w:highlight w:val="none"/>
        </w:rPr>
        <w:t>响应文件的制作</w:t>
      </w:r>
    </w:p>
    <w:p>
      <w:pPr>
        <w:spacing w:line="360" w:lineRule="auto"/>
        <w:ind w:firstLine="480" w:firstLineChars="200"/>
        <w:rPr>
          <w:rFonts w:cs="宋体"/>
          <w:sz w:val="24"/>
          <w:highlight w:val="none"/>
        </w:rPr>
      </w:pPr>
      <w:r>
        <w:rPr>
          <w:rFonts w:hint="eastAsia" w:cs="宋体"/>
          <w:sz w:val="24"/>
          <w:highlight w:val="none"/>
        </w:rPr>
        <w:t>15.1</w:t>
      </w:r>
      <w:r>
        <w:rPr>
          <w:rFonts w:hint="eastAsia" w:cs="宋体"/>
          <w:sz w:val="24"/>
          <w:highlight w:val="none"/>
          <w:lang w:val="en-US" w:eastAsia="zh-CN"/>
        </w:rPr>
        <w:t xml:space="preserve"> </w:t>
      </w:r>
      <w:r>
        <w:rPr>
          <w:rFonts w:hint="eastAsia" w:cs="宋体"/>
          <w:sz w:val="24"/>
          <w:highlight w:val="none"/>
        </w:rPr>
        <w:t>本项目采用全流程电子化方式，</w:t>
      </w:r>
      <w:r>
        <w:rPr>
          <w:rFonts w:hint="eastAsia"/>
          <w:sz w:val="24"/>
          <w:szCs w:val="18"/>
          <w:highlight w:val="none"/>
        </w:rPr>
        <w:t>参审单位</w:t>
      </w:r>
      <w:r>
        <w:rPr>
          <w:rFonts w:hint="eastAsia" w:cs="宋体"/>
          <w:sz w:val="24"/>
          <w:highlight w:val="none"/>
        </w:rPr>
        <w:t>必须递交电子响应文件，并对电子响应文件进行电子签章并使用CA锁进行加密，在磋商文件规定的响应截止时间前使用“优质采投标工具客户端”完成上传。</w:t>
      </w:r>
    </w:p>
    <w:p>
      <w:pPr>
        <w:spacing w:line="360" w:lineRule="auto"/>
        <w:ind w:firstLine="480" w:firstLineChars="200"/>
        <w:rPr>
          <w:rFonts w:cs="宋体"/>
          <w:sz w:val="24"/>
          <w:highlight w:val="none"/>
        </w:rPr>
      </w:pPr>
      <w:r>
        <w:rPr>
          <w:rFonts w:hint="eastAsia" w:cs="宋体"/>
          <w:sz w:val="24"/>
          <w:highlight w:val="none"/>
        </w:rPr>
        <w:t>15.2</w:t>
      </w:r>
      <w:r>
        <w:rPr>
          <w:rFonts w:hint="eastAsia" w:cs="宋体"/>
          <w:sz w:val="24"/>
          <w:highlight w:val="none"/>
          <w:lang w:val="en-US" w:eastAsia="zh-CN"/>
        </w:rPr>
        <w:t xml:space="preserve"> </w:t>
      </w:r>
      <w:r>
        <w:rPr>
          <w:rFonts w:hint="eastAsia" w:cs="宋体"/>
          <w:sz w:val="24"/>
          <w:highlight w:val="none"/>
        </w:rPr>
        <w:t>全流程电磋商项目</w:t>
      </w:r>
      <w:r>
        <w:rPr>
          <w:rFonts w:hint="eastAsia"/>
          <w:sz w:val="24"/>
          <w:szCs w:val="18"/>
          <w:highlight w:val="none"/>
        </w:rPr>
        <w:t>参审单位</w:t>
      </w:r>
      <w:r>
        <w:rPr>
          <w:rFonts w:hint="eastAsia" w:cs="宋体"/>
          <w:sz w:val="24"/>
          <w:highlight w:val="none"/>
        </w:rPr>
        <w:t>必须上传CA锁加密的电子响应文件，</w:t>
      </w:r>
      <w:r>
        <w:rPr>
          <w:rFonts w:hint="eastAsia"/>
          <w:sz w:val="24"/>
          <w:szCs w:val="18"/>
          <w:highlight w:val="none"/>
        </w:rPr>
        <w:t>参审单位</w:t>
      </w:r>
      <w:r>
        <w:rPr>
          <w:rFonts w:hint="eastAsia" w:cs="宋体"/>
          <w:sz w:val="24"/>
          <w:highlight w:val="none"/>
        </w:rPr>
        <w:t>下载磋商文件后，如未在磋商文件规定的响应文件递交截止时间前上传电子响应文件，视为无效；</w:t>
      </w:r>
      <w:r>
        <w:rPr>
          <w:rFonts w:hint="eastAsia"/>
          <w:sz w:val="24"/>
          <w:szCs w:val="18"/>
          <w:highlight w:val="none"/>
        </w:rPr>
        <w:t>参审单位</w:t>
      </w:r>
      <w:r>
        <w:rPr>
          <w:rFonts w:hint="eastAsia" w:cs="宋体"/>
          <w:sz w:val="24"/>
          <w:highlight w:val="none"/>
        </w:rPr>
        <w:t>在响应文件递交截止时间前，可以对其所递交的电子响应文件进行撤回，修改后重新上传（具体操作详见教程）；</w:t>
      </w:r>
    </w:p>
    <w:p>
      <w:pPr>
        <w:spacing w:line="360" w:lineRule="auto"/>
        <w:ind w:firstLine="480" w:firstLineChars="200"/>
        <w:rPr>
          <w:rFonts w:cs="宋体"/>
          <w:sz w:val="24"/>
          <w:highlight w:val="none"/>
        </w:rPr>
      </w:pPr>
      <w:r>
        <w:rPr>
          <w:rFonts w:hint="eastAsia" w:cs="宋体"/>
          <w:sz w:val="24"/>
          <w:highlight w:val="none"/>
        </w:rPr>
        <w:t>15.3</w:t>
      </w:r>
      <w:r>
        <w:rPr>
          <w:rFonts w:hint="eastAsia" w:cs="宋体"/>
          <w:sz w:val="24"/>
          <w:highlight w:val="none"/>
          <w:lang w:val="en-US" w:eastAsia="zh-CN"/>
        </w:rPr>
        <w:t xml:space="preserve"> </w:t>
      </w:r>
      <w:r>
        <w:rPr>
          <w:rFonts w:hint="eastAsia" w:cs="宋体"/>
          <w:sz w:val="24"/>
          <w:highlight w:val="none"/>
        </w:rPr>
        <w:t>响应文件递交截止时间以优质采云采购平台（</w:t>
      </w:r>
      <w:r>
        <w:rPr>
          <w:rFonts w:hint="eastAsia" w:cs="宋体"/>
          <w:sz w:val="24"/>
          <w:szCs w:val="18"/>
          <w:highlight w:val="none"/>
        </w:rPr>
        <w:t>http://www.youzhicai.com/</w:t>
      </w:r>
      <w:r>
        <w:rPr>
          <w:rFonts w:hint="eastAsia" w:cs="宋体"/>
          <w:sz w:val="24"/>
          <w:highlight w:val="none"/>
        </w:rPr>
        <w:t>）系统的时间为准，逾期系统将自动关闭，电子响应文件未完成上传的，视为没有递交响应文件；</w:t>
      </w:r>
    </w:p>
    <w:p>
      <w:pPr>
        <w:spacing w:line="360" w:lineRule="auto"/>
        <w:ind w:firstLine="480" w:firstLineChars="200"/>
        <w:rPr>
          <w:rFonts w:cs="宋体"/>
          <w:sz w:val="24"/>
          <w:highlight w:val="none"/>
        </w:rPr>
      </w:pPr>
      <w:r>
        <w:rPr>
          <w:rFonts w:hint="eastAsia" w:cs="宋体"/>
          <w:sz w:val="24"/>
          <w:highlight w:val="none"/>
        </w:rPr>
        <w:t>15.4</w:t>
      </w:r>
      <w:r>
        <w:rPr>
          <w:rFonts w:hint="eastAsia" w:cs="宋体"/>
          <w:sz w:val="24"/>
          <w:highlight w:val="none"/>
          <w:lang w:val="en-US" w:eastAsia="zh-CN"/>
        </w:rPr>
        <w:t xml:space="preserve"> </w:t>
      </w:r>
      <w:r>
        <w:rPr>
          <w:rFonts w:hint="eastAsia" w:cs="宋体"/>
          <w:sz w:val="24"/>
          <w:highlight w:val="none"/>
        </w:rPr>
        <w:t>响应文件可远程解密，</w:t>
      </w:r>
      <w:r>
        <w:rPr>
          <w:rFonts w:hint="eastAsia"/>
          <w:sz w:val="24"/>
          <w:szCs w:val="18"/>
          <w:highlight w:val="none"/>
        </w:rPr>
        <w:t>参审单位</w:t>
      </w:r>
      <w:r>
        <w:rPr>
          <w:rFonts w:hint="eastAsia" w:cs="宋体"/>
          <w:sz w:val="24"/>
          <w:highlight w:val="none"/>
        </w:rPr>
        <w:t>无需到达磋商现场。磋商文件“</w:t>
      </w:r>
      <w:r>
        <w:rPr>
          <w:rFonts w:hint="eastAsia"/>
          <w:sz w:val="24"/>
          <w:szCs w:val="18"/>
          <w:highlight w:val="none"/>
        </w:rPr>
        <w:t>参审单位</w:t>
      </w:r>
      <w:r>
        <w:rPr>
          <w:rFonts w:hint="eastAsia" w:cs="宋体"/>
          <w:sz w:val="24"/>
          <w:highlight w:val="none"/>
        </w:rPr>
        <w:t>须知”中另有规定的，从其规定。</w:t>
      </w:r>
    </w:p>
    <w:p>
      <w:pPr>
        <w:spacing w:line="360" w:lineRule="auto"/>
        <w:ind w:firstLine="480" w:firstLineChars="200"/>
        <w:rPr>
          <w:sz w:val="24"/>
          <w:highlight w:val="none"/>
        </w:rPr>
      </w:pPr>
      <w:r>
        <w:rPr>
          <w:rFonts w:hint="eastAsia" w:cs="宋体"/>
          <w:sz w:val="24"/>
          <w:highlight w:val="none"/>
        </w:rPr>
        <w:t>15.5</w:t>
      </w:r>
      <w:r>
        <w:rPr>
          <w:rFonts w:hint="eastAsia" w:cs="宋体"/>
          <w:sz w:val="24"/>
          <w:highlight w:val="none"/>
          <w:lang w:val="en-US" w:eastAsia="zh-CN"/>
        </w:rPr>
        <w:t xml:space="preserve"> </w:t>
      </w:r>
      <w:r>
        <w:rPr>
          <w:rFonts w:hint="eastAsia"/>
          <w:sz w:val="24"/>
          <w:szCs w:val="18"/>
          <w:highlight w:val="none"/>
        </w:rPr>
        <w:t>参审单位</w:t>
      </w:r>
      <w:r>
        <w:rPr>
          <w:rFonts w:hint="eastAsia" w:cs="宋体"/>
          <w:sz w:val="24"/>
          <w:highlight w:val="none"/>
        </w:rPr>
        <w:t>在制作、上传电子响应文件过程中，若存在技术操作问题，请及时联系优质采云采购平台客服人员，客服电话：400-0099-555，0551-62220164，0551-62220012。</w:t>
      </w:r>
    </w:p>
    <w:p>
      <w:pPr>
        <w:spacing w:line="360" w:lineRule="auto"/>
        <w:ind w:firstLine="482" w:firstLineChars="200"/>
        <w:rPr>
          <w:b/>
          <w:sz w:val="24"/>
          <w:highlight w:val="none"/>
        </w:rPr>
      </w:pPr>
      <w:r>
        <w:rPr>
          <w:rFonts w:hint="eastAsia"/>
          <w:b/>
          <w:sz w:val="24"/>
          <w:highlight w:val="none"/>
        </w:rPr>
        <w:t>1</w:t>
      </w:r>
      <w:r>
        <w:rPr>
          <w:b/>
          <w:sz w:val="24"/>
          <w:highlight w:val="none"/>
        </w:rPr>
        <w:t>6.</w:t>
      </w:r>
      <w:r>
        <w:rPr>
          <w:rFonts w:hint="eastAsia"/>
          <w:b/>
          <w:sz w:val="24"/>
          <w:highlight w:val="none"/>
        </w:rPr>
        <w:t>响应文件提交截止时间</w:t>
      </w:r>
    </w:p>
    <w:p>
      <w:pPr>
        <w:spacing w:line="360" w:lineRule="auto"/>
        <w:ind w:firstLine="480" w:firstLineChars="200"/>
        <w:rPr>
          <w:sz w:val="24"/>
          <w:highlight w:val="none"/>
        </w:rPr>
      </w:pPr>
      <w:r>
        <w:rPr>
          <w:sz w:val="24"/>
          <w:highlight w:val="none"/>
        </w:rPr>
        <w:t>16.1</w:t>
      </w:r>
      <w:r>
        <w:rPr>
          <w:rFonts w:hint="eastAsia"/>
          <w:sz w:val="24"/>
          <w:highlight w:val="none"/>
          <w:lang w:val="en-US" w:eastAsia="zh-CN"/>
        </w:rPr>
        <w:t xml:space="preserve"> </w:t>
      </w:r>
      <w:r>
        <w:rPr>
          <w:rFonts w:hint="eastAsia"/>
          <w:sz w:val="24"/>
          <w:szCs w:val="18"/>
          <w:highlight w:val="none"/>
        </w:rPr>
        <w:t>参审单位</w:t>
      </w:r>
      <w:r>
        <w:rPr>
          <w:sz w:val="24"/>
          <w:highlight w:val="none"/>
        </w:rPr>
        <w:t>应在</w:t>
      </w:r>
      <w:r>
        <w:rPr>
          <w:rFonts w:hint="eastAsia"/>
          <w:sz w:val="24"/>
          <w:highlight w:val="none"/>
          <w:u w:val="single"/>
          <w:lang w:val="en-US" w:eastAsia="zh-CN"/>
        </w:rPr>
        <w:t xml:space="preserve"> </w:t>
      </w:r>
      <w:r>
        <w:rPr>
          <w:rFonts w:hint="eastAsia"/>
          <w:sz w:val="24"/>
          <w:szCs w:val="18"/>
          <w:highlight w:val="none"/>
          <w:u w:val="single"/>
        </w:rPr>
        <w:t>参审单位</w:t>
      </w:r>
      <w:r>
        <w:rPr>
          <w:sz w:val="24"/>
          <w:highlight w:val="none"/>
          <w:u w:val="single"/>
        </w:rPr>
        <w:t>须知前附表</w:t>
      </w:r>
      <w:r>
        <w:rPr>
          <w:rFonts w:hint="eastAsia"/>
          <w:sz w:val="24"/>
          <w:highlight w:val="none"/>
          <w:u w:val="single"/>
          <w:lang w:val="en-US" w:eastAsia="zh-CN"/>
        </w:rPr>
        <w:t xml:space="preserve"> </w:t>
      </w:r>
      <w:r>
        <w:rPr>
          <w:sz w:val="24"/>
          <w:highlight w:val="none"/>
        </w:rPr>
        <w:t>中规定的</w:t>
      </w:r>
      <w:r>
        <w:rPr>
          <w:rFonts w:hint="eastAsia"/>
          <w:sz w:val="24"/>
          <w:highlight w:val="none"/>
        </w:rPr>
        <w:t>响应文件提交</w:t>
      </w:r>
      <w:r>
        <w:rPr>
          <w:sz w:val="24"/>
          <w:highlight w:val="none"/>
        </w:rPr>
        <w:t>截止时间前，在网上提交加密电子响应文件。</w:t>
      </w:r>
    </w:p>
    <w:p>
      <w:pPr>
        <w:spacing w:line="360" w:lineRule="auto"/>
        <w:ind w:firstLine="480" w:firstLineChars="200"/>
        <w:rPr>
          <w:sz w:val="24"/>
          <w:highlight w:val="none"/>
        </w:rPr>
      </w:pPr>
      <w:r>
        <w:rPr>
          <w:sz w:val="24"/>
          <w:highlight w:val="none"/>
        </w:rPr>
        <w:t>16.2</w:t>
      </w:r>
      <w:r>
        <w:rPr>
          <w:rFonts w:hint="eastAsia"/>
          <w:sz w:val="24"/>
          <w:highlight w:val="none"/>
          <w:lang w:val="en-US" w:eastAsia="zh-CN"/>
        </w:rPr>
        <w:t xml:space="preserve"> </w:t>
      </w:r>
      <w:r>
        <w:rPr>
          <w:rFonts w:hint="eastAsia"/>
          <w:sz w:val="24"/>
          <w:szCs w:val="18"/>
          <w:highlight w:val="none"/>
        </w:rPr>
        <w:t>参审单位</w:t>
      </w:r>
      <w:r>
        <w:rPr>
          <w:sz w:val="24"/>
          <w:highlight w:val="none"/>
        </w:rPr>
        <w:t>在</w:t>
      </w:r>
      <w:r>
        <w:rPr>
          <w:rFonts w:hint="eastAsia"/>
          <w:sz w:val="24"/>
          <w:highlight w:val="none"/>
        </w:rPr>
        <w:t>磋商</w:t>
      </w:r>
      <w:r>
        <w:rPr>
          <w:sz w:val="24"/>
          <w:highlight w:val="none"/>
        </w:rPr>
        <w:t>文件规定的</w:t>
      </w:r>
      <w:r>
        <w:rPr>
          <w:rFonts w:hint="eastAsia"/>
          <w:sz w:val="24"/>
          <w:highlight w:val="none"/>
        </w:rPr>
        <w:t>响应文件提交截止时间</w:t>
      </w:r>
      <w:r>
        <w:rPr>
          <w:sz w:val="24"/>
          <w:highlight w:val="none"/>
        </w:rPr>
        <w:t>前上传了网上加密电子</w:t>
      </w:r>
      <w:r>
        <w:rPr>
          <w:rFonts w:hint="eastAsia"/>
          <w:sz w:val="24"/>
          <w:highlight w:val="none"/>
        </w:rPr>
        <w:t>响应</w:t>
      </w:r>
      <w:r>
        <w:rPr>
          <w:sz w:val="24"/>
          <w:highlight w:val="none"/>
        </w:rPr>
        <w:t>文件，但未在规定时间内进行解密的，</w:t>
      </w:r>
      <w:r>
        <w:rPr>
          <w:rFonts w:hint="eastAsia"/>
          <w:b/>
          <w:sz w:val="24"/>
          <w:highlight w:val="none"/>
        </w:rPr>
        <w:t>响应无效</w:t>
      </w:r>
      <w:r>
        <w:rPr>
          <w:sz w:val="24"/>
          <w:highlight w:val="none"/>
        </w:rPr>
        <w:t>。</w:t>
      </w:r>
    </w:p>
    <w:p>
      <w:pPr>
        <w:spacing w:line="360" w:lineRule="auto"/>
        <w:ind w:firstLine="480" w:firstLineChars="200"/>
        <w:rPr>
          <w:sz w:val="24"/>
          <w:highlight w:val="none"/>
        </w:rPr>
      </w:pPr>
      <w:r>
        <w:rPr>
          <w:sz w:val="24"/>
          <w:highlight w:val="none"/>
        </w:rPr>
        <w:t>16.</w:t>
      </w:r>
      <w:r>
        <w:rPr>
          <w:rFonts w:hint="eastAsia"/>
          <w:sz w:val="24"/>
          <w:highlight w:val="none"/>
        </w:rPr>
        <w:t>3</w:t>
      </w:r>
      <w:r>
        <w:rPr>
          <w:rFonts w:hint="eastAsia"/>
          <w:sz w:val="24"/>
          <w:highlight w:val="none"/>
          <w:lang w:val="en-US" w:eastAsia="zh-CN"/>
        </w:rPr>
        <w:t xml:space="preserve"> </w:t>
      </w:r>
      <w:r>
        <w:rPr>
          <w:rFonts w:hint="eastAsia"/>
          <w:sz w:val="24"/>
          <w:szCs w:val="18"/>
          <w:highlight w:val="none"/>
        </w:rPr>
        <w:t>业主单位</w:t>
      </w:r>
      <w:r>
        <w:rPr>
          <w:sz w:val="24"/>
          <w:highlight w:val="none"/>
        </w:rPr>
        <w:t>和</w:t>
      </w:r>
      <w:r>
        <w:rPr>
          <w:rFonts w:hint="eastAsia"/>
          <w:sz w:val="24"/>
          <w:highlight w:val="none"/>
        </w:rPr>
        <w:t>代理机构</w:t>
      </w:r>
      <w:r>
        <w:rPr>
          <w:sz w:val="24"/>
          <w:highlight w:val="none"/>
        </w:rPr>
        <w:t>延迟</w:t>
      </w:r>
      <w:r>
        <w:rPr>
          <w:rFonts w:hint="eastAsia"/>
          <w:sz w:val="24"/>
          <w:highlight w:val="none"/>
        </w:rPr>
        <w:t>响应文件提交截止时间的</w:t>
      </w:r>
      <w:r>
        <w:rPr>
          <w:sz w:val="24"/>
          <w:highlight w:val="none"/>
        </w:rPr>
        <w:t>。</w:t>
      </w:r>
      <w:r>
        <w:rPr>
          <w:rFonts w:hint="eastAsia"/>
          <w:sz w:val="24"/>
          <w:highlight w:val="none"/>
        </w:rPr>
        <w:t>在此情况下，</w:t>
      </w:r>
      <w:r>
        <w:rPr>
          <w:rFonts w:hint="eastAsia"/>
          <w:sz w:val="24"/>
          <w:szCs w:val="18"/>
          <w:highlight w:val="none"/>
        </w:rPr>
        <w:t>业主单位</w:t>
      </w:r>
      <w:r>
        <w:rPr>
          <w:sz w:val="24"/>
          <w:highlight w:val="none"/>
        </w:rPr>
        <w:t>、</w:t>
      </w:r>
      <w:r>
        <w:rPr>
          <w:rFonts w:hint="eastAsia"/>
          <w:sz w:val="24"/>
          <w:highlight w:val="none"/>
        </w:rPr>
        <w:t>代理机构</w:t>
      </w:r>
      <w:r>
        <w:rPr>
          <w:sz w:val="24"/>
          <w:highlight w:val="none"/>
        </w:rPr>
        <w:t>和</w:t>
      </w:r>
      <w:r>
        <w:rPr>
          <w:rFonts w:hint="eastAsia"/>
          <w:sz w:val="24"/>
          <w:szCs w:val="18"/>
          <w:highlight w:val="none"/>
        </w:rPr>
        <w:t>参审单位</w:t>
      </w:r>
      <w:r>
        <w:rPr>
          <w:sz w:val="24"/>
          <w:highlight w:val="none"/>
        </w:rPr>
        <w:t>受</w:t>
      </w:r>
      <w:r>
        <w:rPr>
          <w:rFonts w:hint="eastAsia"/>
          <w:sz w:val="24"/>
          <w:highlight w:val="none"/>
        </w:rPr>
        <w:t>响应文件提交截止时间</w:t>
      </w:r>
      <w:r>
        <w:rPr>
          <w:sz w:val="24"/>
          <w:highlight w:val="none"/>
        </w:rPr>
        <w:t>制约的所有权利和义务均应延长至新的截止时间。</w:t>
      </w:r>
    </w:p>
    <w:p>
      <w:pPr>
        <w:spacing w:line="360" w:lineRule="auto"/>
        <w:ind w:firstLine="482" w:firstLineChars="200"/>
        <w:rPr>
          <w:b/>
          <w:sz w:val="24"/>
          <w:highlight w:val="none"/>
        </w:rPr>
      </w:pPr>
      <w:r>
        <w:rPr>
          <w:rFonts w:hint="eastAsia"/>
          <w:b/>
          <w:sz w:val="24"/>
          <w:highlight w:val="none"/>
        </w:rPr>
        <w:t>1</w:t>
      </w:r>
      <w:r>
        <w:rPr>
          <w:b/>
          <w:sz w:val="24"/>
          <w:highlight w:val="none"/>
        </w:rPr>
        <w:t>7.</w:t>
      </w:r>
      <w:r>
        <w:rPr>
          <w:rFonts w:hint="eastAsia"/>
          <w:b/>
          <w:sz w:val="24"/>
          <w:highlight w:val="none"/>
        </w:rPr>
        <w:t>响应文件的提交、修改与撤回</w:t>
      </w:r>
    </w:p>
    <w:p>
      <w:pPr>
        <w:spacing w:line="360" w:lineRule="auto"/>
        <w:ind w:firstLine="480" w:firstLineChars="200"/>
        <w:rPr>
          <w:rFonts w:cs="宋体"/>
          <w:sz w:val="24"/>
          <w:highlight w:val="none"/>
        </w:rPr>
      </w:pPr>
      <w:r>
        <w:rPr>
          <w:rFonts w:hint="eastAsia" w:cs="宋体"/>
          <w:sz w:val="24"/>
          <w:highlight w:val="none"/>
        </w:rPr>
        <w:t>17.1</w:t>
      </w:r>
      <w:r>
        <w:rPr>
          <w:rFonts w:hint="eastAsia" w:cs="宋体"/>
          <w:sz w:val="24"/>
          <w:highlight w:val="none"/>
          <w:lang w:val="en-US" w:eastAsia="zh-CN"/>
        </w:rPr>
        <w:t xml:space="preserve"> </w:t>
      </w:r>
      <w:r>
        <w:rPr>
          <w:rFonts w:hint="eastAsia"/>
          <w:sz w:val="24"/>
          <w:szCs w:val="18"/>
          <w:highlight w:val="none"/>
        </w:rPr>
        <w:t>参审单位</w:t>
      </w:r>
      <w:r>
        <w:rPr>
          <w:rFonts w:hint="eastAsia" w:cs="宋体"/>
          <w:sz w:val="24"/>
          <w:highlight w:val="none"/>
        </w:rPr>
        <w:t>应当在第一章“磋商邀请”规定的响应文件提交截止时间前，将加密的响应文件在优质采云采购平台（</w:t>
      </w:r>
      <w:r>
        <w:rPr>
          <w:rFonts w:hint="eastAsia" w:cs="宋体"/>
          <w:sz w:val="24"/>
          <w:szCs w:val="18"/>
          <w:highlight w:val="none"/>
        </w:rPr>
        <w:t>http://www.youzhicai.com/</w:t>
      </w:r>
      <w:r>
        <w:rPr>
          <w:rFonts w:hint="eastAsia" w:cs="宋体"/>
          <w:sz w:val="24"/>
          <w:highlight w:val="none"/>
        </w:rPr>
        <w:t>）上传。</w:t>
      </w:r>
    </w:p>
    <w:p>
      <w:pPr>
        <w:spacing w:line="360" w:lineRule="auto"/>
        <w:ind w:firstLine="480" w:firstLineChars="200"/>
        <w:rPr>
          <w:rFonts w:cs="宋体"/>
          <w:sz w:val="24"/>
          <w:highlight w:val="none"/>
        </w:rPr>
      </w:pPr>
      <w:r>
        <w:rPr>
          <w:rFonts w:hint="eastAsia" w:cs="宋体"/>
          <w:sz w:val="24"/>
          <w:highlight w:val="none"/>
        </w:rPr>
        <w:t>17.2</w:t>
      </w:r>
      <w:r>
        <w:rPr>
          <w:rFonts w:hint="eastAsia" w:cs="宋体"/>
          <w:sz w:val="24"/>
          <w:highlight w:val="none"/>
          <w:lang w:val="en-US" w:eastAsia="zh-CN"/>
        </w:rPr>
        <w:t xml:space="preserve"> </w:t>
      </w:r>
      <w:r>
        <w:rPr>
          <w:rFonts w:hint="eastAsia"/>
          <w:sz w:val="24"/>
          <w:szCs w:val="18"/>
          <w:highlight w:val="none"/>
        </w:rPr>
        <w:t>参审单位</w:t>
      </w:r>
      <w:r>
        <w:rPr>
          <w:rFonts w:hint="eastAsia" w:cs="宋体"/>
          <w:sz w:val="24"/>
          <w:highlight w:val="none"/>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80" w:firstLineChars="200"/>
        <w:rPr>
          <w:rFonts w:cs="宋体"/>
          <w:sz w:val="24"/>
          <w:highlight w:val="none"/>
        </w:rPr>
      </w:pPr>
      <w:r>
        <w:rPr>
          <w:rFonts w:hint="eastAsia" w:cs="宋体"/>
          <w:sz w:val="24"/>
          <w:highlight w:val="none"/>
        </w:rPr>
        <w:t>17.3</w:t>
      </w:r>
      <w:r>
        <w:rPr>
          <w:rFonts w:hint="eastAsia" w:cs="宋体"/>
          <w:sz w:val="24"/>
          <w:highlight w:val="none"/>
          <w:lang w:val="en-US" w:eastAsia="zh-CN"/>
        </w:rPr>
        <w:t xml:space="preserve"> </w:t>
      </w:r>
      <w:r>
        <w:rPr>
          <w:rFonts w:hint="eastAsia"/>
          <w:sz w:val="24"/>
          <w:szCs w:val="18"/>
          <w:highlight w:val="none"/>
        </w:rPr>
        <w:t>参审单位</w:t>
      </w:r>
      <w:r>
        <w:rPr>
          <w:rFonts w:hint="eastAsia" w:cs="宋体"/>
          <w:sz w:val="24"/>
          <w:highlight w:val="none"/>
        </w:rPr>
        <w:t>应在</w:t>
      </w:r>
      <w:r>
        <w:rPr>
          <w:rFonts w:hint="eastAsia" w:cs="宋体"/>
          <w:sz w:val="24"/>
          <w:highlight w:val="none"/>
          <w:u w:val="single"/>
          <w:lang w:val="en-US" w:eastAsia="zh-CN"/>
        </w:rPr>
        <w:t xml:space="preserve"> </w:t>
      </w:r>
      <w:r>
        <w:rPr>
          <w:rFonts w:hint="eastAsia"/>
          <w:sz w:val="24"/>
          <w:szCs w:val="18"/>
          <w:highlight w:val="none"/>
          <w:u w:val="single"/>
        </w:rPr>
        <w:t>参审单位</w:t>
      </w:r>
      <w:r>
        <w:rPr>
          <w:rFonts w:hint="eastAsia" w:cs="宋体"/>
          <w:sz w:val="24"/>
          <w:highlight w:val="none"/>
          <w:u w:val="single"/>
        </w:rPr>
        <w:t>须知前附表</w:t>
      </w:r>
      <w:r>
        <w:rPr>
          <w:rFonts w:hint="eastAsia" w:cs="宋体"/>
          <w:sz w:val="24"/>
          <w:highlight w:val="none"/>
          <w:u w:val="single"/>
          <w:lang w:val="en-US" w:eastAsia="zh-CN"/>
        </w:rPr>
        <w:t xml:space="preserve"> </w:t>
      </w:r>
      <w:r>
        <w:rPr>
          <w:rFonts w:hint="eastAsia" w:cs="宋体"/>
          <w:sz w:val="24"/>
          <w:highlight w:val="none"/>
        </w:rPr>
        <w:t>规定的解密时间前（以优质采云采购平台（</w:t>
      </w:r>
      <w:r>
        <w:rPr>
          <w:rFonts w:hint="eastAsia" w:cs="宋体"/>
          <w:sz w:val="24"/>
          <w:szCs w:val="18"/>
          <w:highlight w:val="none"/>
        </w:rPr>
        <w:t>http://www.youzhicai.com/</w:t>
      </w:r>
      <w:r>
        <w:rPr>
          <w:rFonts w:hint="eastAsia" w:cs="宋体"/>
          <w:sz w:val="24"/>
          <w:highlight w:val="none"/>
        </w:rPr>
        <w:t>）系统的解密倒计时为准）对本单位的响应文件进行解密，代理机构工作人员解密所有响应文件。</w:t>
      </w:r>
    </w:p>
    <w:p>
      <w:pPr>
        <w:spacing w:line="360" w:lineRule="auto"/>
        <w:ind w:firstLine="480" w:firstLineChars="200"/>
        <w:rPr>
          <w:sz w:val="24"/>
          <w:highlight w:val="none"/>
        </w:rPr>
      </w:pPr>
      <w:r>
        <w:rPr>
          <w:rFonts w:hint="eastAsia" w:cs="宋体"/>
          <w:sz w:val="24"/>
          <w:highlight w:val="none"/>
        </w:rPr>
        <w:t>17.4</w:t>
      </w:r>
      <w:r>
        <w:rPr>
          <w:rFonts w:hint="eastAsia" w:cs="宋体"/>
          <w:sz w:val="24"/>
          <w:highlight w:val="none"/>
          <w:lang w:val="en-US" w:eastAsia="zh-CN"/>
        </w:rPr>
        <w:t xml:space="preserve"> </w:t>
      </w:r>
      <w:r>
        <w:rPr>
          <w:rFonts w:hint="eastAsia" w:cs="宋体"/>
          <w:sz w:val="24"/>
          <w:highlight w:val="none"/>
        </w:rPr>
        <w:t>在响应文件提交截止时间之后，</w:t>
      </w:r>
      <w:r>
        <w:rPr>
          <w:rFonts w:hint="eastAsia"/>
          <w:sz w:val="24"/>
          <w:szCs w:val="18"/>
          <w:highlight w:val="none"/>
        </w:rPr>
        <w:t>参审单位</w:t>
      </w:r>
      <w:r>
        <w:rPr>
          <w:rFonts w:hint="eastAsia" w:cs="宋体"/>
          <w:sz w:val="24"/>
          <w:highlight w:val="none"/>
        </w:rPr>
        <w:t>不得对其响应文件做任何修改。但属于磋商小组在评审中发现的计算错误并进行核实的修改、按照磋商文件的变动情况和磋商小组的要求重新提交响应文件的，不在此列。</w:t>
      </w:r>
    </w:p>
    <w:p>
      <w:pPr>
        <w:spacing w:line="360" w:lineRule="auto"/>
        <w:ind w:firstLine="482" w:firstLineChars="200"/>
        <w:rPr>
          <w:b/>
          <w:sz w:val="24"/>
          <w:highlight w:val="none"/>
        </w:rPr>
      </w:pPr>
      <w:r>
        <w:rPr>
          <w:rFonts w:hint="eastAsia"/>
          <w:b/>
          <w:sz w:val="24"/>
          <w:highlight w:val="none"/>
        </w:rPr>
        <w:t>1</w:t>
      </w:r>
      <w:r>
        <w:rPr>
          <w:b/>
          <w:sz w:val="24"/>
          <w:highlight w:val="none"/>
        </w:rPr>
        <w:t>8.</w:t>
      </w:r>
      <w:r>
        <w:rPr>
          <w:rFonts w:hint="eastAsia"/>
          <w:b/>
          <w:sz w:val="24"/>
          <w:highlight w:val="none"/>
        </w:rPr>
        <w:t>磋商小组</w:t>
      </w:r>
    </w:p>
    <w:p>
      <w:pPr>
        <w:spacing w:line="360" w:lineRule="auto"/>
        <w:ind w:firstLine="480" w:firstLineChars="200"/>
        <w:rPr>
          <w:sz w:val="24"/>
          <w:highlight w:val="none"/>
        </w:rPr>
      </w:pPr>
      <w:r>
        <w:rPr>
          <w:rFonts w:hint="eastAsia"/>
          <w:sz w:val="24"/>
          <w:highlight w:val="none"/>
        </w:rPr>
        <w:t>18</w:t>
      </w:r>
      <w:r>
        <w:rPr>
          <w:sz w:val="24"/>
          <w:highlight w:val="none"/>
        </w:rPr>
        <w:t>.1</w:t>
      </w:r>
      <w:r>
        <w:rPr>
          <w:rFonts w:hint="eastAsia"/>
          <w:sz w:val="24"/>
          <w:highlight w:val="none"/>
          <w:lang w:val="en-US" w:eastAsia="zh-CN"/>
        </w:rPr>
        <w:t xml:space="preserve"> </w:t>
      </w:r>
      <w:r>
        <w:rPr>
          <w:sz w:val="24"/>
          <w:highlight w:val="none"/>
        </w:rPr>
        <w:t>本项目将依法组建磋商小组，磋商小组成员由</w:t>
      </w:r>
      <w:r>
        <w:rPr>
          <w:rFonts w:hint="eastAsia"/>
          <w:sz w:val="24"/>
          <w:highlight w:val="none"/>
        </w:rPr>
        <w:t>3</w:t>
      </w:r>
      <w:r>
        <w:rPr>
          <w:sz w:val="24"/>
          <w:highlight w:val="none"/>
        </w:rPr>
        <w:t>人以上单数组成，磋商小组及其成员应当依照有关规定履行相关职责和义务。</w:t>
      </w:r>
    </w:p>
    <w:p>
      <w:pPr>
        <w:spacing w:line="360" w:lineRule="auto"/>
        <w:ind w:firstLine="480" w:firstLineChars="200"/>
        <w:rPr>
          <w:sz w:val="24"/>
          <w:highlight w:val="none"/>
        </w:rPr>
      </w:pPr>
      <w:r>
        <w:rPr>
          <w:rFonts w:hint="eastAsia"/>
          <w:sz w:val="24"/>
          <w:highlight w:val="none"/>
        </w:rPr>
        <w:t>18</w:t>
      </w:r>
      <w:r>
        <w:rPr>
          <w:sz w:val="24"/>
          <w:highlight w:val="none"/>
        </w:rPr>
        <w:t>.2</w:t>
      </w:r>
      <w:r>
        <w:rPr>
          <w:rFonts w:hint="eastAsia"/>
          <w:sz w:val="24"/>
          <w:highlight w:val="none"/>
          <w:lang w:val="en-US" w:eastAsia="zh-CN"/>
        </w:rPr>
        <w:t xml:space="preserve"> </w:t>
      </w:r>
      <w:r>
        <w:rPr>
          <w:sz w:val="24"/>
          <w:highlight w:val="none"/>
        </w:rPr>
        <w:t>磋商小组依法对响应文件进行评审，并根据磋商文件规定的程序、评定</w:t>
      </w:r>
      <w:r>
        <w:rPr>
          <w:rFonts w:hint="eastAsia"/>
          <w:sz w:val="24"/>
          <w:highlight w:val="none"/>
        </w:rPr>
        <w:t>成交</w:t>
      </w:r>
      <w:r>
        <w:rPr>
          <w:sz w:val="24"/>
          <w:highlight w:val="none"/>
        </w:rPr>
        <w:t>的标准等事项与实质性响应磋商文件要求的</w:t>
      </w:r>
      <w:r>
        <w:rPr>
          <w:rFonts w:hint="eastAsia"/>
          <w:sz w:val="24"/>
          <w:szCs w:val="18"/>
          <w:highlight w:val="none"/>
        </w:rPr>
        <w:t>参审单位</w:t>
      </w:r>
      <w:r>
        <w:rPr>
          <w:sz w:val="24"/>
          <w:highlight w:val="none"/>
        </w:rPr>
        <w:t>进行磋商。</w:t>
      </w:r>
    </w:p>
    <w:p>
      <w:pPr>
        <w:spacing w:line="360" w:lineRule="auto"/>
        <w:ind w:firstLine="480" w:firstLineChars="200"/>
        <w:rPr>
          <w:sz w:val="24"/>
          <w:highlight w:val="none"/>
        </w:rPr>
      </w:pPr>
      <w:r>
        <w:rPr>
          <w:rFonts w:hint="eastAsia"/>
          <w:sz w:val="24"/>
          <w:highlight w:val="none"/>
        </w:rPr>
        <w:t>18</w:t>
      </w:r>
      <w:r>
        <w:rPr>
          <w:sz w:val="24"/>
          <w:highlight w:val="none"/>
        </w:rPr>
        <w:t>.3</w:t>
      </w:r>
      <w:r>
        <w:rPr>
          <w:rFonts w:hint="eastAsia"/>
          <w:sz w:val="24"/>
          <w:highlight w:val="none"/>
          <w:lang w:val="en-US" w:eastAsia="zh-CN"/>
        </w:rPr>
        <w:t xml:space="preserve"> </w:t>
      </w:r>
      <w:r>
        <w:rPr>
          <w:sz w:val="24"/>
          <w:highlight w:val="none"/>
        </w:rPr>
        <w:t>磋商小组应当从质量和服务均能满足磋商文件实质性响应要求的</w:t>
      </w:r>
      <w:r>
        <w:rPr>
          <w:rFonts w:hint="eastAsia"/>
          <w:sz w:val="24"/>
          <w:szCs w:val="18"/>
          <w:highlight w:val="none"/>
        </w:rPr>
        <w:t>参审单位</w:t>
      </w:r>
      <w:r>
        <w:rPr>
          <w:sz w:val="24"/>
          <w:highlight w:val="none"/>
        </w:rPr>
        <w:t>中，按照评审</w:t>
      </w:r>
      <w:r>
        <w:rPr>
          <w:rFonts w:hint="eastAsia"/>
          <w:sz w:val="24"/>
          <w:highlight w:val="none"/>
        </w:rPr>
        <w:t>方</w:t>
      </w:r>
      <w:r>
        <w:rPr>
          <w:sz w:val="24"/>
          <w:highlight w:val="none"/>
        </w:rPr>
        <w:t>法</w:t>
      </w:r>
      <w:r>
        <w:rPr>
          <w:rFonts w:hint="eastAsia"/>
          <w:sz w:val="24"/>
          <w:highlight w:val="none"/>
        </w:rPr>
        <w:t>和标准推荐成交</w:t>
      </w:r>
      <w:r>
        <w:rPr>
          <w:sz w:val="24"/>
          <w:highlight w:val="none"/>
        </w:rPr>
        <w:t>候选</w:t>
      </w:r>
      <w:r>
        <w:rPr>
          <w:rFonts w:hint="eastAsia"/>
          <w:sz w:val="24"/>
          <w:szCs w:val="18"/>
          <w:highlight w:val="none"/>
        </w:rPr>
        <w:t>人</w:t>
      </w:r>
      <w:r>
        <w:rPr>
          <w:sz w:val="24"/>
          <w:highlight w:val="none"/>
        </w:rPr>
        <w:t>，并编写</w:t>
      </w:r>
      <w:r>
        <w:rPr>
          <w:rFonts w:hint="eastAsia"/>
          <w:sz w:val="24"/>
          <w:highlight w:val="none"/>
        </w:rPr>
        <w:t>评审</w:t>
      </w:r>
      <w:r>
        <w:rPr>
          <w:sz w:val="24"/>
          <w:highlight w:val="none"/>
        </w:rPr>
        <w:t>报告。</w:t>
      </w:r>
    </w:p>
    <w:p>
      <w:pPr>
        <w:spacing w:line="360" w:lineRule="auto"/>
        <w:ind w:firstLine="482" w:firstLineChars="200"/>
        <w:rPr>
          <w:b/>
          <w:sz w:val="24"/>
          <w:highlight w:val="none"/>
        </w:rPr>
      </w:pPr>
      <w:r>
        <w:rPr>
          <w:b/>
          <w:sz w:val="24"/>
          <w:highlight w:val="none"/>
        </w:rPr>
        <w:t>19.响应文件的评审与磋商</w:t>
      </w:r>
    </w:p>
    <w:p>
      <w:pPr>
        <w:spacing w:line="360" w:lineRule="auto"/>
        <w:ind w:firstLine="480" w:firstLineChars="200"/>
        <w:rPr>
          <w:sz w:val="24"/>
          <w:highlight w:val="none"/>
        </w:rPr>
      </w:pPr>
      <w:r>
        <w:rPr>
          <w:rFonts w:hint="eastAsia"/>
          <w:sz w:val="24"/>
          <w:highlight w:val="none"/>
        </w:rPr>
        <w:t>19</w:t>
      </w:r>
      <w:r>
        <w:rPr>
          <w:sz w:val="24"/>
          <w:highlight w:val="none"/>
        </w:rPr>
        <w:t>.</w:t>
      </w:r>
      <w:r>
        <w:rPr>
          <w:rFonts w:hint="eastAsia"/>
          <w:sz w:val="24"/>
          <w:highlight w:val="none"/>
        </w:rPr>
        <w:t>1</w:t>
      </w:r>
      <w:r>
        <w:rPr>
          <w:rFonts w:hint="eastAsia"/>
          <w:sz w:val="24"/>
          <w:highlight w:val="none"/>
          <w:lang w:val="en-US" w:eastAsia="zh-CN"/>
        </w:rPr>
        <w:t xml:space="preserve"> </w:t>
      </w:r>
      <w:r>
        <w:rPr>
          <w:rFonts w:hint="eastAsia"/>
          <w:sz w:val="24"/>
          <w:szCs w:val="18"/>
          <w:highlight w:val="none"/>
        </w:rPr>
        <w:t>业主单位</w:t>
      </w:r>
      <w:r>
        <w:rPr>
          <w:rFonts w:hint="eastAsia"/>
          <w:sz w:val="24"/>
          <w:highlight w:val="none"/>
        </w:rPr>
        <w:t>和代理机构将在</w:t>
      </w:r>
      <w:r>
        <w:rPr>
          <w:rFonts w:hint="eastAsia"/>
          <w:sz w:val="24"/>
          <w:highlight w:val="none"/>
          <w:u w:val="single"/>
          <w:lang w:val="en-US" w:eastAsia="zh-CN"/>
        </w:rPr>
        <w:t xml:space="preserve"> </w:t>
      </w:r>
      <w:r>
        <w:rPr>
          <w:rFonts w:hint="eastAsia"/>
          <w:sz w:val="24"/>
          <w:szCs w:val="18"/>
          <w:highlight w:val="none"/>
          <w:u w:val="single"/>
        </w:rPr>
        <w:t>参审单位</w:t>
      </w:r>
      <w:r>
        <w:rPr>
          <w:sz w:val="24"/>
          <w:highlight w:val="none"/>
          <w:u w:val="single"/>
        </w:rPr>
        <w:t>须知前附表</w:t>
      </w:r>
      <w:r>
        <w:rPr>
          <w:rFonts w:hint="eastAsia"/>
          <w:sz w:val="24"/>
          <w:highlight w:val="none"/>
          <w:u w:val="single"/>
          <w:lang w:val="en-US" w:eastAsia="zh-CN"/>
        </w:rPr>
        <w:t xml:space="preserve"> </w:t>
      </w:r>
      <w:r>
        <w:rPr>
          <w:rFonts w:hint="eastAsia"/>
          <w:sz w:val="24"/>
          <w:highlight w:val="none"/>
        </w:rPr>
        <w:t>规定的时间和地点组织磋商。</w:t>
      </w:r>
    </w:p>
    <w:p>
      <w:pPr>
        <w:spacing w:line="360" w:lineRule="auto"/>
        <w:ind w:firstLine="480" w:firstLineChars="200"/>
        <w:rPr>
          <w:sz w:val="24"/>
          <w:highlight w:val="none"/>
        </w:rPr>
      </w:pPr>
      <w:r>
        <w:rPr>
          <w:rFonts w:hint="eastAsia"/>
          <w:sz w:val="24"/>
          <w:highlight w:val="none"/>
        </w:rPr>
        <w:t>19.2</w:t>
      </w:r>
      <w:r>
        <w:rPr>
          <w:rFonts w:hint="eastAsia"/>
          <w:sz w:val="24"/>
          <w:highlight w:val="none"/>
          <w:lang w:val="en-US" w:eastAsia="zh-CN"/>
        </w:rPr>
        <w:t xml:space="preserve"> </w:t>
      </w:r>
      <w:r>
        <w:rPr>
          <w:rFonts w:hint="eastAsia"/>
          <w:sz w:val="24"/>
          <w:highlight w:val="none"/>
        </w:rPr>
        <w:t>磋商活动采用</w:t>
      </w:r>
      <w:r>
        <w:rPr>
          <w:rFonts w:hint="eastAsia"/>
          <w:b/>
          <w:bCs/>
          <w:sz w:val="24"/>
          <w:highlight w:val="none"/>
        </w:rPr>
        <w:t>综合评分法</w:t>
      </w:r>
      <w:r>
        <w:rPr>
          <w:rFonts w:hint="eastAsia"/>
          <w:sz w:val="24"/>
          <w:highlight w:val="none"/>
        </w:rPr>
        <w:t>评审。</w:t>
      </w:r>
    </w:p>
    <w:p>
      <w:pPr>
        <w:spacing w:line="360" w:lineRule="auto"/>
        <w:ind w:firstLine="480" w:firstLineChars="200"/>
        <w:rPr>
          <w:sz w:val="24"/>
          <w:highlight w:val="none"/>
        </w:rPr>
      </w:pPr>
      <w:r>
        <w:rPr>
          <w:rFonts w:hint="eastAsia"/>
          <w:sz w:val="24"/>
          <w:highlight w:val="none"/>
        </w:rPr>
        <w:t>综合评分法，是指响应文件满足磋商文件全部实质性要求且按评审因素的量化指标评审得分最高的</w:t>
      </w:r>
      <w:r>
        <w:rPr>
          <w:rFonts w:hint="eastAsia"/>
          <w:sz w:val="24"/>
          <w:szCs w:val="18"/>
          <w:highlight w:val="none"/>
        </w:rPr>
        <w:t>参审单位</w:t>
      </w:r>
      <w:r>
        <w:rPr>
          <w:rFonts w:hint="eastAsia"/>
          <w:sz w:val="24"/>
          <w:highlight w:val="none"/>
        </w:rPr>
        <w:t>为成交候选</w:t>
      </w:r>
      <w:r>
        <w:rPr>
          <w:rFonts w:hint="eastAsia"/>
          <w:sz w:val="24"/>
          <w:szCs w:val="18"/>
          <w:highlight w:val="none"/>
        </w:rPr>
        <w:t>人</w:t>
      </w:r>
      <w:r>
        <w:rPr>
          <w:rFonts w:hint="eastAsia"/>
          <w:sz w:val="24"/>
          <w:highlight w:val="none"/>
        </w:rPr>
        <w:t>的评审方法。</w:t>
      </w:r>
    </w:p>
    <w:p>
      <w:pPr>
        <w:spacing w:line="360" w:lineRule="auto"/>
        <w:ind w:firstLine="480" w:firstLineChars="200"/>
        <w:rPr>
          <w:sz w:val="24"/>
          <w:highlight w:val="none"/>
        </w:rPr>
      </w:pPr>
      <w:r>
        <w:rPr>
          <w:rFonts w:hint="eastAsia"/>
          <w:sz w:val="24"/>
          <w:highlight w:val="none"/>
        </w:rPr>
        <w:t>19.3</w:t>
      </w:r>
      <w:r>
        <w:rPr>
          <w:rFonts w:hint="eastAsia"/>
          <w:sz w:val="24"/>
          <w:highlight w:val="none"/>
          <w:lang w:val="en-US" w:eastAsia="zh-CN"/>
        </w:rPr>
        <w:t xml:space="preserve"> </w:t>
      </w:r>
      <w:r>
        <w:rPr>
          <w:rFonts w:hint="eastAsia"/>
          <w:sz w:val="24"/>
          <w:highlight w:val="none"/>
        </w:rPr>
        <w:t>磋商小组将按照磋商文件规定的</w:t>
      </w:r>
      <w:r>
        <w:rPr>
          <w:sz w:val="24"/>
          <w:highlight w:val="none"/>
        </w:rPr>
        <w:t>评审</w:t>
      </w:r>
      <w:r>
        <w:rPr>
          <w:rFonts w:hint="eastAsia"/>
          <w:sz w:val="24"/>
          <w:highlight w:val="none"/>
        </w:rPr>
        <w:t>方</w:t>
      </w:r>
      <w:r>
        <w:rPr>
          <w:sz w:val="24"/>
          <w:highlight w:val="none"/>
        </w:rPr>
        <w:t>法</w:t>
      </w:r>
      <w:r>
        <w:rPr>
          <w:rFonts w:hint="eastAsia"/>
          <w:sz w:val="24"/>
          <w:highlight w:val="none"/>
        </w:rPr>
        <w:t>和标准对</w:t>
      </w:r>
      <w:r>
        <w:rPr>
          <w:rFonts w:hint="eastAsia"/>
          <w:sz w:val="24"/>
          <w:szCs w:val="18"/>
          <w:highlight w:val="none"/>
        </w:rPr>
        <w:t>参审单位</w:t>
      </w:r>
      <w:r>
        <w:rPr>
          <w:rFonts w:hint="eastAsia"/>
          <w:sz w:val="24"/>
          <w:highlight w:val="none"/>
        </w:rPr>
        <w:t>独立进行评审。评审程序如下：</w:t>
      </w:r>
    </w:p>
    <w:p>
      <w:pPr>
        <w:spacing w:line="360" w:lineRule="auto"/>
        <w:ind w:firstLine="480" w:firstLineChars="200"/>
        <w:rPr>
          <w:sz w:val="24"/>
          <w:highlight w:val="none"/>
        </w:rPr>
      </w:pPr>
      <w:r>
        <w:rPr>
          <w:rFonts w:hint="eastAsia"/>
          <w:sz w:val="24"/>
          <w:highlight w:val="none"/>
        </w:rPr>
        <w:t>19.3.1</w:t>
      </w:r>
      <w:r>
        <w:rPr>
          <w:rFonts w:hint="eastAsia"/>
          <w:sz w:val="24"/>
          <w:highlight w:val="none"/>
          <w:lang w:val="en-US" w:eastAsia="zh-CN"/>
        </w:rPr>
        <w:t xml:space="preserve"> </w:t>
      </w:r>
      <w:r>
        <w:rPr>
          <w:rFonts w:hint="eastAsia"/>
          <w:b/>
          <w:sz w:val="24"/>
          <w:highlight w:val="none"/>
        </w:rPr>
        <w:t>初审</w:t>
      </w:r>
      <w:r>
        <w:rPr>
          <w:rFonts w:hint="eastAsia"/>
          <w:sz w:val="24"/>
          <w:highlight w:val="none"/>
        </w:rPr>
        <w:t>。磋商小组对</w:t>
      </w:r>
      <w:r>
        <w:rPr>
          <w:rFonts w:hint="eastAsia"/>
          <w:sz w:val="24"/>
          <w:szCs w:val="18"/>
          <w:highlight w:val="none"/>
        </w:rPr>
        <w:t>参审单位</w:t>
      </w:r>
      <w:r>
        <w:rPr>
          <w:rFonts w:hint="eastAsia"/>
          <w:sz w:val="24"/>
          <w:highlight w:val="none"/>
        </w:rPr>
        <w:t>必须满足和实质性响应的内容进行评审，</w:t>
      </w:r>
      <w:r>
        <w:rPr>
          <w:rFonts w:hint="eastAsia"/>
          <w:sz w:val="24"/>
          <w:szCs w:val="18"/>
          <w:highlight w:val="none"/>
        </w:rPr>
        <w:t>参审单位</w:t>
      </w:r>
      <w:r>
        <w:rPr>
          <w:rFonts w:hint="eastAsia"/>
          <w:sz w:val="24"/>
          <w:highlight w:val="none"/>
        </w:rPr>
        <w:t>未实质性响应磋商文件要求导致响应无效的，磋商小组将以书面询问的方式告知有关</w:t>
      </w:r>
      <w:r>
        <w:rPr>
          <w:rFonts w:hint="eastAsia"/>
          <w:sz w:val="24"/>
          <w:szCs w:val="18"/>
          <w:highlight w:val="none"/>
        </w:rPr>
        <w:t>参审单位</w:t>
      </w:r>
      <w:r>
        <w:rPr>
          <w:rFonts w:hint="eastAsia"/>
          <w:sz w:val="24"/>
          <w:highlight w:val="none"/>
        </w:rPr>
        <w:t>。</w:t>
      </w:r>
    </w:p>
    <w:p>
      <w:pPr>
        <w:keepNext w:val="0"/>
        <w:keepLines w:val="0"/>
        <w:widowControl/>
        <w:suppressLineNumbers w:val="0"/>
        <w:spacing w:line="360" w:lineRule="auto"/>
        <w:ind w:firstLine="480" w:firstLineChars="200"/>
        <w:jc w:val="left"/>
        <w:rPr>
          <w:highlight w:val="none"/>
        </w:rPr>
      </w:pPr>
      <w:r>
        <w:rPr>
          <w:rFonts w:hint="eastAsia"/>
          <w:sz w:val="24"/>
          <w:szCs w:val="18"/>
          <w:highlight w:val="none"/>
        </w:rPr>
        <w:t>参审单位</w:t>
      </w:r>
      <w:r>
        <w:rPr>
          <w:rFonts w:hint="eastAsia"/>
          <w:sz w:val="24"/>
          <w:highlight w:val="none"/>
        </w:rPr>
        <w:t>存在不良信用记录的，其响应文件将被认定为</w:t>
      </w:r>
      <w:r>
        <w:rPr>
          <w:rFonts w:hint="eastAsia"/>
          <w:b/>
          <w:sz w:val="24"/>
          <w:highlight w:val="none"/>
        </w:rPr>
        <w:t>响应无效</w:t>
      </w:r>
      <w:r>
        <w:rPr>
          <w:rFonts w:hint="eastAsia"/>
          <w:sz w:val="24"/>
          <w:highlight w:val="none"/>
        </w:rPr>
        <w:t>。</w:t>
      </w:r>
      <w:r>
        <w:rPr>
          <w:rFonts w:hint="eastAsia"/>
          <w:b/>
          <w:bCs/>
          <w:sz w:val="24"/>
          <w:highlight w:val="none"/>
          <w:lang w:val="en-US" w:eastAsia="zh-CN"/>
        </w:rPr>
        <w:t>参审单位</w:t>
      </w:r>
      <w:r>
        <w:rPr>
          <w:rFonts w:hint="eastAsia" w:ascii="宋体" w:hAnsi="宋体" w:eastAsia="宋体" w:cs="宋体"/>
          <w:b/>
          <w:bCs/>
          <w:color w:val="000000"/>
          <w:kern w:val="0"/>
          <w:sz w:val="24"/>
          <w:szCs w:val="24"/>
          <w:highlight w:val="none"/>
          <w:lang w:val="en-US" w:eastAsia="zh-CN" w:bidi="ar"/>
        </w:rPr>
        <w:t>需</w:t>
      </w:r>
      <w:r>
        <w:rPr>
          <w:rFonts w:hint="eastAsia" w:cs="宋体"/>
          <w:b/>
          <w:bCs/>
          <w:color w:val="000000"/>
          <w:kern w:val="0"/>
          <w:sz w:val="24"/>
          <w:szCs w:val="24"/>
          <w:highlight w:val="none"/>
          <w:lang w:val="en-US" w:eastAsia="zh-CN" w:bidi="ar"/>
        </w:rPr>
        <w:t>在响应文件中</w:t>
      </w:r>
      <w:r>
        <w:rPr>
          <w:rFonts w:hint="eastAsia" w:ascii="宋体" w:hAnsi="宋体" w:eastAsia="宋体" w:cs="宋体"/>
          <w:b/>
          <w:bCs/>
          <w:color w:val="000000"/>
          <w:kern w:val="0"/>
          <w:sz w:val="24"/>
          <w:szCs w:val="24"/>
          <w:highlight w:val="none"/>
          <w:lang w:val="en-US" w:eastAsia="zh-CN" w:bidi="ar"/>
        </w:rPr>
        <w:t>提供网站查询截图</w:t>
      </w:r>
    </w:p>
    <w:p>
      <w:pPr>
        <w:spacing w:line="360" w:lineRule="auto"/>
        <w:ind w:firstLine="480" w:firstLineChars="200"/>
        <w:rPr>
          <w:rFonts w:cs="宋体"/>
          <w:kern w:val="21"/>
          <w:sz w:val="24"/>
          <w:szCs w:val="24"/>
          <w:highlight w:val="none"/>
          <w:lang w:bidi="ar"/>
        </w:rPr>
      </w:pPr>
      <w:r>
        <w:rPr>
          <w:rFonts w:hint="eastAsia" w:cs="宋体"/>
          <w:kern w:val="21"/>
          <w:sz w:val="24"/>
          <w:szCs w:val="24"/>
          <w:highlight w:val="none"/>
          <w:lang w:bidi="ar"/>
        </w:rPr>
        <w:t>19.3.1.1</w:t>
      </w:r>
      <w:r>
        <w:rPr>
          <w:rFonts w:hint="eastAsia" w:cs="宋体"/>
          <w:kern w:val="21"/>
          <w:sz w:val="24"/>
          <w:szCs w:val="24"/>
          <w:highlight w:val="none"/>
          <w:lang w:val="en-US" w:eastAsia="zh-CN" w:bidi="ar"/>
        </w:rPr>
        <w:t xml:space="preserve"> </w:t>
      </w:r>
      <w:r>
        <w:rPr>
          <w:rFonts w:hint="eastAsia" w:cs="宋体"/>
          <w:kern w:val="21"/>
          <w:sz w:val="24"/>
          <w:szCs w:val="24"/>
          <w:highlight w:val="none"/>
          <w:lang w:bidi="ar"/>
        </w:rPr>
        <w:t>信用信息查询渠道：“信用中国”网站（www.creditchina.gov.cn）、国家企业信用信息公示系统（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Style w:val="30"/>
          <w:rFonts w:hint="eastAsia" w:cs="宋体"/>
          <w:color w:val="auto"/>
          <w:kern w:val="21"/>
          <w:sz w:val="24"/>
          <w:szCs w:val="24"/>
          <w:highlight w:val="none"/>
          <w:lang w:bidi="ar"/>
        </w:rPr>
        <w:t>www.gsxt.gov.cn</w:t>
      </w:r>
      <w:r>
        <w:rPr>
          <w:rStyle w:val="30"/>
          <w:rFonts w:hint="eastAsia" w:cs="宋体"/>
          <w:color w:val="auto"/>
          <w:kern w:val="21"/>
          <w:sz w:val="24"/>
          <w:szCs w:val="24"/>
          <w:highlight w:val="none"/>
          <w:lang w:bidi="ar"/>
        </w:rPr>
        <w:fldChar w:fldCharType="end"/>
      </w:r>
      <w:r>
        <w:rPr>
          <w:rFonts w:hint="eastAsia" w:cs="宋体"/>
          <w:kern w:val="21"/>
          <w:sz w:val="24"/>
          <w:szCs w:val="24"/>
          <w:highlight w:val="none"/>
          <w:lang w:bidi="ar"/>
        </w:rPr>
        <w:t>）：</w:t>
      </w:r>
    </w:p>
    <w:p>
      <w:pPr>
        <w:spacing w:line="360" w:lineRule="auto"/>
        <w:ind w:firstLine="480" w:firstLineChars="200"/>
        <w:rPr>
          <w:rFonts w:cs="宋体"/>
          <w:sz w:val="24"/>
          <w:szCs w:val="24"/>
          <w:highlight w:val="none"/>
        </w:rPr>
      </w:pPr>
      <w:r>
        <w:rPr>
          <w:rFonts w:hint="eastAsia" w:cs="宋体"/>
          <w:sz w:val="24"/>
          <w:szCs w:val="24"/>
          <w:highlight w:val="none"/>
        </w:rPr>
        <w:t>（</w:t>
      </w:r>
      <w:r>
        <w:rPr>
          <w:rFonts w:cs="宋体"/>
          <w:sz w:val="24"/>
          <w:szCs w:val="24"/>
          <w:highlight w:val="none"/>
        </w:rPr>
        <w:t>1</w:t>
      </w:r>
      <w:r>
        <w:rPr>
          <w:rFonts w:hint="eastAsia" w:cs="宋体"/>
          <w:sz w:val="24"/>
          <w:szCs w:val="24"/>
          <w:highlight w:val="none"/>
        </w:rPr>
        <w:t>）在</w:t>
      </w:r>
      <w:r>
        <w:rPr>
          <w:rFonts w:hint="eastAsia" w:cs="宋体"/>
          <w:b/>
          <w:bCs/>
          <w:sz w:val="24"/>
          <w:szCs w:val="24"/>
          <w:highlight w:val="none"/>
        </w:rPr>
        <w:t>国家企业信用信息公示系统</w:t>
      </w:r>
      <w:r>
        <w:rPr>
          <w:rFonts w:hint="eastAsia" w:cs="宋体"/>
          <w:sz w:val="24"/>
          <w:szCs w:val="24"/>
          <w:highlight w:val="none"/>
        </w:rPr>
        <w:t>（http://www.gsxt.gov.cn/）中被列入</w:t>
      </w:r>
      <w:r>
        <w:rPr>
          <w:rFonts w:hint="eastAsia" w:cs="宋体"/>
          <w:b/>
          <w:bCs/>
          <w:sz w:val="24"/>
          <w:szCs w:val="24"/>
          <w:highlight w:val="none"/>
        </w:rPr>
        <w:t>严重违法失信企业</w:t>
      </w:r>
      <w:r>
        <w:rPr>
          <w:rFonts w:hint="eastAsia" w:cs="宋体"/>
          <w:sz w:val="24"/>
          <w:szCs w:val="24"/>
          <w:highlight w:val="none"/>
        </w:rPr>
        <w:t>名单；</w:t>
      </w:r>
    </w:p>
    <w:p>
      <w:pPr>
        <w:spacing w:line="360" w:lineRule="auto"/>
        <w:ind w:firstLine="480" w:firstLineChars="200"/>
        <w:rPr>
          <w:rFonts w:cs="宋体"/>
          <w:sz w:val="24"/>
          <w:szCs w:val="24"/>
          <w:highlight w:val="none"/>
        </w:rPr>
      </w:pPr>
      <w:r>
        <w:rPr>
          <w:rFonts w:hint="eastAsia" w:cs="宋体"/>
          <w:sz w:val="24"/>
          <w:szCs w:val="24"/>
          <w:highlight w:val="none"/>
        </w:rPr>
        <w:t>（</w:t>
      </w:r>
      <w:r>
        <w:rPr>
          <w:rFonts w:cs="宋体"/>
          <w:sz w:val="24"/>
          <w:szCs w:val="24"/>
          <w:highlight w:val="none"/>
        </w:rPr>
        <w:t>2</w:t>
      </w:r>
      <w:r>
        <w:rPr>
          <w:rFonts w:hint="eastAsia" w:cs="宋体"/>
          <w:sz w:val="24"/>
          <w:szCs w:val="24"/>
          <w:highlight w:val="none"/>
        </w:rPr>
        <w:t>）在“</w:t>
      </w:r>
      <w:r>
        <w:rPr>
          <w:rFonts w:hint="eastAsia" w:cs="宋体"/>
          <w:b/>
          <w:bCs/>
          <w:sz w:val="24"/>
          <w:szCs w:val="24"/>
          <w:highlight w:val="none"/>
        </w:rPr>
        <w:t>信用中国</w:t>
      </w:r>
      <w:r>
        <w:rPr>
          <w:rFonts w:hint="eastAsia" w:cs="宋体"/>
          <w:sz w:val="24"/>
          <w:szCs w:val="24"/>
          <w:highlight w:val="none"/>
        </w:rPr>
        <w:t>”网站（http://www.creditchina.gov.cn/）中被列入</w:t>
      </w:r>
      <w:r>
        <w:rPr>
          <w:rFonts w:hint="eastAsia" w:cs="宋体"/>
          <w:b/>
          <w:bCs/>
          <w:sz w:val="24"/>
          <w:szCs w:val="24"/>
          <w:highlight w:val="none"/>
        </w:rPr>
        <w:t>失信被执行人</w:t>
      </w:r>
      <w:r>
        <w:rPr>
          <w:rFonts w:hint="eastAsia" w:cs="宋体"/>
          <w:sz w:val="24"/>
          <w:szCs w:val="24"/>
          <w:highlight w:val="none"/>
        </w:rPr>
        <w:t>名单；</w:t>
      </w:r>
    </w:p>
    <w:p>
      <w:pPr>
        <w:spacing w:line="360" w:lineRule="auto"/>
        <w:ind w:firstLine="480" w:firstLineChars="200"/>
        <w:rPr>
          <w:highlight w:val="none"/>
          <w:lang w:bidi="ar"/>
        </w:rPr>
      </w:pPr>
      <w:r>
        <w:rPr>
          <w:rFonts w:hint="eastAsia" w:cs="宋体"/>
          <w:sz w:val="24"/>
          <w:szCs w:val="24"/>
          <w:highlight w:val="none"/>
        </w:rPr>
        <w:t>（3）在“</w:t>
      </w:r>
      <w:r>
        <w:rPr>
          <w:rFonts w:hint="eastAsia" w:cs="宋体"/>
          <w:b/>
          <w:bCs/>
          <w:sz w:val="24"/>
          <w:szCs w:val="24"/>
          <w:highlight w:val="none"/>
        </w:rPr>
        <w:t>信用中国</w:t>
      </w:r>
      <w:r>
        <w:rPr>
          <w:rFonts w:hint="eastAsia" w:cs="宋体"/>
          <w:sz w:val="24"/>
          <w:szCs w:val="24"/>
          <w:highlight w:val="none"/>
        </w:rPr>
        <w:t>”网站（http://www.creditchina.gov.cn/）中被列入</w:t>
      </w:r>
      <w:r>
        <w:rPr>
          <w:rFonts w:hint="eastAsia" w:cs="宋体"/>
          <w:b/>
          <w:bCs/>
          <w:sz w:val="24"/>
          <w:szCs w:val="24"/>
          <w:highlight w:val="none"/>
        </w:rPr>
        <w:t>重大税收违法案件当事人</w:t>
      </w:r>
      <w:r>
        <w:rPr>
          <w:rFonts w:hint="eastAsia" w:cs="宋体"/>
          <w:sz w:val="24"/>
          <w:szCs w:val="24"/>
          <w:highlight w:val="none"/>
        </w:rPr>
        <w:t>名单；</w:t>
      </w:r>
    </w:p>
    <w:p>
      <w:pPr>
        <w:spacing w:line="360" w:lineRule="auto"/>
        <w:ind w:firstLine="360" w:firstLineChars="150"/>
        <w:rPr>
          <w:sz w:val="24"/>
          <w:highlight w:val="none"/>
        </w:rPr>
      </w:pPr>
      <w:r>
        <w:rPr>
          <w:rFonts w:hint="eastAsia"/>
          <w:sz w:val="24"/>
          <w:highlight w:val="none"/>
        </w:rPr>
        <w:t>以联合体形式参加磋商的，联合体任何成员存在以上不良信用记录的，联合体磋商将被认定为</w:t>
      </w:r>
      <w:r>
        <w:rPr>
          <w:rFonts w:hint="eastAsia"/>
          <w:b/>
          <w:sz w:val="24"/>
          <w:highlight w:val="none"/>
        </w:rPr>
        <w:t>响应无效</w:t>
      </w:r>
      <w:r>
        <w:rPr>
          <w:rFonts w:hint="eastAsia"/>
          <w:sz w:val="24"/>
          <w:highlight w:val="none"/>
        </w:rPr>
        <w:t>。</w:t>
      </w:r>
    </w:p>
    <w:p>
      <w:pPr>
        <w:spacing w:line="360" w:lineRule="auto"/>
        <w:ind w:firstLine="480" w:firstLineChars="200"/>
        <w:rPr>
          <w:sz w:val="24"/>
          <w:highlight w:val="none"/>
        </w:rPr>
      </w:pPr>
      <w:r>
        <w:rPr>
          <w:rFonts w:hint="eastAsia"/>
          <w:sz w:val="24"/>
          <w:highlight w:val="none"/>
        </w:rPr>
        <w:t>19.3.2</w:t>
      </w:r>
      <w:r>
        <w:rPr>
          <w:rFonts w:hint="eastAsia"/>
          <w:sz w:val="24"/>
          <w:highlight w:val="none"/>
          <w:lang w:val="en-US" w:eastAsia="zh-CN"/>
        </w:rPr>
        <w:t xml:space="preserve"> </w:t>
      </w:r>
      <w:r>
        <w:rPr>
          <w:rFonts w:hint="eastAsia"/>
          <w:b/>
          <w:sz w:val="24"/>
          <w:highlight w:val="none"/>
        </w:rPr>
        <w:t>磋商</w:t>
      </w:r>
      <w:r>
        <w:rPr>
          <w:rFonts w:hint="eastAsia"/>
          <w:sz w:val="24"/>
          <w:highlight w:val="none"/>
        </w:rPr>
        <w:t>。初审合格后，磋商小组将按网上加密电子响应文件提交顺序集中与单一</w:t>
      </w:r>
      <w:r>
        <w:rPr>
          <w:rFonts w:hint="eastAsia"/>
          <w:sz w:val="24"/>
          <w:szCs w:val="18"/>
          <w:highlight w:val="none"/>
        </w:rPr>
        <w:t>参审单位</w:t>
      </w:r>
      <w:r>
        <w:rPr>
          <w:rFonts w:hint="eastAsia"/>
          <w:sz w:val="24"/>
          <w:highlight w:val="none"/>
        </w:rPr>
        <w:t>分别进行磋商，并给予所有参加磋商的</w:t>
      </w:r>
      <w:r>
        <w:rPr>
          <w:rFonts w:hint="eastAsia"/>
          <w:sz w:val="24"/>
          <w:szCs w:val="18"/>
          <w:highlight w:val="none"/>
        </w:rPr>
        <w:t>参审单位</w:t>
      </w:r>
      <w:r>
        <w:rPr>
          <w:rFonts w:hint="eastAsia"/>
          <w:sz w:val="24"/>
          <w:highlight w:val="none"/>
        </w:rPr>
        <w:t>平等的磋商机会。</w:t>
      </w:r>
    </w:p>
    <w:p>
      <w:pPr>
        <w:spacing w:line="360" w:lineRule="auto"/>
        <w:ind w:firstLine="480" w:firstLineChars="200"/>
        <w:rPr>
          <w:sz w:val="24"/>
          <w:highlight w:val="none"/>
        </w:rPr>
      </w:pPr>
      <w:r>
        <w:rPr>
          <w:rFonts w:hint="eastAsia"/>
          <w:sz w:val="24"/>
          <w:highlight w:val="none"/>
        </w:rPr>
        <w:t>19.3.3</w:t>
      </w:r>
      <w:r>
        <w:rPr>
          <w:rFonts w:hint="eastAsia"/>
          <w:sz w:val="24"/>
          <w:highlight w:val="none"/>
          <w:lang w:val="en-US" w:eastAsia="zh-CN"/>
        </w:rPr>
        <w:t xml:space="preserve"> </w:t>
      </w:r>
      <w:r>
        <w:rPr>
          <w:b/>
          <w:sz w:val="24"/>
          <w:highlight w:val="none"/>
        </w:rPr>
        <w:t>报价</w:t>
      </w:r>
      <w:r>
        <w:rPr>
          <w:rFonts w:hint="eastAsia"/>
          <w:sz w:val="24"/>
          <w:highlight w:val="none"/>
        </w:rPr>
        <w:t>。</w:t>
      </w:r>
      <w:r>
        <w:rPr>
          <w:sz w:val="24"/>
          <w:highlight w:val="none"/>
        </w:rPr>
        <w:t>磋商结束后，磋商小组应当要求所有</w:t>
      </w:r>
      <w:r>
        <w:rPr>
          <w:rFonts w:hint="eastAsia"/>
          <w:sz w:val="24"/>
          <w:highlight w:val="none"/>
        </w:rPr>
        <w:t>实质性响应</w:t>
      </w:r>
      <w:r>
        <w:rPr>
          <w:sz w:val="24"/>
          <w:highlight w:val="none"/>
        </w:rPr>
        <w:t>的</w:t>
      </w:r>
      <w:r>
        <w:rPr>
          <w:rFonts w:hint="eastAsia"/>
          <w:sz w:val="24"/>
          <w:szCs w:val="18"/>
          <w:highlight w:val="none"/>
        </w:rPr>
        <w:t>参审单位</w:t>
      </w:r>
      <w:r>
        <w:rPr>
          <w:sz w:val="24"/>
          <w:highlight w:val="none"/>
        </w:rPr>
        <w:t>在规定时间内提交最后报价</w:t>
      </w:r>
      <w:r>
        <w:rPr>
          <w:rFonts w:hint="eastAsia"/>
          <w:sz w:val="24"/>
          <w:highlight w:val="none"/>
        </w:rPr>
        <w:t>。</w:t>
      </w:r>
      <w:r>
        <w:rPr>
          <w:rFonts w:hint="eastAsia" w:cs="宋体"/>
          <w:b/>
          <w:bCs/>
          <w:sz w:val="24"/>
          <w:szCs w:val="24"/>
          <w:highlight w:val="none"/>
        </w:rPr>
        <w:t>磋商</w:t>
      </w:r>
      <w:r>
        <w:rPr>
          <w:rFonts w:cs="宋体"/>
          <w:b/>
          <w:bCs/>
          <w:sz w:val="24"/>
          <w:szCs w:val="24"/>
          <w:highlight w:val="none"/>
        </w:rPr>
        <w:t>文件中另有特殊规定的除外</w:t>
      </w:r>
      <w:r>
        <w:rPr>
          <w:rFonts w:hint="eastAsia" w:cs="宋体"/>
          <w:b/>
          <w:bCs/>
          <w:sz w:val="24"/>
          <w:szCs w:val="24"/>
          <w:highlight w:val="none"/>
        </w:rPr>
        <w:t>。</w:t>
      </w:r>
    </w:p>
    <w:p>
      <w:pPr>
        <w:spacing w:line="360" w:lineRule="auto"/>
        <w:ind w:firstLine="480" w:firstLineChars="200"/>
        <w:rPr>
          <w:sz w:val="24"/>
          <w:highlight w:val="none"/>
        </w:rPr>
      </w:pPr>
      <w:r>
        <w:rPr>
          <w:rFonts w:hint="eastAsia"/>
          <w:sz w:val="24"/>
          <w:highlight w:val="none"/>
        </w:rPr>
        <w:t>19.3.4</w:t>
      </w:r>
      <w:r>
        <w:rPr>
          <w:rFonts w:hint="eastAsia"/>
          <w:sz w:val="24"/>
          <w:highlight w:val="none"/>
          <w:lang w:val="en-US" w:eastAsia="zh-CN"/>
        </w:rPr>
        <w:t xml:space="preserve"> </w:t>
      </w:r>
      <w:r>
        <w:rPr>
          <w:rFonts w:hint="eastAsia"/>
          <w:b/>
          <w:sz w:val="24"/>
          <w:highlight w:val="none"/>
        </w:rPr>
        <w:t>综合评分</w:t>
      </w:r>
      <w:r>
        <w:rPr>
          <w:rFonts w:hint="eastAsia"/>
          <w:sz w:val="24"/>
          <w:highlight w:val="none"/>
        </w:rPr>
        <w:t>。磋商小组只对通过初审，实质上响应磋商要求的响应文件进行综合评分。经磋商确定最终项目需求和提交最后报价的</w:t>
      </w:r>
      <w:r>
        <w:rPr>
          <w:rFonts w:hint="eastAsia"/>
          <w:sz w:val="24"/>
          <w:szCs w:val="18"/>
          <w:highlight w:val="none"/>
        </w:rPr>
        <w:t>参审单位</w:t>
      </w:r>
      <w:r>
        <w:rPr>
          <w:rFonts w:hint="eastAsia"/>
          <w:sz w:val="24"/>
          <w:highlight w:val="none"/>
        </w:rPr>
        <w:t>后，由磋商小组采用综合评分法对提交最后报价的</w:t>
      </w:r>
      <w:r>
        <w:rPr>
          <w:rFonts w:hint="eastAsia"/>
          <w:sz w:val="24"/>
          <w:szCs w:val="18"/>
          <w:highlight w:val="none"/>
        </w:rPr>
        <w:t>参审单位</w:t>
      </w:r>
      <w:r>
        <w:rPr>
          <w:rFonts w:hint="eastAsia"/>
          <w:sz w:val="24"/>
          <w:highlight w:val="none"/>
        </w:rPr>
        <w:t>的响应文件和最后报价进行综合评分。</w:t>
      </w:r>
    </w:p>
    <w:p>
      <w:pPr>
        <w:spacing w:line="360" w:lineRule="auto"/>
        <w:ind w:firstLine="480" w:firstLineChars="200"/>
        <w:rPr>
          <w:sz w:val="24"/>
          <w:highlight w:val="none"/>
        </w:rPr>
      </w:pPr>
      <w:r>
        <w:rPr>
          <w:rFonts w:hint="eastAsia"/>
          <w:sz w:val="24"/>
          <w:highlight w:val="none"/>
        </w:rPr>
        <w:t>19.4</w:t>
      </w:r>
      <w:r>
        <w:rPr>
          <w:rFonts w:hint="eastAsia"/>
          <w:sz w:val="24"/>
          <w:highlight w:val="none"/>
          <w:lang w:val="en-US" w:eastAsia="zh-CN"/>
        </w:rPr>
        <w:t xml:space="preserve"> </w:t>
      </w:r>
      <w:r>
        <w:rPr>
          <w:rFonts w:hint="eastAsia"/>
          <w:sz w:val="24"/>
          <w:highlight w:val="none"/>
        </w:rPr>
        <w:t>相关说明。</w:t>
      </w:r>
    </w:p>
    <w:p>
      <w:pPr>
        <w:spacing w:line="360" w:lineRule="auto"/>
        <w:ind w:firstLine="480" w:firstLineChars="200"/>
        <w:rPr>
          <w:sz w:val="24"/>
          <w:highlight w:val="none"/>
        </w:rPr>
      </w:pPr>
      <w:r>
        <w:rPr>
          <w:rFonts w:hint="eastAsia"/>
          <w:sz w:val="24"/>
          <w:highlight w:val="none"/>
        </w:rPr>
        <w:t>19.4.1</w:t>
      </w:r>
      <w:r>
        <w:rPr>
          <w:rFonts w:hint="eastAsia"/>
          <w:sz w:val="24"/>
          <w:highlight w:val="none"/>
          <w:lang w:val="en-US" w:eastAsia="zh-CN"/>
        </w:rPr>
        <w:t xml:space="preserve"> </w:t>
      </w:r>
      <w:r>
        <w:rPr>
          <w:rFonts w:hint="eastAsia"/>
          <w:sz w:val="24"/>
          <w:highlight w:val="none"/>
        </w:rPr>
        <w:t>为保证磋商活动顺利进行，</w:t>
      </w:r>
      <w:r>
        <w:rPr>
          <w:rFonts w:hint="eastAsia"/>
          <w:sz w:val="24"/>
          <w:szCs w:val="18"/>
          <w:highlight w:val="none"/>
        </w:rPr>
        <w:t>参审单位</w:t>
      </w:r>
      <w:r>
        <w:rPr>
          <w:rFonts w:hint="eastAsia"/>
          <w:sz w:val="24"/>
          <w:highlight w:val="none"/>
        </w:rPr>
        <w:t xml:space="preserve">可派相关技术人员进行网上答疑； </w:t>
      </w:r>
    </w:p>
    <w:p>
      <w:pPr>
        <w:spacing w:line="360" w:lineRule="auto"/>
        <w:ind w:firstLine="480" w:firstLineChars="200"/>
        <w:rPr>
          <w:sz w:val="24"/>
          <w:highlight w:val="none"/>
        </w:rPr>
      </w:pPr>
      <w:r>
        <w:rPr>
          <w:rFonts w:hint="eastAsia"/>
          <w:sz w:val="24"/>
          <w:highlight w:val="none"/>
        </w:rPr>
        <w:t>19.4.2</w:t>
      </w:r>
      <w:r>
        <w:rPr>
          <w:rFonts w:hint="eastAsia"/>
          <w:sz w:val="24"/>
          <w:highlight w:val="none"/>
          <w:lang w:val="en-US" w:eastAsia="zh-CN"/>
        </w:rPr>
        <w:t xml:space="preserve"> </w:t>
      </w:r>
      <w:r>
        <w:rPr>
          <w:rFonts w:hint="eastAsia"/>
          <w:sz w:val="24"/>
          <w:highlight w:val="none"/>
        </w:rPr>
        <w:t>磋</w:t>
      </w:r>
      <w:r>
        <w:rPr>
          <w:sz w:val="24"/>
          <w:highlight w:val="none"/>
        </w:rPr>
        <w:t>商小组根据与</w:t>
      </w:r>
      <w:r>
        <w:rPr>
          <w:rFonts w:hint="eastAsia"/>
          <w:sz w:val="24"/>
          <w:szCs w:val="18"/>
          <w:highlight w:val="none"/>
        </w:rPr>
        <w:t>参审单位</w:t>
      </w:r>
      <w:r>
        <w:rPr>
          <w:sz w:val="24"/>
          <w:highlight w:val="none"/>
        </w:rPr>
        <w:t>磋商情况可能实质性变动</w:t>
      </w:r>
      <w:r>
        <w:rPr>
          <w:rFonts w:hint="eastAsia"/>
          <w:sz w:val="24"/>
          <w:highlight w:val="none"/>
        </w:rPr>
        <w:t>磋商文件</w:t>
      </w:r>
      <w:r>
        <w:rPr>
          <w:sz w:val="24"/>
          <w:highlight w:val="none"/>
        </w:rPr>
        <w:t>的内容，包括</w:t>
      </w:r>
      <w:r>
        <w:rPr>
          <w:rFonts w:hint="eastAsia"/>
          <w:sz w:val="24"/>
          <w:highlight w:val="none"/>
        </w:rPr>
        <w:t>项目需求</w:t>
      </w:r>
      <w:r>
        <w:rPr>
          <w:sz w:val="24"/>
          <w:highlight w:val="none"/>
        </w:rPr>
        <w:t>中的技术、服务要求以及合同草案条款。磋商文件有实质性变动的，</w:t>
      </w:r>
      <w:r>
        <w:rPr>
          <w:rFonts w:hint="eastAsia"/>
          <w:sz w:val="24"/>
          <w:highlight w:val="none"/>
        </w:rPr>
        <w:t>经</w:t>
      </w:r>
      <w:r>
        <w:rPr>
          <w:rFonts w:hint="eastAsia"/>
          <w:sz w:val="24"/>
          <w:szCs w:val="18"/>
          <w:highlight w:val="none"/>
        </w:rPr>
        <w:t>业主单位</w:t>
      </w:r>
      <w:r>
        <w:rPr>
          <w:rFonts w:hint="eastAsia"/>
          <w:sz w:val="24"/>
          <w:highlight w:val="none"/>
        </w:rPr>
        <w:t>代表确认作为磋商文件的有效组成部分，</w:t>
      </w:r>
      <w:r>
        <w:rPr>
          <w:sz w:val="24"/>
          <w:highlight w:val="none"/>
        </w:rPr>
        <w:t>磋商小组</w:t>
      </w:r>
      <w:r>
        <w:rPr>
          <w:rFonts w:hint="eastAsia"/>
          <w:sz w:val="24"/>
          <w:highlight w:val="none"/>
        </w:rPr>
        <w:t>将</w:t>
      </w:r>
      <w:r>
        <w:rPr>
          <w:sz w:val="24"/>
          <w:highlight w:val="none"/>
        </w:rPr>
        <w:t>以书面形式通知所有参加磋商的</w:t>
      </w:r>
      <w:r>
        <w:rPr>
          <w:rFonts w:hint="eastAsia"/>
          <w:sz w:val="24"/>
          <w:szCs w:val="18"/>
          <w:highlight w:val="none"/>
        </w:rPr>
        <w:t>参审单位</w:t>
      </w:r>
      <w:r>
        <w:rPr>
          <w:sz w:val="24"/>
          <w:highlight w:val="none"/>
        </w:rPr>
        <w:t>。</w:t>
      </w:r>
    </w:p>
    <w:p>
      <w:pPr>
        <w:spacing w:line="360" w:lineRule="auto"/>
        <w:ind w:firstLine="480" w:firstLineChars="200"/>
        <w:rPr>
          <w:sz w:val="24"/>
          <w:highlight w:val="none"/>
        </w:rPr>
      </w:pPr>
      <w:r>
        <w:rPr>
          <w:rFonts w:hint="eastAsia"/>
          <w:sz w:val="24"/>
          <w:highlight w:val="none"/>
        </w:rPr>
        <w:t>19.4.3</w:t>
      </w:r>
      <w:r>
        <w:rPr>
          <w:rFonts w:hint="eastAsia"/>
          <w:sz w:val="24"/>
          <w:highlight w:val="none"/>
          <w:lang w:val="en-US" w:eastAsia="zh-CN"/>
        </w:rPr>
        <w:t xml:space="preserve"> </w:t>
      </w:r>
      <w:r>
        <w:rPr>
          <w:rFonts w:hint="eastAsia"/>
          <w:sz w:val="24"/>
          <w:highlight w:val="none"/>
        </w:rPr>
        <w:t>磋商小组发现</w:t>
      </w:r>
      <w:r>
        <w:rPr>
          <w:rFonts w:hint="eastAsia"/>
          <w:sz w:val="24"/>
          <w:szCs w:val="18"/>
          <w:highlight w:val="none"/>
        </w:rPr>
        <w:t>参审单位</w:t>
      </w:r>
      <w:r>
        <w:rPr>
          <w:rFonts w:hint="eastAsia"/>
          <w:sz w:val="24"/>
          <w:highlight w:val="none"/>
        </w:rPr>
        <w:t>的报价或者某些分项报价明显低于其他通过初审的</w:t>
      </w:r>
      <w:r>
        <w:rPr>
          <w:rFonts w:hint="eastAsia"/>
          <w:sz w:val="24"/>
          <w:szCs w:val="18"/>
          <w:highlight w:val="none"/>
        </w:rPr>
        <w:t>参审单位</w:t>
      </w:r>
      <w:r>
        <w:rPr>
          <w:rFonts w:hint="eastAsia"/>
          <w:sz w:val="24"/>
          <w:highlight w:val="none"/>
        </w:rPr>
        <w:t>的报价，有可能影响产品质量和不能诚信履约的，应当要求其在合理的时间内提供书面说明，必要时提交相关证明材料；</w:t>
      </w:r>
      <w:r>
        <w:rPr>
          <w:rFonts w:hint="eastAsia"/>
          <w:sz w:val="24"/>
          <w:szCs w:val="18"/>
          <w:highlight w:val="none"/>
        </w:rPr>
        <w:t>参审单位</w:t>
      </w:r>
      <w:r>
        <w:rPr>
          <w:rFonts w:hint="eastAsia"/>
          <w:sz w:val="24"/>
          <w:highlight w:val="none"/>
        </w:rPr>
        <w:t>不能证明其报价合理性的，其响应文件将被认定为响应无效。</w:t>
      </w:r>
    </w:p>
    <w:p>
      <w:pPr>
        <w:spacing w:line="360" w:lineRule="auto"/>
        <w:ind w:firstLine="480" w:firstLineChars="200"/>
        <w:rPr>
          <w:sz w:val="24"/>
          <w:highlight w:val="none"/>
        </w:rPr>
      </w:pPr>
      <w:r>
        <w:rPr>
          <w:rFonts w:hint="eastAsia"/>
          <w:sz w:val="24"/>
          <w:highlight w:val="none"/>
        </w:rPr>
        <w:t>19.4.4</w:t>
      </w:r>
      <w:r>
        <w:rPr>
          <w:rFonts w:hint="eastAsia"/>
          <w:sz w:val="24"/>
          <w:highlight w:val="none"/>
          <w:lang w:val="en-US" w:eastAsia="zh-CN"/>
        </w:rPr>
        <w:t xml:space="preserve"> </w:t>
      </w:r>
      <w:r>
        <w:rPr>
          <w:sz w:val="24"/>
          <w:highlight w:val="none"/>
        </w:rPr>
        <w:t>无论何种原因，即使</w:t>
      </w:r>
      <w:r>
        <w:rPr>
          <w:rFonts w:hint="eastAsia"/>
          <w:sz w:val="24"/>
          <w:szCs w:val="18"/>
          <w:highlight w:val="none"/>
        </w:rPr>
        <w:t>参审单位</w:t>
      </w:r>
      <w:r>
        <w:rPr>
          <w:rFonts w:hint="eastAsia"/>
          <w:sz w:val="24"/>
          <w:highlight w:val="none"/>
        </w:rPr>
        <w:t>磋商</w:t>
      </w:r>
      <w:r>
        <w:rPr>
          <w:sz w:val="24"/>
          <w:highlight w:val="none"/>
        </w:rPr>
        <w:t>时携带了证书材料的原件，但响应文件中未提供与之内容完全一致的</w:t>
      </w:r>
      <w:r>
        <w:rPr>
          <w:rFonts w:hint="eastAsia"/>
          <w:sz w:val="24"/>
          <w:highlight w:val="none"/>
        </w:rPr>
        <w:t>扫描件</w:t>
      </w:r>
      <w:r>
        <w:rPr>
          <w:sz w:val="24"/>
          <w:highlight w:val="none"/>
        </w:rPr>
        <w:t>或影印件的，</w:t>
      </w:r>
      <w:r>
        <w:rPr>
          <w:rFonts w:hint="eastAsia"/>
          <w:sz w:val="24"/>
          <w:highlight w:val="none"/>
        </w:rPr>
        <w:t>磋商</w:t>
      </w:r>
      <w:r>
        <w:rPr>
          <w:sz w:val="24"/>
          <w:highlight w:val="none"/>
        </w:rPr>
        <w:t>小组可以视同其未提供。</w:t>
      </w:r>
    </w:p>
    <w:p>
      <w:pPr>
        <w:spacing w:line="360" w:lineRule="auto"/>
        <w:ind w:firstLine="480" w:firstLineChars="200"/>
        <w:rPr>
          <w:sz w:val="24"/>
          <w:highlight w:val="none"/>
        </w:rPr>
      </w:pPr>
      <w:r>
        <w:rPr>
          <w:rFonts w:hint="eastAsia"/>
          <w:sz w:val="24"/>
          <w:highlight w:val="none"/>
        </w:rPr>
        <w:t>19.4.5</w:t>
      </w:r>
      <w:r>
        <w:rPr>
          <w:rFonts w:hint="eastAsia"/>
          <w:sz w:val="24"/>
          <w:highlight w:val="none"/>
          <w:lang w:val="en-US" w:eastAsia="zh-CN"/>
        </w:rPr>
        <w:t xml:space="preserve"> </w:t>
      </w:r>
      <w:r>
        <w:rPr>
          <w:rFonts w:hint="eastAsia"/>
          <w:sz w:val="24"/>
          <w:highlight w:val="none"/>
        </w:rPr>
        <w:t>磋商</w:t>
      </w:r>
      <w:r>
        <w:rPr>
          <w:sz w:val="24"/>
          <w:highlight w:val="none"/>
        </w:rPr>
        <w:t>小组决定响应文件的响应性及符合性只根据响应文件本身的内容，而不寻求其他外部证据。</w:t>
      </w:r>
    </w:p>
    <w:p>
      <w:pPr>
        <w:spacing w:line="360" w:lineRule="auto"/>
        <w:ind w:firstLine="480" w:firstLineChars="200"/>
        <w:rPr>
          <w:sz w:val="24"/>
          <w:highlight w:val="none"/>
        </w:rPr>
      </w:pPr>
      <w:r>
        <w:rPr>
          <w:rFonts w:hint="eastAsia"/>
          <w:sz w:val="24"/>
          <w:highlight w:val="none"/>
        </w:rPr>
        <w:t>19</w:t>
      </w:r>
      <w:r>
        <w:rPr>
          <w:sz w:val="24"/>
          <w:highlight w:val="none"/>
        </w:rPr>
        <w:t>.</w:t>
      </w:r>
      <w:r>
        <w:rPr>
          <w:rFonts w:hint="eastAsia"/>
          <w:sz w:val="24"/>
          <w:highlight w:val="none"/>
        </w:rPr>
        <w:t>5</w:t>
      </w:r>
      <w:r>
        <w:rPr>
          <w:rFonts w:hint="eastAsia"/>
          <w:sz w:val="24"/>
          <w:highlight w:val="none"/>
          <w:lang w:val="en-US" w:eastAsia="zh-CN"/>
        </w:rPr>
        <w:t xml:space="preserve"> </w:t>
      </w:r>
      <w:r>
        <w:rPr>
          <w:rFonts w:hint="eastAsia"/>
          <w:sz w:val="24"/>
          <w:szCs w:val="18"/>
          <w:highlight w:val="none"/>
        </w:rPr>
        <w:t>参审单位</w:t>
      </w:r>
      <w:r>
        <w:rPr>
          <w:rFonts w:hint="eastAsia"/>
          <w:sz w:val="24"/>
          <w:highlight w:val="none"/>
        </w:rPr>
        <w:t>授权</w:t>
      </w:r>
      <w:r>
        <w:rPr>
          <w:sz w:val="24"/>
          <w:highlight w:val="none"/>
        </w:rPr>
        <w:t>代表对</w:t>
      </w:r>
      <w:r>
        <w:rPr>
          <w:rFonts w:hint="eastAsia"/>
          <w:sz w:val="24"/>
          <w:highlight w:val="none"/>
        </w:rPr>
        <w:t>磋商过程</w:t>
      </w:r>
      <w:r>
        <w:rPr>
          <w:sz w:val="24"/>
          <w:highlight w:val="none"/>
        </w:rPr>
        <w:t>有疑义，以及认为</w:t>
      </w:r>
      <w:r>
        <w:rPr>
          <w:rFonts w:hint="eastAsia"/>
          <w:sz w:val="24"/>
          <w:szCs w:val="18"/>
          <w:highlight w:val="none"/>
        </w:rPr>
        <w:t>业主单位</w:t>
      </w:r>
      <w:r>
        <w:rPr>
          <w:sz w:val="24"/>
          <w:highlight w:val="none"/>
        </w:rPr>
        <w:t>、</w:t>
      </w:r>
      <w:r>
        <w:rPr>
          <w:rFonts w:hint="eastAsia"/>
          <w:sz w:val="24"/>
          <w:highlight w:val="none"/>
        </w:rPr>
        <w:t>代理机构</w:t>
      </w:r>
      <w:r>
        <w:rPr>
          <w:sz w:val="24"/>
          <w:highlight w:val="none"/>
        </w:rPr>
        <w:t>相关工作人员有需要回避的情形的，应当场提出询问或者回避申请</w:t>
      </w:r>
      <w:r>
        <w:rPr>
          <w:rFonts w:hint="eastAsia"/>
          <w:sz w:val="24"/>
          <w:highlight w:val="none"/>
        </w:rPr>
        <w:t>，并说明理由。</w:t>
      </w:r>
      <w:r>
        <w:rPr>
          <w:sz w:val="24"/>
          <w:highlight w:val="none"/>
        </w:rPr>
        <w:t xml:space="preserve"> </w:t>
      </w:r>
    </w:p>
    <w:p>
      <w:pPr>
        <w:spacing w:line="360" w:lineRule="auto"/>
        <w:ind w:firstLine="482" w:firstLineChars="200"/>
        <w:rPr>
          <w:b/>
          <w:sz w:val="24"/>
          <w:highlight w:val="none"/>
        </w:rPr>
      </w:pPr>
      <w:r>
        <w:rPr>
          <w:rFonts w:hint="eastAsia"/>
          <w:b/>
          <w:sz w:val="24"/>
          <w:highlight w:val="none"/>
        </w:rPr>
        <w:t>20</w:t>
      </w:r>
      <w:r>
        <w:rPr>
          <w:b/>
          <w:sz w:val="24"/>
          <w:highlight w:val="none"/>
        </w:rPr>
        <w:t>.终止磋商</w:t>
      </w:r>
    </w:p>
    <w:p>
      <w:pPr>
        <w:spacing w:line="360" w:lineRule="auto"/>
        <w:ind w:firstLine="480" w:firstLineChars="200"/>
        <w:rPr>
          <w:sz w:val="24"/>
          <w:highlight w:val="none"/>
        </w:rPr>
      </w:pPr>
      <w:r>
        <w:rPr>
          <w:rFonts w:hint="eastAsia"/>
          <w:sz w:val="24"/>
          <w:highlight w:val="none"/>
        </w:rPr>
        <w:t>20.1</w:t>
      </w:r>
      <w:r>
        <w:rPr>
          <w:rFonts w:hint="eastAsia"/>
          <w:sz w:val="24"/>
          <w:highlight w:val="none"/>
          <w:lang w:val="en-US" w:eastAsia="zh-CN"/>
        </w:rPr>
        <w:t xml:space="preserve"> </w:t>
      </w:r>
      <w:r>
        <w:rPr>
          <w:rFonts w:hint="eastAsia"/>
          <w:sz w:val="24"/>
          <w:highlight w:val="none"/>
        </w:rPr>
        <w:t>出现下列情况之一时，</w:t>
      </w:r>
      <w:r>
        <w:rPr>
          <w:rFonts w:hint="eastAsia"/>
          <w:sz w:val="24"/>
          <w:szCs w:val="18"/>
          <w:highlight w:val="none"/>
        </w:rPr>
        <w:t>业主单位</w:t>
      </w:r>
      <w:r>
        <w:rPr>
          <w:rFonts w:hint="eastAsia"/>
          <w:sz w:val="24"/>
          <w:highlight w:val="none"/>
        </w:rPr>
        <w:t>和代理机构有权宣布终止磋商，并将理由通知所有</w:t>
      </w:r>
      <w:r>
        <w:rPr>
          <w:rFonts w:hint="eastAsia"/>
          <w:sz w:val="24"/>
          <w:szCs w:val="18"/>
          <w:highlight w:val="none"/>
        </w:rPr>
        <w:t>参审单位</w:t>
      </w:r>
      <w:r>
        <w:rPr>
          <w:rFonts w:hint="eastAsia"/>
          <w:sz w:val="24"/>
          <w:highlight w:val="none"/>
        </w:rPr>
        <w:t>：</w:t>
      </w:r>
    </w:p>
    <w:p>
      <w:pPr>
        <w:spacing w:line="360" w:lineRule="auto"/>
        <w:ind w:firstLine="480" w:firstLineChars="200"/>
        <w:rPr>
          <w:sz w:val="24"/>
          <w:highlight w:val="none"/>
        </w:rPr>
      </w:pPr>
      <w:r>
        <w:rPr>
          <w:rFonts w:hint="eastAsia"/>
          <w:sz w:val="24"/>
          <w:highlight w:val="none"/>
        </w:rPr>
        <w:t>（1）有效</w:t>
      </w:r>
      <w:r>
        <w:rPr>
          <w:rFonts w:hint="eastAsia"/>
          <w:sz w:val="24"/>
          <w:szCs w:val="18"/>
          <w:highlight w:val="none"/>
        </w:rPr>
        <w:t>参审单位</w:t>
      </w:r>
      <w:r>
        <w:rPr>
          <w:rFonts w:hint="eastAsia"/>
          <w:sz w:val="24"/>
          <w:highlight w:val="none"/>
        </w:rPr>
        <w:t>数量不足，导致本次磋商缺乏竞争的；</w:t>
      </w:r>
    </w:p>
    <w:p>
      <w:pPr>
        <w:spacing w:line="360" w:lineRule="auto"/>
        <w:ind w:firstLine="480" w:firstLineChars="200"/>
        <w:rPr>
          <w:sz w:val="24"/>
          <w:highlight w:val="none"/>
        </w:rPr>
      </w:pPr>
      <w:r>
        <w:rPr>
          <w:rFonts w:hint="eastAsia"/>
          <w:sz w:val="24"/>
          <w:highlight w:val="none"/>
        </w:rPr>
        <w:t>（2）出现影响磋商公正的违法、违规行为的；</w:t>
      </w:r>
    </w:p>
    <w:p>
      <w:pPr>
        <w:spacing w:line="360" w:lineRule="auto"/>
        <w:ind w:firstLine="480" w:firstLineChars="200"/>
        <w:rPr>
          <w:sz w:val="24"/>
          <w:highlight w:val="none"/>
        </w:rPr>
      </w:pPr>
      <w:r>
        <w:rPr>
          <w:rFonts w:hint="eastAsia"/>
          <w:sz w:val="24"/>
          <w:highlight w:val="none"/>
        </w:rPr>
        <w:t>（3）因重大变故，磋商任务取消的；</w:t>
      </w:r>
    </w:p>
    <w:p>
      <w:pPr>
        <w:spacing w:line="360" w:lineRule="auto"/>
        <w:ind w:firstLine="480" w:firstLineChars="200"/>
        <w:rPr>
          <w:sz w:val="24"/>
          <w:highlight w:val="none"/>
        </w:rPr>
      </w:pPr>
      <w:r>
        <w:rPr>
          <w:rFonts w:hint="eastAsia"/>
          <w:sz w:val="24"/>
          <w:highlight w:val="none"/>
        </w:rPr>
        <w:t>（4）法律法规规定的其他情形。</w:t>
      </w:r>
    </w:p>
    <w:p>
      <w:pPr>
        <w:spacing w:line="360" w:lineRule="auto"/>
        <w:ind w:firstLine="482" w:firstLineChars="200"/>
        <w:rPr>
          <w:b/>
          <w:sz w:val="24"/>
          <w:highlight w:val="none"/>
        </w:rPr>
      </w:pPr>
      <w:r>
        <w:rPr>
          <w:b/>
          <w:sz w:val="24"/>
          <w:highlight w:val="none"/>
        </w:rPr>
        <w:t>2</w:t>
      </w:r>
      <w:r>
        <w:rPr>
          <w:rFonts w:hint="eastAsia"/>
          <w:b/>
          <w:sz w:val="24"/>
          <w:highlight w:val="none"/>
        </w:rPr>
        <w:t>1</w:t>
      </w:r>
      <w:r>
        <w:rPr>
          <w:b/>
          <w:sz w:val="24"/>
          <w:highlight w:val="none"/>
        </w:rPr>
        <w:t>.响应文件的澄清、说明或</w:t>
      </w:r>
      <w:r>
        <w:rPr>
          <w:rFonts w:hint="eastAsia"/>
          <w:b/>
          <w:sz w:val="24"/>
          <w:highlight w:val="none"/>
        </w:rPr>
        <w:t>更正</w:t>
      </w:r>
    </w:p>
    <w:p>
      <w:pPr>
        <w:spacing w:line="360" w:lineRule="auto"/>
        <w:ind w:firstLine="480" w:firstLineChars="200"/>
        <w:rPr>
          <w:rFonts w:cs="宋体"/>
          <w:sz w:val="24"/>
          <w:highlight w:val="none"/>
        </w:rPr>
      </w:pPr>
      <w:r>
        <w:rPr>
          <w:rFonts w:hint="eastAsia" w:cs="宋体"/>
          <w:sz w:val="24"/>
          <w:highlight w:val="none"/>
        </w:rPr>
        <w:t>21.1</w:t>
      </w:r>
      <w:r>
        <w:rPr>
          <w:rFonts w:hint="eastAsia" w:cs="宋体"/>
          <w:sz w:val="24"/>
          <w:highlight w:val="none"/>
          <w:lang w:val="en-US" w:eastAsia="zh-CN"/>
        </w:rPr>
        <w:t xml:space="preserve"> </w:t>
      </w:r>
      <w:r>
        <w:rPr>
          <w:rFonts w:hint="eastAsia" w:cs="宋体"/>
          <w:sz w:val="24"/>
          <w:highlight w:val="none"/>
        </w:rPr>
        <w:t>磋商小组将对响应文件的有效性、完整性和响应程度进行审查，审查时可以要求</w:t>
      </w:r>
      <w:r>
        <w:rPr>
          <w:rFonts w:hint="eastAsia"/>
          <w:sz w:val="24"/>
          <w:szCs w:val="18"/>
          <w:highlight w:val="none"/>
        </w:rPr>
        <w:t>参审单位</w:t>
      </w:r>
      <w:r>
        <w:rPr>
          <w:rFonts w:hint="eastAsia" w:cs="宋体"/>
          <w:sz w:val="24"/>
          <w:highlight w:val="none"/>
        </w:rPr>
        <w:t>对响应文件中含义不明确、同类问题表述不一致或者有明显文字和计算错误的内容等作出必要的澄清、说明或者更正。</w:t>
      </w:r>
      <w:r>
        <w:rPr>
          <w:rFonts w:hint="eastAsia"/>
          <w:sz w:val="24"/>
          <w:szCs w:val="18"/>
          <w:highlight w:val="none"/>
        </w:rPr>
        <w:t>参审单位</w:t>
      </w:r>
      <w:r>
        <w:rPr>
          <w:rFonts w:hint="eastAsia" w:cs="宋体"/>
          <w:sz w:val="24"/>
          <w:highlight w:val="none"/>
        </w:rPr>
        <w:t>的澄清、说明或者更正不得超出响应文件的范围或者改变响应文件的实质性内容。对不同文字文本响应文件的解释发生异议的，以中文文本为准。</w:t>
      </w:r>
    </w:p>
    <w:p>
      <w:pPr>
        <w:spacing w:line="360" w:lineRule="auto"/>
        <w:ind w:firstLine="480" w:firstLineChars="200"/>
        <w:rPr>
          <w:rFonts w:cs="宋体"/>
          <w:sz w:val="24"/>
          <w:highlight w:val="none"/>
        </w:rPr>
      </w:pPr>
      <w:r>
        <w:rPr>
          <w:rFonts w:hint="eastAsia" w:cs="宋体"/>
          <w:sz w:val="24"/>
          <w:highlight w:val="none"/>
        </w:rPr>
        <w:t>21.2</w:t>
      </w:r>
      <w:r>
        <w:rPr>
          <w:rFonts w:hint="eastAsia" w:cs="宋体"/>
          <w:sz w:val="24"/>
          <w:highlight w:val="none"/>
          <w:lang w:val="en-US" w:eastAsia="zh-CN"/>
        </w:rPr>
        <w:t xml:space="preserve"> </w:t>
      </w:r>
      <w:r>
        <w:rPr>
          <w:rFonts w:hint="eastAsia" w:cs="宋体"/>
          <w:sz w:val="24"/>
          <w:highlight w:val="none"/>
        </w:rPr>
        <w:t>磋商小组通过优质采电子工具将需要澄清、说明或补正的内容以询问函的形式发送给</w:t>
      </w:r>
      <w:r>
        <w:rPr>
          <w:rFonts w:hint="eastAsia"/>
          <w:sz w:val="24"/>
          <w:szCs w:val="18"/>
          <w:highlight w:val="none"/>
        </w:rPr>
        <w:t>参审单位</w:t>
      </w:r>
      <w:r>
        <w:rPr>
          <w:rFonts w:hint="eastAsia" w:cs="宋体"/>
          <w:sz w:val="24"/>
          <w:highlight w:val="none"/>
        </w:rPr>
        <w:t>，</w:t>
      </w:r>
      <w:r>
        <w:rPr>
          <w:rFonts w:hint="eastAsia"/>
          <w:sz w:val="24"/>
          <w:szCs w:val="18"/>
          <w:highlight w:val="none"/>
        </w:rPr>
        <w:t>参审单位</w:t>
      </w:r>
      <w:r>
        <w:rPr>
          <w:rFonts w:hint="eastAsia" w:cs="宋体"/>
          <w:sz w:val="24"/>
          <w:highlight w:val="none"/>
        </w:rPr>
        <w:t>应登录优质采客户端并保持在线状态，以便及时接收磋商小组可能发出的询问函，并在询问函载明的时间内回复，若</w:t>
      </w:r>
      <w:r>
        <w:rPr>
          <w:rFonts w:hint="eastAsia"/>
          <w:sz w:val="24"/>
          <w:szCs w:val="18"/>
          <w:highlight w:val="none"/>
        </w:rPr>
        <w:t>参审单位</w:t>
      </w:r>
      <w:r>
        <w:rPr>
          <w:rFonts w:hint="eastAsia" w:cs="宋体"/>
          <w:sz w:val="24"/>
          <w:highlight w:val="none"/>
        </w:rPr>
        <w:t>未及时回复，视为放弃澄清。</w:t>
      </w:r>
    </w:p>
    <w:p>
      <w:pPr>
        <w:spacing w:line="360" w:lineRule="auto"/>
        <w:ind w:firstLine="482" w:firstLineChars="200"/>
        <w:rPr>
          <w:highlight w:val="none"/>
        </w:rPr>
      </w:pPr>
      <w:r>
        <w:rPr>
          <w:rFonts w:hint="eastAsia" w:cs="宋体"/>
          <w:b/>
          <w:bCs/>
          <w:sz w:val="24"/>
          <w:szCs w:val="24"/>
          <w:highlight w:val="none"/>
          <w:lang w:bidi="ar"/>
        </w:rPr>
        <w:t>如有询问，授权代表（或法定代表人）可通过远程登录的方式接受网上询问，也可凭本人有效身份证明参加询问。因授权代表联系不上、没有及时登录系统等情形而无法接受磋商小组询问的，</w:t>
      </w:r>
      <w:r>
        <w:rPr>
          <w:rFonts w:hint="eastAsia"/>
          <w:b/>
          <w:sz w:val="24"/>
          <w:szCs w:val="18"/>
          <w:highlight w:val="none"/>
        </w:rPr>
        <w:t>参审单位</w:t>
      </w:r>
      <w:r>
        <w:rPr>
          <w:rFonts w:hint="eastAsia" w:cs="宋体"/>
          <w:b/>
          <w:bCs/>
          <w:sz w:val="24"/>
          <w:szCs w:val="24"/>
          <w:highlight w:val="none"/>
          <w:lang w:bidi="ar"/>
        </w:rPr>
        <w:t>自行承担相关风险。</w:t>
      </w:r>
    </w:p>
    <w:p>
      <w:pPr>
        <w:spacing w:line="360" w:lineRule="auto"/>
        <w:ind w:firstLine="482" w:firstLineChars="200"/>
        <w:rPr>
          <w:b/>
          <w:sz w:val="24"/>
          <w:highlight w:val="none"/>
        </w:rPr>
      </w:pPr>
      <w:r>
        <w:rPr>
          <w:b/>
          <w:sz w:val="24"/>
          <w:highlight w:val="none"/>
        </w:rPr>
        <w:t>2</w:t>
      </w:r>
      <w:r>
        <w:rPr>
          <w:rFonts w:hint="eastAsia"/>
          <w:b/>
          <w:sz w:val="24"/>
          <w:highlight w:val="none"/>
        </w:rPr>
        <w:t>2</w:t>
      </w:r>
      <w:r>
        <w:rPr>
          <w:b/>
          <w:sz w:val="24"/>
          <w:highlight w:val="none"/>
        </w:rPr>
        <w:t>.最后报价</w:t>
      </w:r>
    </w:p>
    <w:p>
      <w:pPr>
        <w:spacing w:line="360" w:lineRule="auto"/>
        <w:ind w:firstLine="480" w:firstLineChars="200"/>
        <w:rPr>
          <w:sz w:val="24"/>
          <w:highlight w:val="none"/>
        </w:rPr>
      </w:pPr>
      <w:r>
        <w:rPr>
          <w:rFonts w:hint="eastAsia"/>
          <w:sz w:val="24"/>
          <w:highlight w:val="none"/>
        </w:rPr>
        <w:t>22.1</w:t>
      </w:r>
      <w:r>
        <w:rPr>
          <w:rFonts w:hint="eastAsia"/>
          <w:sz w:val="24"/>
          <w:highlight w:val="none"/>
          <w:lang w:val="en-US" w:eastAsia="zh-CN"/>
        </w:rPr>
        <w:t xml:space="preserve"> </w:t>
      </w:r>
      <w:r>
        <w:rPr>
          <w:rFonts w:hint="eastAsia"/>
          <w:sz w:val="24"/>
          <w:highlight w:val="none"/>
        </w:rPr>
        <w:t>本次磋商一次性报价</w:t>
      </w:r>
      <w:r>
        <w:rPr>
          <w:sz w:val="24"/>
          <w:highlight w:val="none"/>
        </w:rPr>
        <w:t>。</w:t>
      </w:r>
    </w:p>
    <w:p>
      <w:pPr>
        <w:spacing w:line="360" w:lineRule="auto"/>
        <w:ind w:firstLine="480" w:firstLineChars="200"/>
        <w:rPr>
          <w:sz w:val="24"/>
          <w:highlight w:val="none"/>
        </w:rPr>
      </w:pPr>
      <w:r>
        <w:rPr>
          <w:rFonts w:hint="eastAsia"/>
          <w:sz w:val="24"/>
          <w:highlight w:val="none"/>
        </w:rPr>
        <w:t>22.2</w:t>
      </w:r>
      <w:r>
        <w:rPr>
          <w:rFonts w:hint="eastAsia"/>
          <w:sz w:val="24"/>
          <w:highlight w:val="none"/>
          <w:lang w:val="en-US" w:eastAsia="zh-CN"/>
        </w:rPr>
        <w:t xml:space="preserve"> </w:t>
      </w:r>
      <w:r>
        <w:rPr>
          <w:sz w:val="24"/>
          <w:highlight w:val="none"/>
        </w:rPr>
        <w:t>最后报价是</w:t>
      </w:r>
      <w:r>
        <w:rPr>
          <w:rFonts w:hint="eastAsia"/>
          <w:sz w:val="24"/>
          <w:szCs w:val="18"/>
          <w:highlight w:val="none"/>
        </w:rPr>
        <w:t>参审单位</w:t>
      </w:r>
      <w:r>
        <w:rPr>
          <w:sz w:val="24"/>
          <w:highlight w:val="none"/>
        </w:rPr>
        <w:t>响应文件的有效组成部分，也是签订合同的依据。</w:t>
      </w:r>
    </w:p>
    <w:p>
      <w:pPr>
        <w:spacing w:line="360" w:lineRule="auto"/>
        <w:ind w:firstLine="480" w:firstLineChars="200"/>
        <w:rPr>
          <w:rFonts w:cs="宋体"/>
          <w:sz w:val="24"/>
          <w:szCs w:val="24"/>
          <w:highlight w:val="none"/>
        </w:rPr>
      </w:pPr>
      <w:r>
        <w:rPr>
          <w:rFonts w:hint="eastAsia" w:cs="宋体"/>
          <w:sz w:val="24"/>
          <w:szCs w:val="24"/>
          <w:highlight w:val="none"/>
          <w:lang w:bidi="ar"/>
        </w:rPr>
        <w:t>22.4</w:t>
      </w:r>
      <w:r>
        <w:rPr>
          <w:rFonts w:hint="eastAsia" w:cs="宋体"/>
          <w:sz w:val="24"/>
          <w:szCs w:val="24"/>
          <w:highlight w:val="none"/>
          <w:lang w:val="en-US" w:eastAsia="zh-CN" w:bidi="ar"/>
        </w:rPr>
        <w:t xml:space="preserve"> </w:t>
      </w:r>
      <w:r>
        <w:rPr>
          <w:rFonts w:hint="eastAsia" w:cs="宋体"/>
          <w:sz w:val="24"/>
          <w:szCs w:val="24"/>
          <w:highlight w:val="none"/>
          <w:lang w:bidi="ar"/>
        </w:rPr>
        <w:t>除国家政策性文件规定以外，</w:t>
      </w:r>
      <w:r>
        <w:rPr>
          <w:rFonts w:hint="eastAsia"/>
          <w:sz w:val="24"/>
          <w:szCs w:val="18"/>
          <w:highlight w:val="none"/>
        </w:rPr>
        <w:t>参审单位</w:t>
      </w:r>
      <w:r>
        <w:rPr>
          <w:rFonts w:hint="eastAsia" w:cs="宋体"/>
          <w:sz w:val="24"/>
          <w:szCs w:val="24"/>
          <w:highlight w:val="none"/>
          <w:lang w:bidi="ar"/>
        </w:rPr>
        <w:t>所报价格在合同实施期间不因市场变化因素而变动。</w:t>
      </w:r>
    </w:p>
    <w:p>
      <w:pPr>
        <w:spacing w:line="360" w:lineRule="auto"/>
        <w:ind w:firstLine="480" w:firstLineChars="200"/>
        <w:rPr>
          <w:rFonts w:cs="宋体"/>
          <w:sz w:val="24"/>
          <w:szCs w:val="24"/>
          <w:highlight w:val="none"/>
        </w:rPr>
      </w:pPr>
      <w:r>
        <w:rPr>
          <w:rFonts w:hint="eastAsia" w:cs="宋体"/>
          <w:sz w:val="24"/>
          <w:szCs w:val="24"/>
          <w:highlight w:val="none"/>
          <w:lang w:bidi="ar"/>
        </w:rPr>
        <w:t>22.5</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应当按照企业定额或2018版安徽省建设工程计价依据以及材料市场价格信息等，结合自身实力、施工经验、现场环境以及磋商文件的要求自主报价。</w:t>
      </w:r>
    </w:p>
    <w:p>
      <w:pPr>
        <w:spacing w:line="360" w:lineRule="auto"/>
        <w:ind w:firstLine="480" w:firstLineChars="200"/>
        <w:rPr>
          <w:rFonts w:cs="宋体"/>
          <w:sz w:val="24"/>
          <w:szCs w:val="24"/>
          <w:highlight w:val="none"/>
        </w:rPr>
      </w:pPr>
      <w:r>
        <w:rPr>
          <w:rFonts w:hint="eastAsia" w:cs="宋体"/>
          <w:sz w:val="24"/>
          <w:szCs w:val="24"/>
          <w:highlight w:val="none"/>
          <w:lang w:bidi="ar"/>
        </w:rPr>
        <w:t>22.6</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 xml:space="preserve">的报价应严格执行下列标准，不得降低标准进行竞标。 </w:t>
      </w:r>
    </w:p>
    <w:p>
      <w:pPr>
        <w:spacing w:line="360" w:lineRule="auto"/>
        <w:ind w:firstLine="480" w:firstLineChars="200"/>
        <w:rPr>
          <w:rFonts w:cs="宋体"/>
          <w:sz w:val="24"/>
          <w:szCs w:val="24"/>
          <w:highlight w:val="none"/>
        </w:rPr>
      </w:pPr>
      <w:r>
        <w:rPr>
          <w:rFonts w:hint="eastAsia" w:cs="宋体"/>
          <w:sz w:val="24"/>
          <w:szCs w:val="24"/>
          <w:highlight w:val="none"/>
          <w:lang w:bidi="ar"/>
        </w:rPr>
        <w:t>22.6.1</w:t>
      </w:r>
      <w:r>
        <w:rPr>
          <w:rFonts w:hint="eastAsia" w:cs="宋体"/>
          <w:sz w:val="24"/>
          <w:szCs w:val="24"/>
          <w:highlight w:val="none"/>
          <w:lang w:val="en-US" w:eastAsia="zh-CN" w:bidi="ar"/>
        </w:rPr>
        <w:t xml:space="preserve"> </w:t>
      </w:r>
      <w:r>
        <w:rPr>
          <w:rFonts w:hint="eastAsia" w:cs="宋体"/>
          <w:sz w:val="24"/>
          <w:szCs w:val="24"/>
          <w:highlight w:val="none"/>
          <w:lang w:bidi="ar"/>
        </w:rPr>
        <w:t>不可竞争费用包括：</w:t>
      </w:r>
    </w:p>
    <w:p>
      <w:pPr>
        <w:spacing w:line="360" w:lineRule="auto"/>
        <w:ind w:firstLine="480" w:firstLineChars="200"/>
        <w:rPr>
          <w:rFonts w:cs="宋体"/>
          <w:sz w:val="24"/>
          <w:szCs w:val="24"/>
          <w:highlight w:val="none"/>
        </w:rPr>
      </w:pPr>
      <w:r>
        <w:rPr>
          <w:rFonts w:hint="eastAsia" w:cs="宋体"/>
          <w:sz w:val="24"/>
          <w:szCs w:val="24"/>
          <w:highlight w:val="none"/>
          <w:lang w:bidi="ar"/>
        </w:rPr>
        <w:t xml:space="preserve">不可竞争费按本磋商文件中的不可竞争项目清单编制确定。建设工程不可竞争费构成及计费标准按 《关于调整合肥市建设工程不可竞争费构成及计费标准的通知》（合造价〔2021〕5号）执行。 </w:t>
      </w:r>
    </w:p>
    <w:p>
      <w:pPr>
        <w:spacing w:line="360" w:lineRule="auto"/>
        <w:ind w:firstLine="480" w:firstLineChars="200"/>
        <w:rPr>
          <w:rFonts w:cs="宋体"/>
          <w:sz w:val="24"/>
          <w:szCs w:val="24"/>
          <w:highlight w:val="none"/>
        </w:rPr>
      </w:pPr>
      <w:r>
        <w:rPr>
          <w:rFonts w:hint="eastAsia" w:cs="宋体"/>
          <w:sz w:val="24"/>
          <w:szCs w:val="24"/>
          <w:highlight w:val="none"/>
          <w:lang w:bidi="ar"/>
        </w:rPr>
        <w:t>22.6.2</w:t>
      </w:r>
      <w:r>
        <w:rPr>
          <w:rFonts w:hint="eastAsia" w:cs="宋体"/>
          <w:sz w:val="24"/>
          <w:szCs w:val="24"/>
          <w:highlight w:val="none"/>
          <w:lang w:val="en-US" w:eastAsia="zh-CN" w:bidi="ar"/>
        </w:rPr>
        <w:t xml:space="preserve"> </w:t>
      </w:r>
      <w:r>
        <w:rPr>
          <w:rFonts w:hint="eastAsia" w:cs="宋体"/>
          <w:sz w:val="24"/>
          <w:szCs w:val="24"/>
          <w:highlight w:val="none"/>
          <w:lang w:bidi="ar"/>
        </w:rPr>
        <w:t xml:space="preserve">其他项目费： </w:t>
      </w:r>
    </w:p>
    <w:p>
      <w:pPr>
        <w:spacing w:line="360" w:lineRule="auto"/>
        <w:ind w:firstLine="480" w:firstLineChars="200"/>
        <w:rPr>
          <w:rFonts w:cs="宋体"/>
          <w:sz w:val="24"/>
          <w:szCs w:val="24"/>
          <w:highlight w:val="none"/>
        </w:rPr>
      </w:pPr>
      <w:r>
        <w:rPr>
          <w:rFonts w:hint="eastAsia" w:cs="宋体"/>
          <w:sz w:val="24"/>
          <w:szCs w:val="24"/>
          <w:highlight w:val="none"/>
          <w:lang w:bidi="ar"/>
        </w:rPr>
        <w:t xml:space="preserve">（1）暂列金额； </w:t>
      </w:r>
    </w:p>
    <w:p>
      <w:pPr>
        <w:spacing w:line="360" w:lineRule="auto"/>
        <w:ind w:firstLine="480" w:firstLineChars="200"/>
        <w:rPr>
          <w:rFonts w:cs="宋体"/>
          <w:sz w:val="24"/>
          <w:szCs w:val="24"/>
          <w:highlight w:val="none"/>
        </w:rPr>
      </w:pPr>
      <w:r>
        <w:rPr>
          <w:rFonts w:hint="eastAsia" w:cs="宋体"/>
          <w:sz w:val="24"/>
          <w:szCs w:val="24"/>
          <w:highlight w:val="none"/>
          <w:lang w:bidi="ar"/>
        </w:rPr>
        <w:t xml:space="preserve">（2）暂估价； </w:t>
      </w:r>
    </w:p>
    <w:p>
      <w:pPr>
        <w:spacing w:line="360" w:lineRule="auto"/>
        <w:ind w:firstLine="480" w:firstLineChars="200"/>
        <w:rPr>
          <w:rFonts w:cs="宋体"/>
          <w:sz w:val="24"/>
          <w:szCs w:val="24"/>
          <w:highlight w:val="none"/>
        </w:rPr>
      </w:pPr>
      <w:r>
        <w:rPr>
          <w:rFonts w:hint="eastAsia" w:cs="宋体"/>
          <w:sz w:val="24"/>
          <w:szCs w:val="24"/>
          <w:highlight w:val="none"/>
          <w:lang w:bidi="ar"/>
        </w:rPr>
        <w:t xml:space="preserve">22.6.3 工程增值税税率：9% </w:t>
      </w:r>
    </w:p>
    <w:p>
      <w:pPr>
        <w:spacing w:line="360" w:lineRule="auto"/>
        <w:ind w:firstLine="480" w:firstLineChars="200"/>
        <w:rPr>
          <w:rFonts w:cs="宋体"/>
          <w:sz w:val="24"/>
          <w:szCs w:val="24"/>
          <w:highlight w:val="none"/>
        </w:rPr>
      </w:pPr>
      <w:r>
        <w:rPr>
          <w:rFonts w:hint="eastAsia" w:cs="宋体"/>
          <w:sz w:val="24"/>
          <w:szCs w:val="24"/>
          <w:highlight w:val="none"/>
          <w:lang w:bidi="ar"/>
        </w:rPr>
        <w:t>22.6.4 磋商文件中明确的由</w:t>
      </w:r>
      <w:r>
        <w:rPr>
          <w:rFonts w:hint="eastAsia"/>
          <w:sz w:val="24"/>
          <w:szCs w:val="18"/>
          <w:highlight w:val="none"/>
        </w:rPr>
        <w:t>业主单位</w:t>
      </w:r>
      <w:r>
        <w:rPr>
          <w:rFonts w:hint="eastAsia" w:cs="宋体"/>
          <w:sz w:val="24"/>
          <w:szCs w:val="24"/>
          <w:highlight w:val="none"/>
          <w:lang w:bidi="ar"/>
        </w:rPr>
        <w:t xml:space="preserve">自行采购的材料费。 </w:t>
      </w:r>
    </w:p>
    <w:p>
      <w:pPr>
        <w:spacing w:line="360" w:lineRule="auto"/>
        <w:ind w:firstLine="480" w:firstLineChars="200"/>
        <w:rPr>
          <w:rFonts w:cs="宋体"/>
          <w:sz w:val="24"/>
          <w:szCs w:val="24"/>
          <w:highlight w:val="none"/>
        </w:rPr>
      </w:pPr>
      <w:r>
        <w:rPr>
          <w:rFonts w:hint="eastAsia" w:cs="宋体"/>
          <w:sz w:val="24"/>
          <w:szCs w:val="24"/>
          <w:highlight w:val="none"/>
          <w:lang w:bidi="ar"/>
        </w:rPr>
        <w:t xml:space="preserve">22.6.5 法规规章、上级文件规定的其他不可竞争费用。 </w:t>
      </w:r>
    </w:p>
    <w:p>
      <w:pPr>
        <w:spacing w:line="360" w:lineRule="auto"/>
        <w:ind w:firstLine="480" w:firstLineChars="200"/>
        <w:rPr>
          <w:rFonts w:cs="宋体"/>
          <w:sz w:val="24"/>
          <w:szCs w:val="24"/>
          <w:highlight w:val="none"/>
        </w:rPr>
      </w:pPr>
      <w:r>
        <w:rPr>
          <w:rFonts w:hint="eastAsia" w:cs="宋体"/>
          <w:sz w:val="24"/>
          <w:szCs w:val="24"/>
          <w:highlight w:val="none"/>
          <w:lang w:bidi="ar"/>
        </w:rPr>
        <w:t>22.7 除非</w:t>
      </w:r>
      <w:r>
        <w:rPr>
          <w:rFonts w:hint="eastAsia"/>
          <w:sz w:val="24"/>
          <w:szCs w:val="18"/>
          <w:highlight w:val="none"/>
        </w:rPr>
        <w:t>业主单位</w:t>
      </w:r>
      <w:r>
        <w:rPr>
          <w:rFonts w:hint="eastAsia" w:cs="宋体"/>
          <w:sz w:val="24"/>
          <w:szCs w:val="24"/>
          <w:highlight w:val="none"/>
          <w:lang w:bidi="ar"/>
        </w:rPr>
        <w:t>对磋商文件予以澄清、修改，否则</w:t>
      </w:r>
      <w:r>
        <w:rPr>
          <w:rFonts w:hint="eastAsia"/>
          <w:sz w:val="24"/>
          <w:szCs w:val="18"/>
          <w:highlight w:val="none"/>
        </w:rPr>
        <w:t>参审单位</w:t>
      </w:r>
      <w:r>
        <w:rPr>
          <w:rFonts w:hint="eastAsia" w:cs="宋体"/>
          <w:sz w:val="24"/>
          <w:szCs w:val="24"/>
          <w:highlight w:val="none"/>
          <w:lang w:bidi="ar"/>
        </w:rPr>
        <w:t>应按</w:t>
      </w:r>
      <w:r>
        <w:rPr>
          <w:rFonts w:hint="eastAsia"/>
          <w:sz w:val="24"/>
          <w:szCs w:val="18"/>
          <w:highlight w:val="none"/>
        </w:rPr>
        <w:t>业主单位</w:t>
      </w:r>
      <w:r>
        <w:rPr>
          <w:rFonts w:hint="eastAsia" w:cs="宋体"/>
          <w:sz w:val="24"/>
          <w:szCs w:val="24"/>
          <w:highlight w:val="none"/>
          <w:lang w:bidi="ar"/>
        </w:rPr>
        <w:t>提供的工程量清单中列出的工程项目和工程量逐项填报综合单价和合价。</w:t>
      </w:r>
      <w:r>
        <w:rPr>
          <w:rFonts w:hint="eastAsia"/>
          <w:sz w:val="24"/>
          <w:szCs w:val="18"/>
          <w:highlight w:val="none"/>
        </w:rPr>
        <w:t>参审单位</w:t>
      </w:r>
      <w:r>
        <w:rPr>
          <w:rFonts w:hint="eastAsia" w:cs="宋体"/>
          <w:sz w:val="24"/>
          <w:szCs w:val="24"/>
          <w:highlight w:val="none"/>
          <w:lang w:bidi="ar"/>
        </w:rPr>
        <w:t>不得在工程量清单中任意增删、修改清单项目与工程量及项目排列顺序。</w:t>
      </w:r>
    </w:p>
    <w:p>
      <w:pPr>
        <w:spacing w:line="360" w:lineRule="auto"/>
        <w:ind w:firstLine="480" w:firstLineChars="200"/>
        <w:rPr>
          <w:rFonts w:cs="宋体"/>
          <w:sz w:val="24"/>
          <w:szCs w:val="24"/>
          <w:highlight w:val="none"/>
        </w:rPr>
      </w:pPr>
      <w:r>
        <w:rPr>
          <w:rFonts w:hint="eastAsia" w:cs="宋体"/>
          <w:sz w:val="24"/>
          <w:szCs w:val="24"/>
          <w:highlight w:val="none"/>
          <w:lang w:bidi="ar"/>
        </w:rPr>
        <w:t>22.8</w:t>
      </w:r>
      <w:r>
        <w:rPr>
          <w:rFonts w:hint="eastAsia" w:cs="宋体"/>
          <w:sz w:val="24"/>
          <w:szCs w:val="24"/>
          <w:highlight w:val="none"/>
          <w:lang w:val="en-US" w:eastAsia="zh-CN" w:bidi="ar"/>
        </w:rPr>
        <w:t xml:space="preserve"> </w:t>
      </w:r>
      <w:r>
        <w:rPr>
          <w:rFonts w:hint="eastAsia" w:cs="宋体"/>
          <w:sz w:val="24"/>
          <w:szCs w:val="24"/>
          <w:highlight w:val="none"/>
          <w:lang w:bidi="ar"/>
        </w:rPr>
        <w:t>除非合同中另有规定，</w:t>
      </w:r>
      <w:r>
        <w:rPr>
          <w:rFonts w:hint="eastAsia"/>
          <w:sz w:val="24"/>
          <w:szCs w:val="18"/>
          <w:highlight w:val="none"/>
        </w:rPr>
        <w:t>参审单位</w:t>
      </w:r>
      <w:r>
        <w:rPr>
          <w:rFonts w:hint="eastAsia" w:cs="宋体"/>
          <w:sz w:val="24"/>
          <w:szCs w:val="24"/>
          <w:highlight w:val="none"/>
          <w:lang w:bidi="ar"/>
        </w:rPr>
        <w:t>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sz w:val="24"/>
          <w:szCs w:val="18"/>
          <w:highlight w:val="none"/>
        </w:rPr>
        <w:t>参审单位</w:t>
      </w:r>
      <w:r>
        <w:rPr>
          <w:rFonts w:hint="eastAsia" w:cs="宋体"/>
          <w:sz w:val="24"/>
          <w:szCs w:val="24"/>
          <w:highlight w:val="none"/>
          <w:lang w:bidi="ar"/>
        </w:rPr>
        <w:t>在响应文件中提出的各项支付金额的总和。每一清单项目只允许有一个报价，任何有选择的报价将不予接受。</w:t>
      </w:r>
      <w:r>
        <w:rPr>
          <w:rFonts w:hint="eastAsia"/>
          <w:sz w:val="24"/>
          <w:szCs w:val="18"/>
          <w:highlight w:val="none"/>
        </w:rPr>
        <w:t>参审单位</w:t>
      </w:r>
      <w:r>
        <w:rPr>
          <w:rFonts w:hint="eastAsia" w:cs="宋体"/>
          <w:sz w:val="24"/>
          <w:szCs w:val="24"/>
          <w:highlight w:val="none"/>
          <w:lang w:bidi="ar"/>
        </w:rPr>
        <w:t>未填综合单价或合价的清单项目，将被视为该项费用已包括在其他有价款的综合单价或合价以及总价内，</w:t>
      </w:r>
      <w:r>
        <w:rPr>
          <w:rFonts w:hint="eastAsia"/>
          <w:sz w:val="24"/>
          <w:szCs w:val="18"/>
          <w:highlight w:val="none"/>
        </w:rPr>
        <w:t>参审单位</w:t>
      </w:r>
      <w:r>
        <w:rPr>
          <w:rFonts w:hint="eastAsia" w:cs="宋体"/>
          <w:sz w:val="24"/>
          <w:szCs w:val="24"/>
          <w:highlight w:val="none"/>
          <w:lang w:bidi="ar"/>
        </w:rPr>
        <w:t>必须按合同要求完成工程量清单中未填综合单价或合价的工程项目，任何与未填综合单价或合价的工程项目有关的工程价款，</w:t>
      </w:r>
      <w:r>
        <w:rPr>
          <w:rFonts w:hint="eastAsia"/>
          <w:sz w:val="24"/>
          <w:szCs w:val="18"/>
          <w:highlight w:val="none"/>
        </w:rPr>
        <w:t>业主单位</w:t>
      </w:r>
      <w:r>
        <w:rPr>
          <w:rFonts w:hint="eastAsia" w:cs="宋体"/>
          <w:sz w:val="24"/>
          <w:szCs w:val="24"/>
          <w:highlight w:val="none"/>
          <w:lang w:bidi="ar"/>
        </w:rPr>
        <w:t>将不再另行支付。</w:t>
      </w:r>
    </w:p>
    <w:p>
      <w:pPr>
        <w:spacing w:line="360" w:lineRule="auto"/>
        <w:ind w:firstLine="480" w:firstLineChars="200"/>
        <w:rPr>
          <w:rFonts w:cs="宋体"/>
          <w:sz w:val="24"/>
          <w:szCs w:val="24"/>
          <w:highlight w:val="none"/>
        </w:rPr>
      </w:pPr>
      <w:r>
        <w:rPr>
          <w:rFonts w:hint="eastAsia" w:cs="宋体"/>
          <w:sz w:val="24"/>
          <w:szCs w:val="24"/>
          <w:highlight w:val="none"/>
          <w:lang w:bidi="ar"/>
        </w:rPr>
        <w:t>22.9</w:t>
      </w:r>
      <w:r>
        <w:rPr>
          <w:rFonts w:hint="eastAsia" w:cs="宋体"/>
          <w:sz w:val="24"/>
          <w:szCs w:val="24"/>
          <w:highlight w:val="none"/>
          <w:lang w:val="en-US" w:eastAsia="zh-CN" w:bidi="ar"/>
        </w:rPr>
        <w:t xml:space="preserve"> </w:t>
      </w:r>
      <w:r>
        <w:rPr>
          <w:rFonts w:hint="eastAsia" w:cs="宋体"/>
          <w:sz w:val="24"/>
          <w:szCs w:val="24"/>
          <w:highlight w:val="none"/>
          <w:lang w:bidi="ar"/>
        </w:rPr>
        <w:t xml:space="preserve">工程材料 </w:t>
      </w:r>
    </w:p>
    <w:p>
      <w:pPr>
        <w:spacing w:line="360" w:lineRule="auto"/>
        <w:ind w:firstLine="480" w:firstLineChars="200"/>
        <w:rPr>
          <w:rFonts w:cs="宋体"/>
          <w:sz w:val="24"/>
          <w:szCs w:val="24"/>
          <w:highlight w:val="none"/>
        </w:rPr>
      </w:pPr>
      <w:r>
        <w:rPr>
          <w:rFonts w:hint="eastAsia" w:cs="宋体"/>
          <w:sz w:val="24"/>
          <w:szCs w:val="24"/>
          <w:highlight w:val="none"/>
          <w:lang w:bidi="ar"/>
        </w:rPr>
        <w:t>22.9.1</w:t>
      </w:r>
      <w:r>
        <w:rPr>
          <w:rFonts w:hint="eastAsia" w:cs="宋体"/>
          <w:sz w:val="24"/>
          <w:szCs w:val="24"/>
          <w:highlight w:val="none"/>
          <w:lang w:val="en-US" w:eastAsia="zh-CN" w:bidi="ar"/>
        </w:rPr>
        <w:t xml:space="preserve"> </w:t>
      </w:r>
      <w:r>
        <w:rPr>
          <w:rFonts w:hint="eastAsia" w:cs="宋体"/>
          <w:sz w:val="24"/>
          <w:szCs w:val="24"/>
          <w:highlight w:val="none"/>
          <w:lang w:bidi="ar"/>
        </w:rPr>
        <w:t xml:space="preserve">材料供应方式：本工程使用的材料由承包人采购供应； </w:t>
      </w:r>
    </w:p>
    <w:p>
      <w:pPr>
        <w:spacing w:line="360" w:lineRule="auto"/>
        <w:ind w:firstLine="480" w:firstLineChars="200"/>
        <w:rPr>
          <w:rFonts w:cs="宋体"/>
          <w:sz w:val="24"/>
          <w:szCs w:val="24"/>
          <w:highlight w:val="none"/>
        </w:rPr>
      </w:pPr>
      <w:r>
        <w:rPr>
          <w:rFonts w:hint="eastAsia"/>
          <w:sz w:val="24"/>
          <w:highlight w:val="none"/>
        </w:rPr>
        <w:t>22</w:t>
      </w:r>
      <w:r>
        <w:rPr>
          <w:rFonts w:hint="eastAsia" w:cs="宋体"/>
          <w:sz w:val="24"/>
          <w:szCs w:val="24"/>
          <w:highlight w:val="none"/>
          <w:lang w:bidi="ar"/>
        </w:rPr>
        <w:t>.9.2</w:t>
      </w:r>
      <w:r>
        <w:rPr>
          <w:rFonts w:hint="eastAsia" w:cs="宋体"/>
          <w:sz w:val="24"/>
          <w:szCs w:val="24"/>
          <w:highlight w:val="none"/>
          <w:lang w:val="en-US" w:eastAsia="zh-CN" w:bidi="ar"/>
        </w:rPr>
        <w:t xml:space="preserve"> </w:t>
      </w:r>
      <w:r>
        <w:rPr>
          <w:rFonts w:hint="eastAsia" w:cs="宋体"/>
          <w:sz w:val="24"/>
          <w:szCs w:val="24"/>
          <w:highlight w:val="none"/>
          <w:lang w:bidi="ar"/>
        </w:rPr>
        <w:t>材料价格：除甲供材和实行暂估价的材料及设备以外，由</w:t>
      </w:r>
      <w:r>
        <w:rPr>
          <w:rFonts w:hint="eastAsia"/>
          <w:sz w:val="24"/>
          <w:szCs w:val="18"/>
          <w:highlight w:val="none"/>
        </w:rPr>
        <w:t>参审单位</w:t>
      </w:r>
      <w:r>
        <w:rPr>
          <w:rFonts w:hint="eastAsia" w:cs="宋体"/>
          <w:sz w:val="24"/>
          <w:szCs w:val="24"/>
          <w:highlight w:val="none"/>
          <w:lang w:bidi="ar"/>
        </w:rPr>
        <w:t xml:space="preserve">自行采购的材料确定磋商最后报价时应充分考虑材料价格上涨等市场风险因素，成交后不作调整，综合单价中的材料费应包括材料运杂费、采保费及试验检验费。 </w:t>
      </w:r>
    </w:p>
    <w:p>
      <w:pPr>
        <w:spacing w:line="360" w:lineRule="auto"/>
        <w:ind w:firstLine="480" w:firstLineChars="200"/>
        <w:rPr>
          <w:rFonts w:cs="宋体"/>
          <w:sz w:val="24"/>
          <w:szCs w:val="24"/>
          <w:highlight w:val="none"/>
        </w:rPr>
      </w:pPr>
      <w:r>
        <w:rPr>
          <w:rFonts w:hint="eastAsia" w:cs="宋体"/>
          <w:sz w:val="24"/>
          <w:szCs w:val="24"/>
          <w:highlight w:val="none"/>
          <w:lang w:bidi="ar"/>
        </w:rPr>
        <w:t>22.9.3</w:t>
      </w:r>
      <w:r>
        <w:rPr>
          <w:rFonts w:hint="eastAsia" w:cs="宋体"/>
          <w:sz w:val="24"/>
          <w:szCs w:val="24"/>
          <w:highlight w:val="none"/>
          <w:lang w:val="en-US" w:eastAsia="zh-CN" w:bidi="ar"/>
        </w:rPr>
        <w:t xml:space="preserve"> </w:t>
      </w:r>
      <w:r>
        <w:rPr>
          <w:rFonts w:hint="eastAsia"/>
          <w:sz w:val="24"/>
          <w:szCs w:val="18"/>
          <w:highlight w:val="none"/>
        </w:rPr>
        <w:t>业主单位</w:t>
      </w:r>
      <w:r>
        <w:rPr>
          <w:rFonts w:hint="eastAsia" w:cs="宋体"/>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spacing w:line="360" w:lineRule="auto"/>
        <w:ind w:firstLine="480" w:firstLineChars="200"/>
        <w:rPr>
          <w:rFonts w:cs="宋体"/>
          <w:sz w:val="24"/>
          <w:szCs w:val="24"/>
          <w:highlight w:val="none"/>
        </w:rPr>
      </w:pPr>
      <w:r>
        <w:rPr>
          <w:rFonts w:hint="eastAsia"/>
          <w:sz w:val="24"/>
          <w:highlight w:val="none"/>
        </w:rPr>
        <w:t>前款</w:t>
      </w:r>
      <w:r>
        <w:rPr>
          <w:rFonts w:hint="eastAsia" w:cs="宋体"/>
          <w:sz w:val="24"/>
          <w:szCs w:val="24"/>
          <w:highlight w:val="none"/>
          <w:lang w:bidi="ar"/>
        </w:rPr>
        <w:t>所称暂估价，是指不能确定价格而由</w:t>
      </w:r>
      <w:r>
        <w:rPr>
          <w:rFonts w:hint="eastAsia"/>
          <w:sz w:val="24"/>
          <w:szCs w:val="18"/>
          <w:highlight w:val="none"/>
        </w:rPr>
        <w:t>业主单位</w:t>
      </w:r>
      <w:r>
        <w:rPr>
          <w:rFonts w:hint="eastAsia" w:cs="宋体"/>
          <w:sz w:val="24"/>
          <w:szCs w:val="24"/>
          <w:highlight w:val="none"/>
          <w:lang w:bidi="ar"/>
        </w:rPr>
        <w:t>在磋商文件中暂时估定的工程、货物、服务的金额。</w:t>
      </w:r>
    </w:p>
    <w:p>
      <w:pPr>
        <w:spacing w:line="360" w:lineRule="auto"/>
        <w:ind w:firstLine="480" w:firstLineChars="200"/>
        <w:rPr>
          <w:rFonts w:cs="宋体"/>
          <w:sz w:val="24"/>
          <w:szCs w:val="24"/>
          <w:highlight w:val="none"/>
        </w:rPr>
      </w:pPr>
      <w:r>
        <w:rPr>
          <w:rFonts w:hint="eastAsia" w:cs="宋体"/>
          <w:sz w:val="24"/>
          <w:szCs w:val="24"/>
          <w:highlight w:val="none"/>
          <w:lang w:bidi="ar"/>
        </w:rPr>
        <w:t>22.10</w:t>
      </w:r>
      <w:r>
        <w:rPr>
          <w:rFonts w:hint="eastAsia" w:cs="宋体"/>
          <w:sz w:val="24"/>
          <w:szCs w:val="24"/>
          <w:highlight w:val="none"/>
          <w:lang w:val="en-US" w:eastAsia="zh-CN" w:bidi="ar"/>
        </w:rPr>
        <w:t xml:space="preserve"> </w:t>
      </w:r>
      <w:r>
        <w:rPr>
          <w:rFonts w:hint="eastAsia" w:cs="宋体"/>
          <w:sz w:val="24"/>
          <w:szCs w:val="24"/>
          <w:highlight w:val="none"/>
          <w:lang w:bidi="ar"/>
        </w:rPr>
        <w:t>本项目的施工地点为本须知前附表所述，</w:t>
      </w:r>
      <w:r>
        <w:rPr>
          <w:rFonts w:hint="eastAsia"/>
          <w:sz w:val="24"/>
          <w:szCs w:val="18"/>
          <w:highlight w:val="none"/>
        </w:rPr>
        <w:t>参审单位</w:t>
      </w:r>
      <w:r>
        <w:rPr>
          <w:rFonts w:hint="eastAsia" w:cs="宋体"/>
          <w:sz w:val="24"/>
          <w:szCs w:val="24"/>
          <w:highlight w:val="none"/>
          <w:lang w:bidi="ar"/>
        </w:rPr>
        <w:t>可到施工现场踏勘以充分了解工地位置、情况、道路、储存空间、装卸限制及</w:t>
      </w:r>
      <w:r>
        <w:rPr>
          <w:rFonts w:hint="eastAsia" w:cs="宋体"/>
          <w:sz w:val="24"/>
          <w:szCs w:val="24"/>
          <w:highlight w:val="none"/>
          <w:lang w:eastAsia="zh-CN" w:bidi="ar"/>
        </w:rPr>
        <w:t>任何其他</w:t>
      </w:r>
      <w:r>
        <w:rPr>
          <w:rFonts w:hint="eastAsia" w:cs="宋体"/>
          <w:sz w:val="24"/>
          <w:szCs w:val="24"/>
          <w:highlight w:val="none"/>
          <w:lang w:bidi="ar"/>
        </w:rPr>
        <w:t>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w:t>
      </w:r>
      <w:r>
        <w:rPr>
          <w:rFonts w:hint="eastAsia"/>
          <w:sz w:val="24"/>
          <w:szCs w:val="18"/>
          <w:highlight w:val="none"/>
        </w:rPr>
        <w:t>业主单位</w:t>
      </w:r>
      <w:r>
        <w:rPr>
          <w:rFonts w:hint="eastAsia" w:cs="宋体"/>
          <w:sz w:val="24"/>
          <w:szCs w:val="24"/>
          <w:highlight w:val="none"/>
          <w:lang w:bidi="ar"/>
        </w:rPr>
        <w:t>不再承担该费用。</w:t>
      </w:r>
    </w:p>
    <w:p>
      <w:pPr>
        <w:spacing w:line="360" w:lineRule="auto"/>
        <w:ind w:firstLine="480" w:firstLineChars="200"/>
        <w:rPr>
          <w:rFonts w:cs="宋体"/>
          <w:sz w:val="24"/>
          <w:szCs w:val="24"/>
          <w:highlight w:val="none"/>
        </w:rPr>
      </w:pPr>
      <w:r>
        <w:rPr>
          <w:rFonts w:hint="eastAsia" w:cs="宋体"/>
          <w:sz w:val="24"/>
          <w:szCs w:val="24"/>
          <w:highlight w:val="none"/>
          <w:lang w:bidi="ar"/>
        </w:rPr>
        <w:t>22.11</w:t>
      </w:r>
      <w:r>
        <w:rPr>
          <w:rFonts w:hint="eastAsia" w:cs="宋体"/>
          <w:sz w:val="24"/>
          <w:szCs w:val="24"/>
          <w:highlight w:val="none"/>
          <w:lang w:val="en-US" w:eastAsia="zh-CN" w:bidi="ar"/>
        </w:rPr>
        <w:t xml:space="preserve"> </w:t>
      </w:r>
      <w:r>
        <w:rPr>
          <w:rFonts w:hint="eastAsia" w:cs="宋体"/>
          <w:sz w:val="24"/>
          <w:szCs w:val="24"/>
          <w:highlight w:val="none"/>
          <w:lang w:bidi="ar"/>
        </w:rPr>
        <w:t xml:space="preserve">工程造价的确定与控制 </w:t>
      </w:r>
    </w:p>
    <w:p>
      <w:pPr>
        <w:spacing w:line="360" w:lineRule="auto"/>
        <w:ind w:firstLine="480" w:firstLineChars="200"/>
        <w:rPr>
          <w:rFonts w:cs="宋体"/>
          <w:sz w:val="24"/>
          <w:szCs w:val="24"/>
          <w:highlight w:val="none"/>
        </w:rPr>
      </w:pPr>
      <w:r>
        <w:rPr>
          <w:rFonts w:hint="eastAsia" w:cs="宋体"/>
          <w:sz w:val="24"/>
          <w:szCs w:val="24"/>
          <w:highlight w:val="none"/>
          <w:lang w:bidi="ar"/>
        </w:rPr>
        <w:t>22.11.1</w:t>
      </w:r>
      <w:r>
        <w:rPr>
          <w:rFonts w:hint="eastAsia" w:cs="宋体"/>
          <w:sz w:val="24"/>
          <w:szCs w:val="24"/>
          <w:highlight w:val="none"/>
          <w:lang w:val="en-US" w:eastAsia="zh-CN" w:bidi="ar"/>
        </w:rPr>
        <w:t xml:space="preserve"> </w:t>
      </w:r>
      <w:r>
        <w:rPr>
          <w:rFonts w:hint="eastAsia" w:cs="宋体"/>
          <w:sz w:val="24"/>
          <w:szCs w:val="24"/>
          <w:highlight w:val="none"/>
          <w:lang w:bidi="ar"/>
        </w:rPr>
        <w:t>本工程经成交后，工程总造价在磋商范围内包定，除经批准的设计变更、经济签证外，其它工程造价增减均不予签证计价。</w:t>
      </w:r>
    </w:p>
    <w:p>
      <w:pPr>
        <w:spacing w:line="360" w:lineRule="auto"/>
        <w:ind w:firstLine="480" w:firstLineChars="200"/>
        <w:rPr>
          <w:rFonts w:cs="宋体"/>
          <w:sz w:val="24"/>
          <w:szCs w:val="24"/>
          <w:highlight w:val="none"/>
        </w:rPr>
      </w:pPr>
      <w:r>
        <w:rPr>
          <w:rFonts w:hint="eastAsia" w:cs="宋体"/>
          <w:sz w:val="24"/>
          <w:szCs w:val="24"/>
          <w:highlight w:val="none"/>
          <w:lang w:bidi="ar"/>
        </w:rPr>
        <w:t>22.11.2</w:t>
      </w:r>
      <w:r>
        <w:rPr>
          <w:rFonts w:hint="eastAsia" w:cs="宋体"/>
          <w:sz w:val="24"/>
          <w:szCs w:val="24"/>
          <w:highlight w:val="none"/>
          <w:lang w:val="en-US" w:eastAsia="zh-CN" w:bidi="ar"/>
        </w:rPr>
        <w:t xml:space="preserve"> </w:t>
      </w:r>
      <w:r>
        <w:rPr>
          <w:rFonts w:hint="eastAsia" w:cs="宋体"/>
          <w:sz w:val="24"/>
          <w:szCs w:val="24"/>
          <w:highlight w:val="none"/>
          <w:lang w:bidi="ar"/>
        </w:rPr>
        <w:t>磋商前，</w:t>
      </w:r>
      <w:r>
        <w:rPr>
          <w:rFonts w:hint="eastAsia"/>
          <w:sz w:val="24"/>
          <w:szCs w:val="18"/>
          <w:highlight w:val="none"/>
        </w:rPr>
        <w:t>参审单位</w:t>
      </w:r>
      <w:r>
        <w:rPr>
          <w:rFonts w:hint="eastAsia" w:cs="宋体"/>
          <w:sz w:val="24"/>
          <w:szCs w:val="24"/>
          <w:highlight w:val="none"/>
          <w:lang w:bidi="ar"/>
        </w:rPr>
        <w:t>应认真对照施工设计图纸等文件核对</w:t>
      </w:r>
      <w:r>
        <w:rPr>
          <w:rFonts w:hint="eastAsia"/>
          <w:sz w:val="24"/>
          <w:szCs w:val="18"/>
          <w:highlight w:val="none"/>
        </w:rPr>
        <w:t>业主单位</w:t>
      </w:r>
      <w:r>
        <w:rPr>
          <w:rFonts w:hint="eastAsia" w:cs="宋体"/>
          <w:sz w:val="24"/>
          <w:szCs w:val="24"/>
          <w:highlight w:val="none"/>
          <w:lang w:bidi="ar"/>
        </w:rPr>
        <w:t>提供的工程量清单，发现工程量存在项目划分误差、计量单位误差、数量误差、遗漏项目的，必须在网上询问截止时间前向</w:t>
      </w:r>
      <w:r>
        <w:rPr>
          <w:rFonts w:hint="eastAsia"/>
          <w:sz w:val="24"/>
          <w:szCs w:val="18"/>
          <w:highlight w:val="none"/>
        </w:rPr>
        <w:t>业主单位</w:t>
      </w:r>
      <w:r>
        <w:rPr>
          <w:rFonts w:hint="eastAsia" w:cs="宋体"/>
          <w:sz w:val="24"/>
          <w:szCs w:val="24"/>
          <w:highlight w:val="none"/>
          <w:lang w:bidi="ar"/>
        </w:rPr>
        <w:t>提出疑问，否则</w:t>
      </w:r>
      <w:r>
        <w:rPr>
          <w:rFonts w:hint="eastAsia"/>
          <w:sz w:val="24"/>
          <w:szCs w:val="18"/>
          <w:highlight w:val="none"/>
        </w:rPr>
        <w:t>业主单位</w:t>
      </w:r>
      <w:r>
        <w:rPr>
          <w:rFonts w:hint="eastAsia" w:cs="宋体"/>
          <w:sz w:val="24"/>
          <w:szCs w:val="24"/>
          <w:highlight w:val="none"/>
          <w:lang w:bidi="ar"/>
        </w:rPr>
        <w:t>可不予答复。</w:t>
      </w:r>
    </w:p>
    <w:p>
      <w:pPr>
        <w:spacing w:line="360" w:lineRule="auto"/>
        <w:ind w:firstLine="480" w:firstLineChars="200"/>
        <w:rPr>
          <w:rFonts w:cs="宋体"/>
          <w:sz w:val="24"/>
          <w:szCs w:val="24"/>
          <w:highlight w:val="none"/>
        </w:rPr>
      </w:pPr>
      <w:r>
        <w:rPr>
          <w:rFonts w:hint="eastAsia" w:cs="宋体"/>
          <w:sz w:val="24"/>
          <w:szCs w:val="24"/>
          <w:highlight w:val="none"/>
          <w:lang w:bidi="ar"/>
        </w:rPr>
        <w:t>22.11.3</w:t>
      </w:r>
      <w:r>
        <w:rPr>
          <w:rFonts w:hint="eastAsia" w:cs="宋体"/>
          <w:sz w:val="24"/>
          <w:szCs w:val="24"/>
          <w:highlight w:val="none"/>
          <w:lang w:val="en-US" w:eastAsia="zh-CN" w:bidi="ar"/>
        </w:rPr>
        <w:t xml:space="preserve"> </w:t>
      </w:r>
      <w:r>
        <w:rPr>
          <w:rFonts w:hint="eastAsia"/>
          <w:sz w:val="24"/>
          <w:szCs w:val="18"/>
          <w:highlight w:val="none"/>
        </w:rPr>
        <w:t>业主单位</w:t>
      </w:r>
      <w:r>
        <w:rPr>
          <w:rFonts w:hint="eastAsia" w:cs="宋体"/>
          <w:sz w:val="24"/>
          <w:szCs w:val="24"/>
          <w:highlight w:val="none"/>
          <w:lang w:bidi="ar"/>
        </w:rPr>
        <w:t>对疑问应进行核实，确认工程量单项子目误差在±3%（含±3%）以内、且估算价不超过1000元的，</w:t>
      </w:r>
      <w:r>
        <w:rPr>
          <w:rFonts w:hint="eastAsia"/>
          <w:sz w:val="24"/>
          <w:szCs w:val="18"/>
          <w:highlight w:val="none"/>
        </w:rPr>
        <w:t>业主单位</w:t>
      </w:r>
      <w:r>
        <w:rPr>
          <w:rFonts w:hint="eastAsia" w:cs="宋体"/>
          <w:sz w:val="24"/>
          <w:szCs w:val="24"/>
          <w:highlight w:val="none"/>
          <w:lang w:bidi="ar"/>
        </w:rPr>
        <w:t>可不予调整工程量，</w:t>
      </w:r>
      <w:r>
        <w:rPr>
          <w:rFonts w:hint="eastAsia"/>
          <w:sz w:val="24"/>
          <w:szCs w:val="18"/>
          <w:highlight w:val="none"/>
        </w:rPr>
        <w:t>参审单位</w:t>
      </w:r>
      <w:r>
        <w:rPr>
          <w:rFonts w:hint="eastAsia" w:cs="宋体"/>
          <w:sz w:val="24"/>
          <w:szCs w:val="24"/>
          <w:highlight w:val="none"/>
          <w:lang w:bidi="ar"/>
        </w:rPr>
        <w:t>应将其误差考虑在综合单价内；若单项子目工程量误差在±3%（含±3%）以内，但估算价超过1000元或有遗漏项目或单项子目工程量误差超过±3%的，</w:t>
      </w:r>
      <w:r>
        <w:rPr>
          <w:rFonts w:hint="eastAsia"/>
          <w:sz w:val="24"/>
          <w:szCs w:val="18"/>
          <w:highlight w:val="none"/>
        </w:rPr>
        <w:t>业主单位</w:t>
      </w:r>
      <w:r>
        <w:rPr>
          <w:rFonts w:hint="eastAsia" w:cs="宋体"/>
          <w:sz w:val="24"/>
          <w:szCs w:val="24"/>
          <w:highlight w:val="none"/>
          <w:lang w:bidi="ar"/>
        </w:rPr>
        <w:t>应进行修正并重新公布准确的工程量清单。</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22.11.4</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在规定时间内未对工程量清单提出疑问的，成交后，</w:t>
      </w:r>
      <w:r>
        <w:rPr>
          <w:rFonts w:hint="eastAsia"/>
          <w:sz w:val="24"/>
          <w:szCs w:val="18"/>
          <w:highlight w:val="none"/>
        </w:rPr>
        <w:t>业主单位</w:t>
      </w:r>
      <w:r>
        <w:rPr>
          <w:rFonts w:hint="eastAsia" w:cs="宋体"/>
          <w:sz w:val="24"/>
          <w:szCs w:val="24"/>
          <w:highlight w:val="none"/>
          <w:lang w:bidi="ar"/>
        </w:rPr>
        <w:t>不再对工程量清单的项目和数量进行校对调整。</w:t>
      </w:r>
      <w:r>
        <w:rPr>
          <w:rFonts w:hint="eastAsia"/>
          <w:sz w:val="24"/>
          <w:szCs w:val="18"/>
          <w:highlight w:val="none"/>
        </w:rPr>
        <w:t>参审单位</w:t>
      </w:r>
      <w:r>
        <w:rPr>
          <w:rFonts w:hint="eastAsia" w:cs="宋体"/>
          <w:sz w:val="24"/>
          <w:szCs w:val="24"/>
          <w:highlight w:val="none"/>
          <w:lang w:bidi="ar"/>
        </w:rPr>
        <w:t>必须按其报价完成磋商文件规定范围内的设计图纸规定的所有工程项目。</w:t>
      </w:r>
    </w:p>
    <w:p>
      <w:pPr>
        <w:spacing w:line="360" w:lineRule="auto"/>
        <w:ind w:firstLine="480" w:firstLineChars="200"/>
        <w:rPr>
          <w:rFonts w:cs="宋体"/>
          <w:sz w:val="24"/>
          <w:szCs w:val="24"/>
          <w:highlight w:val="none"/>
        </w:rPr>
      </w:pPr>
      <w:r>
        <w:rPr>
          <w:rFonts w:hint="eastAsia" w:cs="宋体"/>
          <w:sz w:val="24"/>
          <w:szCs w:val="24"/>
          <w:highlight w:val="none"/>
          <w:lang w:bidi="ar"/>
        </w:rPr>
        <w:t>22.12</w:t>
      </w:r>
      <w:r>
        <w:rPr>
          <w:rFonts w:hint="eastAsia" w:cs="宋体"/>
          <w:sz w:val="24"/>
          <w:szCs w:val="24"/>
          <w:highlight w:val="none"/>
          <w:lang w:val="en-US" w:eastAsia="zh-CN" w:bidi="ar"/>
        </w:rPr>
        <w:t xml:space="preserve"> </w:t>
      </w:r>
      <w:r>
        <w:rPr>
          <w:rFonts w:hint="eastAsia" w:cs="宋体"/>
          <w:sz w:val="24"/>
          <w:szCs w:val="24"/>
          <w:highlight w:val="none"/>
          <w:lang w:bidi="ar"/>
        </w:rPr>
        <w:t xml:space="preserve">成交人在工程量清单报价书中所报的综合单价一律不予调整。 </w:t>
      </w:r>
    </w:p>
    <w:p>
      <w:pPr>
        <w:spacing w:line="360" w:lineRule="auto"/>
        <w:ind w:firstLine="480" w:firstLineChars="200"/>
        <w:rPr>
          <w:sz w:val="24"/>
          <w:highlight w:val="none"/>
        </w:rPr>
      </w:pPr>
      <w:r>
        <w:rPr>
          <w:rFonts w:hint="eastAsia" w:cs="宋体"/>
          <w:sz w:val="24"/>
          <w:szCs w:val="24"/>
          <w:highlight w:val="none"/>
          <w:lang w:bidi="ar"/>
        </w:rPr>
        <w:t>22.13</w:t>
      </w:r>
      <w:r>
        <w:rPr>
          <w:rFonts w:hint="eastAsia" w:cs="宋体"/>
          <w:sz w:val="24"/>
          <w:szCs w:val="24"/>
          <w:highlight w:val="none"/>
          <w:lang w:val="en-US" w:eastAsia="zh-CN" w:bidi="ar"/>
        </w:rPr>
        <w:t xml:space="preserve"> </w:t>
      </w:r>
      <w:r>
        <w:rPr>
          <w:rFonts w:hint="eastAsia" w:cs="宋体"/>
          <w:sz w:val="24"/>
          <w:szCs w:val="24"/>
          <w:highlight w:val="none"/>
          <w:lang w:bidi="ar"/>
        </w:rPr>
        <w:t>本工程不接受恶意不平衡报价，不保证最低价成交。</w:t>
      </w:r>
    </w:p>
    <w:p>
      <w:pPr>
        <w:spacing w:line="360" w:lineRule="auto"/>
        <w:ind w:firstLine="482" w:firstLineChars="200"/>
        <w:rPr>
          <w:b/>
          <w:sz w:val="24"/>
          <w:highlight w:val="none"/>
        </w:rPr>
      </w:pPr>
      <w:r>
        <w:rPr>
          <w:b/>
          <w:sz w:val="24"/>
          <w:highlight w:val="none"/>
        </w:rPr>
        <w:t>23.</w:t>
      </w:r>
      <w:r>
        <w:rPr>
          <w:rFonts w:hint="eastAsia" w:cs="宋体"/>
          <w:b/>
          <w:bCs/>
          <w:sz w:val="24"/>
          <w:szCs w:val="24"/>
          <w:highlight w:val="none"/>
          <w:lang w:bidi="ar"/>
        </w:rPr>
        <w:t>成交候选人的推荐原则及标准</w:t>
      </w:r>
    </w:p>
    <w:p>
      <w:pPr>
        <w:spacing w:line="360" w:lineRule="auto"/>
        <w:ind w:firstLine="480" w:firstLineChars="200"/>
        <w:rPr>
          <w:sz w:val="24"/>
          <w:highlight w:val="none"/>
        </w:rPr>
      </w:pPr>
      <w:r>
        <w:rPr>
          <w:sz w:val="24"/>
          <w:highlight w:val="none"/>
        </w:rPr>
        <w:t>23.1</w:t>
      </w:r>
      <w:r>
        <w:rPr>
          <w:rFonts w:hint="eastAsia"/>
          <w:sz w:val="24"/>
          <w:highlight w:val="none"/>
          <w:lang w:val="en-US" w:eastAsia="zh-CN"/>
        </w:rPr>
        <w:t xml:space="preserve"> </w:t>
      </w:r>
      <w:r>
        <w:rPr>
          <w:rFonts w:hint="eastAsia"/>
          <w:sz w:val="24"/>
          <w:highlight w:val="none"/>
        </w:rPr>
        <w:t>磋商小组</w:t>
      </w:r>
      <w:r>
        <w:rPr>
          <w:sz w:val="24"/>
          <w:highlight w:val="none"/>
        </w:rPr>
        <w:t>依据本项目</w:t>
      </w:r>
      <w:r>
        <w:rPr>
          <w:rFonts w:hint="eastAsia"/>
          <w:sz w:val="24"/>
          <w:highlight w:val="none"/>
        </w:rPr>
        <w:t>磋商</w:t>
      </w:r>
      <w:r>
        <w:rPr>
          <w:sz w:val="24"/>
          <w:highlight w:val="none"/>
        </w:rPr>
        <w:t>文件所约定的</w:t>
      </w:r>
      <w:r>
        <w:rPr>
          <w:rFonts w:hint="eastAsia"/>
          <w:sz w:val="24"/>
          <w:highlight w:val="none"/>
        </w:rPr>
        <w:t>评审</w:t>
      </w:r>
      <w:r>
        <w:rPr>
          <w:sz w:val="24"/>
          <w:highlight w:val="none"/>
        </w:rPr>
        <w:t>方法</w:t>
      </w:r>
      <w:r>
        <w:rPr>
          <w:rFonts w:hint="eastAsia"/>
          <w:sz w:val="24"/>
          <w:highlight w:val="none"/>
        </w:rPr>
        <w:t>和标准</w:t>
      </w:r>
      <w:r>
        <w:rPr>
          <w:sz w:val="24"/>
          <w:highlight w:val="none"/>
        </w:rPr>
        <w:t>，</w:t>
      </w:r>
      <w:r>
        <w:rPr>
          <w:rFonts w:hint="eastAsia"/>
          <w:sz w:val="24"/>
          <w:highlight w:val="none"/>
        </w:rPr>
        <w:t>按照有效</w:t>
      </w:r>
      <w:r>
        <w:rPr>
          <w:rFonts w:hint="eastAsia"/>
          <w:sz w:val="24"/>
          <w:szCs w:val="18"/>
          <w:highlight w:val="none"/>
        </w:rPr>
        <w:t>参审单位</w:t>
      </w:r>
      <w:r>
        <w:rPr>
          <w:rFonts w:hint="eastAsia"/>
          <w:sz w:val="24"/>
          <w:highlight w:val="none"/>
        </w:rPr>
        <w:t>综合总得分由高到低依次推荐成交候选</w:t>
      </w:r>
      <w:r>
        <w:rPr>
          <w:rFonts w:hint="eastAsia"/>
          <w:sz w:val="24"/>
          <w:szCs w:val="18"/>
          <w:highlight w:val="none"/>
        </w:rPr>
        <w:t>人</w:t>
      </w:r>
      <w:r>
        <w:rPr>
          <w:rFonts w:hint="eastAsia"/>
          <w:sz w:val="24"/>
          <w:highlight w:val="none"/>
        </w:rPr>
        <w:t>。综合总得分出现两家或两家以上相同者，按最后报价由低到高排序推荐成交候选</w:t>
      </w:r>
      <w:r>
        <w:rPr>
          <w:rFonts w:hint="eastAsia"/>
          <w:sz w:val="24"/>
          <w:szCs w:val="18"/>
          <w:highlight w:val="none"/>
        </w:rPr>
        <w:t>人</w:t>
      </w:r>
      <w:r>
        <w:rPr>
          <w:rFonts w:hint="eastAsia"/>
          <w:sz w:val="24"/>
          <w:highlight w:val="none"/>
        </w:rPr>
        <w:t>；综合总得分且最后报价均相同的，由磋商小组按照技术指标优劣顺序推荐成交候选</w:t>
      </w:r>
      <w:r>
        <w:rPr>
          <w:rFonts w:hint="eastAsia"/>
          <w:sz w:val="24"/>
          <w:szCs w:val="18"/>
          <w:highlight w:val="none"/>
        </w:rPr>
        <w:t>人</w:t>
      </w:r>
      <w:r>
        <w:rPr>
          <w:rFonts w:hint="eastAsia"/>
          <w:sz w:val="24"/>
          <w:highlight w:val="none"/>
        </w:rPr>
        <w:t>。</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w:t>
      </w:r>
      <w:r>
        <w:rPr>
          <w:rFonts w:hint="eastAsia" w:cs="宋体"/>
          <w:sz w:val="24"/>
          <w:szCs w:val="24"/>
          <w:highlight w:val="none"/>
          <w:lang w:val="en-US" w:eastAsia="zh-CN" w:bidi="ar"/>
        </w:rPr>
        <w:t xml:space="preserve"> </w:t>
      </w:r>
      <w:r>
        <w:rPr>
          <w:rFonts w:hint="eastAsia" w:cs="宋体"/>
          <w:sz w:val="24"/>
          <w:szCs w:val="24"/>
          <w:highlight w:val="none"/>
          <w:lang w:bidi="ar"/>
        </w:rPr>
        <w:t>凡发现成交候选人有下列行为之一的，成交无效，并移交监管部门依法处理：</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23.2.1</w:t>
      </w:r>
      <w:r>
        <w:rPr>
          <w:rFonts w:hint="eastAsia" w:cs="宋体"/>
          <w:sz w:val="24"/>
          <w:szCs w:val="24"/>
          <w:highlight w:val="none"/>
          <w:lang w:val="en-US" w:eastAsia="zh-CN" w:bidi="ar"/>
        </w:rPr>
        <w:t xml:space="preserve"> </w:t>
      </w:r>
      <w:r>
        <w:rPr>
          <w:rFonts w:hint="eastAsia" w:cs="宋体"/>
          <w:sz w:val="24"/>
          <w:szCs w:val="24"/>
          <w:highlight w:val="none"/>
          <w:lang w:bidi="ar"/>
        </w:rPr>
        <w:t>有下列情形之一的，属于</w:t>
      </w:r>
      <w:r>
        <w:rPr>
          <w:rFonts w:hint="eastAsia"/>
          <w:sz w:val="24"/>
          <w:szCs w:val="18"/>
          <w:highlight w:val="none"/>
        </w:rPr>
        <w:t>参审单位间</w:t>
      </w:r>
      <w:r>
        <w:rPr>
          <w:rFonts w:hint="eastAsia" w:cs="宋体"/>
          <w:sz w:val="24"/>
          <w:szCs w:val="24"/>
          <w:highlight w:val="none"/>
          <w:lang w:bidi="ar"/>
        </w:rPr>
        <w:t>相互串通：</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23.2.1.1</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之间协商报价等响应文件的实质性内容；</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23.2.1.2</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之间约定成交人；</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23.2.1.3</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之间约定部分</w:t>
      </w:r>
      <w:r>
        <w:rPr>
          <w:rFonts w:hint="eastAsia"/>
          <w:sz w:val="24"/>
          <w:szCs w:val="18"/>
          <w:highlight w:val="none"/>
        </w:rPr>
        <w:t>参审单位</w:t>
      </w:r>
      <w:r>
        <w:rPr>
          <w:rFonts w:hint="eastAsia" w:cs="宋体"/>
          <w:sz w:val="24"/>
          <w:szCs w:val="24"/>
          <w:highlight w:val="none"/>
          <w:lang w:bidi="ar"/>
        </w:rPr>
        <w:t>放弃磋商或者成交；</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23.2.1.4</w:t>
      </w:r>
      <w:r>
        <w:rPr>
          <w:rFonts w:hint="eastAsia" w:cs="宋体"/>
          <w:sz w:val="24"/>
          <w:szCs w:val="24"/>
          <w:highlight w:val="none"/>
          <w:lang w:val="en-US" w:eastAsia="zh-CN" w:bidi="ar"/>
        </w:rPr>
        <w:t xml:space="preserve"> </w:t>
      </w:r>
      <w:r>
        <w:rPr>
          <w:rFonts w:hint="eastAsia" w:cs="宋体"/>
          <w:sz w:val="24"/>
          <w:szCs w:val="24"/>
          <w:highlight w:val="none"/>
          <w:lang w:bidi="ar"/>
        </w:rPr>
        <w:t>属于同一集团、协会、商会等组织成员的</w:t>
      </w:r>
      <w:r>
        <w:rPr>
          <w:rFonts w:hint="eastAsia"/>
          <w:sz w:val="24"/>
          <w:szCs w:val="18"/>
          <w:highlight w:val="none"/>
        </w:rPr>
        <w:t>参审单位</w:t>
      </w:r>
      <w:r>
        <w:rPr>
          <w:rFonts w:hint="eastAsia" w:cs="宋体"/>
          <w:sz w:val="24"/>
          <w:szCs w:val="24"/>
          <w:highlight w:val="none"/>
          <w:lang w:bidi="ar"/>
        </w:rPr>
        <w:t>按照该组织要求协同磋商；</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23.2.1.5</w:t>
      </w:r>
      <w:r>
        <w:rPr>
          <w:rFonts w:hint="eastAsia" w:cs="宋体"/>
          <w:sz w:val="24"/>
          <w:szCs w:val="24"/>
          <w:highlight w:val="none"/>
          <w:lang w:val="en-US" w:eastAsia="zh-CN" w:bidi="ar"/>
        </w:rPr>
        <w:t xml:space="preserve"> </w:t>
      </w:r>
      <w:r>
        <w:rPr>
          <w:rFonts w:hint="eastAsia" w:cs="宋体"/>
          <w:sz w:val="24"/>
          <w:szCs w:val="24"/>
          <w:highlight w:val="none"/>
          <w:lang w:bidi="ar"/>
        </w:rPr>
        <w:t>参审单位之间为谋取成交或者排斥特定参审单位而采取的其他联合行动。</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w:t>
      </w:r>
      <w:r>
        <w:rPr>
          <w:rFonts w:hint="eastAsia" w:cs="宋体"/>
          <w:sz w:val="24"/>
          <w:szCs w:val="24"/>
          <w:highlight w:val="none"/>
          <w:lang w:val="en-US" w:eastAsia="zh-CN" w:bidi="ar"/>
        </w:rPr>
        <w:t xml:space="preserve"> </w:t>
      </w:r>
      <w:r>
        <w:rPr>
          <w:rFonts w:hint="eastAsia" w:cs="宋体"/>
          <w:sz w:val="24"/>
          <w:szCs w:val="24"/>
          <w:highlight w:val="none"/>
          <w:lang w:bidi="ar"/>
        </w:rPr>
        <w:t>有下列情形之一的，视为参审单位间相互串通：</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23.2.2.1</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不同参审单位的响应文件由同一单位或者个人编制；</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23.2.2.2</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不同参审单位委托同一单位或者个人办理磋商事宜；</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23.2.2.3</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不同参审单位的响应文件载明的项目管理成员为同一人；</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23.2.2.4</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不同参审单位的响应文件异常一致或者报价呈规律性差异；</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23.2.2.5</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不同参审单位的响应文件相互混装；</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23.2.2.6</w:t>
      </w:r>
      <w:r>
        <w:rPr>
          <w:rFonts w:hint="eastAsia" w:cs="宋体"/>
          <w:sz w:val="24"/>
          <w:szCs w:val="24"/>
          <w:highlight w:val="none"/>
          <w:lang w:val="en-US" w:eastAsia="zh-CN" w:bidi="ar"/>
        </w:rPr>
        <w:t xml:space="preserve"> </w:t>
      </w:r>
      <w:r>
        <w:rPr>
          <w:rFonts w:hint="eastAsia" w:cs="宋体"/>
          <w:sz w:val="24"/>
          <w:szCs w:val="24"/>
          <w:highlight w:val="none"/>
          <w:lang w:bidi="ar"/>
        </w:rPr>
        <w:t>不同参审单位的磋商保证金从同一单位或者个人的账户转出。</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23.2.3有下列情形之一的，属于业主单位与参审单位串通：</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23.2.3.1</w:t>
      </w:r>
      <w:r>
        <w:rPr>
          <w:rFonts w:hint="eastAsia" w:cs="宋体"/>
          <w:sz w:val="24"/>
          <w:szCs w:val="24"/>
          <w:highlight w:val="none"/>
          <w:lang w:val="en-US" w:eastAsia="zh-CN" w:bidi="ar"/>
        </w:rPr>
        <w:t xml:space="preserve"> </w:t>
      </w:r>
      <w:r>
        <w:rPr>
          <w:rFonts w:hint="eastAsia" w:cs="宋体"/>
          <w:sz w:val="24"/>
          <w:szCs w:val="24"/>
          <w:highlight w:val="none"/>
          <w:lang w:bidi="ar"/>
        </w:rPr>
        <w:t>业主单位在磋商前开启响应文件并将有关信息泄露给其他参审单位；</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23.2.3.2</w:t>
      </w:r>
      <w:r>
        <w:rPr>
          <w:rFonts w:hint="eastAsia" w:cs="宋体"/>
          <w:sz w:val="24"/>
          <w:szCs w:val="24"/>
          <w:highlight w:val="none"/>
          <w:lang w:val="en-US" w:eastAsia="zh-CN" w:bidi="ar"/>
        </w:rPr>
        <w:t xml:space="preserve"> </w:t>
      </w:r>
      <w:r>
        <w:rPr>
          <w:rFonts w:hint="eastAsia" w:cs="宋体"/>
          <w:sz w:val="24"/>
          <w:szCs w:val="24"/>
          <w:highlight w:val="none"/>
          <w:lang w:bidi="ar"/>
        </w:rPr>
        <w:t>业主单位直接或者间接向参审单位泄露标底、磋商小组成员等信息；</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23.2.3.3</w:t>
      </w:r>
      <w:r>
        <w:rPr>
          <w:rFonts w:hint="eastAsia" w:cs="宋体"/>
          <w:sz w:val="24"/>
          <w:szCs w:val="24"/>
          <w:highlight w:val="none"/>
          <w:lang w:val="en-US" w:eastAsia="zh-CN" w:bidi="ar"/>
        </w:rPr>
        <w:t xml:space="preserve"> </w:t>
      </w:r>
      <w:r>
        <w:rPr>
          <w:rFonts w:hint="eastAsia" w:cs="宋体"/>
          <w:sz w:val="24"/>
          <w:szCs w:val="24"/>
          <w:highlight w:val="none"/>
          <w:lang w:bidi="ar"/>
        </w:rPr>
        <w:t>业主单位明示或者暗示参审单位压低或者抬高报价；</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23.2.3.4</w:t>
      </w:r>
      <w:r>
        <w:rPr>
          <w:rFonts w:hint="eastAsia" w:cs="宋体"/>
          <w:sz w:val="24"/>
          <w:szCs w:val="24"/>
          <w:highlight w:val="none"/>
          <w:lang w:val="en-US" w:eastAsia="zh-CN" w:bidi="ar"/>
        </w:rPr>
        <w:t xml:space="preserve"> </w:t>
      </w:r>
      <w:r>
        <w:rPr>
          <w:rFonts w:hint="eastAsia" w:cs="宋体"/>
          <w:sz w:val="24"/>
          <w:szCs w:val="24"/>
          <w:highlight w:val="none"/>
          <w:lang w:bidi="ar"/>
        </w:rPr>
        <w:t>业主单位授意参审单位撤换、修改响应文件；</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23.2.3.5</w:t>
      </w:r>
      <w:r>
        <w:rPr>
          <w:rFonts w:hint="eastAsia" w:cs="宋体"/>
          <w:sz w:val="24"/>
          <w:szCs w:val="24"/>
          <w:highlight w:val="none"/>
          <w:lang w:val="en-US" w:eastAsia="zh-CN" w:bidi="ar"/>
        </w:rPr>
        <w:t xml:space="preserve"> </w:t>
      </w:r>
      <w:r>
        <w:rPr>
          <w:rFonts w:hint="eastAsia" w:cs="宋体"/>
          <w:sz w:val="24"/>
          <w:szCs w:val="24"/>
          <w:highlight w:val="none"/>
          <w:lang w:bidi="ar"/>
        </w:rPr>
        <w:t>业主单位明示或者暗示参审单位为特定参审单位成交提供方便；</w:t>
      </w:r>
    </w:p>
    <w:p>
      <w:pPr>
        <w:spacing w:line="360" w:lineRule="auto"/>
        <w:ind w:firstLine="420" w:firstLineChars="200"/>
        <w:rPr>
          <w:rFonts w:cs="宋体"/>
          <w:sz w:val="21"/>
          <w:szCs w:val="21"/>
          <w:highlight w:val="none"/>
          <w:lang w:bidi="ar"/>
        </w:rPr>
      </w:pPr>
      <w:r>
        <w:rPr>
          <w:rFonts w:hint="eastAsia" w:cs="宋体"/>
          <w:sz w:val="21"/>
          <w:szCs w:val="21"/>
          <w:highlight w:val="none"/>
          <w:lang w:bidi="ar"/>
        </w:rPr>
        <w:t>23.2.3.6</w:t>
      </w:r>
      <w:r>
        <w:rPr>
          <w:rFonts w:hint="eastAsia" w:cs="宋体"/>
          <w:sz w:val="21"/>
          <w:szCs w:val="21"/>
          <w:highlight w:val="none"/>
          <w:lang w:val="en-US" w:eastAsia="zh-CN" w:bidi="ar"/>
        </w:rPr>
        <w:t xml:space="preserve"> </w:t>
      </w:r>
      <w:r>
        <w:rPr>
          <w:rFonts w:hint="eastAsia"/>
          <w:sz w:val="21"/>
          <w:szCs w:val="21"/>
          <w:highlight w:val="none"/>
        </w:rPr>
        <w:t>业主单位</w:t>
      </w:r>
      <w:r>
        <w:rPr>
          <w:rFonts w:hint="eastAsia" w:cs="宋体"/>
          <w:sz w:val="21"/>
          <w:szCs w:val="21"/>
          <w:highlight w:val="none"/>
          <w:lang w:bidi="ar"/>
        </w:rPr>
        <w:t>与</w:t>
      </w:r>
      <w:r>
        <w:rPr>
          <w:rFonts w:hint="eastAsia"/>
          <w:sz w:val="21"/>
          <w:szCs w:val="21"/>
          <w:highlight w:val="none"/>
        </w:rPr>
        <w:t>参审单位</w:t>
      </w:r>
      <w:r>
        <w:rPr>
          <w:rFonts w:hint="eastAsia" w:cs="宋体"/>
          <w:sz w:val="21"/>
          <w:szCs w:val="21"/>
          <w:highlight w:val="none"/>
          <w:lang w:bidi="ar"/>
        </w:rPr>
        <w:t>为谋求特定</w:t>
      </w:r>
      <w:r>
        <w:rPr>
          <w:rFonts w:hint="eastAsia"/>
          <w:sz w:val="21"/>
          <w:szCs w:val="21"/>
          <w:highlight w:val="none"/>
        </w:rPr>
        <w:t>参审单位</w:t>
      </w:r>
      <w:r>
        <w:rPr>
          <w:rFonts w:hint="eastAsia" w:cs="宋体"/>
          <w:sz w:val="21"/>
          <w:szCs w:val="21"/>
          <w:highlight w:val="none"/>
          <w:lang w:bidi="ar"/>
        </w:rPr>
        <w:t>成交而采取的其他串通行为。</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23.2.4</w:t>
      </w:r>
      <w:r>
        <w:rPr>
          <w:rFonts w:hint="eastAsia" w:cs="宋体"/>
          <w:sz w:val="24"/>
          <w:szCs w:val="24"/>
          <w:highlight w:val="none"/>
          <w:lang w:val="en-US" w:eastAsia="zh-CN" w:bidi="ar"/>
        </w:rPr>
        <w:t xml:space="preserve"> </w:t>
      </w:r>
      <w:r>
        <w:rPr>
          <w:rFonts w:hint="eastAsia" w:cs="宋体"/>
          <w:sz w:val="24"/>
          <w:szCs w:val="24"/>
          <w:highlight w:val="none"/>
          <w:lang w:bidi="ar"/>
        </w:rPr>
        <w:t>使用通过受让或者租借等方式获取的资格、资质证书参与磋商的，</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w:t>
      </w:r>
      <w:r>
        <w:rPr>
          <w:rFonts w:hint="eastAsia" w:cs="宋体"/>
          <w:sz w:val="24"/>
          <w:szCs w:val="24"/>
          <w:highlight w:val="none"/>
          <w:lang w:val="en-US" w:eastAsia="zh-CN" w:bidi="ar"/>
        </w:rPr>
        <w:t xml:space="preserve"> </w:t>
      </w:r>
      <w:r>
        <w:rPr>
          <w:rFonts w:hint="eastAsia"/>
          <w:sz w:val="24"/>
          <w:szCs w:val="24"/>
          <w:highlight w:val="none"/>
        </w:rPr>
        <w:t>参审单位</w:t>
      </w:r>
      <w:r>
        <w:rPr>
          <w:rFonts w:hint="eastAsia" w:cs="宋体"/>
          <w:sz w:val="24"/>
          <w:szCs w:val="24"/>
          <w:highlight w:val="none"/>
          <w:lang w:bidi="ar"/>
        </w:rPr>
        <w:t>有下列情形之一的，属于以其他方式弄虚作假的行为：</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23.2.5.1</w:t>
      </w:r>
      <w:r>
        <w:rPr>
          <w:rFonts w:hint="eastAsia" w:cs="宋体"/>
          <w:sz w:val="24"/>
          <w:szCs w:val="24"/>
          <w:highlight w:val="none"/>
          <w:lang w:val="en-US" w:eastAsia="zh-CN" w:bidi="ar"/>
        </w:rPr>
        <w:t xml:space="preserve"> </w:t>
      </w:r>
      <w:r>
        <w:rPr>
          <w:rFonts w:hint="eastAsia" w:cs="宋体"/>
          <w:sz w:val="24"/>
          <w:szCs w:val="24"/>
          <w:highlight w:val="none"/>
          <w:lang w:bidi="ar"/>
        </w:rPr>
        <w:t>使用伪造、变造的许可证件；</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23.2.5.2</w:t>
      </w:r>
      <w:r>
        <w:rPr>
          <w:rFonts w:hint="eastAsia" w:cs="宋体"/>
          <w:sz w:val="24"/>
          <w:szCs w:val="24"/>
          <w:highlight w:val="none"/>
          <w:lang w:val="en-US" w:eastAsia="zh-CN" w:bidi="ar"/>
        </w:rPr>
        <w:t xml:space="preserve"> </w:t>
      </w:r>
      <w:r>
        <w:rPr>
          <w:rFonts w:hint="eastAsia" w:cs="宋体"/>
          <w:sz w:val="24"/>
          <w:szCs w:val="24"/>
          <w:highlight w:val="none"/>
          <w:lang w:bidi="ar"/>
        </w:rPr>
        <w:t>提供虚假的财务状况或者业绩；</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23.2.5.3</w:t>
      </w:r>
      <w:r>
        <w:rPr>
          <w:rFonts w:hint="eastAsia" w:cs="宋体"/>
          <w:sz w:val="24"/>
          <w:szCs w:val="24"/>
          <w:highlight w:val="none"/>
          <w:lang w:val="en-US" w:eastAsia="zh-CN" w:bidi="ar"/>
        </w:rPr>
        <w:t xml:space="preserve"> </w:t>
      </w:r>
      <w:r>
        <w:rPr>
          <w:rFonts w:hint="eastAsia" w:cs="宋体"/>
          <w:sz w:val="24"/>
          <w:szCs w:val="24"/>
          <w:highlight w:val="none"/>
          <w:lang w:bidi="ar"/>
        </w:rPr>
        <w:t>提供虚假的项目负责人或者主要技术人员简历、劳动关系证明；</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23.2.5.4</w:t>
      </w:r>
      <w:r>
        <w:rPr>
          <w:rFonts w:hint="eastAsia" w:cs="宋体"/>
          <w:sz w:val="24"/>
          <w:szCs w:val="24"/>
          <w:highlight w:val="none"/>
          <w:lang w:val="en-US" w:eastAsia="zh-CN" w:bidi="ar"/>
        </w:rPr>
        <w:t xml:space="preserve"> </w:t>
      </w:r>
      <w:r>
        <w:rPr>
          <w:rFonts w:hint="eastAsia" w:cs="宋体"/>
          <w:sz w:val="24"/>
          <w:szCs w:val="24"/>
          <w:highlight w:val="none"/>
          <w:lang w:bidi="ar"/>
        </w:rPr>
        <w:t>提供虚假的信用状况；</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23.2.5.5</w:t>
      </w:r>
      <w:r>
        <w:rPr>
          <w:rFonts w:hint="eastAsia" w:cs="宋体"/>
          <w:sz w:val="24"/>
          <w:szCs w:val="24"/>
          <w:highlight w:val="none"/>
          <w:lang w:val="en-US" w:eastAsia="zh-CN" w:bidi="ar"/>
        </w:rPr>
        <w:t xml:space="preserve"> </w:t>
      </w:r>
      <w:r>
        <w:rPr>
          <w:rFonts w:hint="eastAsia" w:cs="宋体"/>
          <w:sz w:val="24"/>
          <w:szCs w:val="24"/>
          <w:highlight w:val="none"/>
          <w:lang w:bidi="ar"/>
        </w:rPr>
        <w:t>其他弄虚作假的行为。</w:t>
      </w:r>
    </w:p>
    <w:p>
      <w:pPr>
        <w:spacing w:line="360" w:lineRule="auto"/>
        <w:ind w:firstLine="480" w:firstLineChars="200"/>
        <w:rPr>
          <w:rFonts w:cs="宋体"/>
          <w:sz w:val="24"/>
          <w:szCs w:val="24"/>
          <w:highlight w:val="none"/>
          <w:lang w:bidi="ar"/>
        </w:rPr>
      </w:pPr>
      <w:r>
        <w:rPr>
          <w:rFonts w:hint="eastAsia" w:cs="宋体"/>
          <w:sz w:val="24"/>
          <w:szCs w:val="24"/>
          <w:highlight w:val="none"/>
          <w:lang w:bidi="ar"/>
        </w:rPr>
        <w:t>23.2.6</w:t>
      </w:r>
      <w:r>
        <w:rPr>
          <w:rFonts w:hint="eastAsia" w:cs="宋体"/>
          <w:sz w:val="24"/>
          <w:szCs w:val="24"/>
          <w:highlight w:val="none"/>
          <w:lang w:val="en-US" w:eastAsia="zh-CN" w:bidi="ar"/>
        </w:rPr>
        <w:t xml:space="preserve"> </w:t>
      </w:r>
      <w:r>
        <w:rPr>
          <w:rFonts w:hint="eastAsia" w:cs="宋体"/>
          <w:sz w:val="24"/>
          <w:szCs w:val="24"/>
          <w:highlight w:val="none"/>
          <w:lang w:bidi="ar"/>
        </w:rPr>
        <w:t>其他违反法规和规章强制性规定的行为。</w:t>
      </w:r>
    </w:p>
    <w:p>
      <w:pPr>
        <w:spacing w:line="360" w:lineRule="auto"/>
        <w:ind w:firstLine="482" w:firstLineChars="200"/>
        <w:rPr>
          <w:b/>
          <w:sz w:val="24"/>
          <w:szCs w:val="24"/>
          <w:highlight w:val="none"/>
        </w:rPr>
      </w:pPr>
      <w:r>
        <w:rPr>
          <w:b/>
          <w:sz w:val="24"/>
          <w:szCs w:val="24"/>
          <w:highlight w:val="none"/>
        </w:rPr>
        <w:t>2</w:t>
      </w:r>
      <w:r>
        <w:rPr>
          <w:rFonts w:hint="eastAsia"/>
          <w:b/>
          <w:sz w:val="24"/>
          <w:szCs w:val="24"/>
          <w:highlight w:val="none"/>
        </w:rPr>
        <w:t>4</w:t>
      </w:r>
      <w:r>
        <w:rPr>
          <w:b/>
          <w:sz w:val="24"/>
          <w:szCs w:val="24"/>
          <w:highlight w:val="none"/>
        </w:rPr>
        <w:t>.</w:t>
      </w:r>
      <w:r>
        <w:rPr>
          <w:rFonts w:hint="eastAsia"/>
          <w:b/>
          <w:sz w:val="24"/>
          <w:szCs w:val="24"/>
          <w:highlight w:val="none"/>
        </w:rPr>
        <w:t>确定成交候选人和成交人</w:t>
      </w:r>
    </w:p>
    <w:p>
      <w:pPr>
        <w:spacing w:line="360" w:lineRule="auto"/>
        <w:ind w:firstLine="480" w:firstLineChars="200"/>
        <w:rPr>
          <w:sz w:val="24"/>
          <w:szCs w:val="24"/>
          <w:highlight w:val="none"/>
        </w:rPr>
      </w:pPr>
      <w:r>
        <w:rPr>
          <w:rFonts w:hint="eastAsia"/>
          <w:sz w:val="24"/>
          <w:szCs w:val="24"/>
          <w:highlight w:val="none"/>
        </w:rPr>
        <w:t>24.1</w:t>
      </w:r>
      <w:r>
        <w:rPr>
          <w:rFonts w:hint="eastAsia"/>
          <w:sz w:val="24"/>
          <w:szCs w:val="24"/>
          <w:highlight w:val="none"/>
          <w:lang w:val="en-US" w:eastAsia="zh-CN"/>
        </w:rPr>
        <w:t xml:space="preserve"> </w:t>
      </w:r>
      <w:r>
        <w:rPr>
          <w:rFonts w:hint="eastAsia"/>
          <w:sz w:val="24"/>
          <w:szCs w:val="24"/>
          <w:highlight w:val="none"/>
        </w:rPr>
        <w:t>磋商小组根据综合评分的结果和参审单位</w:t>
      </w:r>
      <w:r>
        <w:rPr>
          <w:sz w:val="24"/>
          <w:szCs w:val="24"/>
          <w:highlight w:val="none"/>
        </w:rPr>
        <w:t>须知前附表中规定</w:t>
      </w:r>
      <w:r>
        <w:rPr>
          <w:rFonts w:hint="eastAsia"/>
          <w:sz w:val="24"/>
          <w:szCs w:val="24"/>
          <w:highlight w:val="none"/>
        </w:rPr>
        <w:t>确定成交候选人，并标明排列顺序。排名第一的成交候选人经业主单位或业主单位授权的磋商小组确定为成交人后，由代理机构在指定媒体上予以公告。</w:t>
      </w:r>
    </w:p>
    <w:p>
      <w:pPr>
        <w:spacing w:line="360" w:lineRule="auto"/>
        <w:ind w:firstLine="482" w:firstLineChars="200"/>
        <w:rPr>
          <w:b/>
          <w:sz w:val="24"/>
          <w:szCs w:val="24"/>
          <w:highlight w:val="none"/>
        </w:rPr>
      </w:pPr>
      <w:r>
        <w:rPr>
          <w:b/>
          <w:sz w:val="24"/>
          <w:szCs w:val="24"/>
          <w:highlight w:val="none"/>
        </w:rPr>
        <w:t>2</w:t>
      </w:r>
      <w:r>
        <w:rPr>
          <w:rFonts w:hint="eastAsia"/>
          <w:b/>
          <w:sz w:val="24"/>
          <w:szCs w:val="24"/>
          <w:highlight w:val="none"/>
        </w:rPr>
        <w:t>5</w:t>
      </w:r>
      <w:r>
        <w:rPr>
          <w:b/>
          <w:sz w:val="24"/>
          <w:szCs w:val="24"/>
          <w:highlight w:val="none"/>
        </w:rPr>
        <w:t>.编写评审报告</w:t>
      </w:r>
    </w:p>
    <w:p>
      <w:pPr>
        <w:spacing w:line="360" w:lineRule="auto"/>
        <w:ind w:firstLine="480" w:firstLineChars="200"/>
        <w:rPr>
          <w:sz w:val="24"/>
          <w:szCs w:val="24"/>
          <w:highlight w:val="none"/>
        </w:rPr>
      </w:pPr>
      <w:r>
        <w:rPr>
          <w:rFonts w:hint="eastAsia"/>
          <w:sz w:val="24"/>
          <w:szCs w:val="24"/>
          <w:highlight w:val="none"/>
        </w:rPr>
        <w:t>25.1</w:t>
      </w:r>
      <w:r>
        <w:rPr>
          <w:rFonts w:hint="eastAsia"/>
          <w:sz w:val="24"/>
          <w:szCs w:val="24"/>
          <w:highlight w:val="none"/>
          <w:lang w:val="en-US" w:eastAsia="zh-CN"/>
        </w:rPr>
        <w:t xml:space="preserve"> </w:t>
      </w:r>
      <w:r>
        <w:rPr>
          <w:rFonts w:hint="eastAsia"/>
          <w:sz w:val="24"/>
          <w:szCs w:val="24"/>
          <w:highlight w:val="none"/>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82" w:firstLineChars="200"/>
        <w:rPr>
          <w:b/>
          <w:sz w:val="24"/>
          <w:szCs w:val="24"/>
          <w:highlight w:val="none"/>
        </w:rPr>
      </w:pPr>
      <w:r>
        <w:rPr>
          <w:rFonts w:hint="eastAsia"/>
          <w:b/>
          <w:sz w:val="24"/>
          <w:szCs w:val="24"/>
          <w:highlight w:val="none"/>
        </w:rPr>
        <w:t>26</w:t>
      </w:r>
      <w:r>
        <w:rPr>
          <w:b/>
          <w:sz w:val="24"/>
          <w:szCs w:val="24"/>
          <w:highlight w:val="none"/>
        </w:rPr>
        <w:t>.</w:t>
      </w:r>
      <w:r>
        <w:rPr>
          <w:rFonts w:hint="eastAsia"/>
          <w:b/>
          <w:sz w:val="24"/>
          <w:szCs w:val="24"/>
          <w:highlight w:val="none"/>
        </w:rPr>
        <w:t>保密要求</w:t>
      </w:r>
    </w:p>
    <w:p>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6.1</w:t>
      </w:r>
      <w:r>
        <w:rPr>
          <w:rFonts w:hint="eastAsia"/>
          <w:sz w:val="24"/>
          <w:szCs w:val="24"/>
          <w:highlight w:val="none"/>
          <w:lang w:val="en-US" w:eastAsia="zh-CN"/>
        </w:rPr>
        <w:t xml:space="preserve"> </w:t>
      </w:r>
      <w:r>
        <w:rPr>
          <w:rFonts w:hint="eastAsia"/>
          <w:sz w:val="24"/>
          <w:szCs w:val="24"/>
          <w:highlight w:val="none"/>
        </w:rPr>
        <w:t>评审将在严格保密的情况下进行。</w:t>
      </w:r>
    </w:p>
    <w:p>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6.2</w:t>
      </w:r>
      <w:r>
        <w:rPr>
          <w:rFonts w:hint="eastAsia"/>
          <w:sz w:val="24"/>
          <w:szCs w:val="24"/>
          <w:highlight w:val="none"/>
          <w:lang w:val="en-US" w:eastAsia="zh-CN"/>
        </w:rPr>
        <w:t xml:space="preserve"> </w:t>
      </w:r>
      <w:r>
        <w:rPr>
          <w:rFonts w:hint="eastAsia"/>
          <w:sz w:val="24"/>
          <w:szCs w:val="24"/>
          <w:highlight w:val="none"/>
        </w:rPr>
        <w:t>有关人员</w:t>
      </w:r>
      <w:r>
        <w:rPr>
          <w:sz w:val="24"/>
          <w:szCs w:val="24"/>
          <w:highlight w:val="none"/>
        </w:rPr>
        <w:t>应当</w:t>
      </w:r>
      <w:r>
        <w:rPr>
          <w:rFonts w:hint="eastAsia"/>
          <w:sz w:val="24"/>
          <w:szCs w:val="24"/>
          <w:highlight w:val="none"/>
        </w:rPr>
        <w:t>遵</w:t>
      </w:r>
      <w:r>
        <w:rPr>
          <w:sz w:val="24"/>
          <w:szCs w:val="24"/>
          <w:highlight w:val="none"/>
        </w:rPr>
        <w:t>守</w:t>
      </w:r>
      <w:r>
        <w:rPr>
          <w:rFonts w:hint="eastAsia"/>
          <w:sz w:val="24"/>
          <w:szCs w:val="24"/>
          <w:highlight w:val="none"/>
        </w:rPr>
        <w:t>评审</w:t>
      </w:r>
      <w:r>
        <w:rPr>
          <w:sz w:val="24"/>
          <w:szCs w:val="24"/>
          <w:highlight w:val="none"/>
        </w:rPr>
        <w:t>工作纪律，不得</w:t>
      </w:r>
      <w:r>
        <w:rPr>
          <w:rFonts w:hint="eastAsia"/>
          <w:sz w:val="24"/>
          <w:szCs w:val="24"/>
          <w:highlight w:val="none"/>
        </w:rPr>
        <w:t>泄露评审文件</w:t>
      </w:r>
      <w:r>
        <w:rPr>
          <w:sz w:val="24"/>
          <w:szCs w:val="24"/>
          <w:highlight w:val="none"/>
        </w:rPr>
        <w:t>、</w:t>
      </w:r>
      <w:r>
        <w:rPr>
          <w:rFonts w:hint="eastAsia"/>
          <w:sz w:val="24"/>
          <w:szCs w:val="24"/>
          <w:highlight w:val="none"/>
        </w:rPr>
        <w:t>评审</w:t>
      </w:r>
      <w:r>
        <w:rPr>
          <w:sz w:val="24"/>
          <w:szCs w:val="24"/>
          <w:highlight w:val="none"/>
        </w:rPr>
        <w:t>情况和</w:t>
      </w:r>
      <w:r>
        <w:rPr>
          <w:rFonts w:hint="eastAsia"/>
          <w:sz w:val="24"/>
          <w:szCs w:val="24"/>
          <w:highlight w:val="none"/>
        </w:rPr>
        <w:t>评审</w:t>
      </w:r>
      <w:r>
        <w:rPr>
          <w:sz w:val="24"/>
          <w:szCs w:val="24"/>
          <w:highlight w:val="none"/>
        </w:rPr>
        <w:t>中获悉的</w:t>
      </w:r>
      <w:r>
        <w:rPr>
          <w:rFonts w:hint="eastAsia"/>
          <w:sz w:val="24"/>
          <w:szCs w:val="24"/>
          <w:highlight w:val="none"/>
        </w:rPr>
        <w:t>国家秘密、</w:t>
      </w:r>
      <w:r>
        <w:rPr>
          <w:sz w:val="24"/>
          <w:szCs w:val="24"/>
          <w:highlight w:val="none"/>
        </w:rPr>
        <w:t>商业秘密。</w:t>
      </w:r>
    </w:p>
    <w:p>
      <w:pPr>
        <w:spacing w:line="360" w:lineRule="auto"/>
        <w:ind w:firstLine="482" w:firstLineChars="200"/>
        <w:rPr>
          <w:b/>
          <w:sz w:val="24"/>
          <w:szCs w:val="24"/>
          <w:highlight w:val="none"/>
        </w:rPr>
      </w:pPr>
      <w:r>
        <w:rPr>
          <w:b/>
          <w:sz w:val="24"/>
          <w:szCs w:val="24"/>
          <w:highlight w:val="none"/>
        </w:rPr>
        <w:t>2</w:t>
      </w:r>
      <w:r>
        <w:rPr>
          <w:rFonts w:hint="eastAsia"/>
          <w:b/>
          <w:sz w:val="24"/>
          <w:szCs w:val="24"/>
          <w:highlight w:val="none"/>
        </w:rPr>
        <w:t>7</w:t>
      </w:r>
      <w:r>
        <w:rPr>
          <w:b/>
          <w:sz w:val="24"/>
          <w:szCs w:val="24"/>
          <w:highlight w:val="none"/>
        </w:rPr>
        <w:t>.</w:t>
      </w:r>
      <w:r>
        <w:rPr>
          <w:rFonts w:hint="eastAsia" w:cs="宋体"/>
          <w:b/>
          <w:bCs/>
          <w:sz w:val="24"/>
          <w:szCs w:val="24"/>
          <w:highlight w:val="none"/>
          <w:lang w:bidi="ar"/>
        </w:rPr>
        <w:t>成交候选人和成交结果公示</w:t>
      </w:r>
    </w:p>
    <w:p>
      <w:pPr>
        <w:spacing w:line="360" w:lineRule="auto"/>
        <w:ind w:firstLine="480" w:firstLineChars="200"/>
        <w:rPr>
          <w:rFonts w:cs="宋体"/>
          <w:sz w:val="24"/>
          <w:szCs w:val="24"/>
          <w:highlight w:val="none"/>
        </w:rPr>
      </w:pPr>
      <w:r>
        <w:rPr>
          <w:rFonts w:hint="eastAsia" w:cs="宋体"/>
          <w:sz w:val="24"/>
          <w:szCs w:val="24"/>
          <w:highlight w:val="none"/>
          <w:lang w:bidi="ar"/>
        </w:rPr>
        <w:t>27.1 为体现“公开、公平、公正”的原则，磋商结束后，代理机构将在</w:t>
      </w:r>
      <w:r>
        <w:rPr>
          <w:rFonts w:hint="eastAsia"/>
          <w:sz w:val="24"/>
          <w:szCs w:val="24"/>
          <w:highlight w:val="none"/>
        </w:rPr>
        <w:t>发布磋商公告的媒介上</w:t>
      </w:r>
      <w:r>
        <w:rPr>
          <w:rFonts w:hint="eastAsia" w:cs="宋体"/>
          <w:sz w:val="24"/>
          <w:szCs w:val="24"/>
          <w:highlight w:val="none"/>
          <w:lang w:bidi="ar"/>
        </w:rPr>
        <w:t>发布成交候选人公示和成交结果公示。</w:t>
      </w:r>
    </w:p>
    <w:p>
      <w:pPr>
        <w:spacing w:line="360" w:lineRule="auto"/>
        <w:ind w:firstLine="480" w:firstLineChars="200"/>
        <w:rPr>
          <w:sz w:val="24"/>
          <w:szCs w:val="24"/>
          <w:highlight w:val="none"/>
        </w:rPr>
      </w:pPr>
      <w:r>
        <w:rPr>
          <w:rFonts w:hint="eastAsia" w:cs="宋体"/>
          <w:sz w:val="24"/>
          <w:szCs w:val="24"/>
          <w:highlight w:val="none"/>
          <w:lang w:bidi="ar"/>
        </w:rPr>
        <w:t xml:space="preserve">27.2 </w:t>
      </w:r>
      <w:r>
        <w:rPr>
          <w:rFonts w:hint="eastAsia"/>
          <w:sz w:val="24"/>
          <w:szCs w:val="24"/>
          <w:highlight w:val="none"/>
        </w:rPr>
        <w:t>业主单位</w:t>
      </w:r>
      <w:r>
        <w:rPr>
          <w:rFonts w:hint="eastAsia" w:cs="宋体"/>
          <w:sz w:val="24"/>
          <w:szCs w:val="24"/>
          <w:highlight w:val="none"/>
          <w:lang w:bidi="ar"/>
        </w:rPr>
        <w:t>在收到评审报告之日起3日内，依法公示成交候选人。</w:t>
      </w:r>
      <w:r>
        <w:rPr>
          <w:rFonts w:hint="eastAsia"/>
          <w:sz w:val="24"/>
          <w:szCs w:val="24"/>
          <w:highlight w:val="none"/>
        </w:rPr>
        <w:t>业主单位</w:t>
      </w:r>
      <w:r>
        <w:rPr>
          <w:rFonts w:hint="eastAsia" w:cs="宋体"/>
          <w:sz w:val="24"/>
          <w:szCs w:val="24"/>
          <w:highlight w:val="none"/>
          <w:lang w:bidi="ar"/>
        </w:rPr>
        <w:t>在确定成交人之日起3日内，依法公示成交结果。</w:t>
      </w:r>
    </w:p>
    <w:p>
      <w:pPr>
        <w:spacing w:line="360" w:lineRule="auto"/>
        <w:ind w:firstLine="480" w:firstLineChars="200"/>
        <w:rPr>
          <w:rFonts w:hint="eastAsia" w:eastAsia="宋体"/>
          <w:b/>
          <w:sz w:val="24"/>
          <w:szCs w:val="24"/>
          <w:highlight w:val="none"/>
          <w:lang w:eastAsia="zh-CN"/>
        </w:rPr>
      </w:pPr>
      <w:r>
        <w:rPr>
          <w:rFonts w:hint="eastAsia"/>
          <w:sz w:val="24"/>
          <w:szCs w:val="24"/>
          <w:highlight w:val="none"/>
        </w:rPr>
        <w:t>28</w:t>
      </w:r>
      <w:r>
        <w:rPr>
          <w:b/>
          <w:sz w:val="24"/>
          <w:szCs w:val="24"/>
          <w:highlight w:val="none"/>
        </w:rPr>
        <w:t>.</w:t>
      </w:r>
      <w:r>
        <w:rPr>
          <w:rFonts w:hint="eastAsia"/>
          <w:b/>
          <w:sz w:val="24"/>
          <w:szCs w:val="24"/>
          <w:highlight w:val="none"/>
          <w:lang w:eastAsia="zh-CN"/>
        </w:rPr>
        <w:t>成交确认书</w:t>
      </w:r>
    </w:p>
    <w:p>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8</w:t>
      </w:r>
      <w:r>
        <w:rPr>
          <w:sz w:val="24"/>
          <w:szCs w:val="24"/>
          <w:highlight w:val="none"/>
        </w:rPr>
        <w:t>.1</w:t>
      </w:r>
      <w:r>
        <w:rPr>
          <w:rFonts w:hint="eastAsia"/>
          <w:sz w:val="24"/>
          <w:szCs w:val="24"/>
          <w:highlight w:val="none"/>
          <w:lang w:val="en-US" w:eastAsia="zh-CN"/>
        </w:rPr>
        <w:t xml:space="preserve"> </w:t>
      </w:r>
      <w:r>
        <w:rPr>
          <w:rFonts w:hint="eastAsia"/>
          <w:sz w:val="24"/>
          <w:szCs w:val="24"/>
          <w:highlight w:val="none"/>
        </w:rPr>
        <w:t>代理机构</w:t>
      </w:r>
      <w:r>
        <w:rPr>
          <w:sz w:val="24"/>
          <w:szCs w:val="24"/>
          <w:highlight w:val="none"/>
        </w:rPr>
        <w:t>发布</w:t>
      </w:r>
      <w:r>
        <w:rPr>
          <w:rFonts w:hint="eastAsia"/>
          <w:sz w:val="24"/>
          <w:szCs w:val="24"/>
          <w:highlight w:val="none"/>
        </w:rPr>
        <w:t>成交</w:t>
      </w:r>
      <w:r>
        <w:rPr>
          <w:sz w:val="24"/>
          <w:szCs w:val="24"/>
          <w:highlight w:val="none"/>
        </w:rPr>
        <w:t>结果公告的同时以</w:t>
      </w:r>
      <w:r>
        <w:rPr>
          <w:rFonts w:hint="eastAsia"/>
          <w:sz w:val="24"/>
          <w:szCs w:val="24"/>
          <w:highlight w:val="none"/>
          <w:u w:val="single"/>
          <w:lang w:val="en-US" w:eastAsia="zh-CN"/>
        </w:rPr>
        <w:t xml:space="preserve"> </w:t>
      </w:r>
      <w:r>
        <w:rPr>
          <w:rFonts w:hint="eastAsia"/>
          <w:sz w:val="24"/>
          <w:szCs w:val="24"/>
          <w:highlight w:val="none"/>
          <w:u w:val="single"/>
        </w:rPr>
        <w:t>参审单位须知前附表</w:t>
      </w:r>
      <w:r>
        <w:rPr>
          <w:rFonts w:hint="eastAsia"/>
          <w:sz w:val="24"/>
          <w:szCs w:val="24"/>
          <w:highlight w:val="none"/>
          <w:u w:val="single"/>
          <w:lang w:val="en-US" w:eastAsia="zh-CN"/>
        </w:rPr>
        <w:t xml:space="preserve"> </w:t>
      </w:r>
      <w:r>
        <w:rPr>
          <w:rFonts w:hint="eastAsia"/>
          <w:sz w:val="24"/>
          <w:szCs w:val="24"/>
          <w:highlight w:val="none"/>
        </w:rPr>
        <w:t>规定的</w:t>
      </w:r>
      <w:r>
        <w:rPr>
          <w:sz w:val="24"/>
          <w:szCs w:val="24"/>
          <w:highlight w:val="none"/>
        </w:rPr>
        <w:t>形式向</w:t>
      </w:r>
      <w:r>
        <w:rPr>
          <w:rFonts w:hint="eastAsia"/>
          <w:sz w:val="24"/>
          <w:szCs w:val="24"/>
          <w:highlight w:val="none"/>
        </w:rPr>
        <w:t>成交人</w:t>
      </w:r>
      <w:r>
        <w:rPr>
          <w:sz w:val="24"/>
          <w:szCs w:val="24"/>
          <w:highlight w:val="none"/>
        </w:rPr>
        <w:t>发出</w:t>
      </w:r>
      <w:r>
        <w:rPr>
          <w:rFonts w:hint="eastAsia"/>
          <w:sz w:val="24"/>
          <w:szCs w:val="24"/>
          <w:highlight w:val="none"/>
          <w:lang w:eastAsia="zh-CN"/>
        </w:rPr>
        <w:t>成交确认书</w:t>
      </w:r>
      <w:r>
        <w:rPr>
          <w:sz w:val="24"/>
          <w:szCs w:val="24"/>
          <w:highlight w:val="none"/>
        </w:rPr>
        <w:t>。</w:t>
      </w:r>
    </w:p>
    <w:p>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8</w:t>
      </w:r>
      <w:r>
        <w:rPr>
          <w:sz w:val="24"/>
          <w:szCs w:val="24"/>
          <w:highlight w:val="none"/>
        </w:rPr>
        <w:t>.2</w:t>
      </w:r>
      <w:r>
        <w:rPr>
          <w:rFonts w:hint="eastAsia"/>
          <w:sz w:val="24"/>
          <w:szCs w:val="24"/>
          <w:highlight w:val="none"/>
          <w:lang w:val="en-US" w:eastAsia="zh-CN"/>
        </w:rPr>
        <w:t xml:space="preserve"> </w:t>
      </w:r>
      <w:r>
        <w:rPr>
          <w:rFonts w:hint="eastAsia"/>
          <w:sz w:val="24"/>
          <w:szCs w:val="24"/>
          <w:highlight w:val="none"/>
          <w:lang w:eastAsia="zh-CN"/>
        </w:rPr>
        <w:t>成交确认书</w:t>
      </w:r>
      <w:r>
        <w:rPr>
          <w:sz w:val="24"/>
          <w:szCs w:val="24"/>
          <w:highlight w:val="none"/>
        </w:rPr>
        <w:t>对</w:t>
      </w:r>
      <w:r>
        <w:rPr>
          <w:rFonts w:hint="eastAsia"/>
          <w:sz w:val="24"/>
          <w:szCs w:val="24"/>
          <w:highlight w:val="none"/>
        </w:rPr>
        <w:t>业主单位</w:t>
      </w:r>
      <w:r>
        <w:rPr>
          <w:sz w:val="24"/>
          <w:szCs w:val="24"/>
          <w:highlight w:val="none"/>
        </w:rPr>
        <w:t>和</w:t>
      </w:r>
      <w:r>
        <w:rPr>
          <w:rFonts w:hint="eastAsia"/>
          <w:sz w:val="24"/>
          <w:szCs w:val="24"/>
          <w:highlight w:val="none"/>
        </w:rPr>
        <w:t>成交人</w:t>
      </w:r>
      <w:r>
        <w:rPr>
          <w:sz w:val="24"/>
          <w:szCs w:val="24"/>
          <w:highlight w:val="none"/>
        </w:rPr>
        <w:t>具有同等法律效力。</w:t>
      </w:r>
      <w:r>
        <w:rPr>
          <w:rFonts w:hint="eastAsia"/>
          <w:sz w:val="24"/>
          <w:szCs w:val="24"/>
          <w:highlight w:val="none"/>
          <w:lang w:eastAsia="zh-CN"/>
        </w:rPr>
        <w:t>成交确认书</w:t>
      </w:r>
      <w:r>
        <w:rPr>
          <w:sz w:val="24"/>
          <w:szCs w:val="24"/>
          <w:highlight w:val="none"/>
        </w:rPr>
        <w:t>发出以后，</w:t>
      </w:r>
      <w:r>
        <w:rPr>
          <w:rFonts w:hint="eastAsia"/>
          <w:sz w:val="24"/>
          <w:szCs w:val="24"/>
          <w:highlight w:val="none"/>
        </w:rPr>
        <w:t>业主单位</w:t>
      </w:r>
      <w:r>
        <w:rPr>
          <w:sz w:val="24"/>
          <w:szCs w:val="24"/>
          <w:highlight w:val="none"/>
        </w:rPr>
        <w:t>改变</w:t>
      </w:r>
      <w:r>
        <w:rPr>
          <w:rFonts w:hint="eastAsia"/>
          <w:sz w:val="24"/>
          <w:szCs w:val="24"/>
          <w:highlight w:val="none"/>
        </w:rPr>
        <w:t>成交</w:t>
      </w:r>
      <w:r>
        <w:rPr>
          <w:sz w:val="24"/>
          <w:szCs w:val="24"/>
          <w:highlight w:val="none"/>
        </w:rPr>
        <w:t>结果或者</w:t>
      </w:r>
      <w:r>
        <w:rPr>
          <w:rFonts w:hint="eastAsia"/>
          <w:sz w:val="24"/>
          <w:szCs w:val="24"/>
          <w:highlight w:val="none"/>
        </w:rPr>
        <w:t>成交人</w:t>
      </w:r>
      <w:r>
        <w:rPr>
          <w:sz w:val="24"/>
          <w:szCs w:val="24"/>
          <w:highlight w:val="none"/>
        </w:rPr>
        <w:t>放弃</w:t>
      </w:r>
      <w:r>
        <w:rPr>
          <w:rFonts w:hint="eastAsia"/>
          <w:sz w:val="24"/>
          <w:szCs w:val="24"/>
          <w:highlight w:val="none"/>
        </w:rPr>
        <w:t>成交</w:t>
      </w:r>
      <w:r>
        <w:rPr>
          <w:sz w:val="24"/>
          <w:szCs w:val="24"/>
          <w:highlight w:val="none"/>
        </w:rPr>
        <w:t>资格，应当承担相应的法律责任。</w:t>
      </w:r>
    </w:p>
    <w:p>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8</w:t>
      </w:r>
      <w:r>
        <w:rPr>
          <w:sz w:val="24"/>
          <w:szCs w:val="24"/>
          <w:highlight w:val="none"/>
        </w:rPr>
        <w:t>.3</w:t>
      </w:r>
      <w:r>
        <w:rPr>
          <w:rFonts w:hint="eastAsia"/>
          <w:sz w:val="24"/>
          <w:szCs w:val="24"/>
          <w:highlight w:val="none"/>
          <w:lang w:val="en-US" w:eastAsia="zh-CN"/>
        </w:rPr>
        <w:t xml:space="preserve"> </w:t>
      </w:r>
      <w:r>
        <w:rPr>
          <w:rFonts w:hint="eastAsia"/>
          <w:sz w:val="24"/>
          <w:szCs w:val="24"/>
          <w:highlight w:val="none"/>
          <w:lang w:eastAsia="zh-CN"/>
        </w:rPr>
        <w:t>成交确认书</w:t>
      </w:r>
      <w:r>
        <w:rPr>
          <w:sz w:val="24"/>
          <w:szCs w:val="24"/>
          <w:highlight w:val="none"/>
        </w:rPr>
        <w:t>是合同的组成部分。</w:t>
      </w:r>
    </w:p>
    <w:p>
      <w:pPr>
        <w:spacing w:line="360" w:lineRule="auto"/>
        <w:ind w:firstLine="482" w:firstLineChars="200"/>
        <w:rPr>
          <w:b/>
          <w:sz w:val="24"/>
          <w:szCs w:val="24"/>
          <w:highlight w:val="none"/>
        </w:rPr>
      </w:pPr>
      <w:r>
        <w:rPr>
          <w:rFonts w:hint="eastAsia"/>
          <w:b/>
          <w:sz w:val="24"/>
          <w:szCs w:val="24"/>
          <w:highlight w:val="none"/>
        </w:rPr>
        <w:t>29</w:t>
      </w:r>
      <w:r>
        <w:rPr>
          <w:b/>
          <w:sz w:val="24"/>
          <w:szCs w:val="24"/>
          <w:highlight w:val="none"/>
        </w:rPr>
        <w:t>.告知</w:t>
      </w:r>
      <w:r>
        <w:rPr>
          <w:rFonts w:hint="eastAsia"/>
          <w:b/>
          <w:sz w:val="24"/>
          <w:szCs w:val="24"/>
          <w:highlight w:val="none"/>
        </w:rPr>
        <w:t>磋商</w:t>
      </w:r>
      <w:r>
        <w:rPr>
          <w:b/>
          <w:sz w:val="24"/>
          <w:szCs w:val="24"/>
          <w:highlight w:val="none"/>
        </w:rPr>
        <w:t>结果</w:t>
      </w:r>
    </w:p>
    <w:p>
      <w:pPr>
        <w:spacing w:line="360" w:lineRule="auto"/>
        <w:ind w:firstLine="480" w:firstLineChars="200"/>
        <w:rPr>
          <w:sz w:val="21"/>
          <w:szCs w:val="21"/>
          <w:highlight w:val="none"/>
        </w:rPr>
      </w:pPr>
      <w:r>
        <w:rPr>
          <w:rFonts w:hint="eastAsia" w:cs="宋体"/>
          <w:sz w:val="24"/>
          <w:szCs w:val="24"/>
          <w:highlight w:val="none"/>
          <w:lang w:bidi="ar"/>
        </w:rPr>
        <w:t>29.1 代理机构对未成交的</w:t>
      </w:r>
      <w:r>
        <w:rPr>
          <w:rFonts w:hint="eastAsia"/>
          <w:sz w:val="24"/>
          <w:szCs w:val="24"/>
          <w:highlight w:val="none"/>
        </w:rPr>
        <w:t>参审单位</w:t>
      </w:r>
      <w:r>
        <w:rPr>
          <w:rFonts w:hint="eastAsia" w:cs="宋体"/>
          <w:sz w:val="24"/>
          <w:szCs w:val="24"/>
          <w:highlight w:val="none"/>
          <w:lang w:bidi="ar"/>
        </w:rPr>
        <w:t>不做未成交原因的解释。</w:t>
      </w:r>
    </w:p>
    <w:p>
      <w:pPr>
        <w:spacing w:line="360" w:lineRule="auto"/>
        <w:ind w:firstLine="422" w:firstLineChars="200"/>
        <w:rPr>
          <w:b/>
          <w:sz w:val="21"/>
          <w:szCs w:val="21"/>
          <w:highlight w:val="none"/>
        </w:rPr>
      </w:pPr>
      <w:r>
        <w:rPr>
          <w:rFonts w:hint="eastAsia"/>
          <w:b/>
          <w:sz w:val="21"/>
          <w:szCs w:val="21"/>
          <w:highlight w:val="none"/>
        </w:rPr>
        <w:t>30</w:t>
      </w:r>
      <w:r>
        <w:rPr>
          <w:b/>
          <w:sz w:val="21"/>
          <w:szCs w:val="21"/>
          <w:highlight w:val="none"/>
        </w:rPr>
        <w:t>.履约保证金</w:t>
      </w:r>
    </w:p>
    <w:p>
      <w:pPr>
        <w:spacing w:line="360" w:lineRule="auto"/>
        <w:ind w:firstLine="480" w:firstLineChars="200"/>
        <w:rPr>
          <w:rFonts w:cs="宋体"/>
          <w:sz w:val="24"/>
          <w:szCs w:val="24"/>
          <w:highlight w:val="none"/>
        </w:rPr>
      </w:pPr>
      <w:r>
        <w:rPr>
          <w:rFonts w:hint="eastAsia" w:cs="宋体"/>
          <w:sz w:val="24"/>
          <w:szCs w:val="24"/>
          <w:highlight w:val="none"/>
          <w:lang w:bidi="ar"/>
        </w:rPr>
        <w:t>30.1 成交人应按照</w:t>
      </w:r>
      <w:r>
        <w:rPr>
          <w:rFonts w:hint="eastAsia"/>
          <w:sz w:val="24"/>
          <w:szCs w:val="18"/>
          <w:highlight w:val="none"/>
        </w:rPr>
        <w:t>参审单位</w:t>
      </w:r>
      <w:r>
        <w:rPr>
          <w:rFonts w:hint="eastAsia" w:cs="宋体"/>
          <w:sz w:val="24"/>
          <w:szCs w:val="24"/>
          <w:highlight w:val="none"/>
          <w:lang w:bidi="ar"/>
        </w:rPr>
        <w:t xml:space="preserve">须知前附表规定缴纳履约保证金。 </w:t>
      </w:r>
    </w:p>
    <w:p>
      <w:pPr>
        <w:spacing w:line="360" w:lineRule="auto"/>
        <w:ind w:firstLine="480" w:firstLineChars="200"/>
        <w:rPr>
          <w:sz w:val="24"/>
          <w:highlight w:val="none"/>
        </w:rPr>
      </w:pPr>
      <w:r>
        <w:rPr>
          <w:rFonts w:hint="eastAsia" w:cs="宋体"/>
          <w:sz w:val="24"/>
          <w:szCs w:val="24"/>
          <w:highlight w:val="none"/>
          <w:lang w:bidi="ar"/>
        </w:rPr>
        <w:t>30.2 如果成交人没有按照上述履约保证金的规定执行，将视为放弃成交资格。在此情况下，</w:t>
      </w:r>
      <w:r>
        <w:rPr>
          <w:rFonts w:hint="eastAsia"/>
          <w:sz w:val="24"/>
          <w:szCs w:val="18"/>
          <w:highlight w:val="none"/>
        </w:rPr>
        <w:t>业主单位</w:t>
      </w:r>
      <w:r>
        <w:rPr>
          <w:rFonts w:hint="eastAsia" w:cs="宋体"/>
          <w:sz w:val="24"/>
          <w:szCs w:val="24"/>
          <w:highlight w:val="none"/>
          <w:lang w:bidi="ar"/>
        </w:rPr>
        <w:t>可确定下一成交候选人为成交人，也可以重新开展磋商活动。</w:t>
      </w:r>
    </w:p>
    <w:p>
      <w:pPr>
        <w:spacing w:line="360" w:lineRule="auto"/>
        <w:ind w:firstLine="482" w:firstLineChars="200"/>
        <w:rPr>
          <w:b/>
          <w:sz w:val="24"/>
          <w:highlight w:val="none"/>
        </w:rPr>
      </w:pPr>
      <w:r>
        <w:rPr>
          <w:rFonts w:hint="eastAsia"/>
          <w:b/>
          <w:sz w:val="24"/>
          <w:highlight w:val="none"/>
        </w:rPr>
        <w:t>31</w:t>
      </w:r>
      <w:r>
        <w:rPr>
          <w:b/>
          <w:sz w:val="24"/>
          <w:highlight w:val="none"/>
        </w:rPr>
        <w:t>.</w:t>
      </w:r>
      <w:r>
        <w:rPr>
          <w:rFonts w:hint="eastAsia"/>
          <w:b/>
          <w:sz w:val="24"/>
          <w:highlight w:val="none"/>
        </w:rPr>
        <w:t>代理费</w:t>
      </w:r>
    </w:p>
    <w:p>
      <w:pPr>
        <w:spacing w:line="360" w:lineRule="auto"/>
        <w:ind w:firstLine="480" w:firstLineChars="200"/>
        <w:rPr>
          <w:sz w:val="24"/>
          <w:highlight w:val="none"/>
        </w:rPr>
      </w:pPr>
      <w:r>
        <w:rPr>
          <w:rFonts w:hint="eastAsia"/>
          <w:sz w:val="24"/>
          <w:highlight w:val="none"/>
        </w:rPr>
        <w:t>31</w:t>
      </w:r>
      <w:r>
        <w:rPr>
          <w:sz w:val="24"/>
          <w:highlight w:val="none"/>
        </w:rPr>
        <w:t>.1</w:t>
      </w:r>
      <w:r>
        <w:rPr>
          <w:rFonts w:hint="eastAsia"/>
          <w:sz w:val="24"/>
          <w:highlight w:val="none"/>
          <w:lang w:val="en-US" w:eastAsia="zh-CN"/>
        </w:rPr>
        <w:t xml:space="preserve"> </w:t>
      </w:r>
      <w:r>
        <w:rPr>
          <w:rFonts w:hint="eastAsia"/>
          <w:sz w:val="24"/>
          <w:highlight w:val="none"/>
        </w:rPr>
        <w:t>在公告成交（成交）结果后，成交人</w:t>
      </w:r>
      <w:r>
        <w:rPr>
          <w:sz w:val="24"/>
          <w:highlight w:val="none"/>
        </w:rPr>
        <w:t>应向</w:t>
      </w:r>
      <w:r>
        <w:rPr>
          <w:rFonts w:hint="eastAsia"/>
          <w:sz w:val="24"/>
          <w:highlight w:val="none"/>
          <w:lang w:eastAsia="zh-CN"/>
        </w:rPr>
        <w:t>肥西县派合商务服务有限公司</w:t>
      </w:r>
      <w:r>
        <w:rPr>
          <w:rFonts w:hint="eastAsia"/>
          <w:sz w:val="24"/>
          <w:highlight w:val="none"/>
        </w:rPr>
        <w:t>交纳代理费。</w:t>
      </w:r>
    </w:p>
    <w:p>
      <w:pPr>
        <w:spacing w:line="360" w:lineRule="auto"/>
        <w:ind w:firstLine="480" w:firstLineChars="200"/>
        <w:rPr>
          <w:rFonts w:hint="eastAsia"/>
          <w:bCs/>
          <w:sz w:val="24"/>
          <w:highlight w:val="none"/>
        </w:rPr>
      </w:pPr>
      <w:r>
        <w:rPr>
          <w:rFonts w:hint="eastAsia"/>
          <w:bCs/>
          <w:sz w:val="24"/>
          <w:highlight w:val="none"/>
        </w:rPr>
        <w:t>代理费缴纳账户</w:t>
      </w:r>
    </w:p>
    <w:p>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pPr>
        <w:spacing w:line="360" w:lineRule="auto"/>
        <w:ind w:firstLine="480" w:firstLineChars="200"/>
        <w:rPr>
          <w:rFonts w:cs="宋体"/>
          <w:kern w:val="2"/>
          <w:sz w:val="24"/>
          <w:highlight w:val="none"/>
        </w:rPr>
      </w:pPr>
      <w:r>
        <w:rPr>
          <w:rFonts w:hint="eastAsia"/>
          <w:sz w:val="24"/>
          <w:highlight w:val="none"/>
        </w:rPr>
        <w:t>代理费</w:t>
      </w:r>
      <w:r>
        <w:rPr>
          <w:sz w:val="24"/>
          <w:highlight w:val="none"/>
        </w:rPr>
        <w:t>的收取</w:t>
      </w:r>
      <w:r>
        <w:rPr>
          <w:rFonts w:hint="eastAsia" w:cs="宋体"/>
          <w:sz w:val="24"/>
          <w:highlight w:val="none"/>
        </w:rPr>
        <w:t>采用差额定率累进计费方式，</w:t>
      </w:r>
      <w:r>
        <w:rPr>
          <w:rFonts w:hint="eastAsia" w:cs="宋体"/>
          <w:kern w:val="2"/>
          <w:sz w:val="24"/>
          <w:highlight w:val="none"/>
        </w:rPr>
        <w:t>具体收费标准参照关于印发《招标（采购）代理行业服务收费指导意见》的通知（合公协〔2023</w:t>
      </w:r>
      <w:r>
        <w:rPr>
          <w:rFonts w:hint="eastAsia"/>
          <w:sz w:val="24"/>
          <w:szCs w:val="24"/>
          <w:highlight w:val="none"/>
        </w:rPr>
        <w:t>〕</w:t>
      </w:r>
      <w:r>
        <w:rPr>
          <w:rFonts w:hint="eastAsia" w:cs="宋体"/>
          <w:kern w:val="2"/>
          <w:sz w:val="24"/>
          <w:highlight w:val="none"/>
        </w:rPr>
        <w:t>03号）文件收取。</w:t>
      </w:r>
    </w:p>
    <w:p>
      <w:pPr>
        <w:spacing w:line="360" w:lineRule="auto"/>
        <w:jc w:val="center"/>
        <w:rPr>
          <w:rStyle w:val="23"/>
          <w:rFonts w:cs="宋体"/>
          <w:sz w:val="24"/>
          <w:highlight w:val="none"/>
        </w:rPr>
      </w:pPr>
      <w:r>
        <w:rPr>
          <w:rStyle w:val="23"/>
          <w:rFonts w:hint="eastAsia" w:cs="宋体"/>
          <w:sz w:val="24"/>
          <w:highlight w:val="none"/>
        </w:rPr>
        <w:t>收费标准</w:t>
      </w:r>
    </w:p>
    <w:tbl>
      <w:tblPr>
        <w:tblStyle w:val="21"/>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
                <w:bCs/>
                <w:sz w:val="24"/>
                <w:highlight w:val="none"/>
              </w:rPr>
            </w:pPr>
            <w:r>
              <w:rPr>
                <w:rFonts w:hint="eastAsia" w:cs="宋体"/>
                <w:b/>
                <w:bCs/>
                <w:sz w:val="24"/>
                <w:highlight w:val="none"/>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highlight w:val="none"/>
              </w:rPr>
            </w:pPr>
            <w:r>
              <w:rPr>
                <w:rFonts w:hint="eastAsia" w:cs="宋体"/>
                <w:b/>
                <w:bCs/>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highlight w:val="none"/>
              </w:rPr>
            </w:pPr>
            <w:r>
              <w:rPr>
                <w:rFonts w:hint="eastAsia" w:cs="宋体"/>
                <w:b/>
                <w:bCs/>
                <w:sz w:val="24"/>
                <w:highlight w:val="none"/>
              </w:rPr>
              <w:t>服务</w:t>
            </w:r>
          </w:p>
        </w:tc>
        <w:tc>
          <w:tcPr>
            <w:tcW w:w="1282" w:type="dxa"/>
            <w:tcBorders>
              <w:top w:val="single" w:color="auto" w:sz="4" w:space="0"/>
              <w:left w:val="single" w:color="auto" w:sz="4" w:space="0"/>
              <w:bottom w:val="single" w:color="auto" w:sz="4" w:space="0"/>
            </w:tcBorders>
            <w:vAlign w:val="center"/>
          </w:tcPr>
          <w:p>
            <w:pPr>
              <w:jc w:val="center"/>
              <w:rPr>
                <w:rFonts w:cs="宋体"/>
                <w:b/>
                <w:bCs/>
                <w:sz w:val="24"/>
                <w:highlight w:val="none"/>
              </w:rPr>
            </w:pPr>
            <w:r>
              <w:rPr>
                <w:rFonts w:hint="eastAsia" w:cs="宋体"/>
                <w:b/>
                <w:bCs/>
                <w:sz w:val="24"/>
                <w:highlight w:val="none"/>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100</w:t>
            </w:r>
            <w:r>
              <w:rPr>
                <w:rFonts w:hint="eastAsia" w:cs="宋体"/>
                <w:bCs/>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w:t>
            </w:r>
            <w:r>
              <w:rPr>
                <w:rFonts w:hint="eastAsia" w:cs="宋体"/>
                <w:bCs/>
                <w:sz w:val="24"/>
                <w:highlight w:val="none"/>
              </w:rPr>
              <w:t>5</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w:t>
            </w:r>
            <w:r>
              <w:rPr>
                <w:rFonts w:hint="eastAsia" w:cs="宋体"/>
                <w:bCs/>
                <w:sz w:val="24"/>
                <w:highlight w:val="none"/>
              </w:rPr>
              <w:t>5</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hint="eastAsia" w:cs="宋体"/>
                <w:bCs/>
                <w:sz w:val="24"/>
                <w:highlight w:val="none"/>
              </w:rPr>
              <w:t>1.0</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100</w:t>
            </w:r>
            <w:r>
              <w:rPr>
                <w:rFonts w:hint="eastAsia" w:cs="宋体"/>
                <w:bCs/>
                <w:sz w:val="24"/>
                <w:highlight w:val="none"/>
              </w:rPr>
              <w:t>万元</w:t>
            </w:r>
            <w:r>
              <w:rPr>
                <w:rFonts w:cs="宋体"/>
                <w:bCs/>
                <w:sz w:val="24"/>
                <w:highlight w:val="none"/>
              </w:rPr>
              <w:t>-500</w:t>
            </w:r>
            <w:r>
              <w:rPr>
                <w:rFonts w:hint="eastAsia" w:cs="宋体"/>
                <w:bCs/>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hint="eastAsia" w:cs="宋体"/>
                <w:bCs/>
                <w:sz w:val="24"/>
                <w:highlight w:val="none"/>
              </w:rPr>
              <w:t>1</w:t>
            </w:r>
            <w:r>
              <w:rPr>
                <w:rFonts w:cs="宋体"/>
                <w:bCs/>
                <w:sz w:val="24"/>
                <w:highlight w:val="none"/>
              </w:rPr>
              <w:t>.</w:t>
            </w:r>
            <w:r>
              <w:rPr>
                <w:rFonts w:hint="eastAsia" w:cs="宋体"/>
                <w:bCs/>
                <w:sz w:val="24"/>
                <w:highlight w:val="none"/>
              </w:rPr>
              <w:t>1</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8</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7</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500</w:t>
            </w:r>
            <w:r>
              <w:rPr>
                <w:rFonts w:hint="eastAsia" w:cs="宋体"/>
                <w:bCs/>
                <w:sz w:val="24"/>
                <w:highlight w:val="none"/>
              </w:rPr>
              <w:t>万元</w:t>
            </w:r>
            <w:r>
              <w:rPr>
                <w:rFonts w:cs="宋体"/>
                <w:bCs/>
                <w:sz w:val="24"/>
                <w:highlight w:val="none"/>
              </w:rPr>
              <w:t>-1000</w:t>
            </w:r>
            <w:r>
              <w:rPr>
                <w:rFonts w:hint="eastAsia" w:cs="宋体"/>
                <w:bCs/>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8</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45</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55</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1000</w:t>
            </w:r>
            <w:r>
              <w:rPr>
                <w:rFonts w:hint="eastAsia" w:cs="宋体"/>
                <w:bCs/>
                <w:sz w:val="24"/>
                <w:highlight w:val="none"/>
              </w:rPr>
              <w:t>万元</w:t>
            </w:r>
            <w:r>
              <w:rPr>
                <w:rFonts w:cs="宋体"/>
                <w:bCs/>
                <w:sz w:val="24"/>
                <w:highlight w:val="none"/>
              </w:rPr>
              <w:t>-5000</w:t>
            </w:r>
            <w:r>
              <w:rPr>
                <w:rFonts w:hint="eastAsia" w:cs="宋体"/>
                <w:bCs/>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5</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0.2</w:t>
            </w:r>
            <w:r>
              <w:rPr>
                <w:rFonts w:hint="eastAsia" w:cs="宋体"/>
                <w:bCs/>
                <w:sz w:val="24"/>
                <w:highlight w:val="none"/>
              </w:rPr>
              <w:t>5</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35</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5000</w:t>
            </w:r>
            <w:r>
              <w:rPr>
                <w:rFonts w:hint="eastAsia" w:cs="宋体"/>
                <w:bCs/>
                <w:sz w:val="24"/>
                <w:highlight w:val="none"/>
              </w:rPr>
              <w:t>万元</w:t>
            </w:r>
            <w:r>
              <w:rPr>
                <w:rFonts w:cs="宋体"/>
                <w:bCs/>
                <w:sz w:val="24"/>
                <w:highlight w:val="none"/>
              </w:rPr>
              <w:t>-1</w:t>
            </w:r>
            <w:r>
              <w:rPr>
                <w:rFonts w:hint="eastAsia" w:cs="宋体"/>
                <w:bCs/>
                <w:sz w:val="24"/>
                <w:highlight w:val="none"/>
              </w:rPr>
              <w:t>亿元（含</w:t>
            </w:r>
            <w:r>
              <w:rPr>
                <w:rFonts w:cs="宋体"/>
                <w:bCs/>
                <w:sz w:val="24"/>
                <w:highlight w:val="none"/>
              </w:rPr>
              <w:t>1</w:t>
            </w:r>
            <w:r>
              <w:rPr>
                <w:rFonts w:hint="eastAsia" w:cs="宋体"/>
                <w:bCs/>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0.2</w:t>
            </w:r>
            <w:r>
              <w:rPr>
                <w:rFonts w:hint="eastAsia" w:cs="宋体"/>
                <w:bCs/>
                <w:sz w:val="24"/>
                <w:highlight w:val="none"/>
              </w:rPr>
              <w:t>5</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1</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w:t>
            </w:r>
            <w:r>
              <w:rPr>
                <w:rFonts w:hint="eastAsia" w:cs="宋体"/>
                <w:bCs/>
                <w:sz w:val="24"/>
                <w:highlight w:val="none"/>
              </w:rPr>
              <w:t>2</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w:t>
            </w:r>
            <w:r>
              <w:rPr>
                <w:rFonts w:hint="eastAsia" w:cs="宋体"/>
                <w:bCs/>
                <w:sz w:val="24"/>
                <w:highlight w:val="none"/>
              </w:rPr>
              <w:t>亿元</w:t>
            </w:r>
            <w:r>
              <w:rPr>
                <w:rFonts w:cs="宋体"/>
                <w:bCs/>
                <w:sz w:val="24"/>
                <w:highlight w:val="none"/>
              </w:rPr>
              <w:t>-10</w:t>
            </w:r>
            <w:r>
              <w:rPr>
                <w:rFonts w:hint="eastAsia" w:cs="宋体"/>
                <w:bCs/>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5</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5</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5</w:t>
            </w:r>
            <w:r>
              <w:rPr>
                <w:rFonts w:cs="宋体"/>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10</w:t>
            </w:r>
            <w:r>
              <w:rPr>
                <w:rFonts w:hint="eastAsia" w:cs="宋体"/>
                <w:bCs/>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1</w:t>
            </w:r>
            <w:r>
              <w:rPr>
                <w:rFonts w:cs="宋体"/>
                <w:bCs/>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1</w:t>
            </w:r>
            <w:r>
              <w:rPr>
                <w:rFonts w:cs="宋体"/>
                <w:bCs/>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highlight w:val="none"/>
              </w:rPr>
            </w:pPr>
            <w:r>
              <w:rPr>
                <w:rFonts w:cs="宋体"/>
                <w:bCs/>
                <w:sz w:val="24"/>
                <w:highlight w:val="none"/>
              </w:rPr>
              <w:t>0.0</w:t>
            </w:r>
            <w:r>
              <w:rPr>
                <w:rFonts w:hint="eastAsia" w:cs="宋体"/>
                <w:bCs/>
                <w:sz w:val="24"/>
                <w:highlight w:val="none"/>
              </w:rPr>
              <w:t>1</w:t>
            </w:r>
            <w:r>
              <w:rPr>
                <w:rFonts w:cs="宋体"/>
                <w:bCs/>
                <w:sz w:val="24"/>
                <w:highlight w:val="none"/>
              </w:rPr>
              <w:t>%</w:t>
            </w:r>
          </w:p>
        </w:tc>
      </w:tr>
    </w:tbl>
    <w:p>
      <w:pPr>
        <w:spacing w:line="360" w:lineRule="auto"/>
        <w:ind w:firstLine="482" w:firstLineChars="200"/>
        <w:outlineLvl w:val="2"/>
        <w:rPr>
          <w:b/>
          <w:sz w:val="24"/>
          <w:highlight w:val="none"/>
        </w:rPr>
      </w:pPr>
      <w:r>
        <w:rPr>
          <w:rFonts w:hint="eastAsia"/>
          <w:b/>
          <w:sz w:val="24"/>
          <w:highlight w:val="none"/>
        </w:rPr>
        <w:t>32</w:t>
      </w:r>
      <w:r>
        <w:rPr>
          <w:b/>
          <w:sz w:val="24"/>
          <w:highlight w:val="none"/>
        </w:rPr>
        <w:t>.签订合同</w:t>
      </w:r>
    </w:p>
    <w:p>
      <w:pPr>
        <w:spacing w:line="360" w:lineRule="auto"/>
        <w:ind w:firstLine="480" w:firstLineChars="200"/>
        <w:rPr>
          <w:rFonts w:cs="宋体"/>
          <w:sz w:val="24"/>
          <w:szCs w:val="24"/>
          <w:highlight w:val="none"/>
        </w:rPr>
      </w:pPr>
      <w:r>
        <w:rPr>
          <w:rFonts w:hint="eastAsia" w:cs="宋体"/>
          <w:sz w:val="24"/>
          <w:szCs w:val="24"/>
          <w:highlight w:val="none"/>
          <w:lang w:bidi="ar"/>
        </w:rPr>
        <w:t>32.1</w:t>
      </w:r>
      <w:r>
        <w:rPr>
          <w:rFonts w:hint="eastAsia" w:cs="宋体"/>
          <w:sz w:val="24"/>
          <w:szCs w:val="24"/>
          <w:highlight w:val="none"/>
          <w:lang w:val="en-US" w:eastAsia="zh-CN" w:bidi="ar"/>
        </w:rPr>
        <w:t xml:space="preserve"> </w:t>
      </w:r>
      <w:r>
        <w:rPr>
          <w:rFonts w:hint="eastAsia"/>
          <w:sz w:val="24"/>
          <w:szCs w:val="18"/>
          <w:highlight w:val="none"/>
        </w:rPr>
        <w:t>业主单位</w:t>
      </w:r>
      <w:r>
        <w:rPr>
          <w:rFonts w:hint="eastAsia" w:cs="宋体"/>
          <w:sz w:val="24"/>
          <w:szCs w:val="24"/>
          <w:highlight w:val="none"/>
          <w:lang w:bidi="ar"/>
        </w:rPr>
        <w:t>与成交人应当自发出</w:t>
      </w:r>
      <w:r>
        <w:rPr>
          <w:rFonts w:hint="eastAsia" w:cs="宋体"/>
          <w:sz w:val="24"/>
          <w:szCs w:val="24"/>
          <w:highlight w:val="none"/>
          <w:lang w:eastAsia="zh-CN" w:bidi="ar"/>
        </w:rPr>
        <w:t>成交确认书</w:t>
      </w:r>
      <w:r>
        <w:rPr>
          <w:rFonts w:hint="eastAsia" w:cs="宋体"/>
          <w:sz w:val="24"/>
          <w:szCs w:val="24"/>
          <w:highlight w:val="none"/>
          <w:lang w:bidi="ar"/>
        </w:rPr>
        <w:t>之日起30日内签订合同。</w:t>
      </w:r>
    </w:p>
    <w:p>
      <w:pPr>
        <w:spacing w:line="360" w:lineRule="auto"/>
        <w:ind w:firstLine="480" w:firstLineChars="200"/>
        <w:rPr>
          <w:rFonts w:cs="宋体"/>
          <w:sz w:val="24"/>
          <w:szCs w:val="24"/>
          <w:highlight w:val="none"/>
        </w:rPr>
      </w:pPr>
      <w:r>
        <w:rPr>
          <w:rFonts w:hint="eastAsia" w:cs="宋体"/>
          <w:sz w:val="24"/>
          <w:szCs w:val="24"/>
          <w:highlight w:val="none"/>
          <w:lang w:bidi="ar"/>
        </w:rPr>
        <w:t>32.2</w:t>
      </w:r>
      <w:r>
        <w:rPr>
          <w:rFonts w:hint="eastAsia" w:cs="宋体"/>
          <w:sz w:val="24"/>
          <w:szCs w:val="24"/>
          <w:highlight w:val="none"/>
          <w:lang w:val="en-US" w:eastAsia="zh-CN" w:bidi="ar"/>
        </w:rPr>
        <w:t xml:space="preserve"> </w:t>
      </w:r>
      <w:r>
        <w:rPr>
          <w:rFonts w:hint="eastAsia" w:cs="宋体"/>
          <w:sz w:val="24"/>
          <w:szCs w:val="24"/>
          <w:highlight w:val="none"/>
          <w:lang w:bidi="ar"/>
        </w:rPr>
        <w:t>磋商文件、成交人的响应文件及其澄清文件等，均为签订合同的依据。</w:t>
      </w:r>
    </w:p>
    <w:p>
      <w:pPr>
        <w:spacing w:line="360" w:lineRule="auto"/>
        <w:ind w:firstLine="480" w:firstLineChars="200"/>
        <w:rPr>
          <w:sz w:val="24"/>
          <w:highlight w:val="none"/>
        </w:rPr>
      </w:pPr>
      <w:r>
        <w:rPr>
          <w:rFonts w:hint="eastAsia" w:cs="宋体"/>
          <w:sz w:val="24"/>
          <w:szCs w:val="24"/>
          <w:highlight w:val="none"/>
          <w:lang w:bidi="ar"/>
        </w:rPr>
        <w:t>32.3</w:t>
      </w:r>
      <w:r>
        <w:rPr>
          <w:rFonts w:hint="eastAsia" w:cs="宋体"/>
          <w:sz w:val="24"/>
          <w:szCs w:val="24"/>
          <w:highlight w:val="none"/>
          <w:lang w:val="en-US" w:eastAsia="zh-CN" w:bidi="ar"/>
        </w:rPr>
        <w:t xml:space="preserve"> </w:t>
      </w:r>
      <w:r>
        <w:rPr>
          <w:rFonts w:hint="eastAsia" w:cs="宋体"/>
          <w:sz w:val="24"/>
          <w:szCs w:val="24"/>
          <w:highlight w:val="none"/>
          <w:lang w:bidi="ar"/>
        </w:rPr>
        <w:t>成交人拒绝与</w:t>
      </w:r>
      <w:r>
        <w:rPr>
          <w:rFonts w:hint="eastAsia"/>
          <w:sz w:val="24"/>
          <w:szCs w:val="18"/>
          <w:highlight w:val="none"/>
        </w:rPr>
        <w:t>业主单位</w:t>
      </w:r>
      <w:r>
        <w:rPr>
          <w:rFonts w:hint="eastAsia" w:cs="宋体"/>
          <w:sz w:val="24"/>
          <w:szCs w:val="24"/>
          <w:highlight w:val="none"/>
          <w:lang w:bidi="ar"/>
        </w:rPr>
        <w:t>签订合同的，</w:t>
      </w:r>
      <w:r>
        <w:rPr>
          <w:rFonts w:hint="eastAsia"/>
          <w:sz w:val="24"/>
          <w:szCs w:val="18"/>
          <w:highlight w:val="none"/>
        </w:rPr>
        <w:t>业主单位</w:t>
      </w:r>
      <w:r>
        <w:rPr>
          <w:rFonts w:hint="eastAsia" w:cs="宋体"/>
          <w:sz w:val="24"/>
          <w:szCs w:val="24"/>
          <w:highlight w:val="none"/>
          <w:lang w:bidi="ar"/>
        </w:rPr>
        <w:t>可以按照评审报告推荐的成交候选人名单排序，确定下一成交候选人为成交人，也可以重新开展磋商活动。成交人拒绝签订合同的不得参加对该项目重新开展的磋商活动。</w:t>
      </w:r>
    </w:p>
    <w:p>
      <w:pPr>
        <w:spacing w:line="360" w:lineRule="auto"/>
        <w:ind w:firstLine="482" w:firstLineChars="200"/>
        <w:outlineLvl w:val="2"/>
        <w:rPr>
          <w:b/>
          <w:sz w:val="24"/>
          <w:highlight w:val="none"/>
        </w:rPr>
      </w:pPr>
      <w:r>
        <w:rPr>
          <w:b/>
          <w:sz w:val="24"/>
          <w:highlight w:val="none"/>
        </w:rPr>
        <w:t>3</w:t>
      </w:r>
      <w:r>
        <w:rPr>
          <w:rFonts w:hint="eastAsia"/>
          <w:b/>
          <w:sz w:val="24"/>
          <w:highlight w:val="none"/>
        </w:rPr>
        <w:t>3</w:t>
      </w:r>
      <w:r>
        <w:rPr>
          <w:b/>
          <w:sz w:val="24"/>
          <w:highlight w:val="none"/>
        </w:rPr>
        <w:t>.廉洁自律规定</w:t>
      </w:r>
    </w:p>
    <w:p>
      <w:pPr>
        <w:spacing w:line="360" w:lineRule="auto"/>
        <w:ind w:firstLine="480" w:firstLineChars="200"/>
        <w:rPr>
          <w:rFonts w:cs="宋体"/>
          <w:sz w:val="24"/>
          <w:szCs w:val="24"/>
          <w:highlight w:val="none"/>
        </w:rPr>
      </w:pPr>
      <w:r>
        <w:rPr>
          <w:rFonts w:hint="eastAsia" w:cs="宋体"/>
          <w:sz w:val="24"/>
          <w:szCs w:val="24"/>
          <w:highlight w:val="none"/>
          <w:lang w:bidi="ar"/>
        </w:rPr>
        <w:t>33.1</w:t>
      </w:r>
      <w:r>
        <w:rPr>
          <w:rFonts w:hint="eastAsia" w:cs="宋体"/>
          <w:sz w:val="24"/>
          <w:szCs w:val="24"/>
          <w:highlight w:val="none"/>
          <w:lang w:val="en-US" w:eastAsia="zh-CN" w:bidi="ar"/>
        </w:rPr>
        <w:t xml:space="preserve"> </w:t>
      </w:r>
      <w:r>
        <w:rPr>
          <w:rFonts w:hint="eastAsia" w:cs="宋体"/>
          <w:sz w:val="24"/>
          <w:szCs w:val="24"/>
          <w:highlight w:val="none"/>
          <w:lang w:bidi="ar"/>
        </w:rPr>
        <w:t>代理机构工作人员不得以不正当手段获取代理业务，不得与</w:t>
      </w:r>
      <w:r>
        <w:rPr>
          <w:rFonts w:hint="eastAsia"/>
          <w:sz w:val="24"/>
          <w:szCs w:val="18"/>
          <w:highlight w:val="none"/>
        </w:rPr>
        <w:t>业主单位</w:t>
      </w:r>
      <w:r>
        <w:rPr>
          <w:rFonts w:hint="eastAsia" w:cs="宋体"/>
          <w:sz w:val="24"/>
          <w:szCs w:val="24"/>
          <w:highlight w:val="none"/>
          <w:lang w:bidi="ar"/>
        </w:rPr>
        <w:t>、</w:t>
      </w:r>
      <w:r>
        <w:rPr>
          <w:rFonts w:hint="eastAsia"/>
          <w:sz w:val="24"/>
          <w:szCs w:val="18"/>
          <w:highlight w:val="none"/>
        </w:rPr>
        <w:t>参审单位</w:t>
      </w:r>
      <w:r>
        <w:rPr>
          <w:rFonts w:hint="eastAsia" w:cs="宋体"/>
          <w:sz w:val="24"/>
          <w:szCs w:val="24"/>
          <w:highlight w:val="none"/>
          <w:lang w:bidi="ar"/>
        </w:rPr>
        <w:t>恶意串通。</w:t>
      </w:r>
    </w:p>
    <w:p>
      <w:pPr>
        <w:spacing w:line="360" w:lineRule="auto"/>
        <w:ind w:firstLine="480" w:firstLineChars="200"/>
        <w:rPr>
          <w:sz w:val="24"/>
          <w:highlight w:val="none"/>
        </w:rPr>
      </w:pPr>
      <w:r>
        <w:rPr>
          <w:rFonts w:hint="eastAsia" w:cs="宋体"/>
          <w:sz w:val="24"/>
          <w:szCs w:val="24"/>
          <w:highlight w:val="none"/>
          <w:lang w:bidi="ar"/>
        </w:rPr>
        <w:t>33.2</w:t>
      </w:r>
      <w:r>
        <w:rPr>
          <w:rFonts w:hint="eastAsia" w:cs="宋体"/>
          <w:sz w:val="24"/>
          <w:szCs w:val="24"/>
          <w:highlight w:val="none"/>
          <w:lang w:val="en-US" w:eastAsia="zh-CN" w:bidi="ar"/>
        </w:rPr>
        <w:t xml:space="preserve"> </w:t>
      </w:r>
      <w:r>
        <w:rPr>
          <w:rFonts w:hint="eastAsia" w:cs="宋体"/>
          <w:sz w:val="24"/>
          <w:szCs w:val="24"/>
          <w:highlight w:val="none"/>
          <w:lang w:bidi="ar"/>
        </w:rPr>
        <w:t>代理机构工作人员不得接受</w:t>
      </w:r>
      <w:r>
        <w:rPr>
          <w:rFonts w:hint="eastAsia"/>
          <w:sz w:val="24"/>
          <w:szCs w:val="18"/>
          <w:highlight w:val="none"/>
        </w:rPr>
        <w:t>业主单位</w:t>
      </w:r>
      <w:r>
        <w:rPr>
          <w:rFonts w:hint="eastAsia" w:cs="宋体"/>
          <w:sz w:val="24"/>
          <w:szCs w:val="24"/>
          <w:highlight w:val="none"/>
          <w:lang w:bidi="ar"/>
        </w:rPr>
        <w:t>或者</w:t>
      </w:r>
      <w:r>
        <w:rPr>
          <w:rFonts w:hint="eastAsia"/>
          <w:sz w:val="24"/>
          <w:szCs w:val="18"/>
          <w:highlight w:val="none"/>
        </w:rPr>
        <w:t>参审单位</w:t>
      </w:r>
      <w:r>
        <w:rPr>
          <w:rFonts w:hint="eastAsia" w:cs="宋体"/>
          <w:sz w:val="24"/>
          <w:szCs w:val="24"/>
          <w:highlight w:val="none"/>
          <w:lang w:bidi="ar"/>
        </w:rPr>
        <w:t>组织的宴请、旅游、娱乐，不得收受礼品、现金、有价证券等，不得向</w:t>
      </w:r>
      <w:r>
        <w:rPr>
          <w:rFonts w:hint="eastAsia"/>
          <w:sz w:val="24"/>
          <w:szCs w:val="18"/>
          <w:highlight w:val="none"/>
        </w:rPr>
        <w:t>业主单位</w:t>
      </w:r>
      <w:r>
        <w:rPr>
          <w:rFonts w:hint="eastAsia" w:cs="宋体"/>
          <w:sz w:val="24"/>
          <w:szCs w:val="24"/>
          <w:highlight w:val="none"/>
          <w:lang w:bidi="ar"/>
        </w:rPr>
        <w:t>或者</w:t>
      </w:r>
      <w:r>
        <w:rPr>
          <w:rFonts w:hint="eastAsia"/>
          <w:sz w:val="24"/>
          <w:szCs w:val="18"/>
          <w:highlight w:val="none"/>
        </w:rPr>
        <w:t>参审单位</w:t>
      </w:r>
      <w:r>
        <w:rPr>
          <w:rFonts w:hint="eastAsia" w:cs="宋体"/>
          <w:sz w:val="24"/>
          <w:szCs w:val="24"/>
          <w:highlight w:val="none"/>
          <w:lang w:bidi="ar"/>
        </w:rPr>
        <w:t>报销应当由个人承担的费用。</w:t>
      </w:r>
    </w:p>
    <w:p>
      <w:pPr>
        <w:spacing w:line="360" w:lineRule="auto"/>
        <w:ind w:firstLine="482" w:firstLineChars="200"/>
        <w:rPr>
          <w:b/>
          <w:sz w:val="24"/>
          <w:highlight w:val="none"/>
        </w:rPr>
      </w:pPr>
      <w:r>
        <w:rPr>
          <w:b/>
          <w:sz w:val="24"/>
          <w:highlight w:val="none"/>
        </w:rPr>
        <w:t>3</w:t>
      </w:r>
      <w:r>
        <w:rPr>
          <w:rFonts w:hint="eastAsia"/>
          <w:b/>
          <w:sz w:val="24"/>
          <w:highlight w:val="none"/>
        </w:rPr>
        <w:t>4</w:t>
      </w:r>
      <w:r>
        <w:rPr>
          <w:b/>
          <w:sz w:val="24"/>
          <w:highlight w:val="none"/>
        </w:rPr>
        <w:t>.</w:t>
      </w:r>
      <w:r>
        <w:rPr>
          <w:rFonts w:hint="eastAsia" w:cs="宋体"/>
          <w:b/>
          <w:bCs/>
          <w:sz w:val="24"/>
          <w:szCs w:val="24"/>
          <w:highlight w:val="none"/>
          <w:lang w:bidi="ar"/>
        </w:rPr>
        <w:t>异议的提出与接收</w:t>
      </w:r>
    </w:p>
    <w:p>
      <w:pPr>
        <w:spacing w:line="360" w:lineRule="auto"/>
        <w:ind w:firstLine="480" w:firstLineChars="200"/>
        <w:rPr>
          <w:rFonts w:cs="宋体"/>
          <w:sz w:val="24"/>
          <w:szCs w:val="24"/>
          <w:highlight w:val="none"/>
        </w:rPr>
      </w:pPr>
      <w:r>
        <w:rPr>
          <w:rFonts w:hint="eastAsia" w:cs="宋体"/>
          <w:sz w:val="24"/>
          <w:szCs w:val="24"/>
          <w:highlight w:val="none"/>
          <w:lang w:bidi="ar"/>
        </w:rPr>
        <w:t>34.1</w:t>
      </w:r>
      <w:r>
        <w:rPr>
          <w:rFonts w:hint="eastAsia" w:cs="宋体"/>
          <w:sz w:val="24"/>
          <w:szCs w:val="24"/>
          <w:highlight w:val="none"/>
          <w:lang w:val="en-US" w:eastAsia="zh-CN" w:bidi="ar"/>
        </w:rPr>
        <w:t xml:space="preserve"> </w:t>
      </w:r>
      <w:r>
        <w:rPr>
          <w:rFonts w:hint="eastAsia"/>
          <w:sz w:val="24"/>
          <w:szCs w:val="18"/>
          <w:highlight w:val="none"/>
        </w:rPr>
        <w:t>参审单位</w:t>
      </w:r>
      <w:r>
        <w:rPr>
          <w:rFonts w:hint="eastAsia" w:cs="宋体"/>
          <w:sz w:val="24"/>
          <w:szCs w:val="24"/>
          <w:highlight w:val="none"/>
          <w:lang w:bidi="ar"/>
        </w:rPr>
        <w:t>认为磋商文件、磋商过程和成交结果使自己的权益受到损害的，可以在知道或者应知其权益受到损害之日起三日内，以书面形式向</w:t>
      </w:r>
      <w:r>
        <w:rPr>
          <w:rFonts w:hint="eastAsia"/>
          <w:sz w:val="24"/>
          <w:szCs w:val="18"/>
          <w:highlight w:val="none"/>
        </w:rPr>
        <w:t>业主单位</w:t>
      </w:r>
      <w:r>
        <w:rPr>
          <w:rFonts w:hint="eastAsia" w:cs="宋体"/>
          <w:sz w:val="24"/>
          <w:szCs w:val="24"/>
          <w:highlight w:val="none"/>
          <w:lang w:bidi="ar"/>
        </w:rPr>
        <w:t>或其委托的代理机构提出异议。</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34.2</w:t>
      </w:r>
      <w:r>
        <w:rPr>
          <w:rFonts w:hint="eastAsia" w:cs="宋体"/>
          <w:sz w:val="24"/>
          <w:szCs w:val="24"/>
          <w:highlight w:val="none"/>
          <w:lang w:val="en-US" w:eastAsia="zh-CN" w:bidi="ar"/>
        </w:rPr>
        <w:t xml:space="preserve"> </w:t>
      </w:r>
      <w:r>
        <w:rPr>
          <w:rFonts w:hint="eastAsia" w:cs="宋体"/>
          <w:sz w:val="24"/>
          <w:szCs w:val="24"/>
          <w:highlight w:val="none"/>
          <w:lang w:bidi="ar"/>
        </w:rPr>
        <w:t>异议应以书面形式实名提出，书面异议材料应当包括以下内容：</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34.3</w:t>
      </w:r>
      <w:r>
        <w:rPr>
          <w:rFonts w:hint="eastAsia" w:cs="宋体"/>
          <w:sz w:val="24"/>
          <w:szCs w:val="24"/>
          <w:highlight w:val="none"/>
          <w:lang w:val="en-US" w:eastAsia="zh-CN" w:bidi="ar"/>
        </w:rPr>
        <w:t xml:space="preserve"> </w:t>
      </w:r>
      <w:r>
        <w:rPr>
          <w:rFonts w:hint="eastAsia" w:cs="宋体"/>
          <w:sz w:val="24"/>
          <w:szCs w:val="24"/>
          <w:highlight w:val="none"/>
          <w:lang w:bidi="ar"/>
        </w:rPr>
        <w:t>异议人的名称、地址、有效联系方式；</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34.5</w:t>
      </w:r>
      <w:r>
        <w:rPr>
          <w:rFonts w:hint="eastAsia" w:cs="宋体"/>
          <w:sz w:val="24"/>
          <w:szCs w:val="24"/>
          <w:highlight w:val="none"/>
          <w:lang w:val="en-US" w:eastAsia="zh-CN" w:bidi="ar"/>
        </w:rPr>
        <w:t xml:space="preserve"> </w:t>
      </w:r>
      <w:r>
        <w:rPr>
          <w:rFonts w:hint="eastAsia" w:cs="宋体"/>
          <w:sz w:val="24"/>
          <w:szCs w:val="24"/>
          <w:highlight w:val="none"/>
          <w:lang w:bidi="ar"/>
        </w:rPr>
        <w:t>项目名称、项目编号、标段号（如有）；</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34.6</w:t>
      </w:r>
      <w:r>
        <w:rPr>
          <w:rFonts w:hint="eastAsia" w:cs="宋体"/>
          <w:sz w:val="24"/>
          <w:szCs w:val="24"/>
          <w:highlight w:val="none"/>
          <w:lang w:val="en-US" w:eastAsia="zh-CN" w:bidi="ar"/>
        </w:rPr>
        <w:t xml:space="preserve"> </w:t>
      </w:r>
      <w:r>
        <w:rPr>
          <w:rFonts w:hint="eastAsia" w:cs="宋体"/>
          <w:sz w:val="24"/>
          <w:szCs w:val="24"/>
          <w:highlight w:val="none"/>
          <w:lang w:bidi="ar"/>
        </w:rPr>
        <w:t>被异议人名称；</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34.7</w:t>
      </w:r>
      <w:r>
        <w:rPr>
          <w:rFonts w:hint="eastAsia" w:cs="宋体"/>
          <w:sz w:val="24"/>
          <w:szCs w:val="24"/>
          <w:highlight w:val="none"/>
          <w:lang w:val="en-US" w:eastAsia="zh-CN" w:bidi="ar"/>
        </w:rPr>
        <w:t xml:space="preserve"> </w:t>
      </w:r>
      <w:r>
        <w:rPr>
          <w:rFonts w:hint="eastAsia" w:cs="宋体"/>
          <w:sz w:val="24"/>
          <w:szCs w:val="24"/>
          <w:highlight w:val="none"/>
          <w:lang w:bidi="ar"/>
        </w:rPr>
        <w:t>具体的异议事项、基本事实及必要的证明材料；</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34.8</w:t>
      </w:r>
      <w:r>
        <w:rPr>
          <w:rFonts w:hint="eastAsia" w:cs="宋体"/>
          <w:sz w:val="24"/>
          <w:szCs w:val="24"/>
          <w:highlight w:val="none"/>
          <w:lang w:val="en-US" w:eastAsia="zh-CN" w:bidi="ar"/>
        </w:rPr>
        <w:t xml:space="preserve"> </w:t>
      </w:r>
      <w:r>
        <w:rPr>
          <w:rFonts w:hint="eastAsia" w:cs="宋体"/>
          <w:sz w:val="24"/>
          <w:szCs w:val="24"/>
          <w:highlight w:val="none"/>
          <w:lang w:bidi="ar"/>
        </w:rPr>
        <w:t>明确的请求及主张；</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34.9</w:t>
      </w:r>
      <w:r>
        <w:rPr>
          <w:rFonts w:hint="eastAsia" w:cs="宋体"/>
          <w:sz w:val="24"/>
          <w:szCs w:val="24"/>
          <w:highlight w:val="none"/>
          <w:lang w:val="en-US" w:eastAsia="zh-CN" w:bidi="ar"/>
        </w:rPr>
        <w:t xml:space="preserve"> </w:t>
      </w:r>
      <w:r>
        <w:rPr>
          <w:rFonts w:hint="eastAsia" w:cs="宋体"/>
          <w:sz w:val="24"/>
          <w:szCs w:val="24"/>
          <w:highlight w:val="none"/>
          <w:lang w:bidi="ar"/>
        </w:rPr>
        <w:t>提起异议的日期。</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pPr>
        <w:spacing w:line="360" w:lineRule="auto"/>
        <w:ind w:firstLine="480" w:firstLineChars="200"/>
        <w:rPr>
          <w:rFonts w:hint="eastAsia" w:cs="宋体"/>
          <w:sz w:val="24"/>
          <w:szCs w:val="24"/>
          <w:highlight w:val="none"/>
          <w:lang w:bidi="ar"/>
        </w:rPr>
      </w:pPr>
      <w:r>
        <w:rPr>
          <w:rFonts w:hint="eastAsia" w:cs="宋体"/>
          <w:sz w:val="24"/>
          <w:szCs w:val="24"/>
          <w:highlight w:val="none"/>
          <w:lang w:bidi="ar"/>
        </w:rPr>
        <w:t>34.10</w:t>
      </w:r>
      <w:r>
        <w:rPr>
          <w:rFonts w:hint="eastAsia" w:cs="宋体"/>
          <w:sz w:val="24"/>
          <w:szCs w:val="24"/>
          <w:highlight w:val="none"/>
          <w:lang w:val="en-US" w:eastAsia="zh-CN" w:bidi="ar"/>
        </w:rPr>
        <w:t xml:space="preserve"> </w:t>
      </w:r>
      <w:r>
        <w:rPr>
          <w:rFonts w:hint="eastAsia" w:cs="宋体"/>
          <w:sz w:val="24"/>
          <w:szCs w:val="24"/>
          <w:highlight w:val="none"/>
          <w:lang w:bidi="ar"/>
        </w:rPr>
        <w:t>代理机构异议函接收部门、联系电话和通讯地址，见参审单位须知前附表。</w:t>
      </w:r>
    </w:p>
    <w:p>
      <w:pPr>
        <w:spacing w:line="360" w:lineRule="auto"/>
        <w:ind w:firstLine="482" w:firstLineChars="200"/>
        <w:rPr>
          <w:b/>
          <w:sz w:val="24"/>
          <w:highlight w:val="none"/>
        </w:rPr>
      </w:pPr>
      <w:r>
        <w:rPr>
          <w:b/>
          <w:sz w:val="24"/>
          <w:highlight w:val="none"/>
        </w:rPr>
        <w:t>3</w:t>
      </w:r>
      <w:r>
        <w:rPr>
          <w:rFonts w:hint="eastAsia"/>
          <w:b/>
          <w:sz w:val="24"/>
          <w:highlight w:val="none"/>
        </w:rPr>
        <w:t>5</w:t>
      </w:r>
      <w:r>
        <w:rPr>
          <w:b/>
          <w:sz w:val="24"/>
          <w:highlight w:val="none"/>
        </w:rPr>
        <w:t>.需要补充的其他内容</w:t>
      </w:r>
    </w:p>
    <w:p>
      <w:pPr>
        <w:spacing w:line="360" w:lineRule="auto"/>
        <w:ind w:firstLine="480" w:firstLineChars="200"/>
        <w:rPr>
          <w:sz w:val="24"/>
          <w:highlight w:val="none"/>
        </w:rPr>
      </w:pPr>
      <w:r>
        <w:rPr>
          <w:rFonts w:hint="eastAsia"/>
          <w:sz w:val="24"/>
          <w:highlight w:val="none"/>
        </w:rPr>
        <w:t>需要补充的其他内容，见</w:t>
      </w:r>
      <w:r>
        <w:rPr>
          <w:rFonts w:hint="eastAsia"/>
          <w:sz w:val="24"/>
          <w:highlight w:val="none"/>
          <w:u w:val="single"/>
          <w:lang w:val="en-US" w:eastAsia="zh-CN"/>
        </w:rPr>
        <w:t xml:space="preserve"> </w:t>
      </w:r>
      <w:r>
        <w:rPr>
          <w:rFonts w:hint="eastAsia"/>
          <w:sz w:val="24"/>
          <w:szCs w:val="18"/>
          <w:highlight w:val="none"/>
          <w:u w:val="single"/>
        </w:rPr>
        <w:t>参审单位</w:t>
      </w:r>
      <w:r>
        <w:rPr>
          <w:rFonts w:hint="eastAsia"/>
          <w:sz w:val="24"/>
          <w:highlight w:val="none"/>
          <w:u w:val="single"/>
        </w:rPr>
        <w:t>须知前附表</w:t>
      </w:r>
      <w:r>
        <w:rPr>
          <w:rFonts w:hint="eastAsia"/>
          <w:sz w:val="24"/>
          <w:highlight w:val="none"/>
          <w:u w:val="single"/>
          <w:lang w:val="en-US" w:eastAsia="zh-CN"/>
        </w:rPr>
        <w:t xml:space="preserve"> </w:t>
      </w:r>
      <w:r>
        <w:rPr>
          <w:rFonts w:hint="eastAsia"/>
          <w:sz w:val="24"/>
          <w:highlight w:val="none"/>
        </w:rPr>
        <w:t>。</w:t>
      </w:r>
    </w:p>
    <w:p>
      <w:pPr>
        <w:numPr>
          <w:ilvl w:val="0"/>
          <w:numId w:val="3"/>
        </w:numPr>
        <w:spacing w:line="360" w:lineRule="auto"/>
        <w:jc w:val="center"/>
        <w:outlineLvl w:val="0"/>
        <w:rPr>
          <w:rFonts w:hint="eastAsia"/>
          <w:b/>
          <w:sz w:val="28"/>
          <w:highlight w:val="none"/>
        </w:rPr>
      </w:pPr>
      <w:r>
        <w:rPr>
          <w:sz w:val="24"/>
          <w:highlight w:val="none"/>
        </w:rPr>
        <w:br w:type="page"/>
      </w:r>
      <w:bookmarkStart w:id="18" w:name="_Toc26020"/>
      <w:r>
        <w:rPr>
          <w:rFonts w:hint="eastAsia"/>
          <w:b/>
          <w:sz w:val="28"/>
          <w:highlight w:val="none"/>
        </w:rPr>
        <w:t xml:space="preserve"> 项目需求</w:t>
      </w:r>
      <w:bookmarkEnd w:id="18"/>
    </w:p>
    <w:p>
      <w:pPr>
        <w:numPr>
          <w:ilvl w:val="0"/>
          <w:numId w:val="0"/>
        </w:numPr>
        <w:spacing w:line="360" w:lineRule="auto"/>
        <w:jc w:val="both"/>
        <w:outlineLvl w:val="0"/>
        <w:rPr>
          <w:rFonts w:hint="eastAsia"/>
          <w:b w:val="0"/>
          <w:bCs/>
          <w:sz w:val="24"/>
          <w:szCs w:val="18"/>
          <w:highlight w:val="none"/>
          <w:lang w:val="en-US" w:eastAsia="zh-CN"/>
        </w:rPr>
      </w:pPr>
      <w:r>
        <w:rPr>
          <w:rFonts w:hint="eastAsia"/>
          <w:b w:val="0"/>
          <w:bCs/>
          <w:sz w:val="24"/>
          <w:szCs w:val="18"/>
          <w:highlight w:val="none"/>
          <w:lang w:val="en-US" w:eastAsia="zh-CN"/>
        </w:rPr>
        <w:t>前注：</w:t>
      </w:r>
    </w:p>
    <w:p>
      <w:pPr>
        <w:numPr>
          <w:ilvl w:val="0"/>
          <w:numId w:val="0"/>
        </w:numPr>
        <w:spacing w:line="360" w:lineRule="auto"/>
        <w:jc w:val="both"/>
        <w:outlineLvl w:val="0"/>
        <w:rPr>
          <w:rFonts w:hint="eastAsia"/>
          <w:b w:val="0"/>
          <w:bCs/>
          <w:sz w:val="24"/>
          <w:szCs w:val="18"/>
          <w:highlight w:val="none"/>
          <w:lang w:val="en-US" w:eastAsia="zh-CN"/>
        </w:rPr>
      </w:pPr>
      <w:r>
        <w:rPr>
          <w:rFonts w:hint="eastAsia"/>
          <w:b w:val="0"/>
          <w:bCs/>
          <w:sz w:val="24"/>
          <w:szCs w:val="18"/>
          <w:highlight w:val="none"/>
          <w:lang w:val="en-US" w:eastAsia="zh-CN"/>
        </w:rPr>
        <w:t>1.本说明中提出的服务方案仅为参考，如无明确限制，参审单位可以进行优化，提供满足用户实际需要的更优（或者性能实质上不低于的）服务方案，且此方案须经磋商小组评审认可。</w:t>
      </w:r>
    </w:p>
    <w:p>
      <w:pPr>
        <w:numPr>
          <w:ilvl w:val="0"/>
          <w:numId w:val="0"/>
        </w:numPr>
        <w:spacing w:line="360" w:lineRule="auto"/>
        <w:jc w:val="both"/>
        <w:outlineLvl w:val="0"/>
        <w:rPr>
          <w:rFonts w:hint="eastAsia"/>
          <w:b w:val="0"/>
          <w:bCs/>
          <w:sz w:val="24"/>
          <w:szCs w:val="18"/>
          <w:highlight w:val="none"/>
          <w:lang w:val="en-US" w:eastAsia="zh-CN"/>
        </w:rPr>
      </w:pPr>
      <w:r>
        <w:rPr>
          <w:rFonts w:hint="eastAsia"/>
          <w:b w:val="0"/>
          <w:bCs/>
          <w:sz w:val="24"/>
          <w:szCs w:val="18"/>
          <w:highlight w:val="none"/>
          <w:lang w:val="en-US" w:eastAsia="zh-CN"/>
        </w:rPr>
        <w:t>2.服务需求一览表中：标注▲的服务项目，参审单位在响应文件《主要成交标的承诺函》中填写服务范围、服务内容、服务时间、服务标准、服务承诺、单价等信息。</w:t>
      </w:r>
    </w:p>
    <w:p>
      <w:pPr>
        <w:numPr>
          <w:ilvl w:val="0"/>
          <w:numId w:val="0"/>
        </w:numPr>
        <w:spacing w:line="360" w:lineRule="auto"/>
        <w:jc w:val="both"/>
        <w:outlineLvl w:val="0"/>
        <w:rPr>
          <w:rFonts w:hint="eastAsia"/>
          <w:b w:val="0"/>
          <w:bCs/>
          <w:sz w:val="24"/>
          <w:szCs w:val="18"/>
          <w:highlight w:val="none"/>
          <w:lang w:val="en-US" w:eastAsia="zh-CN"/>
        </w:rPr>
      </w:pPr>
    </w:p>
    <w:p>
      <w:pPr>
        <w:numPr>
          <w:ilvl w:val="0"/>
          <w:numId w:val="0"/>
        </w:numPr>
        <w:spacing w:line="360" w:lineRule="auto"/>
        <w:jc w:val="left"/>
        <w:outlineLvl w:val="0"/>
        <w:rPr>
          <w:rFonts w:hint="default" w:eastAsia="宋体"/>
          <w:b/>
          <w:sz w:val="24"/>
          <w:szCs w:val="18"/>
          <w:highlight w:val="none"/>
          <w:lang w:val="en-US" w:eastAsia="zh-CN"/>
        </w:rPr>
      </w:pPr>
      <w:r>
        <w:rPr>
          <w:rFonts w:hint="eastAsia"/>
          <w:b/>
          <w:sz w:val="24"/>
          <w:szCs w:val="18"/>
          <w:highlight w:val="none"/>
          <w:lang w:val="en-US" w:eastAsia="zh-CN"/>
        </w:rPr>
        <w:t>一、项目需求前附表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b/>
                <w:kern w:val="2"/>
                <w:sz w:val="24"/>
                <w:szCs w:val="22"/>
                <w:highlight w:val="none"/>
              </w:rPr>
            </w:pPr>
            <w:r>
              <w:rPr>
                <w:rFonts w:hint="eastAsia" w:cs="@仿宋_GB2312"/>
                <w:b/>
                <w:kern w:val="2"/>
                <w:sz w:val="24"/>
                <w:szCs w:val="22"/>
                <w:highlight w:val="none"/>
              </w:rPr>
              <w:t>序号</w:t>
            </w:r>
          </w:p>
        </w:tc>
        <w:tc>
          <w:tcPr>
            <w:tcW w:w="1277" w:type="dxa"/>
            <w:vAlign w:val="center"/>
          </w:tcPr>
          <w:p>
            <w:pPr>
              <w:spacing w:line="360" w:lineRule="auto"/>
              <w:jc w:val="center"/>
              <w:rPr>
                <w:rFonts w:cs="@仿宋_GB2312"/>
                <w:b/>
                <w:kern w:val="2"/>
                <w:sz w:val="24"/>
                <w:szCs w:val="22"/>
                <w:highlight w:val="none"/>
              </w:rPr>
            </w:pPr>
            <w:r>
              <w:rPr>
                <w:rFonts w:hint="eastAsia" w:cs="@仿宋_GB2312"/>
                <w:b/>
                <w:kern w:val="2"/>
                <w:sz w:val="24"/>
                <w:szCs w:val="22"/>
                <w:highlight w:val="none"/>
              </w:rPr>
              <w:t>内容</w:t>
            </w:r>
          </w:p>
        </w:tc>
        <w:tc>
          <w:tcPr>
            <w:tcW w:w="6287" w:type="dxa"/>
            <w:vAlign w:val="center"/>
          </w:tcPr>
          <w:p>
            <w:pPr>
              <w:spacing w:line="360" w:lineRule="auto"/>
              <w:jc w:val="center"/>
              <w:rPr>
                <w:rFonts w:cs="@仿宋_GB2312"/>
                <w:b/>
                <w:kern w:val="2"/>
                <w:sz w:val="24"/>
                <w:szCs w:val="22"/>
                <w:highlight w:val="none"/>
              </w:rPr>
            </w:pPr>
            <w:r>
              <w:rPr>
                <w:rFonts w:hint="eastAsia" w:cs="@仿宋_GB2312"/>
                <w:b/>
                <w:kern w:val="2"/>
                <w:sz w:val="24"/>
                <w:szCs w:val="2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1</w:t>
            </w:r>
          </w:p>
        </w:tc>
        <w:tc>
          <w:tcPr>
            <w:tcW w:w="1277"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人员到岗及履约要求</w:t>
            </w:r>
          </w:p>
        </w:tc>
        <w:tc>
          <w:tcPr>
            <w:tcW w:w="6287" w:type="dxa"/>
            <w:vAlign w:val="center"/>
          </w:tcPr>
          <w:p>
            <w:pPr>
              <w:spacing w:line="360" w:lineRule="auto"/>
              <w:rPr>
                <w:rFonts w:cs="@仿宋_GB2312"/>
                <w:kern w:val="2"/>
                <w:sz w:val="24"/>
                <w:szCs w:val="22"/>
                <w:highlight w:val="none"/>
              </w:rPr>
            </w:pPr>
            <w:r>
              <w:rPr>
                <w:rFonts w:hint="eastAsia" w:cs="@仿宋_GB2312"/>
                <w:kern w:val="2"/>
                <w:sz w:val="24"/>
                <w:szCs w:val="22"/>
                <w:highlight w:val="none"/>
              </w:rPr>
              <w:t>（1）</w:t>
            </w:r>
            <w:r>
              <w:rPr>
                <w:rFonts w:hint="eastAsia"/>
                <w:kern w:val="2"/>
                <w:sz w:val="24"/>
                <w:szCs w:val="18"/>
                <w:highlight w:val="none"/>
              </w:rPr>
              <w:t>参审单位</w:t>
            </w:r>
            <w:r>
              <w:rPr>
                <w:rFonts w:hint="eastAsia" w:cs="@仿宋_GB2312"/>
                <w:kern w:val="2"/>
                <w:sz w:val="24"/>
                <w:szCs w:val="22"/>
                <w:highlight w:val="none"/>
              </w:rPr>
              <w:t>一旦成交，磋商时所报的本项目的项目经理、施工现场技术负责人、各专业负责工程师及施工机械等在整个项目施工期内必须在位，否则</w:t>
            </w:r>
            <w:r>
              <w:rPr>
                <w:rFonts w:hint="eastAsia"/>
                <w:kern w:val="2"/>
                <w:sz w:val="24"/>
                <w:szCs w:val="18"/>
                <w:highlight w:val="none"/>
              </w:rPr>
              <w:t>业主单位</w:t>
            </w:r>
            <w:r>
              <w:rPr>
                <w:rFonts w:hint="eastAsia" w:cs="@仿宋_GB2312"/>
                <w:kern w:val="2"/>
                <w:sz w:val="24"/>
                <w:szCs w:val="22"/>
                <w:highlight w:val="none"/>
              </w:rPr>
              <w:t>有权终止合同。由此造成的损失，成交人自行承担并赔偿可能给</w:t>
            </w:r>
            <w:r>
              <w:rPr>
                <w:rFonts w:hint="eastAsia"/>
                <w:kern w:val="2"/>
                <w:sz w:val="24"/>
                <w:szCs w:val="18"/>
                <w:highlight w:val="none"/>
              </w:rPr>
              <w:t>业主单位</w:t>
            </w:r>
            <w:r>
              <w:rPr>
                <w:rFonts w:hint="eastAsia" w:cs="@仿宋_GB2312"/>
                <w:kern w:val="2"/>
                <w:sz w:val="24"/>
                <w:szCs w:val="22"/>
                <w:highlight w:val="none"/>
              </w:rPr>
              <w:t>造成的损失。</w:t>
            </w:r>
          </w:p>
          <w:p>
            <w:pPr>
              <w:spacing w:line="360" w:lineRule="auto"/>
              <w:rPr>
                <w:rFonts w:cs="@仿宋_GB2312"/>
                <w:kern w:val="2"/>
                <w:sz w:val="24"/>
                <w:szCs w:val="22"/>
                <w:highlight w:val="none"/>
              </w:rPr>
            </w:pPr>
            <w:r>
              <w:rPr>
                <w:rFonts w:hint="eastAsia" w:cs="@仿宋_GB2312"/>
                <w:kern w:val="2"/>
                <w:sz w:val="24"/>
                <w:szCs w:val="22"/>
                <w:highlight w:val="none"/>
              </w:rPr>
              <w:t>（2）成交人不得擅自更换磋商时所报项目经理及项目部主要管理人员。确需更换时，须报</w:t>
            </w:r>
            <w:r>
              <w:rPr>
                <w:rFonts w:hint="eastAsia"/>
                <w:kern w:val="2"/>
                <w:sz w:val="24"/>
                <w:szCs w:val="18"/>
                <w:highlight w:val="none"/>
              </w:rPr>
              <w:t>业主单位</w:t>
            </w:r>
            <w:r>
              <w:rPr>
                <w:rFonts w:hint="eastAsia" w:cs="@仿宋_GB2312"/>
                <w:kern w:val="2"/>
                <w:sz w:val="24"/>
                <w:szCs w:val="22"/>
                <w:highlight w:val="none"/>
              </w:rPr>
              <w:t>同意，更换后人员不得低于成交人磋商时所报人员资质和技术水平。</w:t>
            </w:r>
            <w:r>
              <w:rPr>
                <w:rFonts w:hint="eastAsia"/>
                <w:kern w:val="2"/>
                <w:sz w:val="24"/>
                <w:szCs w:val="18"/>
                <w:highlight w:val="none"/>
              </w:rPr>
              <w:t>业主单位</w:t>
            </w:r>
            <w:r>
              <w:rPr>
                <w:rFonts w:hint="eastAsia" w:cs="@仿宋_GB2312"/>
                <w:kern w:val="2"/>
                <w:sz w:val="24"/>
                <w:szCs w:val="22"/>
                <w:highlight w:val="none"/>
              </w:rPr>
              <w:t>如认为有必要，可要求对上述人员中的部分人员作出更好</w:t>
            </w:r>
            <w:r>
              <w:rPr>
                <w:rFonts w:hint="eastAsia" w:cs="@仿宋_GB2312"/>
                <w:kern w:val="2"/>
                <w:sz w:val="24"/>
                <w:szCs w:val="22"/>
                <w:highlight w:val="none"/>
                <w:lang w:eastAsia="zh-CN"/>
              </w:rPr>
              <w:t>地</w:t>
            </w:r>
            <w:r>
              <w:rPr>
                <w:rFonts w:hint="eastAsia" w:cs="@仿宋_GB2312"/>
                <w:kern w:val="2"/>
                <w:sz w:val="24"/>
                <w:szCs w:val="22"/>
                <w:highlight w:val="none"/>
              </w:rPr>
              <w:t>调整。</w:t>
            </w:r>
          </w:p>
          <w:p>
            <w:pPr>
              <w:spacing w:line="360" w:lineRule="auto"/>
              <w:rPr>
                <w:rFonts w:cs="@仿宋_GB2312"/>
                <w:kern w:val="2"/>
                <w:sz w:val="24"/>
                <w:szCs w:val="22"/>
                <w:highlight w:val="none"/>
              </w:rPr>
            </w:pPr>
            <w:r>
              <w:rPr>
                <w:rFonts w:hint="eastAsia" w:cs="@仿宋_GB2312"/>
                <w:kern w:val="2"/>
                <w:sz w:val="24"/>
                <w:szCs w:val="22"/>
                <w:highlight w:val="none"/>
              </w:rPr>
              <w:t>（3）成交人未能按照承诺到岗尽职的，</w:t>
            </w:r>
            <w:r>
              <w:rPr>
                <w:rFonts w:hint="eastAsia"/>
                <w:kern w:val="2"/>
                <w:sz w:val="24"/>
                <w:szCs w:val="18"/>
                <w:highlight w:val="none"/>
              </w:rPr>
              <w:t>业主单位</w:t>
            </w:r>
            <w:r>
              <w:rPr>
                <w:rFonts w:hint="eastAsia" w:cs="@仿宋_GB2312"/>
                <w:kern w:val="2"/>
                <w:sz w:val="24"/>
                <w:szCs w:val="22"/>
                <w:highlight w:val="none"/>
              </w:rPr>
              <w:t>将视情况严重程度对其作出相应处理，给予警告并发出整改通知。如仍未及时整改，</w:t>
            </w:r>
            <w:r>
              <w:rPr>
                <w:rFonts w:hint="eastAsia"/>
                <w:kern w:val="2"/>
                <w:sz w:val="24"/>
                <w:szCs w:val="18"/>
                <w:highlight w:val="none"/>
              </w:rPr>
              <w:t>业主单位</w:t>
            </w:r>
            <w:r>
              <w:rPr>
                <w:rFonts w:hint="eastAsia" w:cs="@仿宋_GB2312"/>
                <w:kern w:val="2"/>
                <w:sz w:val="24"/>
                <w:szCs w:val="22"/>
                <w:highlight w:val="none"/>
              </w:rPr>
              <w:t>有权责令其停工整改、直至终止合同，引进新的承包人。</w:t>
            </w:r>
            <w:r>
              <w:rPr>
                <w:rFonts w:hint="eastAsia"/>
                <w:kern w:val="2"/>
                <w:sz w:val="24"/>
                <w:szCs w:val="18"/>
                <w:highlight w:val="none"/>
              </w:rPr>
              <w:t>业主单位</w:t>
            </w:r>
            <w:r>
              <w:rPr>
                <w:rFonts w:hint="eastAsia" w:cs="@仿宋_GB2312"/>
                <w:kern w:val="2"/>
                <w:sz w:val="24"/>
                <w:szCs w:val="22"/>
                <w:highlight w:val="none"/>
              </w:rPr>
              <w:t>还将停止支付工程款项，扣留任何未付的工程进度款项补偿</w:t>
            </w:r>
            <w:r>
              <w:rPr>
                <w:rFonts w:hint="eastAsia"/>
                <w:kern w:val="2"/>
                <w:sz w:val="24"/>
                <w:szCs w:val="18"/>
                <w:highlight w:val="none"/>
              </w:rPr>
              <w:t>业主单位</w:t>
            </w:r>
            <w:r>
              <w:rPr>
                <w:rFonts w:hint="eastAsia" w:cs="@仿宋_GB2312"/>
                <w:kern w:val="2"/>
                <w:sz w:val="24"/>
                <w:szCs w:val="22"/>
                <w:highlight w:val="none"/>
              </w:rPr>
              <w:t>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2</w:t>
            </w:r>
          </w:p>
        </w:tc>
        <w:tc>
          <w:tcPr>
            <w:tcW w:w="1277"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材料要求</w:t>
            </w:r>
          </w:p>
        </w:tc>
        <w:tc>
          <w:tcPr>
            <w:tcW w:w="6287" w:type="dxa"/>
            <w:vAlign w:val="center"/>
          </w:tcPr>
          <w:p>
            <w:pPr>
              <w:spacing w:line="360" w:lineRule="auto"/>
              <w:rPr>
                <w:rFonts w:cs="@仿宋_GB2312"/>
                <w:kern w:val="2"/>
                <w:sz w:val="24"/>
                <w:szCs w:val="22"/>
                <w:highlight w:val="none"/>
              </w:rPr>
            </w:pPr>
            <w:r>
              <w:rPr>
                <w:rFonts w:hint="eastAsia" w:cs="@仿宋_GB2312"/>
                <w:kern w:val="2"/>
                <w:sz w:val="24"/>
                <w:szCs w:val="22"/>
                <w:highlight w:val="none"/>
              </w:rPr>
              <w:t>（1）成交人自行采购的材料应满足设计和规范要求的质量等级，并须按有关技术规范要求对材料质量进行检验。成交人选定的材料供应厂家和价格需经</w:t>
            </w:r>
            <w:r>
              <w:rPr>
                <w:rFonts w:hint="eastAsia"/>
                <w:kern w:val="2"/>
                <w:sz w:val="24"/>
                <w:szCs w:val="18"/>
                <w:highlight w:val="none"/>
              </w:rPr>
              <w:t>业主单位</w:t>
            </w:r>
            <w:r>
              <w:rPr>
                <w:rFonts w:hint="eastAsia" w:cs="@仿宋_GB2312"/>
                <w:kern w:val="2"/>
                <w:sz w:val="24"/>
                <w:szCs w:val="22"/>
                <w:highlight w:val="none"/>
              </w:rPr>
              <w:t>和监理单位认可。如</w:t>
            </w:r>
            <w:r>
              <w:rPr>
                <w:rFonts w:hint="eastAsia"/>
                <w:kern w:val="2"/>
                <w:sz w:val="24"/>
                <w:szCs w:val="18"/>
                <w:highlight w:val="none"/>
              </w:rPr>
              <w:t>业主单位</w:t>
            </w:r>
            <w:r>
              <w:rPr>
                <w:rFonts w:hint="eastAsia" w:cs="@仿宋_GB2312"/>
                <w:kern w:val="2"/>
                <w:sz w:val="24"/>
                <w:szCs w:val="22"/>
                <w:highlight w:val="none"/>
              </w:rPr>
              <w:t>和监理单位对某种或某些材料的质量有异议，有权提出停止使用的要求，成交人必须服从该要求。若该材料经权威检验部门鉴定确有质量问题，由此而发生的一切费用由成交人自负。因成交人自行采购的材料质量引起的工程质量问题由成交人承担所造成的一切损失。</w:t>
            </w:r>
          </w:p>
          <w:p>
            <w:pPr>
              <w:spacing w:line="360" w:lineRule="auto"/>
              <w:rPr>
                <w:rFonts w:cs="@仿宋_GB2312"/>
                <w:kern w:val="2"/>
                <w:sz w:val="24"/>
                <w:szCs w:val="22"/>
                <w:highlight w:val="none"/>
              </w:rPr>
            </w:pPr>
            <w:r>
              <w:rPr>
                <w:rFonts w:hint="eastAsia" w:cs="@仿宋_GB2312"/>
                <w:kern w:val="2"/>
                <w:sz w:val="24"/>
                <w:szCs w:val="22"/>
                <w:highlight w:val="none"/>
              </w:rPr>
              <w:t>（2）如本项目</w:t>
            </w:r>
            <w:r>
              <w:rPr>
                <w:rFonts w:hint="eastAsia"/>
                <w:kern w:val="2"/>
                <w:sz w:val="24"/>
                <w:szCs w:val="18"/>
                <w:highlight w:val="none"/>
              </w:rPr>
              <w:t>业主单位</w:t>
            </w:r>
            <w:r>
              <w:rPr>
                <w:rFonts w:hint="eastAsia" w:cs="@仿宋_GB2312"/>
                <w:kern w:val="2"/>
                <w:sz w:val="24"/>
                <w:szCs w:val="22"/>
                <w:highlight w:val="none"/>
              </w:rPr>
              <w:t>对工程质量有特殊需求的，对主要设备及材料提供不少于三个的参考品牌，对于</w:t>
            </w:r>
            <w:r>
              <w:rPr>
                <w:rFonts w:hint="eastAsia"/>
                <w:kern w:val="2"/>
                <w:sz w:val="24"/>
                <w:szCs w:val="18"/>
                <w:highlight w:val="none"/>
              </w:rPr>
              <w:t>业主单位</w:t>
            </w:r>
            <w:r>
              <w:rPr>
                <w:rFonts w:hint="eastAsia" w:cs="@仿宋_GB2312"/>
                <w:kern w:val="2"/>
                <w:sz w:val="24"/>
                <w:szCs w:val="22"/>
                <w:highlight w:val="none"/>
              </w:rPr>
              <w:t>参考品牌的材料，</w:t>
            </w:r>
            <w:r>
              <w:rPr>
                <w:rFonts w:hint="eastAsia"/>
                <w:kern w:val="2"/>
                <w:sz w:val="24"/>
                <w:szCs w:val="18"/>
                <w:highlight w:val="none"/>
              </w:rPr>
              <w:t>参审单位</w:t>
            </w:r>
            <w:r>
              <w:rPr>
                <w:rFonts w:hint="eastAsia" w:cs="@仿宋_GB2312"/>
                <w:kern w:val="2"/>
                <w:sz w:val="24"/>
                <w:szCs w:val="22"/>
                <w:highlight w:val="none"/>
              </w:rPr>
              <w:t>可选用参考品牌或不低于参考品牌质量标准的其它品牌；采用其它品牌的应在响应文件中提供相关技术参数证明材料供磋商小组评审，未提供相关技术参数证明材料或经磋商小组评审未通过的，成交后只能从</w:t>
            </w:r>
            <w:r>
              <w:rPr>
                <w:rFonts w:hint="eastAsia"/>
                <w:kern w:val="2"/>
                <w:sz w:val="24"/>
                <w:szCs w:val="18"/>
                <w:highlight w:val="none"/>
              </w:rPr>
              <w:t>业主单位</w:t>
            </w:r>
            <w:r>
              <w:rPr>
                <w:rFonts w:hint="eastAsia" w:cs="@仿宋_GB2312"/>
                <w:kern w:val="2"/>
                <w:sz w:val="24"/>
                <w:szCs w:val="22"/>
                <w:highlight w:val="none"/>
              </w:rPr>
              <w:t>参考品牌中进行选择，价格不予调整。</w:t>
            </w:r>
          </w:p>
          <w:p>
            <w:pPr>
              <w:spacing w:line="360" w:lineRule="auto"/>
              <w:rPr>
                <w:rFonts w:cs="@仿宋_GB2312"/>
                <w:kern w:val="2"/>
                <w:sz w:val="24"/>
                <w:szCs w:val="22"/>
                <w:highlight w:val="none"/>
              </w:rPr>
            </w:pPr>
            <w:r>
              <w:rPr>
                <w:rFonts w:hint="eastAsia" w:cs="@仿宋_GB2312"/>
                <w:kern w:val="2"/>
                <w:sz w:val="24"/>
                <w:szCs w:val="22"/>
                <w:highlight w:val="none"/>
              </w:rPr>
              <w:t>（3）对于</w:t>
            </w:r>
            <w:r>
              <w:rPr>
                <w:rFonts w:hint="eastAsia"/>
                <w:kern w:val="2"/>
                <w:sz w:val="24"/>
                <w:szCs w:val="18"/>
                <w:highlight w:val="none"/>
              </w:rPr>
              <w:t>业主单位</w:t>
            </w:r>
            <w:r>
              <w:rPr>
                <w:rFonts w:hint="eastAsia" w:cs="@仿宋_GB2312"/>
                <w:kern w:val="2"/>
                <w:sz w:val="24"/>
                <w:szCs w:val="22"/>
                <w:highlight w:val="none"/>
              </w:rPr>
              <w:t>参考品牌的材料，</w:t>
            </w:r>
            <w:r>
              <w:rPr>
                <w:rFonts w:hint="eastAsia"/>
                <w:kern w:val="2"/>
                <w:sz w:val="24"/>
                <w:szCs w:val="18"/>
                <w:highlight w:val="none"/>
              </w:rPr>
              <w:t>参审单位</w:t>
            </w:r>
            <w:r>
              <w:rPr>
                <w:rFonts w:hint="eastAsia" w:cs="@仿宋_GB2312"/>
                <w:kern w:val="2"/>
                <w:sz w:val="24"/>
                <w:szCs w:val="22"/>
                <w:highlight w:val="none"/>
              </w:rPr>
              <w:t>如认为参考品牌有限定性、唯一性、明显不在同一档次等级的或者其他异议的，应在本项目网上询问截止时间前通过电子交易系统提交。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3</w:t>
            </w:r>
          </w:p>
        </w:tc>
        <w:tc>
          <w:tcPr>
            <w:tcW w:w="1277"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工程施工重点难点</w:t>
            </w:r>
          </w:p>
        </w:tc>
        <w:tc>
          <w:tcPr>
            <w:tcW w:w="6287" w:type="dxa"/>
            <w:vAlign w:val="center"/>
          </w:tcPr>
          <w:p>
            <w:pPr>
              <w:spacing w:line="360" w:lineRule="auto"/>
              <w:rPr>
                <w:rFonts w:cs="@仿宋_GB2312"/>
                <w:kern w:val="2"/>
                <w:sz w:val="24"/>
                <w:szCs w:val="22"/>
                <w:highlight w:val="none"/>
              </w:rPr>
            </w:pPr>
            <w:r>
              <w:rPr>
                <w:rFonts w:hint="eastAsia" w:cs="@仿宋_GB2312"/>
                <w:kern w:val="2"/>
                <w:sz w:val="24"/>
                <w:szCs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4</w:t>
            </w:r>
          </w:p>
        </w:tc>
        <w:tc>
          <w:tcPr>
            <w:tcW w:w="1277"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报价须知</w:t>
            </w:r>
          </w:p>
        </w:tc>
        <w:tc>
          <w:tcPr>
            <w:tcW w:w="6287" w:type="dxa"/>
            <w:vAlign w:val="center"/>
          </w:tcPr>
          <w:p>
            <w:pPr>
              <w:spacing w:line="360" w:lineRule="auto"/>
              <w:rPr>
                <w:rFonts w:cs="@仿宋_GB2312"/>
                <w:kern w:val="2"/>
                <w:sz w:val="24"/>
                <w:szCs w:val="22"/>
                <w:highlight w:val="none"/>
              </w:rPr>
            </w:pPr>
            <w:r>
              <w:rPr>
                <w:rFonts w:hint="eastAsia"/>
                <w:kern w:val="2"/>
                <w:sz w:val="24"/>
                <w:szCs w:val="18"/>
                <w:highlight w:val="none"/>
              </w:rPr>
              <w:t>参审单位</w:t>
            </w:r>
            <w:r>
              <w:rPr>
                <w:rFonts w:cs="@仿宋_GB2312"/>
                <w:bCs/>
                <w:kern w:val="2"/>
                <w:sz w:val="24"/>
                <w:szCs w:val="28"/>
                <w:highlight w:val="none"/>
              </w:rPr>
              <w:t>最后</w:t>
            </w:r>
            <w:r>
              <w:rPr>
                <w:rFonts w:cs="@仿宋_GB2312"/>
                <w:b/>
                <w:bCs w:val="0"/>
                <w:kern w:val="2"/>
                <w:sz w:val="24"/>
                <w:szCs w:val="28"/>
                <w:highlight w:val="none"/>
              </w:rPr>
              <w:t>报价均不得高于磋商文件（公告）列明的项目预算</w:t>
            </w:r>
            <w:r>
              <w:rPr>
                <w:rFonts w:hint="eastAsia" w:cs="@仿宋_GB2312"/>
                <w:b/>
                <w:bCs w:val="0"/>
                <w:kern w:val="2"/>
                <w:sz w:val="24"/>
                <w:szCs w:val="28"/>
                <w:highlight w:val="none"/>
              </w:rPr>
              <w:t>、最高限价（控制价）</w:t>
            </w:r>
            <w:r>
              <w:rPr>
                <w:rFonts w:cs="@仿宋_GB2312"/>
                <w:bCs/>
                <w:kern w:val="2"/>
                <w:sz w:val="24"/>
                <w:szCs w:val="28"/>
                <w:highlight w:val="none"/>
              </w:rPr>
              <w:t>，否则其响应文件将被认定为响应无效</w:t>
            </w:r>
            <w:r>
              <w:rPr>
                <w:rFonts w:hint="eastAsia" w:cs="@仿宋_GB2312"/>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5</w:t>
            </w:r>
          </w:p>
        </w:tc>
        <w:tc>
          <w:tcPr>
            <w:tcW w:w="1277" w:type="dxa"/>
            <w:vAlign w:val="center"/>
          </w:tcPr>
          <w:p>
            <w:pPr>
              <w:spacing w:line="360" w:lineRule="auto"/>
              <w:jc w:val="center"/>
              <w:rPr>
                <w:rFonts w:cs="@仿宋_GB2312"/>
                <w:kern w:val="2"/>
                <w:sz w:val="24"/>
                <w:szCs w:val="22"/>
                <w:highlight w:val="none"/>
              </w:rPr>
            </w:pPr>
            <w:r>
              <w:rPr>
                <w:rFonts w:hint="eastAsia" w:cs="@仿宋_GB2312"/>
                <w:kern w:val="2"/>
                <w:sz w:val="24"/>
                <w:szCs w:val="22"/>
                <w:highlight w:val="none"/>
              </w:rPr>
              <w:t>重要说明</w:t>
            </w:r>
          </w:p>
        </w:tc>
        <w:tc>
          <w:tcPr>
            <w:tcW w:w="6287" w:type="dxa"/>
            <w:vAlign w:val="center"/>
          </w:tcPr>
          <w:p>
            <w:pPr>
              <w:spacing w:line="360" w:lineRule="auto"/>
              <w:rPr>
                <w:rFonts w:cs="@仿宋_GB2312"/>
                <w:kern w:val="2"/>
                <w:sz w:val="24"/>
                <w:szCs w:val="22"/>
                <w:highlight w:val="none"/>
              </w:rPr>
            </w:pPr>
            <w:r>
              <w:rPr>
                <w:rFonts w:hint="eastAsia" w:cs="@仿宋_GB2312"/>
                <w:kern w:val="2"/>
                <w:sz w:val="24"/>
                <w:szCs w:val="22"/>
                <w:highlight w:val="none"/>
              </w:rPr>
              <w:t>（1）本项目的磋商文件、工程量清单、最高限价（控制价）、澄清、修改、补充等相关资料均通过优质采发布，请</w:t>
            </w:r>
            <w:r>
              <w:rPr>
                <w:rFonts w:hint="eastAsia"/>
                <w:kern w:val="2"/>
                <w:sz w:val="24"/>
                <w:szCs w:val="18"/>
                <w:highlight w:val="none"/>
              </w:rPr>
              <w:t>参审单位</w:t>
            </w:r>
            <w:r>
              <w:rPr>
                <w:rFonts w:hint="eastAsia" w:cs="@仿宋_GB2312"/>
                <w:kern w:val="2"/>
                <w:sz w:val="24"/>
                <w:szCs w:val="22"/>
                <w:highlight w:val="none"/>
              </w:rPr>
              <w:t>自行从网上下载，</w:t>
            </w:r>
            <w:r>
              <w:rPr>
                <w:rFonts w:hint="eastAsia"/>
                <w:kern w:val="2"/>
                <w:sz w:val="24"/>
                <w:szCs w:val="18"/>
                <w:highlight w:val="none"/>
              </w:rPr>
              <w:t>参审单位</w:t>
            </w:r>
            <w:r>
              <w:rPr>
                <w:rFonts w:hint="eastAsia" w:cs="@仿宋_GB2312"/>
                <w:kern w:val="2"/>
                <w:sz w:val="24"/>
                <w:szCs w:val="22"/>
                <w:highlight w:val="none"/>
              </w:rPr>
              <w:t>应当及时查看有无相关澄清、修改、补充等内容。</w:t>
            </w:r>
          </w:p>
          <w:p>
            <w:pPr>
              <w:spacing w:line="360" w:lineRule="auto"/>
              <w:rPr>
                <w:rFonts w:cs="@仿宋_GB2312"/>
                <w:kern w:val="2"/>
                <w:sz w:val="24"/>
                <w:szCs w:val="22"/>
                <w:highlight w:val="none"/>
              </w:rPr>
            </w:pPr>
            <w:r>
              <w:rPr>
                <w:rFonts w:hint="eastAsia" w:cs="@仿宋_GB2312"/>
                <w:kern w:val="2"/>
                <w:sz w:val="24"/>
                <w:szCs w:val="22"/>
                <w:highlight w:val="none"/>
              </w:rPr>
              <w:t>（2）在工程项目磋商过程中，</w:t>
            </w:r>
            <w:r>
              <w:rPr>
                <w:rFonts w:hint="eastAsia"/>
                <w:kern w:val="2"/>
                <w:sz w:val="24"/>
                <w:szCs w:val="18"/>
                <w:highlight w:val="none"/>
              </w:rPr>
              <w:t>参审单位</w:t>
            </w:r>
            <w:r>
              <w:rPr>
                <w:rFonts w:hint="eastAsia" w:cs="@仿宋_GB2312"/>
                <w:kern w:val="2"/>
                <w:sz w:val="24"/>
                <w:szCs w:val="22"/>
                <w:highlight w:val="none"/>
              </w:rPr>
              <w:t>最后报价与公布的最高限价（控制价）或项目概算相比降幅过小，或</w:t>
            </w:r>
            <w:r>
              <w:rPr>
                <w:rFonts w:hint="eastAsia"/>
                <w:kern w:val="2"/>
                <w:sz w:val="24"/>
                <w:szCs w:val="18"/>
                <w:highlight w:val="none"/>
              </w:rPr>
              <w:t>参审单位</w:t>
            </w:r>
            <w:r>
              <w:rPr>
                <w:rFonts w:hint="eastAsia" w:cs="@仿宋_GB2312"/>
                <w:kern w:val="2"/>
                <w:sz w:val="24"/>
                <w:szCs w:val="22"/>
                <w:highlight w:val="none"/>
              </w:rPr>
              <w:t>最后报价明显缺乏竞争性的，磋商小组可以否决其报价。</w:t>
            </w:r>
          </w:p>
          <w:p>
            <w:pPr>
              <w:spacing w:line="360" w:lineRule="auto"/>
              <w:rPr>
                <w:rFonts w:cs="@仿宋_GB2312"/>
                <w:kern w:val="2"/>
                <w:sz w:val="24"/>
                <w:szCs w:val="22"/>
                <w:highlight w:val="none"/>
              </w:rPr>
            </w:pPr>
            <w:r>
              <w:rPr>
                <w:rFonts w:hint="eastAsia" w:cs="@仿宋_GB2312"/>
                <w:kern w:val="2"/>
                <w:sz w:val="24"/>
                <w:szCs w:val="22"/>
                <w:highlight w:val="none"/>
              </w:rPr>
              <w:t>（3）承包人在工程实施过程中用工行为，必须严格执行国家及地方政府的有关规定，依法签订劳动合同，并按规定及时足额支付工资。</w:t>
            </w:r>
          </w:p>
          <w:p>
            <w:pPr>
              <w:spacing w:line="360" w:lineRule="auto"/>
              <w:rPr>
                <w:rFonts w:cs="@仿宋_GB2312"/>
                <w:kern w:val="2"/>
                <w:sz w:val="24"/>
                <w:szCs w:val="22"/>
                <w:highlight w:val="none"/>
              </w:rPr>
            </w:pPr>
            <w:r>
              <w:rPr>
                <w:rFonts w:hint="eastAsia" w:cs="@仿宋_GB2312"/>
                <w:kern w:val="2"/>
                <w:sz w:val="24"/>
                <w:szCs w:val="22"/>
                <w:highlight w:val="none"/>
              </w:rPr>
              <w:t>（4）建设工程不可竞争费构成及计费标准按《关于调整合肥市建设工程不可竞争费构成及计费标准的通知》（合造价〔2021〕5号）执行，本工程最高限价（控制价）已按规定的措施项目、费率和单价列出本工程施工扬尘污染防治费用和建筑工人实名制管理费用清单，</w:t>
            </w:r>
            <w:r>
              <w:rPr>
                <w:rFonts w:hint="eastAsia"/>
                <w:kern w:val="2"/>
                <w:sz w:val="24"/>
                <w:szCs w:val="18"/>
                <w:highlight w:val="none"/>
              </w:rPr>
              <w:t>参审单位</w:t>
            </w:r>
            <w:r>
              <w:rPr>
                <w:rFonts w:hint="eastAsia" w:cs="@仿宋_GB2312"/>
                <w:kern w:val="2"/>
                <w:sz w:val="24"/>
                <w:szCs w:val="22"/>
                <w:highlight w:val="none"/>
              </w:rPr>
              <w:t>应承诺报价中已包含磋商文件公布的施工扬尘污染防治费用和建筑工人实名制管理费用。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eastAsia" w:eastAsia="宋体" w:cs="@仿宋_GB2312"/>
                <w:kern w:val="2"/>
                <w:sz w:val="24"/>
                <w:szCs w:val="22"/>
                <w:highlight w:val="none"/>
                <w:lang w:val="en-US" w:eastAsia="zh-CN"/>
              </w:rPr>
            </w:pPr>
            <w:bookmarkStart w:id="19" w:name="_Toc3744"/>
            <w:bookmarkStart w:id="20" w:name="_Toc501460778"/>
            <w:bookmarkStart w:id="21" w:name="_Toc3606"/>
            <w:bookmarkStart w:id="22" w:name="_Toc26181"/>
            <w:r>
              <w:rPr>
                <w:rFonts w:hint="eastAsia" w:cs="@仿宋_GB2312"/>
                <w:kern w:val="2"/>
                <w:sz w:val="24"/>
                <w:szCs w:val="22"/>
                <w:highlight w:val="none"/>
                <w:lang w:val="en-US" w:eastAsia="zh-CN"/>
              </w:rPr>
              <w:t>6</w:t>
            </w:r>
          </w:p>
        </w:tc>
        <w:tc>
          <w:tcPr>
            <w:tcW w:w="1277" w:type="dxa"/>
            <w:vAlign w:val="center"/>
          </w:tcPr>
          <w:p>
            <w:pPr>
              <w:pStyle w:val="37"/>
              <w:widowControl w:val="0"/>
              <w:spacing w:before="0" w:beforeAutospacing="0" w:after="0" w:afterAutospacing="0"/>
              <w:ind w:firstLine="0" w:firstLineChars="0"/>
              <w:jc w:val="center"/>
              <w:rPr>
                <w:rFonts w:hint="eastAsia" w:cs="@仿宋_GB2312"/>
                <w:kern w:val="2"/>
                <w:sz w:val="24"/>
                <w:szCs w:val="22"/>
                <w:highlight w:val="none"/>
              </w:rPr>
            </w:pPr>
            <w:r>
              <w:rPr>
                <w:rFonts w:hint="eastAsia" w:ascii="宋体" w:hAnsi="宋体"/>
                <w:b w:val="0"/>
                <w:kern w:val="2"/>
                <w:sz w:val="24"/>
              </w:rPr>
              <w:t>付款方式</w:t>
            </w:r>
          </w:p>
        </w:tc>
        <w:tc>
          <w:tcPr>
            <w:tcW w:w="6287" w:type="dxa"/>
            <w:vAlign w:val="center"/>
          </w:tcPr>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项目竣工验收合格并通过审定后，支付至审定金额的97%；余款3%作为质保金，质保期结束后付清。</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b/>
                <w:bCs/>
                <w:kern w:val="2"/>
                <w:sz w:val="24"/>
                <w:szCs w:val="22"/>
                <w:highlight w:val="none"/>
              </w:rPr>
              <w:t>备注：如承包人采用“银行保函或保证保险等方式”提交等额工程质量保证金，则在工程竣工结算完成后买方应付至最终结算价款的100%。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default" w:cs="@仿宋_GB2312"/>
                <w:kern w:val="2"/>
                <w:sz w:val="24"/>
                <w:szCs w:val="22"/>
                <w:highlight w:val="none"/>
                <w:lang w:val="en-US" w:eastAsia="zh-CN"/>
              </w:rPr>
            </w:pPr>
            <w:r>
              <w:rPr>
                <w:rFonts w:hint="eastAsia" w:cs="@仿宋_GB2312"/>
                <w:kern w:val="2"/>
                <w:sz w:val="24"/>
                <w:szCs w:val="22"/>
                <w:highlight w:val="none"/>
                <w:lang w:val="en-US" w:eastAsia="zh-CN"/>
              </w:rPr>
              <w:t>7</w:t>
            </w:r>
          </w:p>
        </w:tc>
        <w:tc>
          <w:tcPr>
            <w:tcW w:w="1277" w:type="dxa"/>
            <w:vAlign w:val="center"/>
          </w:tcPr>
          <w:p>
            <w:pPr>
              <w:pStyle w:val="37"/>
              <w:widowControl w:val="0"/>
              <w:spacing w:before="0" w:beforeAutospacing="0" w:after="0" w:afterAutospacing="0"/>
              <w:ind w:firstLine="0" w:firstLineChars="0"/>
              <w:jc w:val="center"/>
              <w:rPr>
                <w:rFonts w:hint="eastAsia" w:ascii="宋体" w:hAnsi="宋体" w:eastAsia="宋体" w:cs="Times New Roman"/>
                <w:b w:val="0"/>
                <w:kern w:val="2"/>
                <w:sz w:val="24"/>
                <w:szCs w:val="28"/>
                <w:lang w:val="en-US" w:eastAsia="zh-CN" w:bidi="ar-SA"/>
              </w:rPr>
            </w:pPr>
            <w:r>
              <w:rPr>
                <w:rFonts w:hint="eastAsia" w:ascii="宋体" w:hAnsi="宋体"/>
                <w:b w:val="0"/>
                <w:kern w:val="2"/>
                <w:sz w:val="24"/>
              </w:rPr>
              <w:t>服务期限</w:t>
            </w:r>
          </w:p>
        </w:tc>
        <w:tc>
          <w:tcPr>
            <w:tcW w:w="6287" w:type="dxa"/>
            <w:vAlign w:val="center"/>
          </w:tcPr>
          <w:p>
            <w:pPr>
              <w:spacing w:line="360" w:lineRule="auto"/>
              <w:rPr>
                <w:rFonts w:hint="eastAsia"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rPr>
              <w:t>自签订合同之日起，</w:t>
            </w:r>
            <w:r>
              <w:rPr>
                <w:rFonts w:hint="eastAsia" w:cs="@仿宋_GB2312"/>
                <w:kern w:val="2"/>
                <w:sz w:val="24"/>
                <w:szCs w:val="22"/>
                <w:highlight w:val="none"/>
                <w:lang w:val="en-US" w:eastAsia="zh-CN"/>
              </w:rPr>
              <w:t>75</w:t>
            </w:r>
            <w:r>
              <w:rPr>
                <w:rFonts w:hint="eastAsia" w:ascii="宋体" w:hAnsi="宋体" w:eastAsia="宋体" w:cs="@仿宋_GB2312"/>
                <w:kern w:val="2"/>
                <w:sz w:val="24"/>
                <w:szCs w:val="22"/>
                <w:highlight w:val="none"/>
              </w:rPr>
              <w:t>个日历天完成项目建设。试运行一个月。项目竣工验收</w:t>
            </w:r>
            <w:r>
              <w:rPr>
                <w:rFonts w:hint="eastAsia" w:cs="@仿宋_GB2312"/>
                <w:kern w:val="2"/>
                <w:sz w:val="24"/>
                <w:szCs w:val="22"/>
                <w:highlight w:val="none"/>
                <w:lang w:val="en-US" w:eastAsia="zh-CN"/>
              </w:rPr>
              <w:t>且两年缺陷责任期满后</w:t>
            </w:r>
            <w:r>
              <w:rPr>
                <w:rFonts w:hint="eastAsia" w:ascii="宋体" w:hAnsi="宋体" w:eastAsia="宋体" w:cs="@仿宋_GB2312"/>
                <w:kern w:val="2"/>
                <w:sz w:val="24"/>
                <w:szCs w:val="22"/>
                <w:highlight w:val="none"/>
              </w:rPr>
              <w:t>，为本项目采购的硬件提供</w:t>
            </w:r>
            <w:r>
              <w:rPr>
                <w:rFonts w:hint="eastAsia" w:cs="@仿宋_GB2312"/>
                <w:kern w:val="2"/>
                <w:sz w:val="24"/>
                <w:szCs w:val="22"/>
                <w:highlight w:val="none"/>
                <w:lang w:val="en-US" w:eastAsia="zh-CN"/>
              </w:rPr>
              <w:t>3</w:t>
            </w:r>
            <w:r>
              <w:rPr>
                <w:rFonts w:hint="eastAsia" w:ascii="宋体" w:hAnsi="宋体" w:eastAsia="宋体" w:cs="@仿宋_GB2312"/>
                <w:kern w:val="2"/>
                <w:sz w:val="24"/>
                <w:szCs w:val="22"/>
                <w:highlight w:val="none"/>
              </w:rPr>
              <w:t>年免费质保，为本项目配套的</w:t>
            </w:r>
            <w:r>
              <w:rPr>
                <w:rFonts w:hint="eastAsia" w:ascii="宋体" w:hAnsi="宋体" w:eastAsia="宋体" w:cs="@仿宋_GB2312"/>
                <w:kern w:val="2"/>
                <w:sz w:val="24"/>
                <w:szCs w:val="22"/>
                <w:highlight w:val="none"/>
                <w:lang w:val="en-US" w:eastAsia="zh-CN"/>
              </w:rPr>
              <w:t>运维平台及</w:t>
            </w:r>
            <w:r>
              <w:rPr>
                <w:rFonts w:hint="eastAsia" w:ascii="宋体" w:hAnsi="宋体" w:eastAsia="宋体" w:cs="@仿宋_GB2312"/>
                <w:kern w:val="2"/>
                <w:sz w:val="24"/>
                <w:szCs w:val="22"/>
                <w:highlight w:val="none"/>
              </w:rPr>
              <w:t>运营平台</w:t>
            </w:r>
            <w:r>
              <w:rPr>
                <w:rFonts w:hint="eastAsia" w:ascii="宋体" w:hAnsi="宋体" w:eastAsia="宋体" w:cs="@仿宋_GB2312"/>
                <w:kern w:val="2"/>
                <w:sz w:val="24"/>
                <w:szCs w:val="22"/>
                <w:highlight w:val="none"/>
                <w:lang w:val="en-US" w:eastAsia="zh-CN"/>
              </w:rPr>
              <w:t>永久免费使用</w:t>
            </w:r>
            <w:r>
              <w:rPr>
                <w:rFonts w:hint="eastAsia" w:ascii="宋体" w:hAnsi="宋体" w:eastAsia="宋体" w:cs="@仿宋_GB2312"/>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default" w:cs="@仿宋_GB2312"/>
                <w:kern w:val="2"/>
                <w:sz w:val="24"/>
                <w:szCs w:val="22"/>
                <w:highlight w:val="none"/>
                <w:lang w:val="en-US" w:eastAsia="zh-CN"/>
              </w:rPr>
            </w:pPr>
            <w:r>
              <w:rPr>
                <w:rFonts w:hint="eastAsia" w:cs="@仿宋_GB2312"/>
                <w:kern w:val="2"/>
                <w:sz w:val="24"/>
                <w:szCs w:val="22"/>
                <w:highlight w:val="none"/>
                <w:lang w:val="en-US" w:eastAsia="zh-CN"/>
              </w:rPr>
              <w:t>8</w:t>
            </w:r>
          </w:p>
        </w:tc>
        <w:tc>
          <w:tcPr>
            <w:tcW w:w="1277" w:type="dxa"/>
            <w:vAlign w:val="center"/>
          </w:tcPr>
          <w:p>
            <w:pPr>
              <w:pStyle w:val="37"/>
              <w:widowControl w:val="0"/>
              <w:spacing w:before="0" w:beforeAutospacing="0" w:after="0" w:afterAutospacing="0"/>
              <w:ind w:firstLine="0" w:firstLineChars="0"/>
              <w:jc w:val="center"/>
              <w:rPr>
                <w:rFonts w:hint="eastAsia" w:ascii="宋体" w:hAnsi="宋体" w:eastAsia="宋体" w:cs="Times New Roman"/>
                <w:b w:val="0"/>
                <w:kern w:val="2"/>
                <w:sz w:val="24"/>
                <w:szCs w:val="28"/>
                <w:lang w:val="en-US" w:eastAsia="zh-CN" w:bidi="ar-SA"/>
              </w:rPr>
            </w:pPr>
            <w:r>
              <w:rPr>
                <w:rFonts w:hint="eastAsia" w:ascii="宋体" w:hAnsi="宋体"/>
                <w:b w:val="0"/>
                <w:kern w:val="2"/>
                <w:sz w:val="24"/>
              </w:rPr>
              <w:t>初审业绩</w:t>
            </w:r>
            <w:r>
              <w:rPr>
                <w:rFonts w:hint="eastAsia" w:ascii="宋体" w:hAnsi="宋体"/>
                <w:b w:val="0"/>
                <w:kern w:val="2"/>
                <w:sz w:val="24"/>
                <w:lang w:val="en-US" w:eastAsia="zh-CN"/>
              </w:rPr>
              <w:t>要求</w:t>
            </w:r>
          </w:p>
        </w:tc>
        <w:tc>
          <w:tcPr>
            <w:tcW w:w="6287" w:type="dxa"/>
            <w:vAlign w:val="center"/>
          </w:tcPr>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自 2021 年 1 月 1 日以来（以合同签订时间为准），</w:t>
            </w:r>
            <w:r>
              <w:rPr>
                <w:rFonts w:hint="eastAsia" w:ascii="宋体" w:hAnsi="宋体" w:eastAsia="宋体" w:cs="@仿宋_GB2312"/>
                <w:kern w:val="2"/>
                <w:sz w:val="24"/>
                <w:szCs w:val="22"/>
                <w:highlight w:val="none"/>
                <w:lang w:eastAsia="zh-CN"/>
              </w:rPr>
              <w:t>参审单位</w:t>
            </w:r>
            <w:r>
              <w:rPr>
                <w:rFonts w:hint="eastAsia" w:ascii="宋体" w:hAnsi="宋体" w:eastAsia="宋体" w:cs="@仿宋_GB2312"/>
                <w:kern w:val="2"/>
                <w:sz w:val="24"/>
                <w:szCs w:val="22"/>
                <w:highlight w:val="none"/>
              </w:rPr>
              <w:t>具有</w:t>
            </w:r>
            <w:r>
              <w:rPr>
                <w:rFonts w:hint="eastAsia" w:cs="@仿宋_GB2312"/>
                <w:kern w:val="2"/>
                <w:sz w:val="24"/>
                <w:szCs w:val="22"/>
                <w:highlight w:val="none"/>
                <w:lang w:val="en-US" w:eastAsia="zh-CN"/>
              </w:rPr>
              <w:t>21</w:t>
            </w:r>
            <w:r>
              <w:rPr>
                <w:rFonts w:hint="eastAsia" w:ascii="宋体" w:hAnsi="宋体" w:eastAsia="宋体" w:cs="@仿宋_GB2312"/>
                <w:kern w:val="2"/>
                <w:sz w:val="24"/>
                <w:szCs w:val="22"/>
                <w:highlight w:val="none"/>
                <w:lang w:val="en-US" w:eastAsia="zh-CN"/>
              </w:rPr>
              <w:t>0</w:t>
            </w:r>
            <w:r>
              <w:rPr>
                <w:rFonts w:hint="eastAsia" w:ascii="宋体" w:hAnsi="宋体" w:eastAsia="宋体" w:cs="@仿宋_GB2312"/>
                <w:kern w:val="2"/>
                <w:sz w:val="24"/>
                <w:szCs w:val="22"/>
                <w:highlight w:val="none"/>
              </w:rPr>
              <w:t>万以上</w:t>
            </w:r>
            <w:r>
              <w:rPr>
                <w:rFonts w:hint="eastAsia" w:ascii="宋体" w:hAnsi="宋体" w:eastAsia="宋体" w:cs="@仿宋_GB2312"/>
                <w:kern w:val="2"/>
                <w:sz w:val="24"/>
                <w:szCs w:val="22"/>
                <w:highlight w:val="none"/>
                <w:lang w:val="en-US" w:eastAsia="zh-CN"/>
              </w:rPr>
              <w:t>光储充放一体化充电站</w:t>
            </w:r>
            <w:r>
              <w:rPr>
                <w:rFonts w:hint="eastAsia" w:ascii="宋体" w:hAnsi="宋体" w:eastAsia="宋体" w:cs="@仿宋_GB2312"/>
                <w:kern w:val="2"/>
                <w:sz w:val="24"/>
                <w:szCs w:val="22"/>
                <w:highlight w:val="none"/>
              </w:rPr>
              <w:t>施工相关项目业绩。</w:t>
            </w:r>
          </w:p>
          <w:p>
            <w:pPr>
              <w:spacing w:line="360" w:lineRule="auto"/>
              <w:rPr>
                <w:rFonts w:hint="eastAsia"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rPr>
              <w:t>注：响应文件中提供业绩合同影印件或复印件，若合同中无法体现签订时间、服务内容等关键评审因素的，须同时提供业主（合同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）证明材料，否则响应无效。</w:t>
            </w:r>
          </w:p>
        </w:tc>
      </w:tr>
    </w:tbl>
    <w:p>
      <w:pPr>
        <w:pStyle w:val="2"/>
        <w:spacing w:before="0" w:after="0" w:line="360" w:lineRule="auto"/>
        <w:rPr>
          <w:rFonts w:hint="eastAsia" w:ascii="黑体" w:hAnsi="黑体" w:eastAsia="黑体" w:cs="黑体"/>
          <w:b w:val="0"/>
          <w:bCs/>
          <w:color w:val="auto"/>
          <w:sz w:val="28"/>
          <w:szCs w:val="28"/>
          <w:highlight w:val="none"/>
        </w:rPr>
      </w:pPr>
    </w:p>
    <w:bookmarkEnd w:id="19"/>
    <w:bookmarkEnd w:id="20"/>
    <w:bookmarkEnd w:id="21"/>
    <w:bookmarkEnd w:id="22"/>
    <w:p>
      <w:pPr>
        <w:numPr>
          <w:ilvl w:val="0"/>
          <w:numId w:val="0"/>
        </w:numPr>
        <w:spacing w:line="360" w:lineRule="auto"/>
        <w:jc w:val="left"/>
        <w:outlineLvl w:val="0"/>
        <w:rPr>
          <w:rFonts w:hint="eastAsia" w:ascii="宋体" w:hAnsi="宋体" w:eastAsia="宋体"/>
          <w:b/>
          <w:sz w:val="24"/>
          <w:szCs w:val="18"/>
          <w:highlight w:val="none"/>
          <w:lang w:val="en-US" w:eastAsia="zh-CN"/>
        </w:rPr>
      </w:pPr>
      <w:bookmarkStart w:id="23" w:name="_Toc1048"/>
      <w:r>
        <w:rPr>
          <w:rFonts w:hint="eastAsia" w:ascii="宋体" w:hAnsi="宋体" w:eastAsia="宋体"/>
          <w:b/>
          <w:sz w:val="24"/>
          <w:szCs w:val="18"/>
          <w:highlight w:val="none"/>
          <w:lang w:val="en-US" w:eastAsia="zh-CN"/>
        </w:rPr>
        <w:t>二、服务需求</w:t>
      </w:r>
    </w:p>
    <w:p>
      <w:pPr>
        <w:spacing w:line="360" w:lineRule="auto"/>
        <w:rPr>
          <w:rFonts w:hint="eastAsia" w:ascii="宋体" w:hAnsi="宋体" w:eastAsia="宋体" w:cs="@仿宋_GB2312"/>
          <w:b/>
          <w:bCs/>
          <w:kern w:val="2"/>
          <w:sz w:val="24"/>
          <w:szCs w:val="22"/>
          <w:highlight w:val="none"/>
        </w:rPr>
      </w:pPr>
      <w:r>
        <w:rPr>
          <w:rFonts w:hint="eastAsia" w:ascii="宋体" w:hAnsi="宋体" w:eastAsia="宋体" w:cs="@仿宋_GB2312"/>
          <w:b/>
          <w:bCs/>
          <w:kern w:val="2"/>
          <w:sz w:val="24"/>
          <w:szCs w:val="22"/>
          <w:highlight w:val="none"/>
        </w:rPr>
        <w:t>服务内容：</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本项目需要针对</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提出的建设内容，完成配套软硬件设备供货及项目建设。</w:t>
      </w:r>
    </w:p>
    <w:p>
      <w:pPr>
        <w:spacing w:line="360" w:lineRule="auto"/>
        <w:rPr>
          <w:rFonts w:hint="eastAsia" w:ascii="宋体" w:hAnsi="宋体" w:eastAsia="宋体" w:cs="@仿宋_GB2312"/>
          <w:b w:val="0"/>
          <w:bCs w:val="0"/>
          <w:kern w:val="2"/>
          <w:sz w:val="24"/>
          <w:szCs w:val="22"/>
          <w:highlight w:val="none"/>
        </w:rPr>
      </w:pPr>
      <w:r>
        <w:rPr>
          <w:rFonts w:hint="eastAsia" w:ascii="宋体" w:hAnsi="宋体" w:eastAsia="宋体" w:cs="@仿宋_GB2312"/>
          <w:b w:val="0"/>
          <w:bCs w:val="0"/>
          <w:kern w:val="2"/>
          <w:sz w:val="24"/>
          <w:szCs w:val="22"/>
          <w:highlight w:val="none"/>
        </w:rPr>
        <w:t>（1）主要设备要求</w:t>
      </w:r>
    </w:p>
    <w:p>
      <w:pPr>
        <w:spacing w:line="360" w:lineRule="auto"/>
        <w:rPr>
          <w:rFonts w:hint="eastAsia" w:ascii="宋体" w:hAnsi="宋体" w:eastAsia="宋体" w:cs="@仿宋_GB2312"/>
          <w:b w:val="0"/>
          <w:bCs w:val="0"/>
          <w:kern w:val="2"/>
          <w:sz w:val="24"/>
          <w:szCs w:val="22"/>
          <w:highlight w:val="none"/>
        </w:rPr>
      </w:pPr>
      <w:r>
        <w:rPr>
          <w:rFonts w:hint="eastAsia" w:ascii="宋体" w:hAnsi="宋体" w:eastAsia="宋体" w:cs="@仿宋_GB2312"/>
          <w:b w:val="0"/>
          <w:bCs w:val="0"/>
          <w:kern w:val="2"/>
          <w:sz w:val="24"/>
          <w:szCs w:val="22"/>
          <w:highlight w:val="none"/>
        </w:rPr>
        <w:t xml:space="preserve"> 本项目主要设施设备（箱变）</w:t>
      </w:r>
      <w:r>
        <w:rPr>
          <w:rFonts w:hint="eastAsia" w:cs="@仿宋_GB2312"/>
          <w:b w:val="0"/>
          <w:bCs w:val="0"/>
          <w:kern w:val="2"/>
          <w:sz w:val="24"/>
          <w:szCs w:val="22"/>
          <w:highlight w:val="none"/>
          <w:lang w:val="en-US" w:eastAsia="zh-CN"/>
        </w:rPr>
        <w:t>须采用</w:t>
      </w:r>
      <w:r>
        <w:rPr>
          <w:rFonts w:hint="eastAsia" w:ascii="宋体" w:hAnsi="宋体" w:eastAsia="宋体" w:cs="@仿宋_GB2312"/>
          <w:b w:val="0"/>
          <w:bCs w:val="0"/>
          <w:kern w:val="2"/>
          <w:sz w:val="24"/>
          <w:szCs w:val="22"/>
          <w:highlight w:val="none"/>
        </w:rPr>
        <w:t>优质产品</w:t>
      </w:r>
      <w:r>
        <w:rPr>
          <w:rFonts w:hint="eastAsia" w:cs="@仿宋_GB2312"/>
          <w:b w:val="0"/>
          <w:bCs w:val="0"/>
          <w:kern w:val="2"/>
          <w:sz w:val="24"/>
          <w:szCs w:val="22"/>
          <w:highlight w:val="none"/>
          <w:lang w:val="en-US" w:eastAsia="zh-CN"/>
        </w:rPr>
        <w:t>以</w:t>
      </w:r>
      <w:r>
        <w:rPr>
          <w:rFonts w:hint="eastAsia" w:ascii="宋体" w:hAnsi="宋体" w:eastAsia="宋体" w:cs="@仿宋_GB2312"/>
          <w:b w:val="0"/>
          <w:bCs w:val="0"/>
          <w:kern w:val="2"/>
          <w:sz w:val="24"/>
          <w:szCs w:val="22"/>
          <w:highlight w:val="none"/>
        </w:rPr>
        <w:t>满足有关标准、规范。</w:t>
      </w:r>
    </w:p>
    <w:p>
      <w:pPr>
        <w:spacing w:line="360" w:lineRule="auto"/>
        <w:rPr>
          <w:rFonts w:hint="eastAsia" w:ascii="宋体" w:hAnsi="宋体" w:eastAsia="宋体" w:cs="@仿宋_GB2312"/>
          <w:b w:val="0"/>
          <w:bCs w:val="0"/>
          <w:kern w:val="2"/>
          <w:sz w:val="24"/>
          <w:szCs w:val="22"/>
          <w:highlight w:val="none"/>
        </w:rPr>
      </w:pPr>
      <w:r>
        <w:rPr>
          <w:rFonts w:hint="eastAsia" w:ascii="宋体" w:hAnsi="宋体" w:eastAsia="宋体" w:cs="@仿宋_GB2312"/>
          <w:b w:val="0"/>
          <w:bCs w:val="0"/>
          <w:kern w:val="2"/>
          <w:sz w:val="24"/>
          <w:szCs w:val="22"/>
          <w:highlight w:val="none"/>
          <w:lang w:eastAsia="zh-CN"/>
        </w:rPr>
        <w:t>（</w:t>
      </w:r>
      <w:r>
        <w:rPr>
          <w:rFonts w:hint="eastAsia" w:ascii="宋体" w:hAnsi="宋体" w:eastAsia="宋体" w:cs="@仿宋_GB2312"/>
          <w:b w:val="0"/>
          <w:bCs w:val="0"/>
          <w:kern w:val="2"/>
          <w:sz w:val="24"/>
          <w:szCs w:val="22"/>
          <w:highlight w:val="none"/>
          <w:lang w:val="en-US" w:eastAsia="zh-CN"/>
        </w:rPr>
        <w:t>2</w:t>
      </w:r>
      <w:r>
        <w:rPr>
          <w:rFonts w:hint="eastAsia" w:ascii="宋体" w:hAnsi="宋体" w:eastAsia="宋体" w:cs="@仿宋_GB2312"/>
          <w:b w:val="0"/>
          <w:bCs w:val="0"/>
          <w:kern w:val="2"/>
          <w:sz w:val="24"/>
          <w:szCs w:val="22"/>
          <w:highlight w:val="none"/>
          <w:lang w:eastAsia="zh-CN"/>
        </w:rPr>
        <w:t>）</w:t>
      </w:r>
      <w:r>
        <w:rPr>
          <w:rFonts w:hint="eastAsia" w:ascii="宋体" w:hAnsi="宋体" w:eastAsia="宋体" w:cs="@仿宋_GB2312"/>
          <w:b w:val="0"/>
          <w:bCs w:val="0"/>
          <w:kern w:val="2"/>
          <w:sz w:val="24"/>
          <w:szCs w:val="22"/>
          <w:highlight w:val="none"/>
          <w:lang w:val="en-US" w:eastAsia="zh-CN"/>
        </w:rPr>
        <w:t>运维平台、</w:t>
      </w:r>
      <w:r>
        <w:rPr>
          <w:rFonts w:hint="eastAsia" w:ascii="宋体" w:hAnsi="宋体" w:eastAsia="宋体" w:cs="@仿宋_GB2312"/>
          <w:b w:val="0"/>
          <w:bCs w:val="0"/>
          <w:kern w:val="2"/>
          <w:sz w:val="24"/>
          <w:szCs w:val="22"/>
          <w:highlight w:val="none"/>
        </w:rPr>
        <w:t>运营平台及系统对接要求</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lang w:val="en-US" w:eastAsia="zh-CN"/>
        </w:rPr>
        <w:t>成交</w:t>
      </w:r>
      <w:r>
        <w:rPr>
          <w:rFonts w:hint="eastAsia" w:ascii="宋体" w:hAnsi="宋体" w:eastAsia="宋体" w:cs="@仿宋_GB2312"/>
          <w:kern w:val="2"/>
          <w:sz w:val="24"/>
          <w:szCs w:val="22"/>
          <w:highlight w:val="none"/>
        </w:rPr>
        <w:t>人需为本项目配备免费使用的充电桩</w:t>
      </w:r>
      <w:r>
        <w:rPr>
          <w:rFonts w:hint="eastAsia" w:ascii="宋体" w:hAnsi="宋体" w:eastAsia="宋体" w:cs="@仿宋_GB2312"/>
          <w:kern w:val="2"/>
          <w:sz w:val="24"/>
          <w:szCs w:val="22"/>
          <w:highlight w:val="none"/>
          <w:lang w:val="en-US" w:eastAsia="zh-CN"/>
        </w:rPr>
        <w:t>运维平台、</w:t>
      </w:r>
      <w:r>
        <w:rPr>
          <w:rFonts w:hint="eastAsia" w:ascii="宋体" w:hAnsi="宋体" w:eastAsia="宋体" w:cs="@仿宋_GB2312"/>
          <w:kern w:val="2"/>
          <w:sz w:val="24"/>
          <w:szCs w:val="22"/>
          <w:highlight w:val="none"/>
        </w:rPr>
        <w:t>运营管理平台，</w:t>
      </w:r>
      <w:r>
        <w:rPr>
          <w:rFonts w:hint="eastAsia" w:ascii="宋体" w:hAnsi="宋体" w:eastAsia="宋体" w:cs="@仿宋_GB2312"/>
          <w:kern w:val="2"/>
          <w:sz w:val="24"/>
          <w:szCs w:val="22"/>
          <w:highlight w:val="none"/>
          <w:lang w:val="en-US" w:eastAsia="zh-CN"/>
        </w:rPr>
        <w:t>永久免费使用（需承诺）</w:t>
      </w:r>
      <w:r>
        <w:rPr>
          <w:rFonts w:hint="eastAsia" w:ascii="宋体" w:hAnsi="宋体" w:eastAsia="宋体" w:cs="@仿宋_GB2312"/>
          <w:kern w:val="2"/>
          <w:sz w:val="24"/>
          <w:szCs w:val="22"/>
          <w:highlight w:val="none"/>
        </w:rPr>
        <w:t>，平台满足运营、运维、财务管理需求；提供系统数据接口，实现与未来规划系统的互联互通；提供后期维护及需求迭代，能够根据新能源行业的发展，向上向下兼容新技术和新的业务场景；提供完善的数据分析能力，通过数字可视化技术实现业务数据的多维分析。</w:t>
      </w:r>
      <w:r>
        <w:rPr>
          <w:rFonts w:hint="eastAsia" w:ascii="宋体" w:hAnsi="宋体" w:eastAsia="宋体" w:cs="@仿宋_GB2312"/>
          <w:kern w:val="2"/>
          <w:sz w:val="24"/>
          <w:szCs w:val="22"/>
          <w:highlight w:val="none"/>
          <w:lang w:val="en-US" w:eastAsia="zh-CN"/>
        </w:rPr>
        <w:t>运营管理平台</w:t>
      </w:r>
      <w:r>
        <w:rPr>
          <w:rFonts w:hint="eastAsia" w:ascii="宋体" w:hAnsi="宋体" w:eastAsia="宋体" w:cs="@仿宋_GB2312"/>
          <w:kern w:val="2"/>
          <w:sz w:val="24"/>
          <w:szCs w:val="22"/>
          <w:highlight w:val="none"/>
        </w:rPr>
        <w:t>需免费实现以下对接功能：</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与“皖小能”平台对接；</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与“合肥充电”对接；</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与安徽省充换电监管平台对接；</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预留接口，根据需求对接其他充电业务平台。</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实施要求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w:t>
      </w:r>
      <w:r>
        <w:rPr>
          <w:rFonts w:hint="eastAsia" w:ascii="宋体" w:hAnsi="宋体" w:eastAsia="宋体" w:cs="@仿宋_GB2312"/>
          <w:kern w:val="2"/>
          <w:sz w:val="24"/>
          <w:szCs w:val="22"/>
          <w:highlight w:val="none"/>
          <w:lang w:val="en-US" w:eastAsia="zh-CN"/>
        </w:rPr>
        <w:t>成交人</w:t>
      </w:r>
      <w:r>
        <w:rPr>
          <w:rFonts w:hint="eastAsia" w:ascii="宋体" w:hAnsi="宋体" w:eastAsia="宋体" w:cs="@仿宋_GB2312"/>
          <w:kern w:val="2"/>
          <w:sz w:val="24"/>
          <w:szCs w:val="22"/>
          <w:highlight w:val="none"/>
        </w:rPr>
        <w:t>成立项目组，人员配置要求：项目经理1名，项目安全负责人1名，项目组成员若干，项目经理至少3年工作经验、安全负责人至少2年工作经验（工作经验自开始缴纳社保起至项目人员进场审查时间，本项内容由</w:t>
      </w:r>
      <w:r>
        <w:rPr>
          <w:rFonts w:hint="eastAsia" w:ascii="宋体" w:hAnsi="宋体" w:eastAsia="宋体" w:cs="@仿宋_GB2312"/>
          <w:kern w:val="2"/>
          <w:sz w:val="24"/>
          <w:szCs w:val="22"/>
          <w:highlight w:val="none"/>
          <w:lang w:val="en-US" w:eastAsia="zh-CN"/>
        </w:rPr>
        <w:t>业主单位</w:t>
      </w:r>
      <w:r>
        <w:rPr>
          <w:rFonts w:hint="eastAsia" w:ascii="宋体" w:hAnsi="宋体" w:eastAsia="宋体" w:cs="@仿宋_GB2312"/>
          <w:kern w:val="2"/>
          <w:sz w:val="24"/>
          <w:szCs w:val="22"/>
          <w:highlight w:val="none"/>
        </w:rPr>
        <w:t>在项目组进场前进行核查，</w:t>
      </w:r>
      <w:r>
        <w:rPr>
          <w:rFonts w:hint="eastAsia" w:ascii="宋体" w:hAnsi="宋体" w:eastAsia="宋体" w:cs="@仿宋_GB2312"/>
          <w:kern w:val="2"/>
          <w:sz w:val="24"/>
          <w:szCs w:val="22"/>
          <w:highlight w:val="none"/>
          <w:lang w:val="en-US" w:eastAsia="zh-CN"/>
        </w:rPr>
        <w:t>参与磋商</w:t>
      </w:r>
      <w:r>
        <w:rPr>
          <w:rFonts w:hint="eastAsia" w:ascii="宋体" w:hAnsi="宋体" w:eastAsia="宋体" w:cs="@仿宋_GB2312"/>
          <w:kern w:val="2"/>
          <w:sz w:val="24"/>
          <w:szCs w:val="22"/>
          <w:highlight w:val="none"/>
        </w:rPr>
        <w:t>时不予以审查）。以上人员不得兼职本项目内其他职务，项目部成员应具有项目需求所涉及的专业资质。</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提供包括不限于项目实施方案、进度计划、用户手册、培训方案、试运行方案、试运行报告、自验报告等资料。</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需要制定项目计划，项目经理对项目进度、质量、风险等采取可度量的措施和手段，按时召开项目例会，所有会议要有签到、会议纪要、待办事项等内容，定期向</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汇报项目进展。</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（4）</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在进场施工前7个日历天必须向监理单位和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提交开工报告，开工报告经监理单位和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审核通过后方可进行施工。若未提交开工报告或开工报告审核未通过，不可进行施工。开工报告内容包括但不限于项目技术方案、施工组织设计、项目进度计划等。</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（5）项目例会</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项目经理和项目安全负责人无故不得缺席。</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项目经理或项目安全负责人因事无法参加项目例会应提前报备至监理单位并指派相应人员参加例会，但</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项目经理和项目安全负责人不得同时缺席，两人必须有一人参加例会。</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（6）项目实施期间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项目经理需提交项目日报、周报汇报项目情况。</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（7）安全施工。</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严格遵守《中华人民共和国安全生产法》、《建设工程安全生产管理条例》及其他相关法律法规的规定，建立安全生产管理机构，配备安全管理人员，制定安全生产责任制等各项规章制度，对关键工程、要害部位、施工现场、主要机械设备进行定期或不定期检查，发现问题及时处理，严查各种违章、违规现象，接受</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监督检查，</w:t>
      </w:r>
      <w:r>
        <w:rPr>
          <w:rFonts w:hint="eastAsia" w:ascii="宋体" w:hAnsi="宋体" w:eastAsia="宋体" w:cs="@仿宋_GB2312"/>
          <w:kern w:val="2"/>
          <w:sz w:val="24"/>
          <w:szCs w:val="22"/>
          <w:highlight w:val="none"/>
          <w:lang w:val="en-US" w:eastAsia="zh-CN"/>
        </w:rPr>
        <w:t>成交</w:t>
      </w:r>
      <w:r>
        <w:rPr>
          <w:rFonts w:hint="eastAsia" w:ascii="宋体" w:hAnsi="宋体" w:eastAsia="宋体" w:cs="@仿宋_GB2312"/>
          <w:kern w:val="2"/>
          <w:sz w:val="24"/>
          <w:szCs w:val="22"/>
          <w:highlight w:val="none"/>
        </w:rPr>
        <w:t>后无条件签订《安全施工责任书》。发现一起安全隐患，扣违约金1000元/次。</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（8）施工人员专项管理。项目施工人员严禁酒后上岗，现场不许赤身、穿拖鞋等，特殊工种操作人员必须持证上岗，严禁打架斗殴、不得偷盗等，</w:t>
      </w:r>
      <w:r>
        <w:rPr>
          <w:rFonts w:hint="eastAsia" w:ascii="宋体" w:hAnsi="宋体" w:eastAsia="宋体" w:cs="@仿宋_GB2312"/>
          <w:kern w:val="2"/>
          <w:sz w:val="24"/>
          <w:szCs w:val="22"/>
          <w:highlight w:val="none"/>
          <w:lang w:eastAsia="zh-CN"/>
        </w:rPr>
        <w:t>成交</w:t>
      </w:r>
      <w:r>
        <w:rPr>
          <w:rFonts w:hint="eastAsia" w:ascii="宋体" w:hAnsi="宋体" w:eastAsia="宋体" w:cs="@仿宋_GB2312"/>
          <w:kern w:val="2"/>
          <w:sz w:val="24"/>
          <w:szCs w:val="22"/>
          <w:highlight w:val="none"/>
        </w:rPr>
        <w:t>后无条件签订《施工人员专项管理责任书》。以上情况发现一起，扣违约金1000元/次。</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（9）项目试运行期间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需派专人进行试运行期间的记录，记录内容包括但不限于设备运行情况、发现的问题、问题解决的办法、解决结果反馈等。</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（10）试运行期结束前7个日历天，</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需将项目验收资料整理完毕，提交监理单位和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进行审核。</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验收要求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本项目验收流程依次为上线试运行、项目验收。</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（1）上线试运行标准要求</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试运行时间不低于一个月。启动试运行条件为项目建成（完成完工报告签署），试运行方案通过建设单位审核，完成用户培训。试运行期间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安排专人驻场进行试运行记录，试运行期间出现的问题需全部解决并经过监理单位和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验收合格后试运行结束，试运行期间所发生的问题均记录在试运行记录内作为项目竣工资料内容。</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（2）项目初验标准要求</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项目按合同内容建设完工，系统试运行结束，</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经自测自验合格且过程资料齐全后提交验收申请至监理单位，监理单位将检查检验后确认项目具备验收条件后向</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和业主单位申请组织验收。</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和业主单位负责邀请相关专家进行验收，并同时邀请其他相关单位参与验收。</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 xml:space="preserve">（3）验收标准包括以下内容 </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a.国家有关法律法规、规章和技术标准；</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b.批准的项目立项文件、设计文件、调整概算文件和项目变更文件等；</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c.项目</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文件、</w:t>
      </w:r>
      <w:r>
        <w:rPr>
          <w:rFonts w:hint="eastAsia" w:ascii="宋体" w:hAnsi="宋体" w:eastAsia="宋体" w:cs="@仿宋_GB2312"/>
          <w:kern w:val="2"/>
          <w:sz w:val="24"/>
          <w:szCs w:val="22"/>
          <w:highlight w:val="none"/>
          <w:lang w:val="en-US" w:eastAsia="zh-CN"/>
        </w:rPr>
        <w:t>参审文件、</w:t>
      </w:r>
      <w:r>
        <w:rPr>
          <w:rFonts w:hint="eastAsia" w:ascii="宋体" w:hAnsi="宋体" w:eastAsia="宋体" w:cs="@仿宋_GB2312"/>
          <w:kern w:val="2"/>
          <w:sz w:val="24"/>
          <w:szCs w:val="22"/>
          <w:highlight w:val="none"/>
        </w:rPr>
        <w:t>合同文件；</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d.包括主要程序、数据和硬件技术说明书等在内的项目实施过程详细技术文件。</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 xml:space="preserve">（4）其他 </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验收产生的专家评审费、检测服务费等费用由</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承担。</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项目培训要求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系统安装调试完毕后，由</w:t>
      </w:r>
      <w:r>
        <w:rPr>
          <w:rFonts w:hint="eastAsia" w:ascii="宋体" w:hAnsi="宋体" w:eastAsia="宋体" w:cs="@仿宋_GB2312"/>
          <w:kern w:val="2"/>
          <w:sz w:val="24"/>
          <w:szCs w:val="22"/>
          <w:highlight w:val="none"/>
          <w:lang w:eastAsia="zh-CN"/>
        </w:rPr>
        <w:t>成交</w:t>
      </w:r>
      <w:r>
        <w:rPr>
          <w:rFonts w:hint="eastAsia" w:ascii="宋体" w:hAnsi="宋体" w:eastAsia="宋体" w:cs="@仿宋_GB2312"/>
          <w:kern w:val="2"/>
          <w:sz w:val="24"/>
          <w:szCs w:val="22"/>
          <w:highlight w:val="none"/>
        </w:rPr>
        <w:t>单位对项目管理、运营人员进行培训，使其能独立进行常规操作，包括产品的操作使用和维护、产品简易的故障判别及排除维修等，并且不收取培训费及资料费。</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运维服务要求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项目通过竣工验收后，</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须为本包采购的软硬件产品提供五年质保，维保期内具体要求如下：</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1.本项目须提供五年的免费运维服务，</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应根据</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的要求前</w:t>
      </w:r>
      <w:r>
        <w:rPr>
          <w:rFonts w:hint="eastAsia" w:ascii="宋体" w:hAnsi="宋体" w:eastAsia="宋体" w:cs="@仿宋_GB2312"/>
          <w:kern w:val="2"/>
          <w:sz w:val="24"/>
          <w:szCs w:val="22"/>
          <w:highlight w:val="none"/>
          <w:lang w:val="en-US" w:eastAsia="zh-CN"/>
        </w:rPr>
        <w:t>2</w:t>
      </w:r>
      <w:r>
        <w:rPr>
          <w:rFonts w:hint="eastAsia" w:ascii="宋体" w:hAnsi="宋体" w:eastAsia="宋体" w:cs="@仿宋_GB2312"/>
          <w:kern w:val="2"/>
          <w:sz w:val="24"/>
          <w:szCs w:val="22"/>
          <w:highlight w:val="none"/>
        </w:rPr>
        <w:t>年提供1名运营维护人员负责运行维护、技术支持、售后服务，按平台数据出具日、周、月运营固定模版运营数据报告，协助对接电力公司开展后续电费报缴等工作，该运营维护人员需服从</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日常管理，若未达到要求，应配合</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进行更换；</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对系统提供故障处理服务。提供7×24小时电话技术支持服务和紧急故障排除，接到业主服务请求后，派专业工程师2小时内到达现场。维保技术人员对故障进行诊断后，按紧急程度不同划分，最迟在4小时提交解决方案。维保技术人员到达现场后需持续工作直到系统正常运行，一般故障应当在4小时内修复；如需等待购买配件或因设备本身等原因不能及时修复的，要立即向业主报告，并采取相应的应急措施，在此期间，系统中断运行不得超过8小时。</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3.应提供针对本项目的技术支持与售后服务方案，该方案中还应包括完整的日常维护工作方案、系统突发事件应急机制和方案，以保证系统的安全稳定运行。</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考核要求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1、项目实施考核</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在进场施工前7个日历天必须向监理单位和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提交开工报告，开工报告经监理单位和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审核通过后方可进行施工。若未提交开工报告或开工报告审核未通过，不可进行施工。开工报告内容包括但不限于施工组织设计、项目进度计划等。若未提交开工报告便进行施工处以违约金1000元。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（2）项目实施期间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项目经理需提交项目周报汇报项目情况。若</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项目经理连续2周不提交项目周报，每次处以违约金500元。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（3）业主单位如核对项目发现未能符合和满足采购文件以及需求确认单内容描述的，每有一处处以违约金500元。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（4）项目试运行期间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需派专人进行试运行期间的记录，记录内容包括但不限于设备运行情况、发现的问题、问题解决的办法、解决结果反馈等。若发现试运行期间记录造假或者未进行记录的，每发现一次处以违约金500元。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（5）试运行期结束后30个日历天，</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需将项目资料整理完毕，提交监理单位和</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进行审核。若项目资料整理未在规定时间内完成，每超出一天处以违约金500元。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（6）建设工期为60日历天，具体为合同签订之日起至项目建设完成（完工报告，项目可以运营）。超出建设工期，每超出一天处以违约金3000元。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（7）建设期应确保工程施工安全，每发生一次安全事故处以违约金2万元。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2.项目运维考核</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（1）每次故障处理结束后，形成处理报告，若无处理报告每次处以违约金500元。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（2）保证系统的安全可靠运行。若未能在规定的时间响应和解决问题，每次处以违约金500元。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（3）系统出现一般问题和故障时，应在2小时内安排专业工程师到场。未能及时到场的，每次处以违约金500元。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（4）提供免费服务期不限次数的远程咨询服务。未能及时响应的，每次处以违约金500元。</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5）系统免费运维期内遇到重大敏感时期，重大自然灾害和安全生产事故发生，以及系统出现紧急故障和问题时。运维单位须随时按照业主要求增派运维人员，无条件、免费提供售后服务，1小时内到达现场，若上述情况出现时，运维期间运维单位不能响应则每次以合同价为基数按 1 %计算违约金。</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所有权要求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本项目建设实施过程中涉及的所有数据，形成的数据产权、所有权、加工权归</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所有，未经</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书面许可，</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不得因本项目之委托事项以外的原因提供给第三方使用。</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对使用第三方产品的要求:</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应向</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提供所购买第三方产品或服务的相关购买证明，且第三方产品或服务应授权给</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应向</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提供第三方产品或服务的使用说明等技术文件和资料。</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团队要求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为本项目成立专业团队人员，在项目通过验收前，未经</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同意，不得更换项目经理；如经</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同意更换项目经理的，需安排经</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认可的同等档次人员担任。项目建设期间，</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须为该项目配备专业的本地化实施团队。</w:t>
      </w:r>
    </w:p>
    <w:p>
      <w:pPr>
        <w:spacing w:line="360" w:lineRule="auto"/>
        <w:rPr>
          <w:rFonts w:hint="eastAsia" w:ascii="宋体" w:hAnsi="宋体" w:eastAsia="宋体" w:cs="@仿宋_GB2312"/>
          <w:b/>
          <w:bCs/>
          <w:kern w:val="2"/>
          <w:sz w:val="24"/>
          <w:szCs w:val="22"/>
          <w:highlight w:val="none"/>
          <w:lang w:eastAsia="zh-CN"/>
        </w:rPr>
      </w:pPr>
      <w:r>
        <w:rPr>
          <w:rFonts w:hint="eastAsia" w:ascii="宋体" w:hAnsi="宋体" w:eastAsia="宋体" w:cs="@仿宋_GB2312"/>
          <w:b/>
          <w:bCs/>
          <w:kern w:val="2"/>
          <w:sz w:val="24"/>
          <w:szCs w:val="22"/>
          <w:highlight w:val="none"/>
        </w:rPr>
        <w:t>其他要求</w:t>
      </w:r>
      <w:r>
        <w:rPr>
          <w:rFonts w:hint="eastAsia" w:ascii="宋体" w:hAnsi="宋体" w:eastAsia="宋体" w:cs="@仿宋_GB2312"/>
          <w:b/>
          <w:bCs/>
          <w:kern w:val="2"/>
          <w:sz w:val="24"/>
          <w:szCs w:val="22"/>
          <w:highlight w:val="none"/>
          <w:lang w:eastAsia="zh-CN"/>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本项目须严格按照行业标准及</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文件要求组织实施，具体实施内容及相关质量要求满足项目采购需求，相关标准、规程、规范和方案之间如有矛盾，以要求较高或</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的解释为准。</w:t>
      </w:r>
    </w:p>
    <w:p>
      <w:pPr>
        <w:numPr>
          <w:ilvl w:val="0"/>
          <w:numId w:val="0"/>
        </w:numPr>
        <w:spacing w:line="360" w:lineRule="auto"/>
        <w:jc w:val="left"/>
        <w:outlineLvl w:val="0"/>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三、报价要求</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1</w:t>
      </w:r>
      <w:r>
        <w:rPr>
          <w:rFonts w:hint="eastAsia" w:ascii="宋体" w:hAnsi="宋体" w:eastAsia="宋体" w:cs="@仿宋_GB2312"/>
          <w:kern w:val="2"/>
          <w:sz w:val="24"/>
          <w:szCs w:val="22"/>
          <w:highlight w:val="none"/>
        </w:rPr>
        <w:t>）项目总报价包含完成本项目产生的一切费用。</w:t>
      </w:r>
      <w:r>
        <w:rPr>
          <w:rFonts w:hint="eastAsia" w:ascii="宋体" w:hAnsi="宋体" w:eastAsia="宋体" w:cs="@仿宋_GB2312"/>
          <w:kern w:val="2"/>
          <w:sz w:val="24"/>
          <w:szCs w:val="22"/>
          <w:highlight w:val="none"/>
          <w:lang w:eastAsia="zh-CN"/>
        </w:rPr>
        <w:t>成交</w:t>
      </w:r>
      <w:r>
        <w:rPr>
          <w:rFonts w:hint="eastAsia" w:ascii="宋体" w:hAnsi="宋体" w:eastAsia="宋体" w:cs="@仿宋_GB2312"/>
          <w:kern w:val="2"/>
          <w:sz w:val="24"/>
          <w:szCs w:val="22"/>
          <w:highlight w:val="none"/>
        </w:rPr>
        <w:t>单位后期不得以任何理由向本公司追加费用，</w:t>
      </w:r>
      <w:r>
        <w:rPr>
          <w:rFonts w:hint="eastAsia" w:ascii="宋体" w:hAnsi="宋体" w:eastAsia="宋体" w:cs="@仿宋_GB2312"/>
          <w:kern w:val="2"/>
          <w:sz w:val="24"/>
          <w:szCs w:val="22"/>
          <w:highlight w:val="none"/>
          <w:lang w:eastAsia="zh-CN"/>
        </w:rPr>
        <w:t>参审单位</w:t>
      </w:r>
      <w:r>
        <w:rPr>
          <w:rFonts w:hint="eastAsia" w:ascii="宋体" w:hAnsi="宋体" w:eastAsia="宋体" w:cs="@仿宋_GB2312"/>
          <w:kern w:val="2"/>
          <w:sz w:val="24"/>
          <w:szCs w:val="22"/>
          <w:highlight w:val="none"/>
        </w:rPr>
        <w:t>报价时应综合考虑报价风险。</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2</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eastAsia="zh-CN"/>
        </w:rPr>
        <w:t>参审单位</w:t>
      </w:r>
      <w:r>
        <w:rPr>
          <w:rFonts w:hint="eastAsia" w:ascii="宋体" w:hAnsi="宋体" w:eastAsia="宋体" w:cs="@仿宋_GB2312"/>
          <w:kern w:val="2"/>
          <w:sz w:val="24"/>
          <w:szCs w:val="22"/>
          <w:highlight w:val="none"/>
        </w:rPr>
        <w:t>不得以低于成本的报价</w:t>
      </w:r>
      <w:r>
        <w:rPr>
          <w:rFonts w:hint="eastAsia" w:ascii="宋体" w:hAnsi="宋体" w:eastAsia="宋体" w:cs="@仿宋_GB2312"/>
          <w:kern w:val="2"/>
          <w:sz w:val="24"/>
          <w:szCs w:val="22"/>
          <w:highlight w:val="none"/>
          <w:lang w:val="en-US" w:eastAsia="zh-CN"/>
        </w:rPr>
        <w:t>参与磋商</w:t>
      </w:r>
      <w:r>
        <w:rPr>
          <w:rFonts w:hint="eastAsia" w:ascii="宋体" w:hAnsi="宋体" w:eastAsia="宋体" w:cs="@仿宋_GB2312"/>
          <w:kern w:val="2"/>
          <w:sz w:val="24"/>
          <w:szCs w:val="22"/>
          <w:highlight w:val="none"/>
        </w:rPr>
        <w:t>，报价明显不合理或者低于成本，有可能影响服务质量和不能诚信履约的，</w:t>
      </w:r>
      <w:r>
        <w:rPr>
          <w:rFonts w:hint="eastAsia" w:ascii="宋体" w:hAnsi="宋体" w:eastAsia="宋体" w:cs="@仿宋_GB2312"/>
          <w:kern w:val="2"/>
          <w:sz w:val="24"/>
          <w:szCs w:val="22"/>
          <w:highlight w:val="none"/>
          <w:lang w:eastAsia="zh-CN"/>
        </w:rPr>
        <w:t>磋商小组</w:t>
      </w:r>
      <w:r>
        <w:rPr>
          <w:rFonts w:hint="eastAsia" w:ascii="宋体" w:hAnsi="宋体" w:eastAsia="宋体" w:cs="@仿宋_GB2312"/>
          <w:kern w:val="2"/>
          <w:sz w:val="24"/>
          <w:szCs w:val="22"/>
          <w:highlight w:val="none"/>
        </w:rPr>
        <w:t>应当否决其</w:t>
      </w:r>
      <w:r>
        <w:rPr>
          <w:rFonts w:hint="eastAsia" w:ascii="宋体" w:hAnsi="宋体" w:eastAsia="宋体" w:cs="@仿宋_GB2312"/>
          <w:kern w:val="2"/>
          <w:sz w:val="24"/>
          <w:szCs w:val="22"/>
          <w:highlight w:val="none"/>
          <w:lang w:val="en-US" w:eastAsia="zh-CN"/>
        </w:rPr>
        <w:t>参审文件</w:t>
      </w:r>
      <w:r>
        <w:rPr>
          <w:rFonts w:hint="eastAsia" w:ascii="宋体" w:hAnsi="宋体" w:eastAsia="宋体" w:cs="@仿宋_GB2312"/>
          <w:kern w:val="2"/>
          <w:sz w:val="24"/>
          <w:szCs w:val="22"/>
          <w:highlight w:val="none"/>
        </w:rPr>
        <w:t>，从其余</w:t>
      </w:r>
      <w:r>
        <w:rPr>
          <w:rFonts w:hint="eastAsia" w:ascii="宋体" w:hAnsi="宋体" w:eastAsia="宋体" w:cs="@仿宋_GB2312"/>
          <w:kern w:val="2"/>
          <w:sz w:val="24"/>
          <w:szCs w:val="22"/>
          <w:highlight w:val="none"/>
          <w:lang w:eastAsia="zh-CN"/>
        </w:rPr>
        <w:t>成交</w:t>
      </w:r>
      <w:r>
        <w:rPr>
          <w:rFonts w:hint="eastAsia" w:ascii="宋体" w:hAnsi="宋体" w:eastAsia="宋体" w:cs="@仿宋_GB2312"/>
          <w:kern w:val="2"/>
          <w:sz w:val="24"/>
          <w:szCs w:val="22"/>
          <w:highlight w:val="none"/>
          <w:lang w:val="en-US" w:eastAsia="zh-CN"/>
        </w:rPr>
        <w:t>候选</w:t>
      </w:r>
      <w:r>
        <w:rPr>
          <w:rFonts w:hint="eastAsia" w:ascii="宋体" w:hAnsi="宋体" w:eastAsia="宋体" w:cs="@仿宋_GB2312"/>
          <w:kern w:val="2"/>
          <w:sz w:val="24"/>
          <w:szCs w:val="22"/>
          <w:highlight w:val="none"/>
          <w:lang w:eastAsia="zh-CN"/>
        </w:rPr>
        <w:t>人</w:t>
      </w:r>
      <w:r>
        <w:rPr>
          <w:rFonts w:hint="eastAsia" w:ascii="宋体" w:hAnsi="宋体" w:eastAsia="宋体" w:cs="@仿宋_GB2312"/>
          <w:kern w:val="2"/>
          <w:sz w:val="24"/>
          <w:szCs w:val="22"/>
          <w:highlight w:val="none"/>
        </w:rPr>
        <w:t>中重新确定</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或依法重新</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3</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eastAsia="zh-CN"/>
        </w:rPr>
        <w:t>参审单位</w:t>
      </w:r>
      <w:r>
        <w:rPr>
          <w:rFonts w:hint="eastAsia" w:ascii="宋体" w:hAnsi="宋体" w:eastAsia="宋体" w:cs="@仿宋_GB2312"/>
          <w:kern w:val="2"/>
          <w:sz w:val="24"/>
          <w:szCs w:val="22"/>
          <w:highlight w:val="none"/>
        </w:rPr>
        <w:t>的报价应当包括满足本次</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全部采购需求所应提供的服务，以及伴随的货物和工程。所有</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报价均应以人民币</w:t>
      </w:r>
      <w:r>
        <w:rPr>
          <w:rFonts w:hint="eastAsia" w:ascii="宋体" w:hAnsi="宋体" w:eastAsia="宋体" w:cs="@仿宋_GB2312"/>
          <w:kern w:val="2"/>
          <w:sz w:val="24"/>
          <w:szCs w:val="22"/>
          <w:highlight w:val="none"/>
          <w:lang w:val="en-US" w:eastAsia="zh-CN"/>
        </w:rPr>
        <w:t>为单位，</w:t>
      </w:r>
      <w:r>
        <w:rPr>
          <w:rFonts w:hint="eastAsia" w:ascii="宋体" w:hAnsi="宋体" w:eastAsia="宋体" w:cs="@仿宋_GB2312"/>
          <w:kern w:val="2"/>
          <w:sz w:val="24"/>
          <w:szCs w:val="22"/>
          <w:highlight w:val="none"/>
          <w:lang w:eastAsia="zh-CN"/>
        </w:rPr>
        <w:t>成交人</w:t>
      </w:r>
      <w:r>
        <w:rPr>
          <w:rFonts w:hint="eastAsia" w:ascii="宋体" w:hAnsi="宋体" w:eastAsia="宋体" w:cs="@仿宋_GB2312"/>
          <w:kern w:val="2"/>
          <w:sz w:val="24"/>
          <w:szCs w:val="22"/>
          <w:highlight w:val="none"/>
        </w:rPr>
        <w:t>的</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报价应遵守《中华人民共和国价格法》。</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4</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eastAsia="zh-CN"/>
        </w:rPr>
        <w:t>参审单位</w:t>
      </w:r>
      <w:r>
        <w:rPr>
          <w:rFonts w:hint="eastAsia" w:ascii="宋体" w:hAnsi="宋体" w:eastAsia="宋体" w:cs="@仿宋_GB2312"/>
          <w:kern w:val="2"/>
          <w:sz w:val="24"/>
          <w:szCs w:val="22"/>
          <w:highlight w:val="none"/>
        </w:rPr>
        <w:t>报价超过</w:t>
      </w:r>
      <w:r>
        <w:rPr>
          <w:rFonts w:hint="eastAsia" w:ascii="宋体" w:hAnsi="宋体" w:eastAsia="宋体" w:cs="@仿宋_GB2312"/>
          <w:kern w:val="2"/>
          <w:sz w:val="24"/>
          <w:szCs w:val="22"/>
          <w:highlight w:val="none"/>
          <w:lang w:eastAsia="zh-CN"/>
        </w:rPr>
        <w:t>磋商文件</w:t>
      </w:r>
      <w:r>
        <w:rPr>
          <w:rFonts w:hint="eastAsia" w:ascii="宋体" w:hAnsi="宋体" w:eastAsia="宋体" w:cs="@仿宋_GB2312"/>
          <w:kern w:val="2"/>
          <w:sz w:val="24"/>
          <w:szCs w:val="22"/>
          <w:highlight w:val="none"/>
        </w:rPr>
        <w:t>规定的预算金额，其</w:t>
      </w:r>
      <w:r>
        <w:rPr>
          <w:rFonts w:hint="eastAsia" w:ascii="宋体" w:hAnsi="宋体" w:eastAsia="宋体" w:cs="@仿宋_GB2312"/>
          <w:kern w:val="2"/>
          <w:sz w:val="24"/>
          <w:szCs w:val="22"/>
          <w:highlight w:val="none"/>
          <w:lang w:val="en-US" w:eastAsia="zh-CN"/>
        </w:rPr>
        <w:t>参审文件将被否决</w:t>
      </w:r>
      <w:r>
        <w:rPr>
          <w:rFonts w:hint="eastAsia" w:ascii="宋体" w:hAnsi="宋体" w:eastAsia="宋体" w:cs="@仿宋_GB2312"/>
          <w:kern w:val="2"/>
          <w:sz w:val="24"/>
          <w:szCs w:val="22"/>
          <w:highlight w:val="none"/>
        </w:rPr>
        <w:t>。</w:t>
      </w:r>
    </w:p>
    <w:p>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5</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磋商</w:t>
      </w:r>
      <w:r>
        <w:rPr>
          <w:rFonts w:hint="eastAsia" w:ascii="宋体" w:hAnsi="宋体" w:eastAsia="宋体" w:cs="@仿宋_GB2312"/>
          <w:kern w:val="2"/>
          <w:sz w:val="24"/>
          <w:szCs w:val="22"/>
          <w:highlight w:val="none"/>
        </w:rPr>
        <w:t>报价在合同履行过程中是固定不变的，不得以任何理由予以变更。任何包含价格调整要求的</w:t>
      </w:r>
      <w:r>
        <w:rPr>
          <w:rFonts w:hint="eastAsia" w:ascii="宋体" w:hAnsi="宋体" w:eastAsia="宋体" w:cs="@仿宋_GB2312"/>
          <w:kern w:val="2"/>
          <w:sz w:val="24"/>
          <w:szCs w:val="22"/>
          <w:highlight w:val="none"/>
          <w:lang w:val="en-US" w:eastAsia="zh-CN"/>
        </w:rPr>
        <w:t>磋商文件均视作无效</w:t>
      </w:r>
      <w:r>
        <w:rPr>
          <w:rFonts w:hint="eastAsia" w:ascii="宋体" w:hAnsi="宋体" w:eastAsia="宋体" w:cs="@仿宋_GB2312"/>
          <w:kern w:val="2"/>
          <w:sz w:val="24"/>
          <w:szCs w:val="22"/>
          <w:highlight w:val="none"/>
        </w:rPr>
        <w:t>。</w:t>
      </w:r>
    </w:p>
    <w:p>
      <w:pPr>
        <w:spacing w:line="360" w:lineRule="auto"/>
        <w:rPr>
          <w:rFonts w:hint="eastAsia"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val="en-US" w:eastAsia="zh-CN"/>
        </w:rPr>
        <w:t>6</w:t>
      </w:r>
      <w:r>
        <w:rPr>
          <w:rFonts w:hint="eastAsia" w:ascii="宋体" w:hAnsi="宋体" w:eastAsia="宋体" w:cs="@仿宋_GB2312"/>
          <w:kern w:val="2"/>
          <w:sz w:val="24"/>
          <w:szCs w:val="22"/>
          <w:highlight w:val="none"/>
        </w:rPr>
        <w:t>）</w:t>
      </w:r>
      <w:r>
        <w:rPr>
          <w:rFonts w:hint="eastAsia" w:ascii="宋体" w:hAnsi="宋体" w:eastAsia="宋体" w:cs="@仿宋_GB2312"/>
          <w:kern w:val="2"/>
          <w:sz w:val="24"/>
          <w:szCs w:val="22"/>
          <w:highlight w:val="none"/>
          <w:lang w:eastAsia="zh-CN"/>
        </w:rPr>
        <w:t>业主单位</w:t>
      </w:r>
      <w:r>
        <w:rPr>
          <w:rFonts w:hint="eastAsia" w:ascii="宋体" w:hAnsi="宋体" w:eastAsia="宋体" w:cs="@仿宋_GB2312"/>
          <w:kern w:val="2"/>
          <w:sz w:val="24"/>
          <w:szCs w:val="22"/>
          <w:highlight w:val="none"/>
        </w:rPr>
        <w:t>不接受具有附加条件的报价。</w:t>
      </w:r>
      <w:r>
        <w:rPr>
          <w:rFonts w:hint="eastAsia" w:ascii="宋体" w:hAnsi="宋体" w:eastAsia="宋体" w:cs="@仿宋_GB2312"/>
          <w:kern w:val="2"/>
          <w:sz w:val="24"/>
          <w:szCs w:val="22"/>
          <w:highlight w:val="none"/>
          <w:lang w:val="en-US" w:eastAsia="zh-CN"/>
        </w:rPr>
        <w:br w:type="page"/>
      </w:r>
    </w:p>
    <w:p>
      <w:pPr>
        <w:spacing w:line="360" w:lineRule="auto"/>
        <w:ind w:firstLine="562" w:firstLineChars="200"/>
        <w:jc w:val="center"/>
        <w:rPr>
          <w:b/>
          <w:sz w:val="28"/>
          <w:highlight w:val="none"/>
        </w:rPr>
      </w:pPr>
      <w:r>
        <w:rPr>
          <w:rFonts w:hint="eastAsia"/>
          <w:b/>
          <w:sz w:val="28"/>
          <w:highlight w:val="none"/>
        </w:rPr>
        <w:t>第四章  评审方法和标准</w:t>
      </w:r>
      <w:bookmarkEnd w:id="23"/>
    </w:p>
    <w:p>
      <w:pPr>
        <w:spacing w:line="360" w:lineRule="auto"/>
        <w:ind w:firstLine="437"/>
        <w:outlineLvl w:val="1"/>
        <w:rPr>
          <w:b/>
          <w:sz w:val="24"/>
          <w:highlight w:val="none"/>
        </w:rPr>
      </w:pPr>
      <w:bookmarkStart w:id="24" w:name="_Toc19546"/>
      <w:r>
        <w:rPr>
          <w:rFonts w:hint="eastAsia"/>
          <w:b/>
          <w:sz w:val="24"/>
          <w:highlight w:val="none"/>
        </w:rPr>
        <w:t>一、总则</w:t>
      </w:r>
      <w:bookmarkEnd w:id="24"/>
    </w:p>
    <w:p>
      <w:pPr>
        <w:spacing w:line="360" w:lineRule="auto"/>
        <w:ind w:firstLine="435"/>
        <w:rPr>
          <w:sz w:val="24"/>
          <w:highlight w:val="none"/>
        </w:rPr>
      </w:pPr>
      <w:r>
        <w:rPr>
          <w:rFonts w:hint="eastAsia"/>
          <w:sz w:val="24"/>
          <w:highlight w:val="none"/>
        </w:rPr>
        <w:t xml:space="preserve">本项目将按照磋商文件第二章 </w:t>
      </w:r>
      <w:r>
        <w:rPr>
          <w:rFonts w:hint="eastAsia"/>
          <w:sz w:val="24"/>
          <w:szCs w:val="18"/>
          <w:highlight w:val="none"/>
        </w:rPr>
        <w:t>参审单位</w:t>
      </w:r>
      <w:r>
        <w:rPr>
          <w:rFonts w:hint="eastAsia"/>
          <w:sz w:val="24"/>
          <w:highlight w:val="none"/>
        </w:rPr>
        <w:t>须知的相关要求</w:t>
      </w:r>
      <w:r>
        <w:rPr>
          <w:sz w:val="24"/>
          <w:highlight w:val="none"/>
        </w:rPr>
        <w:t>及本章的规定</w:t>
      </w:r>
      <w:r>
        <w:rPr>
          <w:rFonts w:hint="eastAsia"/>
          <w:sz w:val="24"/>
          <w:highlight w:val="none"/>
        </w:rPr>
        <w:t>评审</w:t>
      </w:r>
      <w:r>
        <w:rPr>
          <w:sz w:val="24"/>
          <w:highlight w:val="none"/>
        </w:rPr>
        <w:t>。</w:t>
      </w:r>
    </w:p>
    <w:p>
      <w:pPr>
        <w:spacing w:line="360" w:lineRule="auto"/>
        <w:ind w:firstLine="437"/>
        <w:outlineLvl w:val="1"/>
        <w:rPr>
          <w:b/>
          <w:sz w:val="24"/>
          <w:highlight w:val="none"/>
        </w:rPr>
      </w:pPr>
      <w:bookmarkStart w:id="25" w:name="_Toc4201"/>
      <w:r>
        <w:rPr>
          <w:rFonts w:hint="eastAsia"/>
          <w:b/>
          <w:sz w:val="24"/>
          <w:highlight w:val="none"/>
        </w:rPr>
        <w:t>二、评审方法</w:t>
      </w:r>
      <w:bookmarkEnd w:id="25"/>
    </w:p>
    <w:p>
      <w:pPr>
        <w:spacing w:line="360" w:lineRule="auto"/>
        <w:ind w:firstLine="435"/>
        <w:outlineLvl w:val="2"/>
        <w:rPr>
          <w:sz w:val="24"/>
          <w:highlight w:val="none"/>
        </w:rPr>
      </w:pPr>
      <w:r>
        <w:rPr>
          <w:rFonts w:hint="eastAsia"/>
          <w:sz w:val="24"/>
          <w:highlight w:val="none"/>
        </w:rPr>
        <w:t>2.1初审</w:t>
      </w:r>
    </w:p>
    <w:p>
      <w:pPr>
        <w:spacing w:line="360" w:lineRule="auto"/>
        <w:ind w:firstLine="435"/>
        <w:rPr>
          <w:sz w:val="24"/>
          <w:highlight w:val="none"/>
        </w:rPr>
      </w:pPr>
      <w:r>
        <w:rPr>
          <w:rFonts w:hint="eastAsia"/>
          <w:sz w:val="24"/>
          <w:highlight w:val="none"/>
        </w:rPr>
        <w:t>磋商小组对</w:t>
      </w:r>
      <w:r>
        <w:rPr>
          <w:rFonts w:hint="eastAsia"/>
          <w:sz w:val="24"/>
          <w:szCs w:val="18"/>
          <w:highlight w:val="none"/>
        </w:rPr>
        <w:t>参审单位</w:t>
      </w:r>
      <w:r>
        <w:rPr>
          <w:rFonts w:hint="eastAsia"/>
          <w:sz w:val="24"/>
          <w:highlight w:val="none"/>
        </w:rPr>
        <w:t>的响应文件进行初审，以确定其是否满足磋商文件的实质性要求。初审表如下：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pPr>
              <w:adjustRightInd w:val="0"/>
              <w:snapToGrid w:val="0"/>
              <w:spacing w:line="360" w:lineRule="auto"/>
              <w:ind w:right="-10"/>
              <w:jc w:val="center"/>
              <w:rPr>
                <w:b/>
                <w:sz w:val="24"/>
                <w:highlight w:val="none"/>
              </w:rPr>
            </w:pPr>
            <w:r>
              <w:rPr>
                <w:rFonts w:hint="eastAsia"/>
                <w:b/>
                <w:sz w:val="24"/>
                <w:highlight w:val="none"/>
              </w:rPr>
              <w:t>项目初审表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adjustRightInd w:val="0"/>
              <w:snapToGrid w:val="0"/>
              <w:spacing w:line="360" w:lineRule="auto"/>
              <w:ind w:right="-10"/>
              <w:jc w:val="center"/>
              <w:rPr>
                <w:b/>
                <w:sz w:val="24"/>
                <w:highlight w:val="none"/>
              </w:rPr>
            </w:pPr>
            <w:r>
              <w:rPr>
                <w:rFonts w:hint="eastAsia"/>
                <w:b/>
                <w:sz w:val="24"/>
                <w:highlight w:val="none"/>
              </w:rPr>
              <w:t>序号</w:t>
            </w:r>
          </w:p>
        </w:tc>
        <w:tc>
          <w:tcPr>
            <w:tcW w:w="1657" w:type="dxa"/>
            <w:tcBorders>
              <w:bottom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b/>
                <w:kern w:val="2"/>
                <w:szCs w:val="24"/>
                <w:highlight w:val="none"/>
              </w:rPr>
            </w:pPr>
            <w:r>
              <w:rPr>
                <w:rFonts w:hint="eastAsia"/>
                <w:b/>
                <w:kern w:val="2"/>
                <w:szCs w:val="24"/>
                <w:highlight w:val="none"/>
              </w:rPr>
              <w:t>评审指标</w:t>
            </w:r>
          </w:p>
        </w:tc>
        <w:tc>
          <w:tcPr>
            <w:tcW w:w="6149" w:type="dxa"/>
            <w:tcBorders>
              <w:bottom w:val="single" w:color="auto" w:sz="4" w:space="0"/>
            </w:tcBorders>
            <w:vAlign w:val="center"/>
          </w:tcPr>
          <w:p>
            <w:pPr>
              <w:adjustRightInd w:val="0"/>
              <w:snapToGrid w:val="0"/>
              <w:spacing w:line="360" w:lineRule="auto"/>
              <w:ind w:right="-10"/>
              <w:jc w:val="center"/>
              <w:rPr>
                <w:b/>
                <w:sz w:val="24"/>
                <w:highlight w:val="none"/>
              </w:rPr>
            </w:pPr>
            <w:r>
              <w:rPr>
                <w:rFonts w:hint="eastAsia"/>
                <w:b/>
                <w:sz w:val="24"/>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pStyle w:val="42"/>
              <w:numPr>
                <w:ilvl w:val="0"/>
                <w:numId w:val="4"/>
              </w:numPr>
              <w:adjustRightInd w:val="0"/>
              <w:snapToGrid w:val="0"/>
              <w:spacing w:line="360" w:lineRule="auto"/>
              <w:ind w:right="-10" w:firstLineChars="0"/>
              <w:jc w:val="both"/>
              <w:rPr>
                <w:sz w:val="24"/>
                <w:highlight w:val="none"/>
              </w:rPr>
            </w:pPr>
          </w:p>
        </w:tc>
        <w:tc>
          <w:tcPr>
            <w:tcW w:w="1657" w:type="dxa"/>
            <w:tcBorders>
              <w:bottom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营业执照</w:t>
            </w:r>
          </w:p>
        </w:tc>
        <w:tc>
          <w:tcPr>
            <w:tcW w:w="6149" w:type="dxa"/>
            <w:tcBorders>
              <w:bottom w:val="single" w:color="auto" w:sz="4" w:space="0"/>
            </w:tcBorders>
            <w:vAlign w:val="center"/>
          </w:tcPr>
          <w:p>
            <w:pPr>
              <w:adjustRightInd w:val="0"/>
              <w:snapToGrid w:val="0"/>
              <w:spacing w:line="360" w:lineRule="auto"/>
              <w:ind w:right="-10"/>
              <w:jc w:val="left"/>
              <w:rPr>
                <w:sz w:val="24"/>
                <w:highlight w:val="none"/>
              </w:rPr>
            </w:pPr>
            <w:r>
              <w:rPr>
                <w:rFonts w:hint="eastAsia"/>
                <w:sz w:val="24"/>
                <w:highlight w:val="none"/>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资质证书</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提供满足</w:t>
            </w:r>
            <w:r>
              <w:rPr>
                <w:rFonts w:hint="eastAsia"/>
                <w:sz w:val="24"/>
                <w:szCs w:val="18"/>
                <w:highlight w:val="none"/>
              </w:rPr>
              <w:t>参审单位</w:t>
            </w:r>
            <w:r>
              <w:rPr>
                <w:rFonts w:hint="eastAsia"/>
                <w:sz w:val="24"/>
                <w:highlight w:val="none"/>
              </w:rPr>
              <w:t>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安全生产许可证</w:t>
            </w:r>
          </w:p>
        </w:tc>
        <w:tc>
          <w:tcPr>
            <w:tcW w:w="6149" w:type="dxa"/>
            <w:vAlign w:val="center"/>
          </w:tcPr>
          <w:p>
            <w:pPr>
              <w:spacing w:line="360" w:lineRule="auto"/>
              <w:jc w:val="left"/>
              <w:rPr>
                <w:sz w:val="24"/>
                <w:highlight w:val="none"/>
              </w:rPr>
            </w:pPr>
            <w:r>
              <w:rPr>
                <w:rFonts w:hint="eastAsia"/>
                <w:sz w:val="24"/>
                <w:highlight w:val="none"/>
              </w:rPr>
              <w:t>提供有效的安全生产许可证扫描件。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项目经理</w:t>
            </w:r>
          </w:p>
        </w:tc>
        <w:tc>
          <w:tcPr>
            <w:tcW w:w="6149" w:type="dxa"/>
            <w:vAlign w:val="center"/>
          </w:tcPr>
          <w:p>
            <w:pPr>
              <w:adjustRightInd w:val="0"/>
              <w:snapToGrid w:val="0"/>
              <w:spacing w:line="360" w:lineRule="auto"/>
              <w:ind w:right="-10"/>
              <w:jc w:val="left"/>
              <w:rPr>
                <w:rFonts w:hint="eastAsia" w:eastAsia="宋体"/>
                <w:sz w:val="24"/>
                <w:highlight w:val="none"/>
                <w:lang w:eastAsia="zh-CN"/>
              </w:rPr>
            </w:pPr>
            <w:r>
              <w:rPr>
                <w:rFonts w:hint="eastAsia"/>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承诺函</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highlight w:val="none"/>
              </w:rPr>
            </w:pPr>
            <w:r>
              <w:rPr>
                <w:rFonts w:hint="eastAsia"/>
                <w:highlight w:val="none"/>
              </w:rPr>
              <w:t>磋商文件获取情况</w:t>
            </w:r>
          </w:p>
        </w:tc>
        <w:tc>
          <w:tcPr>
            <w:tcW w:w="6149" w:type="dxa"/>
            <w:vAlign w:val="center"/>
          </w:tcPr>
          <w:p>
            <w:pPr>
              <w:adjustRightInd w:val="0"/>
              <w:spacing w:line="360" w:lineRule="auto"/>
              <w:jc w:val="left"/>
              <w:rPr>
                <w:sz w:val="24"/>
                <w:highlight w:val="none"/>
              </w:rPr>
            </w:pPr>
            <w:r>
              <w:rPr>
                <w:rFonts w:hint="eastAsia" w:cs="宋体"/>
                <w:sz w:val="24"/>
                <w:szCs w:val="24"/>
                <w:highlight w:val="none"/>
              </w:rPr>
              <w:t>未在磋商文件获取截止时间前完成磋商文件规定获取手续的，其响应无效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磋商保证金</w:t>
            </w:r>
          </w:p>
        </w:tc>
        <w:tc>
          <w:tcPr>
            <w:tcW w:w="6149" w:type="dxa"/>
            <w:vAlign w:val="center"/>
          </w:tcPr>
          <w:p>
            <w:pPr>
              <w:spacing w:line="360" w:lineRule="auto"/>
              <w:jc w:val="left"/>
              <w:rPr>
                <w:sz w:val="24"/>
                <w:highlight w:val="none"/>
              </w:rPr>
            </w:pPr>
            <w:r>
              <w:rPr>
                <w:rFonts w:hint="eastAsia"/>
                <w:sz w:val="24"/>
                <w:highlight w:val="none"/>
              </w:rPr>
              <w:t>符合磋商文件要求。</w:t>
            </w:r>
          </w:p>
          <w:p>
            <w:pPr>
              <w:spacing w:line="360" w:lineRule="auto"/>
              <w:jc w:val="left"/>
              <w:rPr>
                <w:sz w:val="24"/>
                <w:highlight w:val="none"/>
              </w:rPr>
            </w:pPr>
            <w:r>
              <w:rPr>
                <w:rFonts w:hint="eastAsia"/>
                <w:b/>
                <w:bCs/>
                <w:sz w:val="24"/>
                <w:highlight w:val="none"/>
              </w:rPr>
              <w:t>备注</w:t>
            </w:r>
            <w:r>
              <w:rPr>
                <w:b/>
                <w:bCs/>
                <w:sz w:val="24"/>
                <w:highlight w:val="none"/>
              </w:rPr>
              <w:t>：</w:t>
            </w:r>
            <w:r>
              <w:rPr>
                <w:rFonts w:hint="eastAsia"/>
                <w:b/>
                <w:sz w:val="24"/>
                <w:szCs w:val="18"/>
                <w:highlight w:val="none"/>
              </w:rPr>
              <w:t>参审单位</w:t>
            </w:r>
            <w:r>
              <w:rPr>
                <w:rFonts w:hint="eastAsia" w:cs="宋体"/>
                <w:b/>
                <w:bCs/>
                <w:sz w:val="24"/>
                <w:szCs w:val="24"/>
                <w:highlight w:val="none"/>
              </w:rPr>
              <w:t>须知前附表及</w:t>
            </w:r>
            <w:r>
              <w:rPr>
                <w:rFonts w:hint="eastAsia"/>
                <w:b/>
                <w:sz w:val="24"/>
                <w:szCs w:val="18"/>
                <w:highlight w:val="none"/>
              </w:rPr>
              <w:t>参审单位</w:t>
            </w:r>
            <w:r>
              <w:rPr>
                <w:rFonts w:hint="eastAsia" w:cs="宋体"/>
                <w:b/>
                <w:bCs/>
                <w:sz w:val="24"/>
                <w:szCs w:val="24"/>
                <w:highlight w:val="none"/>
              </w:rPr>
              <w:t>须知第13条（以</w:t>
            </w:r>
            <w:r>
              <w:rPr>
                <w:rFonts w:hint="eastAsia" w:cs="宋体"/>
                <w:b/>
                <w:bCs/>
                <w:sz w:val="24"/>
                <w:szCs w:val="24"/>
                <w:highlight w:val="none"/>
                <w:lang w:val="en-US" w:eastAsia="zh-CN"/>
              </w:rPr>
              <w:t>代理机构</w:t>
            </w:r>
            <w:r>
              <w:rPr>
                <w:rFonts w:hint="eastAsia" w:cs="宋体"/>
                <w:b/>
                <w:bCs/>
                <w:sz w:val="24"/>
                <w:szCs w:val="24"/>
                <w:highlight w:val="none"/>
              </w:rPr>
              <w:t>财务查询为准）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授权书</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磋商响应函</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工程量清单报价书</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不良信用记录查询</w:t>
            </w:r>
          </w:p>
        </w:tc>
        <w:tc>
          <w:tcPr>
            <w:tcW w:w="6149" w:type="dxa"/>
            <w:vAlign w:val="center"/>
          </w:tcPr>
          <w:p>
            <w:pPr>
              <w:adjustRightInd w:val="0"/>
              <w:snapToGrid w:val="0"/>
              <w:spacing w:line="360" w:lineRule="auto"/>
              <w:ind w:right="-10"/>
              <w:jc w:val="left"/>
              <w:rPr>
                <w:rFonts w:hint="eastAsia"/>
                <w:sz w:val="24"/>
                <w:highlight w:val="none"/>
              </w:rPr>
            </w:pPr>
            <w:r>
              <w:rPr>
                <w:rFonts w:hint="eastAsia"/>
                <w:sz w:val="24"/>
                <w:szCs w:val="18"/>
                <w:highlight w:val="none"/>
              </w:rPr>
              <w:t>参审单位</w:t>
            </w:r>
            <w:r>
              <w:rPr>
                <w:rFonts w:hint="eastAsia"/>
                <w:sz w:val="24"/>
                <w:highlight w:val="none"/>
              </w:rPr>
              <w:t>不得存在</w:t>
            </w:r>
            <w:r>
              <w:rPr>
                <w:rFonts w:hint="eastAsia"/>
                <w:sz w:val="24"/>
                <w:szCs w:val="18"/>
                <w:highlight w:val="none"/>
              </w:rPr>
              <w:t>参审单位</w:t>
            </w:r>
            <w:r>
              <w:rPr>
                <w:rFonts w:hint="eastAsia"/>
                <w:sz w:val="24"/>
                <w:highlight w:val="none"/>
              </w:rPr>
              <w:t>须知第</w:t>
            </w:r>
            <w:r>
              <w:rPr>
                <w:sz w:val="24"/>
                <w:highlight w:val="none"/>
              </w:rPr>
              <w:t>19.3.1.1</w:t>
            </w:r>
            <w:r>
              <w:rPr>
                <w:rFonts w:hint="eastAsia"/>
                <w:sz w:val="24"/>
                <w:highlight w:val="none"/>
              </w:rPr>
              <w:t>条中的不良信用记录情形。</w:t>
            </w:r>
          </w:p>
          <w:p>
            <w:pPr>
              <w:keepNext w:val="0"/>
              <w:keepLines w:val="0"/>
              <w:widowControl/>
              <w:suppressLineNumbers w:val="0"/>
              <w:spacing w:line="360" w:lineRule="auto"/>
              <w:jc w:val="left"/>
              <w:rPr>
                <w:highlight w:val="none"/>
              </w:rPr>
            </w:pPr>
            <w:r>
              <w:rPr>
                <w:rFonts w:hint="eastAsia" w:ascii="宋体" w:hAnsi="宋体" w:eastAsia="宋体" w:cs="宋体"/>
                <w:b/>
                <w:bCs/>
                <w:color w:val="000000"/>
                <w:kern w:val="0"/>
                <w:sz w:val="24"/>
                <w:szCs w:val="24"/>
                <w:highlight w:val="none"/>
                <w:lang w:val="en-US" w:eastAsia="zh-CN" w:bidi="ar"/>
              </w:rPr>
              <w:t>备注：</w:t>
            </w:r>
            <w:r>
              <w:rPr>
                <w:rFonts w:hint="eastAsia" w:cs="宋体"/>
                <w:b/>
                <w:bCs/>
                <w:color w:val="000000"/>
                <w:kern w:val="0"/>
                <w:sz w:val="24"/>
                <w:szCs w:val="24"/>
                <w:highlight w:val="none"/>
                <w:lang w:val="en-US" w:eastAsia="zh-CN" w:bidi="ar"/>
              </w:rPr>
              <w:t>参审单位</w:t>
            </w:r>
            <w:r>
              <w:rPr>
                <w:rFonts w:hint="eastAsia" w:ascii="宋体" w:hAnsi="宋体" w:eastAsia="宋体" w:cs="宋体"/>
                <w:b/>
                <w:bCs/>
                <w:color w:val="000000"/>
                <w:kern w:val="0"/>
                <w:sz w:val="24"/>
                <w:szCs w:val="24"/>
                <w:highlight w:val="none"/>
                <w:lang w:val="en-US" w:eastAsia="zh-CN" w:bidi="ar"/>
              </w:rPr>
              <w:t>需提供网站查询截图。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无不良信用记录声明函</w:t>
            </w:r>
          </w:p>
        </w:tc>
        <w:tc>
          <w:tcPr>
            <w:tcW w:w="6149" w:type="dxa"/>
            <w:vAlign w:val="center"/>
          </w:tcPr>
          <w:p>
            <w:pPr>
              <w:adjustRightInd w:val="0"/>
              <w:snapToGrid w:val="0"/>
              <w:spacing w:line="360" w:lineRule="auto"/>
              <w:ind w:right="-10"/>
              <w:jc w:val="left"/>
              <w:rPr>
                <w:sz w:val="24"/>
                <w:highlight w:val="none"/>
              </w:rPr>
            </w:pPr>
            <w:r>
              <w:rPr>
                <w:rFonts w:hint="eastAsia"/>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4"/>
              </w:numPr>
              <w:adjustRightInd w:val="0"/>
              <w:snapToGrid w:val="0"/>
              <w:spacing w:line="360" w:lineRule="auto"/>
              <w:ind w:right="-10" w:firstLineChars="0"/>
              <w:jc w:val="center"/>
              <w:rPr>
                <w:sz w:val="24"/>
                <w:highlight w:val="none"/>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highlight w:val="none"/>
              </w:rPr>
            </w:pPr>
            <w:r>
              <w:rPr>
                <w:rFonts w:hint="eastAsia"/>
                <w:highlight w:val="none"/>
              </w:rPr>
              <w:t>其他要求</w:t>
            </w:r>
          </w:p>
        </w:tc>
        <w:tc>
          <w:tcPr>
            <w:tcW w:w="6149" w:type="dxa"/>
            <w:vAlign w:val="center"/>
          </w:tcPr>
          <w:p>
            <w:pPr>
              <w:adjustRightInd w:val="0"/>
              <w:snapToGrid w:val="0"/>
              <w:spacing w:line="360" w:lineRule="auto"/>
              <w:ind w:right="-10"/>
              <w:jc w:val="left"/>
              <w:rPr>
                <w:sz w:val="24"/>
                <w:highlight w:val="none"/>
              </w:rPr>
            </w:pPr>
            <w:r>
              <w:rPr>
                <w:rFonts w:hint="eastAsia"/>
                <w:sz w:val="24"/>
                <w:szCs w:val="28"/>
                <w:highlight w:val="none"/>
              </w:rPr>
              <w:t>符合法律、行政法规规定的其他条件或磋商文件列明的其他要求</w:t>
            </w:r>
          </w:p>
        </w:tc>
      </w:tr>
    </w:tbl>
    <w:p>
      <w:pPr>
        <w:spacing w:line="360" w:lineRule="auto"/>
        <w:ind w:firstLine="435"/>
        <w:rPr>
          <w:sz w:val="24"/>
          <w:highlight w:val="none"/>
        </w:rPr>
      </w:pPr>
      <w:r>
        <w:rPr>
          <w:rFonts w:hint="eastAsia"/>
          <w:b/>
          <w:bCs/>
          <w:sz w:val="24"/>
          <w:highlight w:val="none"/>
        </w:rPr>
        <w:t>初审指标通过标准：</w:t>
      </w:r>
      <w:r>
        <w:rPr>
          <w:rFonts w:hint="eastAsia"/>
          <w:sz w:val="24"/>
          <w:szCs w:val="18"/>
          <w:highlight w:val="none"/>
        </w:rPr>
        <w:t>参审单位</w:t>
      </w:r>
      <w:r>
        <w:rPr>
          <w:rFonts w:hint="eastAsia"/>
          <w:sz w:val="24"/>
          <w:highlight w:val="none"/>
        </w:rPr>
        <w:t>必须通过初审表中的全部评审指标。</w:t>
      </w:r>
    </w:p>
    <w:p>
      <w:pPr>
        <w:spacing w:line="360" w:lineRule="auto"/>
        <w:ind w:firstLine="435"/>
        <w:outlineLvl w:val="2"/>
        <w:rPr>
          <w:b/>
          <w:sz w:val="24"/>
          <w:highlight w:val="none"/>
        </w:rPr>
      </w:pPr>
      <w:r>
        <w:rPr>
          <w:rFonts w:hint="eastAsia"/>
          <w:b/>
          <w:sz w:val="24"/>
          <w:highlight w:val="none"/>
        </w:rPr>
        <w:t>2.2综合评分</w:t>
      </w:r>
    </w:p>
    <w:p>
      <w:pPr>
        <w:spacing w:line="360" w:lineRule="auto"/>
        <w:ind w:firstLine="435"/>
        <w:rPr>
          <w:sz w:val="24"/>
          <w:highlight w:val="none"/>
        </w:rPr>
      </w:pPr>
      <w:r>
        <w:rPr>
          <w:rFonts w:hint="eastAsia"/>
          <w:sz w:val="24"/>
          <w:highlight w:val="none"/>
        </w:rPr>
        <w:t>2</w:t>
      </w:r>
      <w:r>
        <w:rPr>
          <w:sz w:val="24"/>
          <w:highlight w:val="none"/>
        </w:rPr>
        <w:t>.</w:t>
      </w:r>
      <w:r>
        <w:rPr>
          <w:rFonts w:hint="eastAsia"/>
          <w:sz w:val="24"/>
          <w:highlight w:val="none"/>
        </w:rPr>
        <w:t>2</w:t>
      </w:r>
      <w:r>
        <w:rPr>
          <w:sz w:val="24"/>
          <w:highlight w:val="none"/>
        </w:rPr>
        <w:t>.1</w:t>
      </w:r>
      <w:r>
        <w:rPr>
          <w:rFonts w:hint="eastAsia"/>
          <w:sz w:val="24"/>
          <w:highlight w:val="none"/>
        </w:rPr>
        <w:t>磋商小组按照下表对进入综合评分的所有</w:t>
      </w:r>
      <w:r>
        <w:rPr>
          <w:rFonts w:hint="eastAsia"/>
          <w:sz w:val="24"/>
          <w:szCs w:val="18"/>
          <w:highlight w:val="none"/>
        </w:rPr>
        <w:t>参审单位</w:t>
      </w:r>
      <w:r>
        <w:rPr>
          <w:rFonts w:hint="eastAsia"/>
          <w:sz w:val="24"/>
          <w:highlight w:val="none"/>
        </w:rPr>
        <w:t>的响应文件进行综合评分。</w:t>
      </w:r>
    </w:p>
    <w:p>
      <w:pPr>
        <w:spacing w:line="360" w:lineRule="auto"/>
        <w:ind w:firstLine="435"/>
        <w:rPr>
          <w:sz w:val="24"/>
          <w:highlight w:val="none"/>
        </w:rPr>
      </w:pPr>
      <w:r>
        <w:rPr>
          <w:rFonts w:hint="eastAsia"/>
          <w:sz w:val="24"/>
          <w:highlight w:val="none"/>
        </w:rPr>
        <w:t>2</w:t>
      </w:r>
      <w:r>
        <w:rPr>
          <w:sz w:val="24"/>
          <w:highlight w:val="none"/>
        </w:rPr>
        <w:t>.</w:t>
      </w:r>
      <w:r>
        <w:rPr>
          <w:rFonts w:hint="eastAsia"/>
          <w:sz w:val="24"/>
          <w:highlight w:val="none"/>
        </w:rPr>
        <w:t>2</w:t>
      </w:r>
      <w:r>
        <w:rPr>
          <w:sz w:val="24"/>
          <w:highlight w:val="none"/>
        </w:rPr>
        <w:t>.2</w:t>
      </w:r>
      <w:r>
        <w:rPr>
          <w:rFonts w:hint="eastAsia"/>
          <w:b/>
          <w:bCs/>
          <w:sz w:val="24"/>
          <w:highlight w:val="none"/>
        </w:rPr>
        <w:t>本项目综合评分满分为</w:t>
      </w:r>
      <w:r>
        <w:rPr>
          <w:rFonts w:hint="eastAsia"/>
          <w:b/>
          <w:bCs/>
          <w:sz w:val="24"/>
          <w:highlight w:val="none"/>
          <w:u w:val="single"/>
          <w:lang w:val="en-US" w:eastAsia="zh-CN"/>
        </w:rPr>
        <w:t xml:space="preserve"> </w:t>
      </w:r>
      <w:r>
        <w:rPr>
          <w:rFonts w:hint="eastAsia"/>
          <w:b/>
          <w:bCs/>
          <w:sz w:val="24"/>
          <w:highlight w:val="none"/>
          <w:u w:val="single"/>
        </w:rPr>
        <w:t>1</w:t>
      </w:r>
      <w:r>
        <w:rPr>
          <w:b/>
          <w:bCs/>
          <w:sz w:val="24"/>
          <w:highlight w:val="none"/>
          <w:u w:val="single"/>
        </w:rPr>
        <w:t>00</w:t>
      </w:r>
      <w:r>
        <w:rPr>
          <w:rFonts w:hint="eastAsia"/>
          <w:b/>
          <w:bCs/>
          <w:sz w:val="24"/>
          <w:highlight w:val="none"/>
          <w:u w:val="single"/>
          <w:lang w:val="en-US" w:eastAsia="zh-CN"/>
        </w:rPr>
        <w:t xml:space="preserve"> </w:t>
      </w:r>
      <w:r>
        <w:rPr>
          <w:rFonts w:hint="eastAsia"/>
          <w:b/>
          <w:bCs/>
          <w:sz w:val="24"/>
          <w:highlight w:val="none"/>
        </w:rPr>
        <w:t>分，其中：技术资信分值占总分值的权重为</w:t>
      </w:r>
      <w:r>
        <w:rPr>
          <w:rFonts w:hint="eastAsia"/>
          <w:b/>
          <w:bCs/>
          <w:sz w:val="24"/>
          <w:highlight w:val="none"/>
          <w:u w:val="single"/>
          <w:lang w:val="en-US" w:eastAsia="zh-CN"/>
        </w:rPr>
        <w:t xml:space="preserve"> 37 </w:t>
      </w:r>
      <w:r>
        <w:rPr>
          <w:b/>
          <w:bCs/>
          <w:sz w:val="24"/>
          <w:highlight w:val="none"/>
          <w:u w:val="single"/>
        </w:rPr>
        <w:t>%</w:t>
      </w:r>
      <w:r>
        <w:rPr>
          <w:rFonts w:hint="eastAsia"/>
          <w:b/>
          <w:bCs/>
          <w:sz w:val="24"/>
          <w:highlight w:val="none"/>
          <w:u w:val="single"/>
          <w:lang w:val="en-US" w:eastAsia="zh-CN"/>
        </w:rPr>
        <w:t xml:space="preserve"> </w:t>
      </w:r>
      <w:r>
        <w:rPr>
          <w:b/>
          <w:bCs/>
          <w:sz w:val="24"/>
          <w:highlight w:val="none"/>
        </w:rPr>
        <w:t>，价格分值占总分值的权重为</w:t>
      </w:r>
      <w:r>
        <w:rPr>
          <w:rFonts w:hint="eastAsia"/>
          <w:b/>
          <w:bCs/>
          <w:sz w:val="24"/>
          <w:highlight w:val="none"/>
          <w:u w:val="single"/>
          <w:lang w:val="en-US" w:eastAsia="zh-CN"/>
        </w:rPr>
        <w:t xml:space="preserve"> 63</w:t>
      </w:r>
      <w:r>
        <w:rPr>
          <w:b/>
          <w:bCs/>
          <w:sz w:val="24"/>
          <w:highlight w:val="none"/>
          <w:u w:val="single"/>
        </w:rPr>
        <w:t>%</w:t>
      </w:r>
      <w:r>
        <w:rPr>
          <w:rFonts w:hint="eastAsia"/>
          <w:b/>
          <w:bCs/>
          <w:sz w:val="24"/>
          <w:highlight w:val="none"/>
          <w:u w:val="single"/>
          <w:lang w:val="en-US" w:eastAsia="zh-CN"/>
        </w:rPr>
        <w:t xml:space="preserve"> </w:t>
      </w:r>
      <w:r>
        <w:rPr>
          <w:b/>
          <w:bCs/>
          <w:sz w:val="24"/>
          <w:highlight w:val="none"/>
        </w:rPr>
        <w:t>。具体评分细则如下：</w:t>
      </w:r>
    </w:p>
    <w:tbl>
      <w:tblPr>
        <w:tblStyle w:val="21"/>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89"/>
        <w:gridCol w:w="552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28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技术资信分（</w:t>
            </w:r>
            <w:r>
              <w:rPr>
                <w:rFonts w:hint="eastAsia" w:cs="宋体"/>
                <w:sz w:val="24"/>
                <w:szCs w:val="24"/>
                <w:highlight w:val="none"/>
                <w:lang w:val="en-US" w:eastAsia="zh-CN"/>
              </w:rPr>
              <w:t>37</w:t>
            </w:r>
            <w:bookmarkStart w:id="639" w:name="_GoBack"/>
            <w:bookmarkEnd w:id="639"/>
            <w:r>
              <w:rPr>
                <w:rFonts w:hint="eastAsia" w:ascii="宋体" w:hAnsi="宋体" w:eastAsia="宋体" w:cs="宋体"/>
                <w:sz w:val="24"/>
                <w:szCs w:val="24"/>
                <w:highlight w:val="none"/>
              </w:rPr>
              <w:t>分）</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kern w:val="2"/>
                <w:sz w:val="24"/>
                <w:szCs w:val="24"/>
                <w:highlight w:val="none"/>
              </w:rPr>
            </w:pPr>
            <w:r>
              <w:rPr>
                <w:rFonts w:hint="eastAsia" w:ascii="宋体" w:hAnsi="宋体" w:eastAsia="宋体" w:cs="宋体"/>
                <w:sz w:val="24"/>
                <w:szCs w:val="24"/>
                <w:highlight w:val="none"/>
              </w:rPr>
              <w:t>实施方案（</w:t>
            </w:r>
            <w:r>
              <w:rPr>
                <w:rFonts w:hint="eastAsia" w:cs="宋体"/>
                <w:sz w:val="24"/>
                <w:szCs w:val="24"/>
                <w:highlight w:val="none"/>
                <w:lang w:val="en-US" w:eastAsia="zh-CN"/>
              </w:rPr>
              <w:t>7</w:t>
            </w:r>
            <w:r>
              <w:rPr>
                <w:rFonts w:hint="eastAsia" w:ascii="宋体" w:hAnsi="宋体" w:eastAsia="宋体" w:cs="宋体"/>
                <w:sz w:val="24"/>
                <w:szCs w:val="24"/>
                <w:highlight w:val="none"/>
              </w:rPr>
              <w:t>分）</w:t>
            </w:r>
          </w:p>
        </w:tc>
        <w:tc>
          <w:tcPr>
            <w:tcW w:w="2886"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cs="宋体"/>
                <w:color w:val="auto"/>
                <w:sz w:val="24"/>
                <w:highlight w:val="none"/>
              </w:rPr>
              <w:t>根据</w:t>
            </w:r>
            <w:r>
              <w:rPr>
                <w:rFonts w:hint="eastAsia" w:cs="宋体"/>
                <w:color w:val="auto"/>
                <w:sz w:val="24"/>
                <w:highlight w:val="none"/>
                <w:lang w:eastAsia="zh-CN"/>
              </w:rPr>
              <w:t>参审单位</w:t>
            </w:r>
            <w:r>
              <w:rPr>
                <w:rFonts w:hint="eastAsia" w:ascii="宋体" w:hAnsi="宋体" w:cs="宋体"/>
                <w:color w:val="auto"/>
                <w:sz w:val="24"/>
                <w:highlight w:val="none"/>
              </w:rPr>
              <w:t>提供的实施方案（包括质量管理体系与措施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rPr>
              <w:t>安全文明施工、成品保护管理体系与措施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rPr>
              <w:t>施工进度计划</w:t>
            </w:r>
            <w:r>
              <w:rPr>
                <w:rFonts w:hint="eastAsia" w:ascii="宋体" w:hAnsi="宋体" w:cs="宋体"/>
                <w:color w:val="auto"/>
                <w:sz w:val="24"/>
                <w:highlight w:val="none"/>
                <w:lang w:eastAsia="zh-CN"/>
              </w:rPr>
              <w:t>；</w:t>
            </w:r>
            <w:r>
              <w:rPr>
                <w:rFonts w:hint="eastAsia" w:ascii="宋体" w:hAnsi="宋体" w:cs="宋体"/>
                <w:color w:val="auto"/>
                <w:sz w:val="24"/>
                <w:highlight w:val="none"/>
              </w:rPr>
              <w:t>劳动力安排、物资供应计划等</w:t>
            </w:r>
            <w:r>
              <w:rPr>
                <w:rFonts w:hint="eastAsia" w:ascii="宋体" w:hAnsi="宋体" w:cs="宋体"/>
                <w:color w:val="auto"/>
                <w:sz w:val="24"/>
                <w:highlight w:val="none"/>
                <w:lang w:eastAsia="zh-CN"/>
              </w:rPr>
              <w:t>）</w:t>
            </w:r>
            <w:r>
              <w:rPr>
                <w:rFonts w:hint="eastAsia" w:ascii="宋体" w:hAnsi="宋体" w:cs="宋体"/>
                <w:color w:val="auto"/>
                <w:sz w:val="24"/>
                <w:highlight w:val="none"/>
              </w:rPr>
              <w:t>进行评审</w:t>
            </w:r>
            <w:r>
              <w:rPr>
                <w:rFonts w:hint="eastAsia" w:cs="宋体"/>
                <w:color w:val="auto"/>
                <w:sz w:val="24"/>
                <w:highlight w:val="none"/>
                <w:lang w:eastAsia="zh-CN"/>
              </w:rPr>
              <w:t>，</w:t>
            </w:r>
            <w:r>
              <w:rPr>
                <w:rFonts w:hint="eastAsia" w:ascii="宋体" w:hAnsi="宋体" w:cs="宋体"/>
                <w:color w:val="auto"/>
                <w:sz w:val="24"/>
                <w:highlight w:val="none"/>
              </w:rPr>
              <w:t>未提供的不得分。</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sz w:val="24"/>
                <w:szCs w:val="24"/>
                <w:highlight w:val="none"/>
                <w:u w:val="single"/>
              </w:rPr>
              <w:t>0-</w:t>
            </w:r>
            <w:r>
              <w:rPr>
                <w:rFonts w:hint="eastAsia" w:cs="宋体"/>
                <w:sz w:val="24"/>
                <w:szCs w:val="24"/>
                <w:highlight w:val="none"/>
                <w:u w:val="single"/>
                <w:lang w:val="en-US" w:eastAsia="zh-CN"/>
              </w:rPr>
              <w:t>7</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p>
        </w:tc>
        <w:tc>
          <w:tcPr>
            <w:tcW w:w="674"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color w:val="000000"/>
                <w:kern w:val="0"/>
                <w:sz w:val="24"/>
                <w:szCs w:val="36"/>
                <w:highlight w:val="none"/>
                <w:lang w:bidi="ar"/>
              </w:rPr>
              <w:t>售后服务与维保方案</w:t>
            </w:r>
            <w:r>
              <w:rPr>
                <w:rFonts w:hint="eastAsia" w:ascii="宋体" w:hAnsi="宋体" w:eastAsia="宋体" w:cs="宋体"/>
                <w:sz w:val="24"/>
                <w:szCs w:val="24"/>
                <w:highlight w:val="none"/>
              </w:rPr>
              <w:t>（</w:t>
            </w:r>
            <w:r>
              <w:rPr>
                <w:rFonts w:hint="eastAsia" w:cs="宋体"/>
                <w:sz w:val="24"/>
                <w:szCs w:val="24"/>
                <w:highlight w:val="none"/>
                <w:lang w:val="en-US" w:eastAsia="zh-CN"/>
              </w:rPr>
              <w:t>7</w:t>
            </w:r>
            <w:r>
              <w:rPr>
                <w:rFonts w:hint="eastAsia" w:ascii="宋体" w:hAnsi="宋体" w:eastAsia="宋体" w:cs="宋体"/>
                <w:sz w:val="24"/>
                <w:szCs w:val="24"/>
                <w:highlight w:val="none"/>
              </w:rPr>
              <w:t>分）</w:t>
            </w:r>
          </w:p>
        </w:tc>
        <w:tc>
          <w:tcPr>
            <w:tcW w:w="2886" w:type="pct"/>
            <w:tcBorders>
              <w:top w:val="single" w:color="auto" w:sz="4" w:space="0"/>
              <w:left w:val="single" w:color="auto" w:sz="4" w:space="0"/>
              <w:bottom w:val="single" w:color="auto" w:sz="4" w:space="0"/>
              <w:right w:val="single" w:color="auto" w:sz="4" w:space="0"/>
            </w:tcBorders>
          </w:tcPr>
          <w:p>
            <w:pPr>
              <w:pStyle w:val="7"/>
              <w:spacing w:line="360" w:lineRule="auto"/>
              <w:ind w:left="0" w:leftChars="0"/>
              <w:rPr>
                <w:rFonts w:hint="eastAsia" w:ascii="宋体" w:hAnsi="宋体" w:eastAsia="宋体" w:cs="宋体"/>
                <w:sz w:val="24"/>
                <w:szCs w:val="24"/>
                <w:highlight w:val="none"/>
              </w:rPr>
            </w:pPr>
            <w:r>
              <w:rPr>
                <w:rFonts w:hint="eastAsia" w:ascii="宋体" w:hAnsi="宋体" w:cs="宋体"/>
                <w:color w:val="auto"/>
                <w:sz w:val="24"/>
                <w:highlight w:val="none"/>
              </w:rPr>
              <w:t>结合项目需求，</w:t>
            </w:r>
            <w:r>
              <w:rPr>
                <w:rFonts w:hint="eastAsia" w:ascii="宋体" w:hAnsi="宋体" w:cs="宋体"/>
                <w:color w:val="auto"/>
                <w:sz w:val="24"/>
                <w:highlight w:val="none"/>
                <w:lang w:val="en-US" w:eastAsia="zh-CN"/>
              </w:rPr>
              <w:t>针对</w:t>
            </w:r>
            <w:r>
              <w:rPr>
                <w:rFonts w:hint="eastAsia" w:cs="宋体"/>
                <w:color w:val="auto"/>
                <w:sz w:val="24"/>
                <w:highlight w:val="none"/>
                <w:lang w:eastAsia="zh-CN"/>
              </w:rPr>
              <w:t>参审单位</w:t>
            </w:r>
            <w:r>
              <w:rPr>
                <w:rFonts w:hint="eastAsia" w:ascii="宋体" w:hAnsi="宋体" w:cs="宋体"/>
                <w:color w:val="auto"/>
                <w:sz w:val="24"/>
                <w:highlight w:val="none"/>
              </w:rPr>
              <w:t>提供的售后服务与维保方案，要求有完善的售后服务体系与售后维保方案，能够在承诺的时间内按期交货，在售后及运维保障团队、日常运维方案、产品运行，技术保障、故障响应及处理方面等有较好的应急预案和质量保证措施，方案具有针对性，对项目核心设备须作出维保说明，由评委进行综合评分</w:t>
            </w:r>
            <w:r>
              <w:rPr>
                <w:rFonts w:hint="eastAsia" w:cs="宋体"/>
                <w:color w:val="auto"/>
                <w:sz w:val="24"/>
                <w:highlight w:val="none"/>
                <w:lang w:eastAsia="zh-CN"/>
              </w:rPr>
              <w:t>，</w:t>
            </w:r>
            <w:r>
              <w:rPr>
                <w:rFonts w:hint="eastAsia" w:ascii="宋体" w:hAnsi="宋体" w:cs="宋体"/>
                <w:color w:val="auto"/>
                <w:sz w:val="24"/>
                <w:highlight w:val="none"/>
              </w:rPr>
              <w:t>未提供的不得分。</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0-</w:t>
            </w:r>
            <w:r>
              <w:rPr>
                <w:rFonts w:hint="eastAsia" w:cs="宋体"/>
                <w:sz w:val="24"/>
                <w:szCs w:val="24"/>
                <w:highlight w:val="none"/>
                <w:u w:val="single"/>
                <w:lang w:val="en-US" w:eastAsia="zh-CN"/>
              </w:rPr>
              <w:t>7</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786"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p>
        </w:tc>
        <w:tc>
          <w:tcPr>
            <w:tcW w:w="674"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color w:val="000000"/>
                <w:kern w:val="0"/>
                <w:sz w:val="24"/>
                <w:szCs w:val="36"/>
                <w:highlight w:val="none"/>
                <w:lang w:eastAsia="zh-CN" w:bidi="ar"/>
              </w:rPr>
              <w:t>参审单位</w:t>
            </w:r>
            <w:r>
              <w:rPr>
                <w:rFonts w:hint="eastAsia" w:ascii="宋体" w:hAnsi="宋体" w:cs="宋体"/>
                <w:color w:val="000000"/>
                <w:kern w:val="0"/>
                <w:sz w:val="24"/>
                <w:szCs w:val="36"/>
                <w:highlight w:val="none"/>
                <w:lang w:bidi="ar"/>
              </w:rPr>
              <w:t>资信、认证</w:t>
            </w:r>
            <w:r>
              <w:rPr>
                <w:rFonts w:hint="eastAsia" w:ascii="宋体" w:hAnsi="宋体" w:eastAsia="宋体" w:cs="宋体"/>
                <w:sz w:val="24"/>
                <w:szCs w:val="24"/>
                <w:highlight w:val="none"/>
              </w:rPr>
              <w:t>（</w:t>
            </w:r>
            <w:r>
              <w:rPr>
                <w:rFonts w:hint="eastAsia" w:cs="宋体"/>
                <w:sz w:val="24"/>
                <w:szCs w:val="24"/>
                <w:highlight w:val="none"/>
                <w:lang w:val="en-US" w:eastAsia="zh-CN"/>
              </w:rPr>
              <w:t>6</w:t>
            </w:r>
            <w:r>
              <w:rPr>
                <w:rFonts w:hint="eastAsia" w:ascii="宋体" w:hAnsi="宋体" w:eastAsia="宋体" w:cs="宋体"/>
                <w:sz w:val="24"/>
                <w:szCs w:val="24"/>
                <w:highlight w:val="none"/>
              </w:rPr>
              <w:t>分）</w:t>
            </w:r>
          </w:p>
        </w:tc>
        <w:tc>
          <w:tcPr>
            <w:tcW w:w="2886" w:type="pct"/>
            <w:tcBorders>
              <w:top w:val="single" w:color="auto" w:sz="4" w:space="0"/>
              <w:left w:val="single" w:color="auto" w:sz="4" w:space="0"/>
              <w:bottom w:val="single" w:color="auto" w:sz="4" w:space="0"/>
              <w:right w:val="single" w:color="auto" w:sz="4" w:space="0"/>
            </w:tcBorders>
          </w:tcPr>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lang w:val="en-US" w:eastAsia="zh-CN"/>
              </w:rPr>
            </w:pPr>
            <w:r>
              <w:rPr>
                <w:rFonts w:hint="eastAsia" w:cs="宋体"/>
                <w:color w:val="auto"/>
                <w:sz w:val="24"/>
                <w:szCs w:val="24"/>
                <w:highlight w:val="none"/>
                <w:lang w:val="en-US" w:eastAsia="zh-CN"/>
              </w:rPr>
              <w:t>参审单位</w:t>
            </w:r>
            <w:r>
              <w:rPr>
                <w:rFonts w:hint="eastAsia" w:ascii="宋体" w:hAnsi="宋体" w:cs="宋体"/>
                <w:color w:val="auto"/>
                <w:sz w:val="24"/>
                <w:szCs w:val="24"/>
                <w:highlight w:val="none"/>
              </w:rPr>
              <w:t>具备</w:t>
            </w:r>
            <w:r>
              <w:rPr>
                <w:rFonts w:hint="eastAsia" w:ascii="宋体" w:hAnsi="宋体" w:cs="宋体"/>
                <w:color w:val="auto"/>
                <w:sz w:val="24"/>
                <w:szCs w:val="24"/>
                <w:highlight w:val="none"/>
                <w:lang w:val="en-US" w:eastAsia="zh-CN"/>
              </w:rPr>
              <w:t>具有经国家认证认可监督管理委员会认可的认证机构颁发的下列认证证书的，每提供一类有效期内的证书，得2分，该项最多得6分，未提供不得分。</w:t>
            </w:r>
          </w:p>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质量体系认证</w:t>
            </w:r>
            <w:r>
              <w:rPr>
                <w:rFonts w:hint="eastAsia" w:ascii="宋体" w:hAnsi="宋体" w:cs="宋体"/>
                <w:color w:val="auto"/>
                <w:sz w:val="24"/>
                <w:szCs w:val="24"/>
                <w:highlight w:val="none"/>
                <w:lang w:eastAsia="zh-CN"/>
              </w:rPr>
              <w:t>；</w:t>
            </w:r>
          </w:p>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环境体系认证</w:t>
            </w:r>
            <w:r>
              <w:rPr>
                <w:rFonts w:hint="eastAsia" w:ascii="宋体" w:hAnsi="宋体" w:cs="宋体"/>
                <w:color w:val="auto"/>
                <w:sz w:val="24"/>
                <w:szCs w:val="24"/>
                <w:highlight w:val="none"/>
                <w:lang w:eastAsia="zh-CN"/>
              </w:rPr>
              <w:t>；</w:t>
            </w:r>
          </w:p>
          <w:p>
            <w:pPr>
              <w:numPr>
                <w:ilvl w:val="0"/>
                <w:numId w:val="0"/>
              </w:numPr>
              <w:tabs>
                <w:tab w:val="left" w:pos="1188"/>
              </w:tabs>
              <w:autoSpaceDE w:val="0"/>
              <w:autoSpaceDN w:val="0"/>
              <w:spacing w:line="360" w:lineRule="auto"/>
              <w:contextualSpacing/>
              <w:rPr>
                <w:rFonts w:hint="eastAsia" w:ascii="宋体" w:hAnsi="宋体" w:cs="宋体"/>
                <w:b w:val="0"/>
                <w:bCs w:val="0"/>
                <w:color w:val="auto"/>
                <w:kern w:val="2"/>
                <w:sz w:val="24"/>
                <w:szCs w:val="24"/>
                <w:highlight w:val="none"/>
                <w:lang w:val="en-GB"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职业健康安全管理体系认证。</w:t>
            </w:r>
          </w:p>
          <w:p>
            <w:pPr>
              <w:pStyle w:val="7"/>
              <w:spacing w:line="360" w:lineRule="auto"/>
              <w:ind w:left="0" w:leftChars="0"/>
              <w:rPr>
                <w:rFonts w:hint="eastAsia" w:ascii="宋体" w:hAnsi="宋体" w:eastAsia="宋体" w:cs="宋体"/>
                <w:sz w:val="24"/>
                <w:szCs w:val="24"/>
                <w:highlight w:val="none"/>
              </w:rPr>
            </w:pPr>
            <w:r>
              <w:rPr>
                <w:rFonts w:hint="eastAsia" w:hAnsi="宋体" w:cs="宋体"/>
                <w:b/>
                <w:bCs/>
                <w:color w:val="auto"/>
                <w:kern w:val="2"/>
                <w:sz w:val="24"/>
                <w:szCs w:val="24"/>
                <w:highlight w:val="none"/>
                <w:lang w:val="en-US" w:eastAsia="zh-CN"/>
              </w:rPr>
              <w:t>注：</w:t>
            </w:r>
            <w:r>
              <w:rPr>
                <w:rFonts w:hint="eastAsia" w:cs="宋体"/>
                <w:b/>
                <w:bCs/>
                <w:color w:val="auto"/>
                <w:kern w:val="2"/>
                <w:sz w:val="24"/>
                <w:szCs w:val="24"/>
                <w:highlight w:val="none"/>
                <w:lang w:val="en-US" w:eastAsia="zh-CN"/>
              </w:rPr>
              <w:t>响应文件</w:t>
            </w:r>
            <w:r>
              <w:rPr>
                <w:rFonts w:hint="eastAsia" w:hAnsi="宋体" w:cs="宋体"/>
                <w:b/>
                <w:bCs/>
                <w:color w:val="auto"/>
                <w:kern w:val="2"/>
                <w:sz w:val="24"/>
                <w:szCs w:val="24"/>
                <w:highlight w:val="none"/>
                <w:lang w:val="en-US" w:eastAsia="zh-CN"/>
              </w:rPr>
              <w:t>中提供证书扫描件作为评审依据，证书中应能体现发证机构已获认监委认证或能体现该证书可在认监委网站查询，否则须同时在</w:t>
            </w:r>
            <w:r>
              <w:rPr>
                <w:rFonts w:hint="eastAsia" w:cs="宋体"/>
                <w:b/>
                <w:bCs/>
                <w:color w:val="auto"/>
                <w:kern w:val="2"/>
                <w:sz w:val="24"/>
                <w:szCs w:val="24"/>
                <w:highlight w:val="none"/>
                <w:lang w:val="en-US" w:eastAsia="zh-CN"/>
              </w:rPr>
              <w:t>响应文件</w:t>
            </w:r>
            <w:r>
              <w:rPr>
                <w:rFonts w:hint="eastAsia" w:hAnsi="宋体" w:cs="宋体"/>
                <w:b/>
                <w:bCs/>
                <w:color w:val="auto"/>
                <w:kern w:val="2"/>
                <w:sz w:val="24"/>
                <w:szCs w:val="24"/>
                <w:highlight w:val="none"/>
                <w:lang w:val="en-US" w:eastAsia="zh-CN"/>
              </w:rPr>
              <w:t>中提供在认监委网站对证书发证机构的查询截图作为评审依据。</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sz w:val="24"/>
                <w:szCs w:val="24"/>
                <w:highlight w:val="none"/>
                <w:u w:val="single"/>
              </w:rPr>
              <w:t>0-</w:t>
            </w:r>
            <w:r>
              <w:rPr>
                <w:rFonts w:hint="eastAsia" w:cs="宋体"/>
                <w:sz w:val="24"/>
                <w:szCs w:val="24"/>
                <w:highlight w:val="none"/>
                <w:u w:val="single"/>
                <w:lang w:val="en-US" w:eastAsia="zh-CN"/>
              </w:rPr>
              <w:t>6</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6"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p>
        </w:tc>
        <w:tc>
          <w:tcPr>
            <w:tcW w:w="674"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4"/>
                <w:szCs w:val="36"/>
                <w:highlight w:val="none"/>
                <w:lang w:eastAsia="zh-CN" w:bidi="ar"/>
              </w:rPr>
            </w:pPr>
            <w:r>
              <w:rPr>
                <w:rFonts w:hint="eastAsia" w:ascii="宋体" w:hAnsi="宋体" w:cs="宋体"/>
                <w:color w:val="auto"/>
                <w:sz w:val="24"/>
                <w:highlight w:val="none"/>
              </w:rPr>
              <w:t>拟委任人员资格</w:t>
            </w:r>
            <w:r>
              <w:rPr>
                <w:rFonts w:hint="eastAsia" w:cs="宋体"/>
                <w:color w:val="auto"/>
                <w:sz w:val="24"/>
                <w:highlight w:val="none"/>
                <w:lang w:eastAsia="zh-CN"/>
              </w:rPr>
              <w:t>（</w:t>
            </w:r>
            <w:r>
              <w:rPr>
                <w:rFonts w:hint="eastAsia" w:cs="宋体"/>
                <w:color w:val="auto"/>
                <w:sz w:val="24"/>
                <w:highlight w:val="none"/>
                <w:lang w:val="en-US" w:eastAsia="zh-CN"/>
              </w:rPr>
              <w:t>4分</w:t>
            </w:r>
            <w:r>
              <w:rPr>
                <w:rFonts w:hint="eastAsia" w:cs="宋体"/>
                <w:color w:val="auto"/>
                <w:sz w:val="24"/>
                <w:highlight w:val="none"/>
                <w:lang w:eastAsia="zh-CN"/>
              </w:rPr>
              <w:t>）</w:t>
            </w:r>
          </w:p>
        </w:tc>
        <w:tc>
          <w:tcPr>
            <w:tcW w:w="2886" w:type="pct"/>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cs="宋体"/>
                <w:color w:val="auto"/>
                <w:sz w:val="24"/>
                <w:szCs w:val="24"/>
                <w:highlight w:val="none"/>
                <w:lang w:val="en-US" w:eastAsia="zh-CN"/>
              </w:rPr>
              <w:t>参审单位</w:t>
            </w:r>
            <w:r>
              <w:rPr>
                <w:rFonts w:hint="eastAsia" w:ascii="宋体" w:hAnsi="宋体" w:cs="宋体"/>
                <w:color w:val="auto"/>
                <w:sz w:val="24"/>
                <w:szCs w:val="24"/>
                <w:highlight w:val="none"/>
                <w:lang w:val="en-US" w:eastAsia="zh-CN"/>
              </w:rPr>
              <w:t>拟任</w:t>
            </w:r>
            <w:r>
              <w:rPr>
                <w:rFonts w:hint="eastAsia" w:cs="宋体"/>
                <w:color w:val="auto"/>
                <w:sz w:val="24"/>
                <w:szCs w:val="24"/>
                <w:highlight w:val="none"/>
                <w:lang w:val="en-US" w:eastAsia="zh-CN"/>
              </w:rPr>
              <w:t>项目经理</w:t>
            </w:r>
            <w:r>
              <w:rPr>
                <w:rFonts w:hint="eastAsia" w:ascii="宋体" w:hAnsi="宋体" w:cs="宋体"/>
                <w:color w:val="auto"/>
                <w:sz w:val="24"/>
                <w:szCs w:val="24"/>
                <w:highlight w:val="none"/>
                <w:lang w:val="en-US" w:eastAsia="zh-CN"/>
              </w:rPr>
              <w:t>具备一级注册建造师（机电专业）资格证书的得2分；</w:t>
            </w:r>
          </w:p>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cs="宋体"/>
                <w:color w:val="auto"/>
                <w:sz w:val="24"/>
                <w:szCs w:val="24"/>
                <w:highlight w:val="none"/>
                <w:lang w:val="en-US" w:eastAsia="zh-CN"/>
              </w:rPr>
              <w:t>参审单位</w:t>
            </w:r>
            <w:r>
              <w:rPr>
                <w:rFonts w:hint="eastAsia" w:ascii="宋体" w:hAnsi="宋体" w:cs="宋体"/>
                <w:color w:val="auto"/>
                <w:sz w:val="24"/>
                <w:szCs w:val="24"/>
                <w:highlight w:val="none"/>
                <w:lang w:val="en-US" w:eastAsia="zh-CN"/>
              </w:rPr>
              <w:t>拟任项目安全负责人具有建设行政主管部门核发有效的安全生产考核合格证书（C证）的，得2分。</w:t>
            </w:r>
          </w:p>
          <w:p>
            <w:pPr>
              <w:numPr>
                <w:ilvl w:val="0"/>
                <w:numId w:val="0"/>
              </w:numPr>
              <w:tabs>
                <w:tab w:val="left" w:pos="1188"/>
              </w:tabs>
              <w:autoSpaceDE w:val="0"/>
              <w:autoSpaceDN w:val="0"/>
              <w:spacing w:line="360" w:lineRule="auto"/>
              <w:contextualSpacing/>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注：拟任</w:t>
            </w:r>
            <w:r>
              <w:rPr>
                <w:rFonts w:hint="eastAsia" w:cs="宋体"/>
                <w:b/>
                <w:bCs/>
                <w:color w:val="auto"/>
                <w:sz w:val="24"/>
                <w:szCs w:val="24"/>
                <w:highlight w:val="none"/>
                <w:lang w:val="en-US" w:eastAsia="zh-CN"/>
              </w:rPr>
              <w:t>项目经理</w:t>
            </w:r>
            <w:r>
              <w:rPr>
                <w:rFonts w:hint="eastAsia" w:ascii="宋体" w:hAnsi="宋体" w:cs="宋体"/>
                <w:b/>
                <w:bCs/>
                <w:color w:val="auto"/>
                <w:sz w:val="24"/>
                <w:szCs w:val="24"/>
                <w:highlight w:val="none"/>
                <w:lang w:val="en-US" w:eastAsia="zh-CN"/>
              </w:rPr>
              <w:t>与拟任项目安全负责人不得互相兼任，投标文件中同时提供以下证明材料：</w:t>
            </w:r>
          </w:p>
          <w:p>
            <w:pPr>
              <w:numPr>
                <w:ilvl w:val="0"/>
                <w:numId w:val="0"/>
              </w:numPr>
              <w:tabs>
                <w:tab w:val="left" w:pos="1188"/>
              </w:tabs>
              <w:autoSpaceDE w:val="0"/>
              <w:autoSpaceDN w:val="0"/>
              <w:spacing w:line="360" w:lineRule="auto"/>
              <w:contextualSpacing/>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（1）人员名单（格式自拟）；</w:t>
            </w:r>
          </w:p>
          <w:p>
            <w:pPr>
              <w:numPr>
                <w:ilvl w:val="0"/>
                <w:numId w:val="0"/>
              </w:numPr>
              <w:tabs>
                <w:tab w:val="left" w:pos="1188"/>
              </w:tabs>
              <w:autoSpaceDE w:val="0"/>
              <w:autoSpaceDN w:val="0"/>
              <w:spacing w:line="360" w:lineRule="auto"/>
              <w:contextualSpacing/>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（2）上述拟任人员的证书扫描件；</w:t>
            </w:r>
          </w:p>
          <w:p>
            <w:pPr>
              <w:numPr>
                <w:ilvl w:val="0"/>
                <w:numId w:val="0"/>
              </w:numPr>
              <w:tabs>
                <w:tab w:val="left" w:pos="1188"/>
              </w:tabs>
              <w:autoSpaceDE w:val="0"/>
              <w:autoSpaceDN w:val="0"/>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（3）投标文件中须提供</w:t>
            </w:r>
            <w:r>
              <w:rPr>
                <w:rFonts w:hint="eastAsia" w:cs="宋体"/>
                <w:b/>
                <w:bCs/>
                <w:color w:val="auto"/>
                <w:sz w:val="24"/>
                <w:szCs w:val="24"/>
                <w:highlight w:val="none"/>
                <w:lang w:val="en-US" w:eastAsia="zh-CN"/>
              </w:rPr>
              <w:t>参审单位</w:t>
            </w:r>
            <w:r>
              <w:rPr>
                <w:rFonts w:hint="eastAsia" w:ascii="宋体" w:hAnsi="宋体" w:cs="宋体"/>
                <w:b/>
                <w:bCs/>
                <w:color w:val="auto"/>
                <w:sz w:val="24"/>
                <w:szCs w:val="24"/>
                <w:highlight w:val="none"/>
                <w:lang w:val="en-US" w:eastAsia="zh-CN"/>
              </w:rPr>
              <w:t>所属社保机构出具的上述人员2024年7月1日以来任意连续三个月的社保缴费证明（或其他能够证明上述人员参加社保的有效证明）材料，上述人员的社保的缴纳单位应当是</w:t>
            </w:r>
            <w:r>
              <w:rPr>
                <w:rFonts w:hint="eastAsia" w:cs="宋体"/>
                <w:b/>
                <w:bCs/>
                <w:color w:val="auto"/>
                <w:sz w:val="24"/>
                <w:szCs w:val="24"/>
                <w:highlight w:val="none"/>
                <w:lang w:val="en-US" w:eastAsia="zh-CN"/>
              </w:rPr>
              <w:t>参审单位</w:t>
            </w:r>
            <w:r>
              <w:rPr>
                <w:rFonts w:hint="eastAsia" w:ascii="宋体" w:hAnsi="宋体" w:cs="宋体"/>
                <w:b/>
                <w:bCs/>
                <w:color w:val="auto"/>
                <w:sz w:val="24"/>
                <w:szCs w:val="24"/>
                <w:highlight w:val="none"/>
                <w:lang w:val="en-US" w:eastAsia="zh-CN"/>
              </w:rPr>
              <w:t>或者</w:t>
            </w:r>
            <w:r>
              <w:rPr>
                <w:rFonts w:hint="eastAsia" w:cs="宋体"/>
                <w:b/>
                <w:bCs/>
                <w:color w:val="auto"/>
                <w:sz w:val="24"/>
                <w:szCs w:val="24"/>
                <w:highlight w:val="none"/>
                <w:lang w:val="en-US" w:eastAsia="zh-CN"/>
              </w:rPr>
              <w:t>参审单位</w:t>
            </w:r>
            <w:r>
              <w:rPr>
                <w:rFonts w:hint="eastAsia" w:ascii="宋体" w:hAnsi="宋体" w:cs="宋体"/>
                <w:b/>
                <w:bCs/>
                <w:color w:val="auto"/>
                <w:sz w:val="24"/>
                <w:szCs w:val="24"/>
                <w:highlight w:val="none"/>
                <w:lang w:val="en-US" w:eastAsia="zh-CN"/>
              </w:rPr>
              <w:t>不具备独立法人资格的分支机构（社保缴费证明或社保的有效证明材料至少含养老保险）。</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highlight w:val="none"/>
                <w:u w:val="single"/>
                <w:lang w:val="en-US" w:eastAsia="zh-CN"/>
              </w:rPr>
            </w:pPr>
            <w:r>
              <w:rPr>
                <w:rFonts w:hint="eastAsia" w:cs="宋体"/>
                <w:sz w:val="24"/>
                <w:szCs w:val="24"/>
                <w:highlight w:val="none"/>
                <w:u w:val="singl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86"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p>
        </w:tc>
        <w:tc>
          <w:tcPr>
            <w:tcW w:w="674"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cs="宋体"/>
                <w:sz w:val="24"/>
                <w:szCs w:val="24"/>
                <w:highlight w:val="none"/>
                <w:lang w:val="en-US" w:eastAsia="zh-CN"/>
              </w:rPr>
              <w:t>参审单位业绩</w:t>
            </w:r>
            <w:r>
              <w:rPr>
                <w:rFonts w:hint="eastAsia" w:ascii="宋体" w:hAnsi="宋体" w:eastAsia="宋体" w:cs="宋体"/>
                <w:sz w:val="24"/>
                <w:szCs w:val="24"/>
                <w:highlight w:val="none"/>
              </w:rPr>
              <w:t>（</w:t>
            </w:r>
            <w:r>
              <w:rPr>
                <w:rFonts w:hint="eastAsia" w:cs="宋体"/>
                <w:sz w:val="24"/>
                <w:szCs w:val="24"/>
                <w:highlight w:val="none"/>
                <w:lang w:val="en-US" w:eastAsia="zh-CN"/>
              </w:rPr>
              <w:t>9</w:t>
            </w:r>
            <w:r>
              <w:rPr>
                <w:rFonts w:hint="eastAsia" w:ascii="宋体" w:hAnsi="宋体" w:eastAsia="宋体" w:cs="宋体"/>
                <w:sz w:val="24"/>
                <w:szCs w:val="24"/>
                <w:highlight w:val="none"/>
              </w:rPr>
              <w:t>分）</w:t>
            </w:r>
          </w:p>
        </w:tc>
        <w:tc>
          <w:tcPr>
            <w:tcW w:w="2886" w:type="pct"/>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年1月1日以来</w:t>
            </w:r>
            <w:r>
              <w:rPr>
                <w:rFonts w:hint="eastAsia" w:ascii="宋体" w:hAnsi="宋体" w:cs="宋体"/>
                <w:color w:val="auto"/>
                <w:sz w:val="24"/>
                <w:highlight w:val="none"/>
                <w:lang w:eastAsia="zh-CN"/>
              </w:rPr>
              <w:t>（</w:t>
            </w:r>
            <w:r>
              <w:rPr>
                <w:rFonts w:hint="eastAsia" w:ascii="宋体" w:hAnsi="宋体" w:cs="宋体"/>
                <w:color w:val="auto"/>
                <w:sz w:val="24"/>
                <w:highlight w:val="none"/>
              </w:rPr>
              <w:t>以合同签订时间为准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cs="宋体"/>
                <w:color w:val="auto"/>
                <w:sz w:val="24"/>
                <w:highlight w:val="none"/>
                <w:lang w:eastAsia="zh-CN"/>
              </w:rPr>
              <w:t>参审单位</w:t>
            </w:r>
            <w:r>
              <w:rPr>
                <w:rFonts w:hint="eastAsia" w:ascii="宋体" w:hAnsi="宋体" w:cs="宋体"/>
                <w:color w:val="auto"/>
                <w:sz w:val="24"/>
                <w:highlight w:val="none"/>
              </w:rPr>
              <w:t>具有单个合同金额不少于210万以上光储充放一体化充电站施工业绩，每提供一个得3分，本项最多得9分。</w:t>
            </w:r>
          </w:p>
          <w:p>
            <w:pPr>
              <w:snapToGrid w:val="0"/>
              <w:spacing w:line="360" w:lineRule="auto"/>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p>
          <w:p>
            <w:pPr>
              <w:snapToGrid w:val="0"/>
              <w:spacing w:line="360" w:lineRule="auto"/>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w:t>
            </w:r>
            <w:r>
              <w:rPr>
                <w:rFonts w:hint="eastAsia" w:cs="宋体"/>
                <w:b/>
                <w:bCs/>
                <w:color w:val="auto"/>
                <w:sz w:val="24"/>
                <w:highlight w:val="none"/>
                <w:lang w:val="en-US" w:eastAsia="zh-CN"/>
              </w:rPr>
              <w:t>业绩证明材料详见第三章要求</w:t>
            </w:r>
            <w:r>
              <w:rPr>
                <w:rFonts w:hint="eastAsia" w:ascii="宋体" w:hAnsi="宋体" w:cs="宋体"/>
                <w:b/>
                <w:bCs/>
                <w:color w:val="auto"/>
                <w:sz w:val="24"/>
                <w:highlight w:val="none"/>
                <w:lang w:val="en-US" w:eastAsia="zh-CN"/>
              </w:rPr>
              <w:t>；</w:t>
            </w:r>
          </w:p>
          <w:p>
            <w:pPr>
              <w:snapToGrid w:val="0"/>
              <w:spacing w:line="360" w:lineRule="auto"/>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cs="宋体"/>
                <w:b/>
                <w:bCs/>
                <w:color w:val="auto"/>
                <w:sz w:val="24"/>
                <w:highlight w:val="none"/>
                <w:lang w:val="en-US" w:eastAsia="zh-CN"/>
              </w:rPr>
              <w:t>参审单位</w:t>
            </w:r>
            <w:r>
              <w:rPr>
                <w:rFonts w:hint="eastAsia" w:ascii="宋体" w:hAnsi="宋体" w:cs="宋体"/>
                <w:b/>
                <w:bCs/>
                <w:color w:val="auto"/>
                <w:sz w:val="24"/>
                <w:highlight w:val="none"/>
                <w:lang w:val="en-US" w:eastAsia="zh-CN"/>
              </w:rPr>
              <w:t>详细评审业绩（规定数量）：3个；</w:t>
            </w:r>
          </w:p>
          <w:p>
            <w:pPr>
              <w:pStyle w:val="7"/>
              <w:spacing w:line="360" w:lineRule="auto"/>
              <w:ind w:left="0" w:leftChars="0"/>
              <w:rPr>
                <w:rFonts w:hint="eastAsia" w:ascii="宋体" w:hAnsi="宋体" w:eastAsia="宋体" w:cs="宋体"/>
                <w:sz w:val="24"/>
                <w:szCs w:val="24"/>
                <w:highlight w:val="none"/>
              </w:rPr>
            </w:pPr>
            <w:r>
              <w:rPr>
                <w:rFonts w:hint="eastAsia" w:ascii="宋体" w:hAnsi="宋体" w:cs="宋体"/>
                <w:b/>
                <w:bCs/>
                <w:color w:val="auto"/>
                <w:sz w:val="24"/>
                <w:highlight w:val="none"/>
                <w:lang w:val="en-US" w:eastAsia="zh-CN"/>
              </w:rPr>
              <w:t>3、经评审委员会评审通过的资格审查业绩可作为详细评审业绩。</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0-</w:t>
            </w:r>
            <w:r>
              <w:rPr>
                <w:rFonts w:hint="eastAsia" w:cs="宋体"/>
                <w:sz w:val="24"/>
                <w:szCs w:val="24"/>
                <w:highlight w:val="none"/>
                <w:u w:val="single"/>
                <w:lang w:val="en-US" w:eastAsia="zh-CN"/>
              </w:rPr>
              <w:t>9</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6"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highlight w:val="none"/>
              </w:rPr>
            </w:pPr>
          </w:p>
        </w:tc>
        <w:tc>
          <w:tcPr>
            <w:tcW w:w="674" w:type="pct"/>
            <w:tcBorders>
              <w:top w:val="single" w:color="auto" w:sz="4" w:space="0"/>
              <w:left w:val="single" w:color="auto" w:sz="4" w:space="0"/>
              <w:right w:val="single" w:color="auto" w:sz="4" w:space="0"/>
            </w:tcBorders>
            <w:vAlign w:val="center"/>
          </w:tcPr>
          <w:p>
            <w:pPr>
              <w:spacing w:line="360" w:lineRule="auto"/>
              <w:jc w:val="center"/>
              <w:rPr>
                <w:rFonts w:hint="default" w:cs="宋体"/>
                <w:sz w:val="24"/>
                <w:szCs w:val="24"/>
                <w:highlight w:val="none"/>
                <w:lang w:val="en-US" w:eastAsia="zh-CN"/>
              </w:rPr>
            </w:pPr>
            <w:r>
              <w:rPr>
                <w:rFonts w:hint="eastAsia" w:cs="宋体"/>
                <w:sz w:val="24"/>
                <w:szCs w:val="24"/>
                <w:highlight w:val="none"/>
                <w:lang w:val="en-US" w:eastAsia="zh-CN"/>
              </w:rPr>
              <w:t>设备要求（4分）</w:t>
            </w:r>
          </w:p>
        </w:tc>
        <w:tc>
          <w:tcPr>
            <w:tcW w:w="2886" w:type="pct"/>
            <w:tcBorders>
              <w:top w:val="single" w:color="auto" w:sz="4" w:space="0"/>
              <w:left w:val="single" w:color="auto" w:sz="4" w:space="0"/>
              <w:bottom w:val="single" w:color="auto" w:sz="4" w:space="0"/>
              <w:right w:val="single" w:color="auto" w:sz="4" w:space="0"/>
            </w:tcBorders>
          </w:tcPr>
          <w:p>
            <w:pPr>
              <w:pStyle w:val="7"/>
              <w:spacing w:line="360" w:lineRule="auto"/>
              <w:ind w:left="0" w:leftChars="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充电桩设备提供有资质的第三方检测机构出具带有CMA 或CNAS标识的检测报告及知识产权证书（专利或软著）且加盖投标人公章的试验报告影印件或扫描件得4分，没有不得分。</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highlight w:val="none"/>
                <w:u w:val="single"/>
                <w:lang w:val="en-US" w:eastAsia="zh-CN"/>
              </w:rPr>
            </w:pPr>
            <w:r>
              <w:rPr>
                <w:rFonts w:hint="eastAsia" w:cs="宋体"/>
                <w:sz w:val="24"/>
                <w:szCs w:val="24"/>
                <w:highlight w:val="none"/>
                <w:u w:val="singl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cs="宋体"/>
                <w:sz w:val="24"/>
                <w:szCs w:val="24"/>
                <w:highlight w:val="none"/>
                <w:u w:val="single"/>
                <w:lang w:val="en-US" w:eastAsia="zh-CN"/>
              </w:rPr>
              <w:t>63</w:t>
            </w:r>
            <w:r>
              <w:rPr>
                <w:rFonts w:hint="eastAsia" w:ascii="宋体" w:hAnsi="宋体" w:eastAsia="宋体" w:cs="宋体"/>
                <w:sz w:val="24"/>
                <w:szCs w:val="24"/>
                <w:highlight w:val="none"/>
              </w:rPr>
              <w:t>分）</w:t>
            </w:r>
          </w:p>
        </w:tc>
        <w:tc>
          <w:tcPr>
            <w:tcW w:w="6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cs="宋体"/>
                <w:sz w:val="24"/>
                <w:szCs w:val="24"/>
                <w:highlight w:val="none"/>
                <w:u w:val="single"/>
                <w:lang w:val="en-US" w:eastAsia="zh-CN"/>
              </w:rPr>
              <w:t>63</w:t>
            </w:r>
            <w:r>
              <w:rPr>
                <w:rFonts w:hint="eastAsia" w:ascii="宋体" w:hAnsi="宋体" w:eastAsia="宋体" w:cs="宋体"/>
                <w:sz w:val="24"/>
                <w:szCs w:val="24"/>
                <w:highlight w:val="none"/>
              </w:rPr>
              <w:t>分）</w:t>
            </w:r>
          </w:p>
        </w:tc>
        <w:tc>
          <w:tcPr>
            <w:tcW w:w="288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确定</w:t>
            </w:r>
            <w:r>
              <w:rPr>
                <w:rFonts w:hint="eastAsia" w:cs="宋体"/>
                <w:color w:val="auto"/>
                <w:sz w:val="24"/>
                <w:highlight w:val="none"/>
                <w:lang w:eastAsia="zh-CN"/>
              </w:rPr>
              <w:t>评审价</w:t>
            </w:r>
          </w:p>
          <w:p>
            <w:pPr>
              <w:snapToGrid w:val="0"/>
              <w:spacing w:line="360" w:lineRule="auto"/>
              <w:jc w:val="both"/>
              <w:rPr>
                <w:rFonts w:hint="eastAsia" w:ascii="宋体" w:hAnsi="宋体" w:cs="宋体"/>
                <w:color w:val="auto"/>
                <w:sz w:val="24"/>
                <w:highlight w:val="none"/>
              </w:rPr>
            </w:pPr>
            <w:r>
              <w:rPr>
                <w:rFonts w:hint="eastAsia" w:cs="宋体"/>
                <w:color w:val="auto"/>
                <w:sz w:val="24"/>
                <w:highlight w:val="none"/>
                <w:lang w:eastAsia="zh-CN"/>
              </w:rPr>
              <w:t>评审价</w:t>
            </w:r>
            <w:r>
              <w:rPr>
                <w:rFonts w:hint="eastAsia" w:ascii="宋体" w:hAnsi="宋体" w:cs="宋体"/>
                <w:color w:val="auto"/>
                <w:sz w:val="24"/>
                <w:highlight w:val="none"/>
              </w:rPr>
              <w:t>=</w:t>
            </w:r>
            <w:r>
              <w:rPr>
                <w:rFonts w:hint="eastAsia" w:cs="宋体"/>
                <w:color w:val="auto"/>
                <w:sz w:val="24"/>
                <w:highlight w:val="none"/>
                <w:lang w:eastAsia="zh-CN"/>
              </w:rPr>
              <w:t>报价表</w:t>
            </w:r>
            <w:r>
              <w:rPr>
                <w:rFonts w:hint="eastAsia" w:ascii="宋体" w:hAnsi="宋体" w:cs="宋体"/>
                <w:color w:val="auto"/>
                <w:sz w:val="24"/>
                <w:highlight w:val="none"/>
              </w:rPr>
              <w:t>文字报价；</w:t>
            </w:r>
          </w:p>
          <w:p>
            <w:pPr>
              <w:snapToGrid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cs="宋体"/>
                <w:color w:val="auto"/>
                <w:sz w:val="24"/>
                <w:highlight w:val="none"/>
                <w:lang w:val="en-US" w:eastAsia="zh-CN"/>
              </w:rPr>
              <w:t>评审价</w:t>
            </w:r>
            <w:r>
              <w:rPr>
                <w:rFonts w:hint="eastAsia" w:ascii="宋体" w:hAnsi="宋体" w:cs="宋体"/>
                <w:color w:val="auto"/>
                <w:sz w:val="24"/>
                <w:highlight w:val="none"/>
                <w:lang w:val="en-US" w:eastAsia="zh-CN"/>
              </w:rPr>
              <w:t>平均值计算</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①当通过初步评审的</w:t>
            </w:r>
            <w:r>
              <w:rPr>
                <w:rFonts w:hint="eastAsia" w:cs="宋体"/>
                <w:color w:val="auto"/>
                <w:sz w:val="24"/>
                <w:highlight w:val="none"/>
                <w:lang w:eastAsia="zh-CN"/>
              </w:rPr>
              <w:t>参审单位</w:t>
            </w:r>
            <w:r>
              <w:rPr>
                <w:rFonts w:hint="eastAsia" w:ascii="宋体" w:hAnsi="宋体" w:cs="宋体"/>
                <w:color w:val="auto"/>
                <w:sz w:val="24"/>
                <w:highlight w:val="none"/>
              </w:rPr>
              <w:t>数量≤5家时，取通过初步评审且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总分*60%的</w:t>
            </w:r>
            <w:r>
              <w:rPr>
                <w:rFonts w:hint="eastAsia" w:cs="宋体"/>
                <w:color w:val="auto"/>
                <w:sz w:val="24"/>
                <w:highlight w:val="none"/>
                <w:lang w:eastAsia="zh-CN"/>
              </w:rPr>
              <w:t>参审单位评审价</w:t>
            </w:r>
            <w:r>
              <w:rPr>
                <w:rFonts w:hint="eastAsia" w:ascii="宋体" w:hAnsi="宋体" w:cs="宋体"/>
                <w:color w:val="auto"/>
                <w:sz w:val="24"/>
                <w:highlight w:val="none"/>
              </w:rPr>
              <w:t>进行算术平均得出</w:t>
            </w:r>
            <w:r>
              <w:rPr>
                <w:rFonts w:hint="eastAsia" w:cs="宋体"/>
                <w:color w:val="auto"/>
                <w:sz w:val="24"/>
                <w:highlight w:val="none"/>
                <w:lang w:eastAsia="zh-CN"/>
              </w:rPr>
              <w:t>评审价</w:t>
            </w:r>
            <w:r>
              <w:rPr>
                <w:rFonts w:hint="eastAsia" w:ascii="宋体" w:hAnsi="宋体" w:cs="宋体"/>
                <w:color w:val="auto"/>
                <w:sz w:val="24"/>
                <w:highlight w:val="none"/>
              </w:rPr>
              <w:t>平均值。（如通过初步评审且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总分*60%的</w:t>
            </w:r>
            <w:r>
              <w:rPr>
                <w:rFonts w:hint="eastAsia" w:cs="宋体"/>
                <w:color w:val="auto"/>
                <w:sz w:val="24"/>
                <w:highlight w:val="none"/>
                <w:lang w:eastAsia="zh-CN"/>
              </w:rPr>
              <w:t>参审单位</w:t>
            </w:r>
            <w:r>
              <w:rPr>
                <w:rFonts w:hint="eastAsia" w:ascii="宋体" w:hAnsi="宋体" w:cs="宋体"/>
                <w:color w:val="auto"/>
                <w:sz w:val="24"/>
                <w:highlight w:val="none"/>
              </w:rPr>
              <w:t>为1家时，则该</w:t>
            </w:r>
            <w:r>
              <w:rPr>
                <w:rFonts w:hint="eastAsia" w:cs="宋体"/>
                <w:color w:val="auto"/>
                <w:sz w:val="24"/>
                <w:highlight w:val="none"/>
                <w:lang w:eastAsia="zh-CN"/>
              </w:rPr>
              <w:t>参审单位评审价</w:t>
            </w:r>
            <w:r>
              <w:rPr>
                <w:rFonts w:hint="eastAsia" w:ascii="宋体" w:hAnsi="宋体" w:cs="宋体"/>
                <w:color w:val="auto"/>
                <w:sz w:val="24"/>
                <w:highlight w:val="none"/>
              </w:rPr>
              <w:t>即为</w:t>
            </w:r>
            <w:r>
              <w:rPr>
                <w:rFonts w:hint="eastAsia" w:cs="宋体"/>
                <w:color w:val="auto"/>
                <w:sz w:val="24"/>
                <w:highlight w:val="none"/>
                <w:lang w:eastAsia="zh-CN"/>
              </w:rPr>
              <w:t>评审价</w:t>
            </w:r>
            <w:r>
              <w:rPr>
                <w:rFonts w:hint="eastAsia" w:ascii="宋体" w:hAnsi="宋体" w:cs="宋体"/>
                <w:color w:val="auto"/>
                <w:sz w:val="24"/>
                <w:highlight w:val="none"/>
              </w:rPr>
              <w:t>平均值）注：如出现无法计算</w:t>
            </w:r>
            <w:r>
              <w:rPr>
                <w:rFonts w:hint="eastAsia" w:cs="宋体"/>
                <w:color w:val="auto"/>
                <w:sz w:val="24"/>
                <w:highlight w:val="none"/>
                <w:lang w:eastAsia="zh-CN"/>
              </w:rPr>
              <w:t>评审价</w:t>
            </w:r>
            <w:r>
              <w:rPr>
                <w:rFonts w:hint="eastAsia" w:ascii="宋体" w:hAnsi="宋体" w:cs="宋体"/>
                <w:color w:val="auto"/>
                <w:sz w:val="24"/>
                <w:highlight w:val="none"/>
              </w:rPr>
              <w:t>平均值的情况，</w:t>
            </w:r>
            <w:r>
              <w:rPr>
                <w:rFonts w:hint="eastAsia" w:cs="宋体"/>
                <w:color w:val="auto"/>
                <w:sz w:val="24"/>
                <w:highlight w:val="none"/>
                <w:lang w:eastAsia="zh-CN"/>
              </w:rPr>
              <w:t>磋商小组</w:t>
            </w:r>
            <w:r>
              <w:rPr>
                <w:rFonts w:hint="eastAsia" w:ascii="宋体" w:hAnsi="宋体" w:cs="宋体"/>
                <w:color w:val="auto"/>
                <w:sz w:val="24"/>
                <w:highlight w:val="none"/>
              </w:rPr>
              <w:t>将否决所有投标。</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②当通过初步评审的</w:t>
            </w:r>
            <w:r>
              <w:rPr>
                <w:rFonts w:hint="eastAsia" w:cs="宋体"/>
                <w:color w:val="auto"/>
                <w:sz w:val="24"/>
                <w:highlight w:val="none"/>
                <w:lang w:eastAsia="zh-CN"/>
              </w:rPr>
              <w:t>参审单位</w:t>
            </w:r>
            <w:r>
              <w:rPr>
                <w:rFonts w:hint="eastAsia" w:ascii="宋体" w:hAnsi="宋体" w:cs="宋体"/>
                <w:color w:val="auto"/>
                <w:sz w:val="24"/>
                <w:highlight w:val="none"/>
              </w:rPr>
              <w:t>数量＞5家时：</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a.其中通过初步评审且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总分*70%的</w:t>
            </w:r>
            <w:r>
              <w:rPr>
                <w:rFonts w:hint="eastAsia" w:cs="宋体"/>
                <w:color w:val="auto"/>
                <w:sz w:val="24"/>
                <w:highlight w:val="none"/>
                <w:lang w:eastAsia="zh-CN"/>
              </w:rPr>
              <w:t>参审单位</w:t>
            </w:r>
            <w:r>
              <w:rPr>
                <w:rFonts w:hint="eastAsia" w:ascii="宋体" w:hAnsi="宋体" w:cs="宋体"/>
                <w:color w:val="auto"/>
                <w:sz w:val="24"/>
                <w:highlight w:val="none"/>
              </w:rPr>
              <w:t>数量＞5家，取通过初步评审且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总分*70%的</w:t>
            </w:r>
            <w:r>
              <w:rPr>
                <w:rFonts w:hint="eastAsia" w:cs="宋体"/>
                <w:color w:val="auto"/>
                <w:sz w:val="24"/>
                <w:highlight w:val="none"/>
                <w:lang w:eastAsia="zh-CN"/>
              </w:rPr>
              <w:t>参审单位评审价</w:t>
            </w:r>
            <w:r>
              <w:rPr>
                <w:rFonts w:hint="eastAsia" w:ascii="宋体" w:hAnsi="宋体" w:cs="宋体"/>
                <w:color w:val="auto"/>
                <w:sz w:val="24"/>
                <w:highlight w:val="none"/>
              </w:rPr>
              <w:t>进行算术平均得出</w:t>
            </w:r>
            <w:r>
              <w:rPr>
                <w:rFonts w:hint="eastAsia" w:cs="宋体"/>
                <w:color w:val="auto"/>
                <w:sz w:val="24"/>
                <w:highlight w:val="none"/>
                <w:lang w:eastAsia="zh-CN"/>
              </w:rPr>
              <w:t>评审价</w:t>
            </w:r>
            <w:r>
              <w:rPr>
                <w:rFonts w:hint="eastAsia" w:ascii="宋体" w:hAnsi="宋体" w:cs="宋体"/>
                <w:color w:val="auto"/>
                <w:sz w:val="24"/>
                <w:highlight w:val="none"/>
              </w:rPr>
              <w:t>平均值。</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b.其中通过初步评审且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总分*70%的</w:t>
            </w:r>
            <w:r>
              <w:rPr>
                <w:rFonts w:hint="eastAsia" w:cs="宋体"/>
                <w:color w:val="auto"/>
                <w:sz w:val="24"/>
                <w:highlight w:val="none"/>
                <w:lang w:eastAsia="zh-CN"/>
              </w:rPr>
              <w:t>参审单位</w:t>
            </w:r>
            <w:r>
              <w:rPr>
                <w:rFonts w:hint="eastAsia" w:ascii="宋体" w:hAnsi="宋体" w:cs="宋体"/>
                <w:color w:val="auto"/>
                <w:sz w:val="24"/>
                <w:highlight w:val="none"/>
              </w:rPr>
              <w:t>数量≤5家时，取通过初步评审且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总分*60%的</w:t>
            </w:r>
            <w:r>
              <w:rPr>
                <w:rFonts w:hint="eastAsia" w:cs="宋体"/>
                <w:color w:val="auto"/>
                <w:sz w:val="24"/>
                <w:highlight w:val="none"/>
                <w:lang w:eastAsia="zh-CN"/>
              </w:rPr>
              <w:t>参审单位评审价</w:t>
            </w:r>
            <w:r>
              <w:rPr>
                <w:rFonts w:hint="eastAsia" w:ascii="宋体" w:hAnsi="宋体" w:cs="宋体"/>
                <w:color w:val="auto"/>
                <w:sz w:val="24"/>
                <w:highlight w:val="none"/>
              </w:rPr>
              <w:t>进行算术平均得出</w:t>
            </w:r>
            <w:r>
              <w:rPr>
                <w:rFonts w:hint="eastAsia" w:cs="宋体"/>
                <w:color w:val="auto"/>
                <w:sz w:val="24"/>
                <w:highlight w:val="none"/>
                <w:lang w:eastAsia="zh-CN"/>
              </w:rPr>
              <w:t>评审价</w:t>
            </w:r>
            <w:r>
              <w:rPr>
                <w:rFonts w:hint="eastAsia" w:ascii="宋体" w:hAnsi="宋体" w:cs="宋体"/>
                <w:color w:val="auto"/>
                <w:sz w:val="24"/>
                <w:highlight w:val="none"/>
              </w:rPr>
              <w:t>平均值。（如通过初步评审且</w:t>
            </w:r>
            <w:r>
              <w:rPr>
                <w:rFonts w:hint="eastAsia" w:cs="宋体"/>
                <w:color w:val="auto"/>
                <w:sz w:val="24"/>
                <w:highlight w:val="none"/>
                <w:lang w:val="en-US" w:eastAsia="zh-CN"/>
              </w:rPr>
              <w:t>技术资信</w:t>
            </w:r>
            <w:r>
              <w:rPr>
                <w:rFonts w:hint="eastAsia" w:ascii="宋体" w:hAnsi="宋体" w:cs="宋体"/>
                <w:color w:val="auto"/>
                <w:sz w:val="24"/>
                <w:highlight w:val="none"/>
              </w:rPr>
              <w:t>得分大于等于</w:t>
            </w:r>
            <w:r>
              <w:rPr>
                <w:rFonts w:hint="eastAsia" w:cs="宋体"/>
                <w:color w:val="auto"/>
                <w:sz w:val="24"/>
                <w:highlight w:val="none"/>
                <w:lang w:val="en-US" w:eastAsia="zh-CN"/>
              </w:rPr>
              <w:t>技术资信</w:t>
            </w:r>
            <w:r>
              <w:rPr>
                <w:rFonts w:hint="eastAsia" w:ascii="宋体" w:hAnsi="宋体" w:cs="宋体"/>
                <w:color w:val="auto"/>
                <w:sz w:val="24"/>
                <w:highlight w:val="none"/>
              </w:rPr>
              <w:t>总分*60%的</w:t>
            </w:r>
            <w:r>
              <w:rPr>
                <w:rFonts w:hint="eastAsia" w:cs="宋体"/>
                <w:color w:val="auto"/>
                <w:sz w:val="24"/>
                <w:highlight w:val="none"/>
                <w:lang w:eastAsia="zh-CN"/>
              </w:rPr>
              <w:t>参审单位</w:t>
            </w:r>
            <w:r>
              <w:rPr>
                <w:rFonts w:hint="eastAsia" w:ascii="宋体" w:hAnsi="宋体" w:cs="宋体"/>
                <w:color w:val="auto"/>
                <w:sz w:val="24"/>
                <w:highlight w:val="none"/>
              </w:rPr>
              <w:t>为1家时，则该</w:t>
            </w:r>
            <w:r>
              <w:rPr>
                <w:rFonts w:hint="eastAsia" w:cs="宋体"/>
                <w:color w:val="auto"/>
                <w:sz w:val="24"/>
                <w:highlight w:val="none"/>
                <w:lang w:eastAsia="zh-CN"/>
              </w:rPr>
              <w:t>参审单位评审价</w:t>
            </w:r>
            <w:r>
              <w:rPr>
                <w:rFonts w:hint="eastAsia" w:ascii="宋体" w:hAnsi="宋体" w:cs="宋体"/>
                <w:color w:val="auto"/>
                <w:sz w:val="24"/>
                <w:highlight w:val="none"/>
              </w:rPr>
              <w:t>即为</w:t>
            </w:r>
            <w:r>
              <w:rPr>
                <w:rFonts w:hint="eastAsia" w:cs="宋体"/>
                <w:color w:val="auto"/>
                <w:sz w:val="24"/>
                <w:highlight w:val="none"/>
                <w:lang w:eastAsia="zh-CN"/>
              </w:rPr>
              <w:t>评审价</w:t>
            </w:r>
            <w:r>
              <w:rPr>
                <w:rFonts w:hint="eastAsia" w:ascii="宋体" w:hAnsi="宋体" w:cs="宋体"/>
                <w:color w:val="auto"/>
                <w:sz w:val="24"/>
                <w:highlight w:val="none"/>
              </w:rPr>
              <w:t>平均值）</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注：如出现无法计算</w:t>
            </w:r>
            <w:r>
              <w:rPr>
                <w:rFonts w:hint="eastAsia" w:cs="宋体"/>
                <w:color w:val="auto"/>
                <w:sz w:val="24"/>
                <w:highlight w:val="none"/>
                <w:lang w:eastAsia="zh-CN"/>
              </w:rPr>
              <w:t>评审价</w:t>
            </w:r>
            <w:r>
              <w:rPr>
                <w:rFonts w:hint="eastAsia" w:ascii="宋体" w:hAnsi="宋体" w:cs="宋体"/>
                <w:color w:val="auto"/>
                <w:sz w:val="24"/>
                <w:highlight w:val="none"/>
              </w:rPr>
              <w:t>平均值的情况，</w:t>
            </w:r>
            <w:r>
              <w:rPr>
                <w:rFonts w:hint="eastAsia" w:cs="宋体"/>
                <w:color w:val="auto"/>
                <w:sz w:val="24"/>
                <w:highlight w:val="none"/>
                <w:lang w:eastAsia="zh-CN"/>
              </w:rPr>
              <w:t>磋商小组</w:t>
            </w:r>
            <w:r>
              <w:rPr>
                <w:rFonts w:hint="eastAsia" w:ascii="宋体" w:hAnsi="宋体" w:cs="宋体"/>
                <w:color w:val="auto"/>
                <w:sz w:val="24"/>
                <w:highlight w:val="none"/>
              </w:rPr>
              <w:t>将否决所有</w:t>
            </w:r>
            <w:r>
              <w:rPr>
                <w:rFonts w:hint="eastAsia" w:cs="宋体"/>
                <w:color w:val="auto"/>
                <w:sz w:val="24"/>
                <w:highlight w:val="none"/>
                <w:lang w:val="en-US" w:eastAsia="zh-CN"/>
              </w:rPr>
              <w:t>响应文件</w:t>
            </w:r>
            <w:r>
              <w:rPr>
                <w:rFonts w:hint="eastAsia" w:ascii="宋体" w:hAnsi="宋体" w:cs="宋体"/>
                <w:color w:val="auto"/>
                <w:sz w:val="24"/>
                <w:highlight w:val="none"/>
              </w:rPr>
              <w:t>。</w:t>
            </w:r>
          </w:p>
          <w:p>
            <w:pPr>
              <w:snapToGrid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3）确定</w:t>
            </w:r>
            <w:r>
              <w:rPr>
                <w:rFonts w:hint="eastAsia" w:cs="宋体"/>
                <w:color w:val="auto"/>
                <w:sz w:val="24"/>
                <w:highlight w:val="none"/>
                <w:lang w:val="en-US" w:eastAsia="zh-CN"/>
              </w:rPr>
              <w:t>评审基准价</w:t>
            </w:r>
          </w:p>
          <w:p>
            <w:pPr>
              <w:snapToGrid w:val="0"/>
              <w:spacing w:line="360" w:lineRule="auto"/>
              <w:jc w:val="both"/>
              <w:rPr>
                <w:rFonts w:hint="eastAsia" w:ascii="宋体" w:hAnsi="宋体" w:cs="宋体"/>
                <w:color w:val="auto"/>
                <w:sz w:val="24"/>
                <w:highlight w:val="none"/>
              </w:rPr>
            </w:pPr>
            <w:r>
              <w:rPr>
                <w:rFonts w:hint="eastAsia" w:cs="宋体"/>
                <w:color w:val="auto"/>
                <w:sz w:val="24"/>
                <w:highlight w:val="none"/>
                <w:lang w:eastAsia="zh-CN"/>
              </w:rPr>
              <w:t>评审基准价</w:t>
            </w:r>
            <w:r>
              <w:rPr>
                <w:rFonts w:hint="eastAsia" w:ascii="宋体" w:hAnsi="宋体" w:cs="宋体"/>
                <w:color w:val="auto"/>
                <w:sz w:val="24"/>
                <w:highlight w:val="none"/>
              </w:rPr>
              <w:t>=</w:t>
            </w:r>
            <w:r>
              <w:rPr>
                <w:rFonts w:hint="eastAsia" w:cs="宋体"/>
                <w:color w:val="auto"/>
                <w:sz w:val="24"/>
                <w:highlight w:val="none"/>
                <w:lang w:eastAsia="zh-CN"/>
              </w:rPr>
              <w:t>评审价</w:t>
            </w:r>
            <w:r>
              <w:rPr>
                <w:rFonts w:hint="eastAsia" w:ascii="宋体" w:hAnsi="宋体" w:cs="宋体"/>
                <w:color w:val="auto"/>
                <w:sz w:val="24"/>
                <w:highlight w:val="none"/>
              </w:rPr>
              <w:t>平均值*C值</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C值确定如下：</w:t>
            </w:r>
          </w:p>
          <w:p>
            <w:pPr>
              <w:snapToGrid w:val="0"/>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将在</w:t>
            </w:r>
            <w:r>
              <w:rPr>
                <w:rFonts w:hint="eastAsia" w:cs="宋体"/>
                <w:color w:val="auto"/>
                <w:sz w:val="24"/>
                <w:highlight w:val="none"/>
                <w:lang w:val="en-US" w:eastAsia="zh-CN"/>
              </w:rPr>
              <w:t>响应文件递交</w:t>
            </w:r>
            <w:r>
              <w:rPr>
                <w:rFonts w:hint="eastAsia" w:ascii="宋体" w:hAnsi="宋体" w:cs="宋体"/>
                <w:color w:val="auto"/>
                <w:sz w:val="24"/>
                <w:highlight w:val="none"/>
              </w:rPr>
              <w:t>截止时间后系统成功接收</w:t>
            </w:r>
            <w:r>
              <w:rPr>
                <w:rFonts w:hint="eastAsia" w:cs="宋体"/>
                <w:color w:val="auto"/>
                <w:sz w:val="24"/>
                <w:highlight w:val="none"/>
                <w:lang w:eastAsia="zh-CN"/>
              </w:rPr>
              <w:t>响应文件</w:t>
            </w:r>
            <w:r>
              <w:rPr>
                <w:rFonts w:hint="eastAsia" w:ascii="宋体" w:hAnsi="宋体" w:cs="宋体"/>
                <w:color w:val="auto"/>
                <w:sz w:val="24"/>
                <w:highlight w:val="none"/>
              </w:rPr>
              <w:t>的</w:t>
            </w:r>
            <w:r>
              <w:rPr>
                <w:rFonts w:hint="eastAsia" w:cs="宋体"/>
                <w:color w:val="auto"/>
                <w:sz w:val="24"/>
                <w:highlight w:val="none"/>
                <w:lang w:eastAsia="zh-CN"/>
              </w:rPr>
              <w:t>参审单位</w:t>
            </w:r>
            <w:r>
              <w:rPr>
                <w:rFonts w:hint="eastAsia" w:ascii="宋体" w:hAnsi="宋体" w:cs="宋体"/>
                <w:color w:val="auto"/>
                <w:sz w:val="24"/>
                <w:highlight w:val="none"/>
              </w:rPr>
              <w:t>总数（无论是否成功解密）除以5，根据余数对应取C值，见下表</w:t>
            </w:r>
            <w:r>
              <w:rPr>
                <w:rFonts w:hint="eastAsia" w:cs="宋体"/>
                <w:color w:val="auto"/>
                <w:sz w:val="24"/>
                <w:highlight w:val="none"/>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余数</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C值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1</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2</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3</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1"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4</w:t>
                  </w:r>
                </w:p>
              </w:tc>
              <w:tc>
                <w:tcPr>
                  <w:tcW w:w="2049" w:type="dxa"/>
                  <w:noWrap w:val="0"/>
                  <w:vAlign w:val="top"/>
                </w:tcPr>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0.99</w:t>
                  </w:r>
                </w:p>
              </w:tc>
            </w:tr>
          </w:tbl>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在</w:t>
            </w:r>
            <w:r>
              <w:rPr>
                <w:rFonts w:hint="eastAsia" w:cs="宋体"/>
                <w:color w:val="auto"/>
                <w:sz w:val="24"/>
                <w:highlight w:val="none"/>
                <w:lang w:eastAsia="zh-CN"/>
              </w:rPr>
              <w:t>评审</w:t>
            </w:r>
            <w:r>
              <w:rPr>
                <w:rFonts w:hint="eastAsia" w:ascii="宋体" w:hAnsi="宋体" w:cs="宋体"/>
                <w:color w:val="auto"/>
                <w:sz w:val="24"/>
                <w:highlight w:val="none"/>
              </w:rPr>
              <w:t>过程中，</w:t>
            </w:r>
            <w:r>
              <w:rPr>
                <w:rFonts w:hint="eastAsia" w:cs="宋体"/>
                <w:color w:val="auto"/>
                <w:sz w:val="24"/>
                <w:highlight w:val="none"/>
                <w:lang w:eastAsia="zh-CN"/>
              </w:rPr>
              <w:t>磋商小组</w:t>
            </w:r>
            <w:r>
              <w:rPr>
                <w:rFonts w:hint="eastAsia" w:ascii="宋体" w:hAnsi="宋体" w:cs="宋体"/>
                <w:color w:val="auto"/>
                <w:sz w:val="24"/>
                <w:highlight w:val="none"/>
              </w:rPr>
              <w:t>应对</w:t>
            </w:r>
            <w:r>
              <w:rPr>
                <w:rFonts w:hint="eastAsia" w:cs="宋体"/>
                <w:color w:val="auto"/>
                <w:sz w:val="24"/>
                <w:highlight w:val="none"/>
                <w:lang w:eastAsia="zh-CN"/>
              </w:rPr>
              <w:t>评审基准价</w:t>
            </w:r>
            <w:r>
              <w:rPr>
                <w:rFonts w:hint="eastAsia" w:ascii="宋体" w:hAnsi="宋体" w:cs="宋体"/>
                <w:color w:val="auto"/>
                <w:sz w:val="24"/>
                <w:highlight w:val="none"/>
              </w:rPr>
              <w:t>进行复核，存在计算错误的应予以修正并在</w:t>
            </w:r>
            <w:r>
              <w:rPr>
                <w:rFonts w:hint="eastAsia" w:cs="宋体"/>
                <w:color w:val="auto"/>
                <w:sz w:val="24"/>
                <w:highlight w:val="none"/>
                <w:lang w:eastAsia="zh-CN"/>
              </w:rPr>
              <w:t>评审</w:t>
            </w:r>
            <w:r>
              <w:rPr>
                <w:rFonts w:hint="eastAsia" w:ascii="宋体" w:hAnsi="宋体" w:cs="宋体"/>
                <w:color w:val="auto"/>
                <w:sz w:val="24"/>
                <w:highlight w:val="none"/>
              </w:rPr>
              <w:t>报告中作出说明。除此之外，</w:t>
            </w:r>
            <w:r>
              <w:rPr>
                <w:rFonts w:hint="eastAsia" w:cs="宋体"/>
                <w:color w:val="auto"/>
                <w:sz w:val="24"/>
                <w:highlight w:val="none"/>
                <w:lang w:eastAsia="zh-CN"/>
              </w:rPr>
              <w:t>评审基准价</w:t>
            </w:r>
            <w:r>
              <w:rPr>
                <w:rFonts w:hint="eastAsia" w:ascii="宋体" w:hAnsi="宋体" w:cs="宋体"/>
                <w:color w:val="auto"/>
                <w:sz w:val="24"/>
                <w:highlight w:val="none"/>
              </w:rPr>
              <w:t>在整个</w:t>
            </w:r>
            <w:r>
              <w:rPr>
                <w:rFonts w:hint="eastAsia" w:cs="宋体"/>
                <w:color w:val="auto"/>
                <w:sz w:val="24"/>
                <w:highlight w:val="none"/>
                <w:lang w:eastAsia="zh-CN"/>
              </w:rPr>
              <w:t>评审</w:t>
            </w:r>
            <w:r>
              <w:rPr>
                <w:rFonts w:hint="eastAsia" w:ascii="宋体" w:hAnsi="宋体" w:cs="宋体"/>
                <w:color w:val="auto"/>
                <w:sz w:val="24"/>
                <w:highlight w:val="none"/>
              </w:rPr>
              <w:t>期间保持不变，不随任何因素发生变化。</w:t>
            </w:r>
          </w:p>
          <w:p>
            <w:pPr>
              <w:snapToGrid w:val="0"/>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cs="宋体"/>
                <w:color w:val="auto"/>
                <w:sz w:val="24"/>
                <w:highlight w:val="none"/>
                <w:lang w:eastAsia="zh-CN"/>
              </w:rPr>
              <w:t>评审价</w:t>
            </w:r>
            <w:r>
              <w:rPr>
                <w:rFonts w:hint="eastAsia" w:ascii="宋体" w:hAnsi="宋体" w:cs="宋体"/>
                <w:color w:val="auto"/>
                <w:sz w:val="24"/>
                <w:highlight w:val="none"/>
              </w:rPr>
              <w:t>的偏差率计算</w:t>
            </w:r>
          </w:p>
          <w:p>
            <w:pPr>
              <w:snapToGrid w:val="0"/>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偏差率=100%×（</w:t>
            </w:r>
            <w:r>
              <w:rPr>
                <w:rFonts w:hint="eastAsia" w:cs="宋体"/>
                <w:color w:val="auto"/>
                <w:sz w:val="24"/>
                <w:highlight w:val="none"/>
                <w:lang w:eastAsia="zh-CN"/>
              </w:rPr>
              <w:t>参审单位评审价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r>
              <w:rPr>
                <w:rFonts w:hint="eastAsia" w:cs="宋体"/>
                <w:color w:val="auto"/>
                <w:sz w:val="24"/>
                <w:highlight w:val="none"/>
                <w:lang w:eastAsia="zh-CN"/>
              </w:rPr>
              <w:t>评审基准价</w:t>
            </w:r>
          </w:p>
          <w:p>
            <w:pPr>
              <w:snapToGrid w:val="0"/>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rPr>
              <w:t>偏差率保留两位小数（小数点后第三位“四舍五入”），即为*.**%。</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cs="宋体"/>
                <w:color w:val="auto"/>
                <w:sz w:val="24"/>
                <w:highlight w:val="none"/>
                <w:lang w:val="en-US" w:eastAsia="zh-CN"/>
              </w:rPr>
              <w:t>评审价</w:t>
            </w:r>
            <w:r>
              <w:rPr>
                <w:rFonts w:hint="eastAsia" w:ascii="宋体" w:hAnsi="宋体" w:cs="宋体"/>
                <w:color w:val="auto"/>
                <w:sz w:val="24"/>
                <w:highlight w:val="none"/>
                <w:lang w:val="en-US" w:eastAsia="zh-CN"/>
              </w:rPr>
              <w:t>得分计算</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①当</w:t>
            </w:r>
            <w:r>
              <w:rPr>
                <w:rFonts w:hint="eastAsia" w:cs="宋体"/>
                <w:color w:val="auto"/>
                <w:sz w:val="24"/>
                <w:highlight w:val="none"/>
                <w:lang w:eastAsia="zh-CN"/>
              </w:rPr>
              <w:t>参审单位评审价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p>
          <w:p>
            <w:pPr>
              <w:snapToGrid w:val="0"/>
              <w:spacing w:line="360" w:lineRule="auto"/>
              <w:jc w:val="both"/>
              <w:rPr>
                <w:rFonts w:hint="eastAsia" w:ascii="宋体" w:hAnsi="宋体" w:cs="宋体"/>
                <w:color w:val="auto"/>
                <w:sz w:val="24"/>
                <w:highlight w:val="none"/>
                <w:lang w:eastAsia="zh-CN"/>
              </w:rPr>
            </w:pPr>
            <w:r>
              <w:rPr>
                <w:rFonts w:hint="eastAsia" w:cs="宋体"/>
                <w:color w:val="auto"/>
                <w:sz w:val="24"/>
                <w:highlight w:val="none"/>
                <w:lang w:eastAsia="zh-CN"/>
              </w:rPr>
              <w:t>评审价</w:t>
            </w:r>
            <w:r>
              <w:rPr>
                <w:rFonts w:hint="eastAsia" w:ascii="宋体" w:hAnsi="宋体" w:cs="宋体"/>
                <w:color w:val="auto"/>
                <w:sz w:val="24"/>
                <w:highlight w:val="none"/>
              </w:rPr>
              <w:t>得分=F-偏差率*100*E1</w:t>
            </w:r>
          </w:p>
          <w:p>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②当</w:t>
            </w:r>
            <w:r>
              <w:rPr>
                <w:rFonts w:hint="eastAsia" w:cs="宋体"/>
                <w:color w:val="auto"/>
                <w:sz w:val="24"/>
                <w:highlight w:val="none"/>
                <w:lang w:eastAsia="zh-CN"/>
              </w:rPr>
              <w:t>参审单位评审价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p>
          <w:p>
            <w:pPr>
              <w:snapToGrid w:val="0"/>
              <w:spacing w:line="360" w:lineRule="auto"/>
              <w:jc w:val="both"/>
              <w:rPr>
                <w:rFonts w:hint="eastAsia" w:ascii="宋体" w:hAnsi="宋体" w:cs="宋体"/>
                <w:color w:val="auto"/>
                <w:sz w:val="24"/>
                <w:highlight w:val="none"/>
                <w:lang w:eastAsia="zh-CN"/>
              </w:rPr>
            </w:pPr>
            <w:r>
              <w:rPr>
                <w:rFonts w:hint="eastAsia" w:cs="宋体"/>
                <w:color w:val="auto"/>
                <w:sz w:val="24"/>
                <w:highlight w:val="none"/>
                <w:lang w:eastAsia="zh-CN"/>
              </w:rPr>
              <w:t>评审价</w:t>
            </w:r>
            <w:r>
              <w:rPr>
                <w:rFonts w:hint="eastAsia" w:ascii="宋体" w:hAnsi="宋体" w:cs="宋体"/>
                <w:color w:val="auto"/>
                <w:sz w:val="24"/>
                <w:highlight w:val="none"/>
              </w:rPr>
              <w:t>得分=F+偏差率*100*E2</w:t>
            </w:r>
          </w:p>
          <w:p>
            <w:pPr>
              <w:snapToGrid w:val="0"/>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rPr>
              <w:t>其中：F是</w:t>
            </w:r>
            <w:r>
              <w:rPr>
                <w:rFonts w:hint="eastAsia" w:cs="宋体"/>
                <w:color w:val="auto"/>
                <w:sz w:val="24"/>
                <w:highlight w:val="none"/>
                <w:lang w:eastAsia="zh-CN"/>
              </w:rPr>
              <w:t>评审价</w:t>
            </w:r>
            <w:r>
              <w:rPr>
                <w:rFonts w:hint="eastAsia" w:ascii="宋体" w:hAnsi="宋体" w:cs="宋体"/>
                <w:color w:val="auto"/>
                <w:sz w:val="24"/>
                <w:highlight w:val="none"/>
              </w:rPr>
              <w:t>所占的权重分值。E1=0.5</w:t>
            </w:r>
            <w:r>
              <w:rPr>
                <w:rFonts w:hint="eastAsia" w:ascii="宋体" w:hAnsi="宋体" w:cs="宋体"/>
                <w:color w:val="auto"/>
                <w:sz w:val="24"/>
                <w:highlight w:val="none"/>
                <w:lang w:eastAsia="zh-CN"/>
              </w:rPr>
              <w:t>，</w:t>
            </w:r>
            <w:r>
              <w:rPr>
                <w:rFonts w:hint="eastAsia" w:ascii="宋体" w:hAnsi="宋体" w:cs="宋体"/>
                <w:color w:val="auto"/>
                <w:sz w:val="24"/>
                <w:highlight w:val="none"/>
              </w:rPr>
              <w:t>E2=0.3。</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auto"/>
                <w:sz w:val="24"/>
                <w:highlight w:val="none"/>
              </w:rPr>
              <w:t>当</w:t>
            </w:r>
            <w:r>
              <w:rPr>
                <w:rFonts w:hint="eastAsia" w:cs="宋体"/>
                <w:color w:val="auto"/>
                <w:sz w:val="24"/>
                <w:highlight w:val="none"/>
                <w:lang w:eastAsia="zh-CN"/>
              </w:rPr>
              <w:t>评审价</w:t>
            </w:r>
            <w:r>
              <w:rPr>
                <w:rFonts w:hint="eastAsia" w:ascii="宋体" w:hAnsi="宋体" w:cs="宋体"/>
                <w:color w:val="auto"/>
                <w:sz w:val="24"/>
                <w:highlight w:val="none"/>
              </w:rPr>
              <w:t>得分为负时，均按0分计算。</w:t>
            </w:r>
            <w:r>
              <w:rPr>
                <w:rFonts w:hint="eastAsia" w:cs="宋体"/>
                <w:color w:val="auto"/>
                <w:sz w:val="24"/>
                <w:highlight w:val="none"/>
                <w:lang w:eastAsia="zh-CN"/>
              </w:rPr>
              <w:t>评审价</w:t>
            </w:r>
            <w:r>
              <w:rPr>
                <w:rFonts w:hint="eastAsia" w:ascii="宋体" w:hAnsi="宋体" w:cs="宋体"/>
                <w:color w:val="auto"/>
                <w:sz w:val="24"/>
                <w:highlight w:val="none"/>
              </w:rPr>
              <w:t>得分保留小数点后两位，小数点后第三位“四舍五入”，即为*.**。</w:t>
            </w:r>
          </w:p>
        </w:tc>
        <w:tc>
          <w:tcPr>
            <w:tcW w:w="65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kern w:val="2"/>
                <w:sz w:val="24"/>
                <w:szCs w:val="24"/>
                <w:highlight w:val="none"/>
                <w:u w:val="single"/>
              </w:rPr>
              <w:t>0-</w:t>
            </w:r>
            <w:r>
              <w:rPr>
                <w:rFonts w:hint="eastAsia" w:cs="宋体"/>
                <w:kern w:val="2"/>
                <w:sz w:val="24"/>
                <w:szCs w:val="24"/>
                <w:highlight w:val="none"/>
                <w:u w:val="single"/>
                <w:lang w:val="en-US" w:eastAsia="zh-CN"/>
              </w:rPr>
              <w:t>63</w:t>
            </w:r>
            <w:r>
              <w:rPr>
                <w:rFonts w:hint="eastAsia" w:ascii="宋体" w:hAnsi="宋体" w:eastAsia="宋体" w:cs="宋体"/>
                <w:kern w:val="2"/>
                <w:sz w:val="24"/>
                <w:szCs w:val="24"/>
                <w:highlight w:val="none"/>
              </w:rPr>
              <w:t>分</w:t>
            </w:r>
          </w:p>
        </w:tc>
      </w:tr>
    </w:tbl>
    <w:p>
      <w:pPr>
        <w:spacing w:line="360" w:lineRule="auto"/>
        <w:ind w:firstLine="435"/>
        <w:rPr>
          <w:sz w:val="24"/>
          <w:highlight w:val="none"/>
        </w:rPr>
      </w:pPr>
      <w:r>
        <w:rPr>
          <w:rFonts w:hint="eastAsia"/>
          <w:sz w:val="24"/>
          <w:highlight w:val="none"/>
        </w:rPr>
        <w:t>2</w:t>
      </w:r>
      <w:r>
        <w:rPr>
          <w:sz w:val="24"/>
          <w:highlight w:val="none"/>
        </w:rPr>
        <w:t>.</w:t>
      </w:r>
      <w:r>
        <w:rPr>
          <w:rFonts w:hint="eastAsia"/>
          <w:sz w:val="24"/>
          <w:highlight w:val="none"/>
        </w:rPr>
        <w:t>2</w:t>
      </w:r>
      <w:r>
        <w:rPr>
          <w:sz w:val="24"/>
          <w:highlight w:val="none"/>
        </w:rPr>
        <w:t>.3</w:t>
      </w:r>
      <w:r>
        <w:rPr>
          <w:rFonts w:hint="eastAsia"/>
          <w:sz w:val="24"/>
          <w:highlight w:val="none"/>
        </w:rPr>
        <w:t>分值汇总</w:t>
      </w:r>
    </w:p>
    <w:p>
      <w:pPr>
        <w:spacing w:line="360" w:lineRule="auto"/>
        <w:ind w:firstLine="435"/>
        <w:rPr>
          <w:sz w:val="24"/>
          <w:highlight w:val="none"/>
        </w:rPr>
      </w:pPr>
      <w:r>
        <w:rPr>
          <w:rFonts w:hint="eastAsia"/>
          <w:sz w:val="24"/>
          <w:highlight w:val="none"/>
        </w:rPr>
        <w:t>（1）磋商小组各成员应当独立对每个有效响应的文件进行评价、打分，然后汇总每个</w:t>
      </w:r>
      <w:r>
        <w:rPr>
          <w:rFonts w:hint="eastAsia"/>
          <w:sz w:val="24"/>
          <w:szCs w:val="18"/>
          <w:highlight w:val="none"/>
        </w:rPr>
        <w:t>参审单位</w:t>
      </w:r>
      <w:r>
        <w:rPr>
          <w:rFonts w:hint="eastAsia"/>
          <w:sz w:val="24"/>
          <w:highlight w:val="none"/>
        </w:rPr>
        <w:t>每项评分因素的得分，</w:t>
      </w:r>
      <w:r>
        <w:rPr>
          <w:rFonts w:hint="eastAsia"/>
          <w:b/>
          <w:bCs/>
          <w:sz w:val="24"/>
          <w:highlight w:val="none"/>
        </w:rPr>
        <w:t>再取各位评委评分之平均值</w:t>
      </w:r>
      <w:r>
        <w:rPr>
          <w:rFonts w:hint="eastAsia"/>
          <w:sz w:val="24"/>
          <w:highlight w:val="none"/>
        </w:rPr>
        <w:t>，四舍五入保留至小数点后两位数，得到该</w:t>
      </w:r>
      <w:r>
        <w:rPr>
          <w:rFonts w:hint="eastAsia"/>
          <w:sz w:val="24"/>
          <w:szCs w:val="18"/>
          <w:highlight w:val="none"/>
        </w:rPr>
        <w:t>参审单位</w:t>
      </w:r>
      <w:r>
        <w:rPr>
          <w:rFonts w:hint="eastAsia"/>
          <w:sz w:val="24"/>
          <w:highlight w:val="none"/>
        </w:rPr>
        <w:t>的技术资信分。</w:t>
      </w:r>
    </w:p>
    <w:p>
      <w:pPr>
        <w:spacing w:line="360" w:lineRule="auto"/>
        <w:ind w:firstLine="435"/>
        <w:rPr>
          <w:sz w:val="24"/>
          <w:highlight w:val="none"/>
        </w:rPr>
      </w:pPr>
      <w:r>
        <w:rPr>
          <w:rFonts w:hint="eastAsia"/>
          <w:sz w:val="24"/>
          <w:highlight w:val="none"/>
        </w:rPr>
        <w:t>（2）将每个</w:t>
      </w:r>
      <w:r>
        <w:rPr>
          <w:rFonts w:hint="eastAsia"/>
          <w:sz w:val="24"/>
          <w:szCs w:val="18"/>
          <w:highlight w:val="none"/>
        </w:rPr>
        <w:t>参审单位</w:t>
      </w:r>
      <w:r>
        <w:rPr>
          <w:rFonts w:hint="eastAsia"/>
          <w:sz w:val="24"/>
          <w:highlight w:val="none"/>
        </w:rPr>
        <w:t>的技术资信分加上根据上述标准计算出的价格分，即为该</w:t>
      </w:r>
      <w:r>
        <w:rPr>
          <w:rFonts w:hint="eastAsia"/>
          <w:sz w:val="24"/>
          <w:szCs w:val="18"/>
          <w:highlight w:val="none"/>
        </w:rPr>
        <w:t>参审单位</w:t>
      </w:r>
      <w:r>
        <w:rPr>
          <w:rFonts w:hint="eastAsia"/>
          <w:sz w:val="24"/>
          <w:highlight w:val="none"/>
        </w:rPr>
        <w:t>的综合总得分。</w:t>
      </w:r>
    </w:p>
    <w:p>
      <w:pPr>
        <w:spacing w:line="360" w:lineRule="auto"/>
        <w:jc w:val="center"/>
        <w:outlineLvl w:val="0"/>
        <w:rPr>
          <w:b/>
          <w:sz w:val="28"/>
          <w:highlight w:val="none"/>
        </w:rPr>
      </w:pPr>
      <w:r>
        <w:rPr>
          <w:sz w:val="24"/>
          <w:highlight w:val="none"/>
        </w:rPr>
        <w:br w:type="page"/>
      </w:r>
      <w:bookmarkStart w:id="26" w:name="_Toc5801"/>
      <w:r>
        <w:rPr>
          <w:rFonts w:hint="eastAsia"/>
          <w:b/>
          <w:sz w:val="28"/>
          <w:highlight w:val="none"/>
        </w:rPr>
        <w:t>第五章  合同条款及格式（供参考）</w:t>
      </w:r>
      <w:bookmarkEnd w:id="26"/>
    </w:p>
    <w:p>
      <w:pPr>
        <w:spacing w:line="360" w:lineRule="auto"/>
        <w:jc w:val="center"/>
        <w:outlineLvl w:val="2"/>
        <w:rPr>
          <w:rFonts w:ascii="等线" w:hAnsi="等线" w:eastAsia="等线" w:cs="@仿宋_GB2312"/>
          <w:b/>
          <w:kern w:val="2"/>
          <w:sz w:val="24"/>
          <w:highlight w:val="none"/>
        </w:rPr>
      </w:pPr>
      <w:bookmarkStart w:id="27" w:name="_Toc15656489"/>
      <w:r>
        <w:rPr>
          <w:rFonts w:hint="eastAsia" w:ascii="等线" w:hAnsi="等线" w:eastAsia="等线" w:cs="@仿宋_GB2312"/>
          <w:b/>
          <w:kern w:val="2"/>
          <w:sz w:val="24"/>
          <w:highlight w:val="none"/>
        </w:rPr>
        <w:t>第一节  合同协议书</w:t>
      </w:r>
      <w:bookmarkEnd w:id="27"/>
    </w:p>
    <w:p>
      <w:pPr>
        <w:spacing w:line="360" w:lineRule="auto"/>
        <w:rPr>
          <w:b/>
          <w:kern w:val="2"/>
          <w:sz w:val="24"/>
          <w:szCs w:val="24"/>
          <w:highlight w:val="none"/>
          <w:u w:val="single"/>
        </w:rPr>
      </w:pPr>
      <w:r>
        <w:rPr>
          <w:b/>
          <w:kern w:val="2"/>
          <w:sz w:val="24"/>
          <w:szCs w:val="24"/>
          <w:highlight w:val="none"/>
        </w:rPr>
        <w:t>发包人（全称）：</w:t>
      </w:r>
      <w:r>
        <w:rPr>
          <w:b/>
          <w:kern w:val="2"/>
          <w:sz w:val="24"/>
          <w:szCs w:val="24"/>
          <w:highlight w:val="none"/>
          <w:u w:val="single"/>
        </w:rPr>
        <w:t></w:t>
      </w:r>
      <w:r>
        <w:rPr>
          <w:rFonts w:hint="eastAsia"/>
          <w:b/>
          <w:kern w:val="2"/>
          <w:sz w:val="24"/>
          <w:szCs w:val="24"/>
          <w:highlight w:val="none"/>
          <w:u w:val="single"/>
          <w:lang w:eastAsia="zh-CN"/>
        </w:rPr>
        <w:t>肥西综合能源服务有限公司</w:t>
      </w:r>
      <w:r>
        <w:rPr>
          <w:b/>
          <w:kern w:val="2"/>
          <w:sz w:val="24"/>
          <w:szCs w:val="24"/>
          <w:highlight w:val="none"/>
          <w:u w:val="single"/>
        </w:rPr>
        <w:t></w:t>
      </w:r>
    </w:p>
    <w:p>
      <w:pPr>
        <w:spacing w:line="360" w:lineRule="auto"/>
        <w:rPr>
          <w:rFonts w:hint="default" w:eastAsia="宋体"/>
          <w:b/>
          <w:kern w:val="2"/>
          <w:sz w:val="24"/>
          <w:szCs w:val="24"/>
          <w:highlight w:val="none"/>
          <w:u w:val="single"/>
          <w:lang w:val="en-US" w:eastAsia="zh-CN"/>
        </w:rPr>
      </w:pPr>
      <w:r>
        <w:rPr>
          <w:b/>
          <w:kern w:val="2"/>
          <w:sz w:val="24"/>
          <w:szCs w:val="24"/>
          <w:highlight w:val="none"/>
        </w:rPr>
        <w:t>承包人（全称）：</w:t>
      </w:r>
      <w:r>
        <w:rPr>
          <w:b/>
          <w:kern w:val="2"/>
          <w:sz w:val="24"/>
          <w:szCs w:val="24"/>
          <w:highlight w:val="none"/>
          <w:u w:val="single"/>
        </w:rPr>
        <w:t xml:space="preserve"> </w:t>
      </w:r>
      <w:r>
        <w:rPr>
          <w:rFonts w:hint="eastAsia"/>
          <w:b/>
          <w:kern w:val="2"/>
          <w:sz w:val="24"/>
          <w:szCs w:val="24"/>
          <w:highlight w:val="none"/>
          <w:u w:val="single"/>
        </w:rPr>
        <w:t xml:space="preserve">      </w:t>
      </w:r>
      <w:r>
        <w:rPr>
          <w:b/>
          <w:kern w:val="2"/>
          <w:sz w:val="24"/>
          <w:szCs w:val="24"/>
          <w:highlight w:val="none"/>
          <w:u w:val="single"/>
        </w:rPr>
        <w:t></w:t>
      </w:r>
      <w:r>
        <w:rPr>
          <w:rFonts w:hint="eastAsia"/>
          <w:b/>
          <w:kern w:val="2"/>
          <w:sz w:val="24"/>
          <w:szCs w:val="24"/>
          <w:highlight w:val="none"/>
          <w:u w:val="single"/>
          <w:lang w:val="en-US" w:eastAsia="zh-CN"/>
        </w:rPr>
        <w:t xml:space="preserve">       </w:t>
      </w:r>
    </w:p>
    <w:p>
      <w:pPr>
        <w:spacing w:line="360" w:lineRule="auto"/>
        <w:ind w:firstLine="420" w:firstLineChars="200"/>
        <w:rPr>
          <w:kern w:val="2"/>
          <w:sz w:val="21"/>
          <w:szCs w:val="21"/>
          <w:highlight w:val="none"/>
        </w:rPr>
      </w:pPr>
      <w:r>
        <w:rPr>
          <w:kern w:val="2"/>
          <w:sz w:val="21"/>
          <w:szCs w:val="21"/>
          <w:highlight w:val="none"/>
        </w:rPr>
        <w:t>根据《中华人民共和国民法典》《中华人民共和国建筑法》及有关法律规定，遵循平等、自愿、公平和诚实信用的原则，双方就</w:t>
      </w:r>
      <w:r>
        <w:rPr>
          <w:kern w:val="2"/>
          <w:sz w:val="21"/>
          <w:szCs w:val="21"/>
          <w:highlight w:val="none"/>
          <w:u w:val="single"/>
        </w:rPr>
        <w:t xml:space="preserve"> </w:t>
      </w:r>
      <w:r>
        <w:rPr>
          <w:rFonts w:hint="eastAsia"/>
          <w:kern w:val="2"/>
          <w:sz w:val="21"/>
          <w:szCs w:val="21"/>
          <w:highlight w:val="none"/>
          <w:u w:val="single"/>
          <w:lang w:eastAsia="zh-CN"/>
        </w:rPr>
        <w:t>肥西县上派镇光明府光储充放一体化充电站项目</w:t>
      </w:r>
      <w:r>
        <w:rPr>
          <w:kern w:val="2"/>
          <w:sz w:val="21"/>
          <w:szCs w:val="21"/>
          <w:highlight w:val="none"/>
          <w:u w:val="single"/>
        </w:rPr>
        <w:t xml:space="preserve"> </w:t>
      </w:r>
      <w:r>
        <w:rPr>
          <w:kern w:val="2"/>
          <w:sz w:val="21"/>
          <w:szCs w:val="21"/>
          <w:highlight w:val="none"/>
        </w:rPr>
        <w:t>工程施工及有关事项协商一致</w:t>
      </w:r>
      <w:r>
        <w:rPr>
          <w:rFonts w:hint="eastAsia"/>
          <w:kern w:val="2"/>
          <w:sz w:val="21"/>
          <w:szCs w:val="21"/>
          <w:highlight w:val="none"/>
        </w:rPr>
        <w:t>，</w:t>
      </w:r>
      <w:r>
        <w:rPr>
          <w:kern w:val="2"/>
          <w:sz w:val="21"/>
          <w:szCs w:val="21"/>
          <w:highlight w:val="none"/>
        </w:rPr>
        <w:t>共同达成如下协议：</w:t>
      </w:r>
      <w:bookmarkStart w:id="28" w:name="_Toc351203481"/>
    </w:p>
    <w:p>
      <w:pPr>
        <w:spacing w:line="360" w:lineRule="auto"/>
        <w:ind w:firstLine="422" w:firstLineChars="200"/>
        <w:rPr>
          <w:b/>
          <w:kern w:val="2"/>
          <w:sz w:val="21"/>
          <w:szCs w:val="21"/>
          <w:highlight w:val="none"/>
        </w:rPr>
      </w:pPr>
      <w:r>
        <w:rPr>
          <w:b/>
          <w:kern w:val="2"/>
          <w:sz w:val="21"/>
          <w:szCs w:val="21"/>
          <w:highlight w:val="none"/>
        </w:rPr>
        <w:t>一、工程概况</w:t>
      </w:r>
      <w:bookmarkEnd w:id="28"/>
    </w:p>
    <w:p>
      <w:pPr>
        <w:spacing w:line="360" w:lineRule="auto"/>
        <w:ind w:firstLine="411" w:firstLineChars="196"/>
        <w:rPr>
          <w:kern w:val="2"/>
          <w:sz w:val="21"/>
          <w:szCs w:val="21"/>
          <w:highlight w:val="none"/>
          <w:u w:val="single"/>
        </w:rPr>
      </w:pPr>
      <w:r>
        <w:rPr>
          <w:bCs/>
          <w:kern w:val="2"/>
          <w:sz w:val="21"/>
          <w:szCs w:val="21"/>
          <w:highlight w:val="none"/>
        </w:rPr>
        <w:t>1.</w:t>
      </w:r>
      <w:r>
        <w:rPr>
          <w:rFonts w:hint="eastAsia"/>
          <w:bCs/>
          <w:kern w:val="2"/>
          <w:sz w:val="21"/>
          <w:szCs w:val="21"/>
          <w:highlight w:val="none"/>
        </w:rPr>
        <w:t xml:space="preserve"> </w:t>
      </w:r>
      <w:r>
        <w:rPr>
          <w:bCs/>
          <w:kern w:val="2"/>
          <w:sz w:val="21"/>
          <w:szCs w:val="21"/>
          <w:highlight w:val="none"/>
        </w:rPr>
        <w:t>工程名称：</w:t>
      </w:r>
      <w:r>
        <w:rPr>
          <w:kern w:val="2"/>
          <w:sz w:val="21"/>
          <w:szCs w:val="21"/>
          <w:highlight w:val="none"/>
          <w:u w:val="single"/>
        </w:rPr>
        <w:t></w:t>
      </w:r>
      <w:r>
        <w:rPr>
          <w:rFonts w:hint="eastAsia"/>
          <w:kern w:val="2"/>
          <w:sz w:val="21"/>
          <w:szCs w:val="21"/>
          <w:highlight w:val="none"/>
          <w:u w:val="single"/>
          <w:lang w:eastAsia="zh-CN"/>
        </w:rPr>
        <w:t>肥西县上派镇光明府光储充放一体化充电站项目</w:t>
      </w:r>
      <w:r>
        <w:rPr>
          <w:kern w:val="2"/>
          <w:sz w:val="21"/>
          <w:szCs w:val="21"/>
          <w:highlight w:val="none"/>
          <w:u w:val="single"/>
        </w:rPr>
        <w:t xml:space="preserve"> </w:t>
      </w:r>
      <w:r>
        <w:rPr>
          <w:kern w:val="2"/>
          <w:sz w:val="21"/>
          <w:szCs w:val="21"/>
          <w:highlight w:val="none"/>
        </w:rPr>
        <w:t>。</w:t>
      </w:r>
    </w:p>
    <w:p>
      <w:pPr>
        <w:spacing w:line="360" w:lineRule="auto"/>
        <w:ind w:firstLine="411" w:firstLineChars="196"/>
        <w:rPr>
          <w:bCs/>
          <w:kern w:val="2"/>
          <w:sz w:val="21"/>
          <w:szCs w:val="21"/>
          <w:highlight w:val="none"/>
        </w:rPr>
      </w:pPr>
      <w:r>
        <w:rPr>
          <w:bCs/>
          <w:kern w:val="2"/>
          <w:sz w:val="21"/>
          <w:szCs w:val="21"/>
          <w:highlight w:val="none"/>
        </w:rPr>
        <w:t>2.</w:t>
      </w:r>
      <w:r>
        <w:rPr>
          <w:rFonts w:hint="eastAsia"/>
          <w:bCs/>
          <w:kern w:val="2"/>
          <w:sz w:val="21"/>
          <w:szCs w:val="21"/>
          <w:highlight w:val="none"/>
        </w:rPr>
        <w:t xml:space="preserve"> </w:t>
      </w:r>
      <w:r>
        <w:rPr>
          <w:bCs/>
          <w:kern w:val="2"/>
          <w:sz w:val="21"/>
          <w:szCs w:val="21"/>
          <w:highlight w:val="none"/>
        </w:rPr>
        <w:t>工程地点：</w:t>
      </w:r>
      <w:r>
        <w:rPr>
          <w:kern w:val="2"/>
          <w:sz w:val="21"/>
          <w:szCs w:val="21"/>
          <w:highlight w:val="none"/>
          <w:u w:val="single"/>
        </w:rPr>
        <w:t></w:t>
      </w:r>
      <w:r>
        <w:rPr>
          <w:rFonts w:hint="eastAsia"/>
          <w:kern w:val="2"/>
          <w:sz w:val="21"/>
          <w:szCs w:val="21"/>
          <w:highlight w:val="none"/>
          <w:u w:val="single"/>
          <w:lang w:val="en-US" w:eastAsia="zh-CN"/>
        </w:rPr>
        <w:t>肥西县</w:t>
      </w:r>
      <w:r>
        <w:rPr>
          <w:kern w:val="2"/>
          <w:sz w:val="21"/>
          <w:szCs w:val="21"/>
          <w:highlight w:val="none"/>
          <w:u w:val="single"/>
        </w:rPr>
        <w:t xml:space="preserve"> </w:t>
      </w:r>
      <w:r>
        <w:rPr>
          <w:kern w:val="2"/>
          <w:sz w:val="21"/>
          <w:szCs w:val="21"/>
          <w:highlight w:val="none"/>
        </w:rPr>
        <w:t>。</w:t>
      </w:r>
    </w:p>
    <w:p>
      <w:pPr>
        <w:spacing w:line="360" w:lineRule="auto"/>
        <w:ind w:firstLine="411" w:firstLineChars="196"/>
        <w:rPr>
          <w:bCs/>
          <w:kern w:val="2"/>
          <w:sz w:val="21"/>
          <w:szCs w:val="21"/>
          <w:highlight w:val="none"/>
        </w:rPr>
      </w:pPr>
      <w:r>
        <w:rPr>
          <w:bCs/>
          <w:kern w:val="2"/>
          <w:sz w:val="21"/>
          <w:szCs w:val="21"/>
          <w:highlight w:val="none"/>
        </w:rPr>
        <w:t>3.</w:t>
      </w:r>
      <w:r>
        <w:rPr>
          <w:rFonts w:hint="eastAsia"/>
          <w:bCs/>
          <w:kern w:val="2"/>
          <w:sz w:val="21"/>
          <w:szCs w:val="21"/>
          <w:highlight w:val="none"/>
        </w:rPr>
        <w:t xml:space="preserve"> </w:t>
      </w:r>
      <w:r>
        <w:rPr>
          <w:bCs/>
          <w:kern w:val="2"/>
          <w:sz w:val="21"/>
          <w:szCs w:val="21"/>
          <w:highlight w:val="none"/>
        </w:rPr>
        <w:t>工程立项批准文号：</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bCs/>
          <w:kern w:val="2"/>
          <w:sz w:val="21"/>
          <w:szCs w:val="21"/>
          <w:highlight w:val="none"/>
        </w:rPr>
        <w:t>。</w:t>
      </w:r>
    </w:p>
    <w:p>
      <w:pPr>
        <w:spacing w:line="360" w:lineRule="auto"/>
        <w:ind w:firstLine="411" w:firstLineChars="196"/>
        <w:rPr>
          <w:bCs/>
          <w:kern w:val="2"/>
          <w:sz w:val="21"/>
          <w:szCs w:val="21"/>
          <w:highlight w:val="none"/>
        </w:rPr>
      </w:pPr>
      <w:r>
        <w:rPr>
          <w:bCs/>
          <w:kern w:val="2"/>
          <w:sz w:val="21"/>
          <w:szCs w:val="21"/>
          <w:highlight w:val="none"/>
        </w:rPr>
        <w:t>4.</w:t>
      </w:r>
      <w:r>
        <w:rPr>
          <w:rFonts w:hint="eastAsia"/>
          <w:bCs/>
          <w:kern w:val="2"/>
          <w:sz w:val="21"/>
          <w:szCs w:val="21"/>
          <w:highlight w:val="none"/>
        </w:rPr>
        <w:t xml:space="preserve"> </w:t>
      </w:r>
      <w:r>
        <w:rPr>
          <w:bCs/>
          <w:kern w:val="2"/>
          <w:sz w:val="21"/>
          <w:szCs w:val="21"/>
          <w:highlight w:val="none"/>
        </w:rPr>
        <w:t>资金来源：</w:t>
      </w:r>
      <w:r>
        <w:rPr>
          <w:kern w:val="2"/>
          <w:sz w:val="21"/>
          <w:szCs w:val="21"/>
          <w:highlight w:val="none"/>
          <w:u w:val="single"/>
        </w:rPr>
        <w:t></w:t>
      </w:r>
      <w:r>
        <w:rPr>
          <w:rFonts w:hint="eastAsia"/>
          <w:kern w:val="2"/>
          <w:sz w:val="21"/>
          <w:szCs w:val="21"/>
          <w:highlight w:val="none"/>
          <w:u w:val="single"/>
          <w:lang w:val="en-US" w:eastAsia="zh-CN"/>
        </w:rPr>
        <w:t xml:space="preserve">     </w:t>
      </w:r>
      <w:r>
        <w:rPr>
          <w:bCs/>
          <w:kern w:val="2"/>
          <w:sz w:val="21"/>
          <w:szCs w:val="21"/>
          <w:highlight w:val="none"/>
        </w:rPr>
        <w:t>。</w:t>
      </w:r>
    </w:p>
    <w:p>
      <w:pPr>
        <w:spacing w:line="360" w:lineRule="auto"/>
        <w:ind w:firstLine="411" w:firstLineChars="196"/>
        <w:jc w:val="both"/>
        <w:rPr>
          <w:bCs/>
          <w:kern w:val="2"/>
          <w:sz w:val="21"/>
          <w:szCs w:val="21"/>
          <w:highlight w:val="none"/>
        </w:rPr>
      </w:pPr>
      <w:r>
        <w:rPr>
          <w:rFonts w:hint="eastAsia"/>
          <w:bCs/>
          <w:kern w:val="2"/>
          <w:sz w:val="21"/>
          <w:szCs w:val="21"/>
          <w:highlight w:val="none"/>
        </w:rPr>
        <w:t>5. 工程内容：</w:t>
      </w:r>
      <w:r>
        <w:rPr>
          <w:rFonts w:hint="eastAsia"/>
          <w:bCs/>
          <w:kern w:val="2"/>
          <w:sz w:val="21"/>
          <w:szCs w:val="21"/>
          <w:highlight w:val="none"/>
          <w:u w:val="single"/>
          <w:lang w:val="en-US" w:eastAsia="zh-CN"/>
        </w:rPr>
        <w:t xml:space="preserve">    。</w:t>
      </w:r>
      <w:r>
        <w:rPr>
          <w:kern w:val="2"/>
          <w:sz w:val="21"/>
          <w:szCs w:val="21"/>
          <w:highlight w:val="none"/>
          <w:u w:val="single"/>
        </w:rPr>
        <w:t xml:space="preserve"> </w:t>
      </w:r>
    </w:p>
    <w:p>
      <w:pPr>
        <w:spacing w:line="360" w:lineRule="auto"/>
        <w:ind w:firstLine="411" w:firstLineChars="196"/>
        <w:jc w:val="both"/>
        <w:rPr>
          <w:kern w:val="2"/>
          <w:sz w:val="21"/>
          <w:szCs w:val="21"/>
          <w:highlight w:val="none"/>
        </w:rPr>
      </w:pPr>
      <w:r>
        <w:rPr>
          <w:rFonts w:hint="eastAsia"/>
          <w:kern w:val="2"/>
          <w:sz w:val="21"/>
          <w:szCs w:val="21"/>
          <w:highlight w:val="none"/>
        </w:rPr>
        <w:t>群体工程应附《</w:t>
      </w:r>
      <w:r>
        <w:rPr>
          <w:kern w:val="2"/>
          <w:sz w:val="21"/>
          <w:szCs w:val="21"/>
          <w:highlight w:val="none"/>
        </w:rPr>
        <w:t>承包人承揽工程项目一览表</w:t>
      </w:r>
      <w:r>
        <w:rPr>
          <w:rFonts w:hint="eastAsia"/>
          <w:kern w:val="2"/>
          <w:sz w:val="21"/>
          <w:szCs w:val="21"/>
          <w:highlight w:val="none"/>
        </w:rPr>
        <w:t>》（附件1）。</w:t>
      </w:r>
    </w:p>
    <w:p>
      <w:pPr>
        <w:spacing w:line="360" w:lineRule="auto"/>
        <w:ind w:firstLine="411" w:firstLineChars="196"/>
        <w:jc w:val="both"/>
        <w:rPr>
          <w:bCs/>
          <w:kern w:val="2"/>
          <w:sz w:val="21"/>
          <w:szCs w:val="21"/>
          <w:highlight w:val="none"/>
        </w:rPr>
      </w:pPr>
      <w:r>
        <w:rPr>
          <w:rFonts w:hint="eastAsia"/>
          <w:bCs/>
          <w:kern w:val="2"/>
          <w:sz w:val="21"/>
          <w:szCs w:val="21"/>
          <w:highlight w:val="none"/>
        </w:rPr>
        <w:t>6</w:t>
      </w:r>
      <w:r>
        <w:rPr>
          <w:bCs/>
          <w:kern w:val="2"/>
          <w:sz w:val="21"/>
          <w:szCs w:val="21"/>
          <w:highlight w:val="none"/>
        </w:rPr>
        <w:t>.</w:t>
      </w:r>
      <w:r>
        <w:rPr>
          <w:rFonts w:hint="eastAsia"/>
          <w:bCs/>
          <w:kern w:val="2"/>
          <w:sz w:val="21"/>
          <w:szCs w:val="21"/>
          <w:highlight w:val="none"/>
        </w:rPr>
        <w:t xml:space="preserve"> </w:t>
      </w:r>
      <w:r>
        <w:rPr>
          <w:bCs/>
          <w:kern w:val="2"/>
          <w:sz w:val="21"/>
          <w:szCs w:val="21"/>
          <w:highlight w:val="none"/>
        </w:rPr>
        <w:t>工程承包范围：</w:t>
      </w:r>
    </w:p>
    <w:p>
      <w:pPr>
        <w:spacing w:line="360" w:lineRule="auto"/>
        <w:ind w:firstLine="405" w:firstLineChars="193"/>
        <w:jc w:val="both"/>
        <w:rPr>
          <w:rFonts w:hint="eastAsia" w:eastAsia="宋体"/>
          <w:kern w:val="2"/>
          <w:sz w:val="21"/>
          <w:szCs w:val="21"/>
          <w:highlight w:val="none"/>
          <w:u w:val="single"/>
          <w:lang w:val="en-US" w:eastAsia="zh-CN"/>
        </w:rPr>
      </w:pPr>
      <w:r>
        <w:rPr>
          <w:rFonts w:hint="eastAsia"/>
          <w:bCs/>
          <w:kern w:val="2"/>
          <w:sz w:val="21"/>
          <w:szCs w:val="21"/>
          <w:highlight w:val="none"/>
          <w:u w:val="single"/>
          <w:lang w:val="en-US" w:eastAsia="zh-CN"/>
        </w:rPr>
        <w:t xml:space="preserve">                                        </w:t>
      </w:r>
      <w:r>
        <w:rPr>
          <w:rFonts w:hint="eastAsia"/>
          <w:kern w:val="2"/>
          <w:sz w:val="21"/>
          <w:szCs w:val="21"/>
          <w:highlight w:val="none"/>
          <w:u w:val="single"/>
          <w:lang w:val="en-US" w:eastAsia="zh-CN"/>
        </w:rPr>
        <w:t xml:space="preserve"> </w:t>
      </w:r>
    </w:p>
    <w:p>
      <w:pPr>
        <w:spacing w:line="360" w:lineRule="auto"/>
        <w:ind w:firstLine="422" w:firstLineChars="200"/>
        <w:rPr>
          <w:b/>
          <w:kern w:val="2"/>
          <w:sz w:val="21"/>
          <w:szCs w:val="21"/>
          <w:highlight w:val="none"/>
        </w:rPr>
      </w:pPr>
      <w:bookmarkStart w:id="29" w:name="_Toc351203482"/>
      <w:r>
        <w:rPr>
          <w:b/>
          <w:kern w:val="2"/>
          <w:sz w:val="21"/>
          <w:szCs w:val="21"/>
          <w:highlight w:val="none"/>
        </w:rPr>
        <w:t>二、合同工期</w:t>
      </w:r>
      <w:bookmarkEnd w:id="29"/>
    </w:p>
    <w:p>
      <w:pPr>
        <w:spacing w:line="360" w:lineRule="auto"/>
        <w:ind w:firstLine="459"/>
        <w:rPr>
          <w:kern w:val="2"/>
          <w:sz w:val="21"/>
          <w:szCs w:val="21"/>
          <w:highlight w:val="none"/>
        </w:rPr>
      </w:pPr>
      <w:r>
        <w:rPr>
          <w:kern w:val="2"/>
          <w:sz w:val="21"/>
          <w:szCs w:val="21"/>
          <w:highlight w:val="none"/>
        </w:rPr>
        <w:t>计划开工日期：</w:t>
      </w:r>
      <w:r>
        <w:rPr>
          <w:kern w:val="2"/>
          <w:sz w:val="21"/>
          <w:szCs w:val="21"/>
          <w:highlight w:val="none"/>
          <w:u w:val="single"/>
        </w:rPr>
        <w:t></w:t>
      </w:r>
      <w:r>
        <w:rPr>
          <w:kern w:val="2"/>
          <w:sz w:val="21"/>
          <w:szCs w:val="21"/>
          <w:highlight w:val="none"/>
        </w:rPr>
        <w:t>年</w:t>
      </w:r>
      <w:r>
        <w:rPr>
          <w:kern w:val="2"/>
          <w:sz w:val="21"/>
          <w:szCs w:val="21"/>
          <w:highlight w:val="none"/>
          <w:u w:val="single"/>
        </w:rPr>
        <w:t></w:t>
      </w:r>
      <w:r>
        <w:rPr>
          <w:kern w:val="2"/>
          <w:sz w:val="21"/>
          <w:szCs w:val="21"/>
          <w:highlight w:val="none"/>
        </w:rPr>
        <w:t>月</w:t>
      </w:r>
      <w:r>
        <w:rPr>
          <w:kern w:val="2"/>
          <w:sz w:val="21"/>
          <w:szCs w:val="21"/>
          <w:highlight w:val="none"/>
          <w:u w:val="single"/>
        </w:rPr>
        <w:t></w:t>
      </w:r>
      <w:r>
        <w:rPr>
          <w:kern w:val="2"/>
          <w:sz w:val="21"/>
          <w:szCs w:val="21"/>
          <w:highlight w:val="none"/>
        </w:rPr>
        <w:t>日。</w:t>
      </w:r>
    </w:p>
    <w:p>
      <w:pPr>
        <w:spacing w:line="360" w:lineRule="auto"/>
        <w:ind w:firstLine="459"/>
        <w:rPr>
          <w:kern w:val="2"/>
          <w:sz w:val="21"/>
          <w:szCs w:val="21"/>
          <w:highlight w:val="none"/>
        </w:rPr>
      </w:pPr>
      <w:r>
        <w:rPr>
          <w:kern w:val="2"/>
          <w:sz w:val="21"/>
          <w:szCs w:val="21"/>
          <w:highlight w:val="none"/>
        </w:rPr>
        <w:t>计划竣工日期：</w:t>
      </w:r>
      <w:r>
        <w:rPr>
          <w:kern w:val="2"/>
          <w:sz w:val="21"/>
          <w:szCs w:val="21"/>
          <w:highlight w:val="none"/>
          <w:u w:val="single"/>
        </w:rPr>
        <w:t></w:t>
      </w:r>
      <w:r>
        <w:rPr>
          <w:kern w:val="2"/>
          <w:sz w:val="21"/>
          <w:szCs w:val="21"/>
          <w:highlight w:val="none"/>
        </w:rPr>
        <w:t>年</w:t>
      </w:r>
      <w:r>
        <w:rPr>
          <w:kern w:val="2"/>
          <w:sz w:val="21"/>
          <w:szCs w:val="21"/>
          <w:highlight w:val="none"/>
          <w:u w:val="single"/>
        </w:rPr>
        <w:t></w:t>
      </w:r>
      <w:r>
        <w:rPr>
          <w:kern w:val="2"/>
          <w:sz w:val="21"/>
          <w:szCs w:val="21"/>
          <w:highlight w:val="none"/>
        </w:rPr>
        <w:t>月</w:t>
      </w:r>
      <w:r>
        <w:rPr>
          <w:kern w:val="2"/>
          <w:sz w:val="21"/>
          <w:szCs w:val="21"/>
          <w:highlight w:val="none"/>
          <w:u w:val="single"/>
        </w:rPr>
        <w:t></w:t>
      </w:r>
      <w:r>
        <w:rPr>
          <w:kern w:val="2"/>
          <w:sz w:val="21"/>
          <w:szCs w:val="21"/>
          <w:highlight w:val="none"/>
        </w:rPr>
        <w:t>日。</w:t>
      </w:r>
    </w:p>
    <w:p>
      <w:pPr>
        <w:spacing w:line="360" w:lineRule="auto"/>
        <w:ind w:firstLine="459"/>
        <w:rPr>
          <w:kern w:val="2"/>
          <w:sz w:val="21"/>
          <w:szCs w:val="21"/>
          <w:highlight w:val="none"/>
        </w:rPr>
      </w:pPr>
      <w:r>
        <w:rPr>
          <w:kern w:val="2"/>
          <w:sz w:val="21"/>
          <w:szCs w:val="21"/>
          <w:highlight w:val="none"/>
        </w:rPr>
        <w:t>工期总日历天数：</w:t>
      </w:r>
      <w:r>
        <w:rPr>
          <w:kern w:val="2"/>
          <w:sz w:val="21"/>
          <w:szCs w:val="21"/>
          <w:highlight w:val="none"/>
          <w:u w:val="single"/>
        </w:rPr>
        <w:t></w:t>
      </w:r>
      <w:r>
        <w:rPr>
          <w:rFonts w:hint="eastAsia"/>
          <w:kern w:val="2"/>
          <w:sz w:val="21"/>
          <w:szCs w:val="21"/>
          <w:highlight w:val="none"/>
          <w:u w:val="single"/>
          <w:lang w:val="en-US" w:eastAsia="zh-CN"/>
        </w:rPr>
        <w:t xml:space="preserve">     </w:t>
      </w:r>
      <w:r>
        <w:rPr>
          <w:kern w:val="2"/>
          <w:sz w:val="21"/>
          <w:szCs w:val="21"/>
          <w:highlight w:val="none"/>
        </w:rPr>
        <w:t>天。</w:t>
      </w:r>
    </w:p>
    <w:p>
      <w:pPr>
        <w:spacing w:line="360" w:lineRule="auto"/>
        <w:ind w:firstLine="459"/>
        <w:rPr>
          <w:kern w:val="2"/>
          <w:sz w:val="21"/>
          <w:szCs w:val="21"/>
          <w:highlight w:val="none"/>
        </w:rPr>
      </w:pPr>
      <w:r>
        <w:rPr>
          <w:kern w:val="2"/>
          <w:sz w:val="21"/>
          <w:szCs w:val="21"/>
          <w:highlight w:val="none"/>
        </w:rPr>
        <w:t>工期总日历天数与根据前述计划开竣工日期计算的工期天数不一致的，以工期总日历天数为准。</w:t>
      </w:r>
    </w:p>
    <w:p>
      <w:pPr>
        <w:spacing w:line="360" w:lineRule="auto"/>
        <w:ind w:firstLine="422" w:firstLineChars="200"/>
        <w:rPr>
          <w:b/>
          <w:kern w:val="2"/>
          <w:sz w:val="21"/>
          <w:szCs w:val="21"/>
          <w:highlight w:val="none"/>
        </w:rPr>
      </w:pPr>
      <w:bookmarkStart w:id="30" w:name="_Toc351203483"/>
      <w:r>
        <w:rPr>
          <w:b/>
          <w:kern w:val="2"/>
          <w:sz w:val="21"/>
          <w:szCs w:val="21"/>
          <w:highlight w:val="none"/>
        </w:rPr>
        <w:t>三、质量标准</w:t>
      </w:r>
      <w:bookmarkEnd w:id="30"/>
    </w:p>
    <w:p>
      <w:pPr>
        <w:spacing w:line="360" w:lineRule="auto"/>
        <w:ind w:firstLine="459"/>
        <w:rPr>
          <w:kern w:val="2"/>
          <w:sz w:val="21"/>
          <w:szCs w:val="21"/>
          <w:highlight w:val="none"/>
        </w:rPr>
      </w:pPr>
      <w:r>
        <w:rPr>
          <w:kern w:val="2"/>
          <w:sz w:val="21"/>
          <w:szCs w:val="21"/>
          <w:highlight w:val="none"/>
        </w:rPr>
        <w:t>工程质量符合</w:t>
      </w:r>
      <w:r>
        <w:rPr>
          <w:rFonts w:hint="eastAsia"/>
          <w:kern w:val="2"/>
          <w:sz w:val="21"/>
          <w:szCs w:val="21"/>
          <w:highlight w:val="none"/>
          <w:u w:val="single"/>
          <w:lang w:val="en-US" w:eastAsia="zh-CN"/>
        </w:rPr>
        <w:t xml:space="preserve"> </w:t>
      </w:r>
      <w:r>
        <w:rPr>
          <w:rFonts w:hint="eastAsia"/>
          <w:kern w:val="2"/>
          <w:sz w:val="21"/>
          <w:szCs w:val="21"/>
          <w:highlight w:val="none"/>
          <w:u w:val="single"/>
        </w:rPr>
        <w:t>合格</w:t>
      </w:r>
      <w:r>
        <w:rPr>
          <w:rFonts w:hint="eastAsia"/>
          <w:kern w:val="2"/>
          <w:sz w:val="21"/>
          <w:szCs w:val="21"/>
          <w:highlight w:val="none"/>
          <w:u w:val="single"/>
          <w:lang w:val="en-US" w:eastAsia="zh-CN"/>
        </w:rPr>
        <w:t xml:space="preserve"> </w:t>
      </w:r>
      <w:r>
        <w:rPr>
          <w:kern w:val="2"/>
          <w:sz w:val="21"/>
          <w:szCs w:val="21"/>
          <w:highlight w:val="none"/>
        </w:rPr>
        <w:t>标准。</w:t>
      </w:r>
    </w:p>
    <w:p>
      <w:pPr>
        <w:spacing w:line="360" w:lineRule="auto"/>
        <w:ind w:firstLine="422" w:firstLineChars="200"/>
        <w:rPr>
          <w:b/>
          <w:kern w:val="2"/>
          <w:sz w:val="21"/>
          <w:szCs w:val="21"/>
          <w:highlight w:val="none"/>
        </w:rPr>
      </w:pPr>
      <w:bookmarkStart w:id="31" w:name="_Toc351203484"/>
      <w:r>
        <w:rPr>
          <w:b/>
          <w:kern w:val="2"/>
          <w:sz w:val="21"/>
          <w:szCs w:val="21"/>
          <w:highlight w:val="none"/>
        </w:rPr>
        <w:t>四、签约合同价与合同价格形式</w:t>
      </w:r>
      <w:bookmarkEnd w:id="31"/>
    </w:p>
    <w:p>
      <w:pPr>
        <w:spacing w:line="360" w:lineRule="auto"/>
        <w:ind w:firstLine="420" w:firstLineChars="200"/>
        <w:rPr>
          <w:kern w:val="2"/>
          <w:sz w:val="21"/>
          <w:szCs w:val="21"/>
          <w:highlight w:val="none"/>
        </w:rPr>
      </w:pPr>
      <w:r>
        <w:rPr>
          <w:kern w:val="2"/>
          <w:sz w:val="21"/>
          <w:szCs w:val="21"/>
          <w:highlight w:val="none"/>
        </w:rPr>
        <w:t>1.</w:t>
      </w:r>
      <w:r>
        <w:rPr>
          <w:rFonts w:hint="eastAsia"/>
          <w:kern w:val="2"/>
          <w:sz w:val="21"/>
          <w:szCs w:val="21"/>
          <w:highlight w:val="none"/>
        </w:rPr>
        <w:t xml:space="preserve"> </w:t>
      </w:r>
      <w:r>
        <w:rPr>
          <w:kern w:val="2"/>
          <w:sz w:val="21"/>
          <w:szCs w:val="21"/>
          <w:highlight w:val="none"/>
        </w:rPr>
        <w:t>签约合同价为：</w:t>
      </w:r>
    </w:p>
    <w:p>
      <w:pPr>
        <w:spacing w:line="360" w:lineRule="auto"/>
        <w:ind w:firstLine="525" w:firstLineChars="250"/>
        <w:rPr>
          <w:kern w:val="2"/>
          <w:sz w:val="21"/>
          <w:szCs w:val="21"/>
          <w:highlight w:val="none"/>
        </w:rPr>
      </w:pPr>
      <w:r>
        <w:rPr>
          <w:kern w:val="2"/>
          <w:sz w:val="21"/>
          <w:szCs w:val="21"/>
          <w:highlight w:val="none"/>
        </w:rPr>
        <w:t>人民币（大写）</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元</w:t>
      </w:r>
      <w:r>
        <w:rPr>
          <w:rFonts w:hint="eastAsia"/>
          <w:kern w:val="2"/>
          <w:sz w:val="21"/>
          <w:szCs w:val="21"/>
          <w:highlight w:val="none"/>
          <w:lang w:eastAsia="zh-CN"/>
        </w:rPr>
        <w:t>）</w:t>
      </w:r>
      <w:r>
        <w:rPr>
          <w:kern w:val="2"/>
          <w:sz w:val="21"/>
          <w:szCs w:val="21"/>
          <w:highlight w:val="none"/>
        </w:rPr>
        <w:t>；</w:t>
      </w:r>
    </w:p>
    <w:p>
      <w:pPr>
        <w:spacing w:line="360" w:lineRule="auto"/>
        <w:ind w:firstLine="420" w:firstLineChars="200"/>
        <w:rPr>
          <w:kern w:val="2"/>
          <w:sz w:val="21"/>
          <w:szCs w:val="21"/>
          <w:highlight w:val="none"/>
        </w:rPr>
      </w:pPr>
      <w:r>
        <w:rPr>
          <w:kern w:val="2"/>
          <w:sz w:val="21"/>
          <w:szCs w:val="21"/>
          <w:highlight w:val="none"/>
        </w:rPr>
        <w:t>其中：</w:t>
      </w:r>
    </w:p>
    <w:p>
      <w:pPr>
        <w:spacing w:line="360" w:lineRule="auto"/>
        <w:ind w:firstLine="420" w:firstLineChars="200"/>
        <w:rPr>
          <w:kern w:val="2"/>
          <w:sz w:val="21"/>
          <w:szCs w:val="21"/>
          <w:highlight w:val="none"/>
        </w:rPr>
      </w:pPr>
      <w:r>
        <w:rPr>
          <w:kern w:val="2"/>
          <w:sz w:val="21"/>
          <w:szCs w:val="21"/>
          <w:highlight w:val="none"/>
        </w:rPr>
        <w:t>（1）安全文明施工费：</w:t>
      </w:r>
    </w:p>
    <w:p>
      <w:pPr>
        <w:spacing w:line="360" w:lineRule="auto"/>
        <w:ind w:firstLine="945" w:firstLineChars="450"/>
        <w:rPr>
          <w:kern w:val="2"/>
          <w:sz w:val="21"/>
          <w:szCs w:val="21"/>
          <w:highlight w:val="none"/>
        </w:rPr>
      </w:pPr>
      <w:r>
        <w:rPr>
          <w:kern w:val="2"/>
          <w:sz w:val="21"/>
          <w:szCs w:val="21"/>
          <w:highlight w:val="none"/>
        </w:rPr>
        <w:t>人民币（大写）</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rPr>
        <w:t>元</w:t>
      </w:r>
      <w:r>
        <w:rPr>
          <w:rFonts w:hint="eastAsia"/>
          <w:kern w:val="2"/>
          <w:sz w:val="21"/>
          <w:szCs w:val="21"/>
          <w:highlight w:val="none"/>
          <w:lang w:eastAsia="zh-CN"/>
        </w:rPr>
        <w:t>）</w:t>
      </w:r>
      <w:r>
        <w:rPr>
          <w:kern w:val="2"/>
          <w:sz w:val="21"/>
          <w:szCs w:val="21"/>
          <w:highlight w:val="none"/>
        </w:rPr>
        <w:t>；</w:t>
      </w:r>
    </w:p>
    <w:p>
      <w:pPr>
        <w:spacing w:line="360" w:lineRule="auto"/>
        <w:ind w:firstLine="420" w:firstLineChars="200"/>
        <w:rPr>
          <w:kern w:val="2"/>
          <w:sz w:val="21"/>
          <w:szCs w:val="21"/>
          <w:highlight w:val="none"/>
        </w:rPr>
      </w:pPr>
      <w:r>
        <w:rPr>
          <w:kern w:val="2"/>
          <w:sz w:val="21"/>
          <w:szCs w:val="21"/>
          <w:highlight w:val="none"/>
        </w:rPr>
        <w:t>（2）材料和工程设备暂估价金额：</w:t>
      </w:r>
    </w:p>
    <w:p>
      <w:pPr>
        <w:spacing w:line="360" w:lineRule="auto"/>
        <w:ind w:firstLine="945" w:firstLineChars="450"/>
        <w:rPr>
          <w:kern w:val="2"/>
          <w:sz w:val="21"/>
          <w:szCs w:val="21"/>
          <w:highlight w:val="none"/>
        </w:rPr>
      </w:pPr>
      <w:r>
        <w:rPr>
          <w:kern w:val="2"/>
          <w:sz w:val="21"/>
          <w:szCs w:val="21"/>
          <w:highlight w:val="none"/>
        </w:rPr>
        <w:t>人民币（大写）</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元</w:t>
      </w:r>
      <w:r>
        <w:rPr>
          <w:rFonts w:hint="eastAsia"/>
          <w:kern w:val="2"/>
          <w:sz w:val="21"/>
          <w:szCs w:val="21"/>
          <w:highlight w:val="none"/>
          <w:lang w:eastAsia="zh-CN"/>
        </w:rPr>
        <w:t>）</w:t>
      </w:r>
      <w:r>
        <w:rPr>
          <w:kern w:val="2"/>
          <w:sz w:val="21"/>
          <w:szCs w:val="21"/>
          <w:highlight w:val="none"/>
        </w:rPr>
        <w:t>；</w:t>
      </w:r>
    </w:p>
    <w:p>
      <w:pPr>
        <w:spacing w:line="360" w:lineRule="auto"/>
        <w:ind w:firstLine="420" w:firstLineChars="200"/>
        <w:rPr>
          <w:kern w:val="2"/>
          <w:sz w:val="21"/>
          <w:szCs w:val="21"/>
          <w:highlight w:val="none"/>
        </w:rPr>
      </w:pPr>
      <w:r>
        <w:rPr>
          <w:kern w:val="2"/>
          <w:sz w:val="21"/>
          <w:szCs w:val="21"/>
          <w:highlight w:val="none"/>
        </w:rPr>
        <w:t>（3）专业工程暂估价金额：</w:t>
      </w:r>
    </w:p>
    <w:p>
      <w:pPr>
        <w:spacing w:line="360" w:lineRule="auto"/>
        <w:ind w:firstLine="945" w:firstLineChars="450"/>
        <w:rPr>
          <w:kern w:val="2"/>
          <w:sz w:val="21"/>
          <w:szCs w:val="21"/>
          <w:highlight w:val="none"/>
        </w:rPr>
      </w:pPr>
      <w:r>
        <w:rPr>
          <w:kern w:val="2"/>
          <w:sz w:val="21"/>
          <w:szCs w:val="21"/>
          <w:highlight w:val="none"/>
        </w:rPr>
        <w:t>人民币（大写）</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元</w:t>
      </w:r>
      <w:r>
        <w:rPr>
          <w:rFonts w:hint="eastAsia"/>
          <w:kern w:val="2"/>
          <w:sz w:val="21"/>
          <w:szCs w:val="21"/>
          <w:highlight w:val="none"/>
          <w:lang w:eastAsia="zh-CN"/>
        </w:rPr>
        <w:t>）</w:t>
      </w:r>
      <w:r>
        <w:rPr>
          <w:kern w:val="2"/>
          <w:sz w:val="21"/>
          <w:szCs w:val="21"/>
          <w:highlight w:val="none"/>
        </w:rPr>
        <w:t>；</w:t>
      </w:r>
    </w:p>
    <w:p>
      <w:pPr>
        <w:spacing w:line="360" w:lineRule="auto"/>
        <w:ind w:firstLine="420" w:firstLineChars="200"/>
        <w:rPr>
          <w:kern w:val="2"/>
          <w:sz w:val="21"/>
          <w:szCs w:val="21"/>
          <w:highlight w:val="none"/>
        </w:rPr>
      </w:pPr>
      <w:r>
        <w:rPr>
          <w:kern w:val="2"/>
          <w:sz w:val="21"/>
          <w:szCs w:val="21"/>
          <w:highlight w:val="none"/>
        </w:rPr>
        <w:t>（4）暂列金额：</w:t>
      </w:r>
    </w:p>
    <w:p>
      <w:pPr>
        <w:spacing w:line="360" w:lineRule="auto"/>
        <w:ind w:firstLine="945" w:firstLineChars="450"/>
        <w:rPr>
          <w:kern w:val="2"/>
          <w:sz w:val="21"/>
          <w:szCs w:val="21"/>
          <w:highlight w:val="none"/>
        </w:rPr>
      </w:pPr>
      <w:r>
        <w:rPr>
          <w:kern w:val="2"/>
          <w:sz w:val="21"/>
          <w:szCs w:val="21"/>
          <w:highlight w:val="none"/>
        </w:rPr>
        <w:t>人民币（大写）</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元</w:t>
      </w:r>
      <w:r>
        <w:rPr>
          <w:rFonts w:hint="eastAsia"/>
          <w:kern w:val="2"/>
          <w:sz w:val="21"/>
          <w:szCs w:val="21"/>
          <w:highlight w:val="none"/>
          <w:lang w:eastAsia="zh-CN"/>
        </w:rPr>
        <w:t>）</w:t>
      </w:r>
      <w:r>
        <w:rPr>
          <w:kern w:val="2"/>
          <w:sz w:val="21"/>
          <w:szCs w:val="21"/>
          <w:highlight w:val="none"/>
        </w:rPr>
        <w:t>。</w:t>
      </w:r>
    </w:p>
    <w:p>
      <w:pPr>
        <w:spacing w:line="360" w:lineRule="auto"/>
        <w:ind w:firstLine="420" w:firstLineChars="200"/>
        <w:rPr>
          <w:kern w:val="2"/>
          <w:sz w:val="21"/>
          <w:szCs w:val="21"/>
          <w:highlight w:val="none"/>
        </w:rPr>
      </w:pPr>
      <w:r>
        <w:rPr>
          <w:kern w:val="2"/>
          <w:sz w:val="21"/>
          <w:szCs w:val="21"/>
          <w:highlight w:val="none"/>
        </w:rPr>
        <w:t>2.</w:t>
      </w:r>
      <w:r>
        <w:rPr>
          <w:rFonts w:hint="eastAsia"/>
          <w:kern w:val="2"/>
          <w:sz w:val="21"/>
          <w:szCs w:val="21"/>
          <w:highlight w:val="none"/>
        </w:rPr>
        <w:t xml:space="preserve"> </w:t>
      </w:r>
      <w:r>
        <w:rPr>
          <w:kern w:val="2"/>
          <w:sz w:val="21"/>
          <w:szCs w:val="21"/>
          <w:highlight w:val="none"/>
        </w:rPr>
        <w:t>合同价格形式：</w:t>
      </w:r>
      <w:r>
        <w:rPr>
          <w:rFonts w:hint="eastAsia"/>
          <w:kern w:val="2"/>
          <w:sz w:val="21"/>
          <w:szCs w:val="21"/>
          <w:highlight w:val="none"/>
          <w:u w:val="single"/>
          <w:lang w:val="en-US" w:eastAsia="zh-CN"/>
        </w:rPr>
        <w:t xml:space="preserve"> </w:t>
      </w:r>
      <w:r>
        <w:rPr>
          <w:rFonts w:hint="eastAsia"/>
          <w:kern w:val="2"/>
          <w:sz w:val="21"/>
          <w:szCs w:val="21"/>
          <w:highlight w:val="none"/>
          <w:u w:val="single"/>
        </w:rPr>
        <w:t>总价合同</w:t>
      </w:r>
      <w:r>
        <w:rPr>
          <w:rFonts w:hint="eastAsia"/>
          <w:kern w:val="2"/>
          <w:sz w:val="21"/>
          <w:szCs w:val="21"/>
          <w:highlight w:val="none"/>
          <w:u w:val="single"/>
          <w:lang w:val="en-US" w:eastAsia="zh-CN"/>
        </w:rPr>
        <w:t xml:space="preserve"> </w:t>
      </w:r>
      <w:r>
        <w:rPr>
          <w:kern w:val="2"/>
          <w:sz w:val="21"/>
          <w:szCs w:val="21"/>
          <w:highlight w:val="none"/>
        </w:rPr>
        <w:t>。</w:t>
      </w:r>
    </w:p>
    <w:p>
      <w:pPr>
        <w:spacing w:line="360" w:lineRule="auto"/>
        <w:ind w:firstLine="422" w:firstLineChars="200"/>
        <w:rPr>
          <w:b/>
          <w:kern w:val="2"/>
          <w:sz w:val="21"/>
          <w:szCs w:val="21"/>
          <w:highlight w:val="none"/>
        </w:rPr>
      </w:pPr>
      <w:bookmarkStart w:id="32" w:name="_Toc351203485"/>
      <w:r>
        <w:rPr>
          <w:b/>
          <w:kern w:val="2"/>
          <w:sz w:val="21"/>
          <w:szCs w:val="21"/>
          <w:highlight w:val="none"/>
        </w:rPr>
        <w:t>五、</w:t>
      </w:r>
      <w:bookmarkEnd w:id="32"/>
      <w:r>
        <w:rPr>
          <w:b/>
          <w:kern w:val="2"/>
          <w:sz w:val="21"/>
          <w:szCs w:val="21"/>
          <w:highlight w:val="none"/>
        </w:rPr>
        <w:t>项目经理</w:t>
      </w:r>
    </w:p>
    <w:p>
      <w:pPr>
        <w:spacing w:line="360" w:lineRule="auto"/>
        <w:ind w:firstLine="420" w:firstLineChars="200"/>
        <w:rPr>
          <w:kern w:val="2"/>
          <w:sz w:val="21"/>
          <w:szCs w:val="21"/>
          <w:highlight w:val="none"/>
        </w:rPr>
      </w:pPr>
      <w:r>
        <w:rPr>
          <w:kern w:val="2"/>
          <w:sz w:val="21"/>
          <w:szCs w:val="21"/>
          <w:highlight w:val="none"/>
        </w:rPr>
        <w:t>承包人项目经理：</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w:t>
      </w:r>
      <w:r>
        <w:rPr>
          <w:kern w:val="2"/>
          <w:sz w:val="21"/>
          <w:szCs w:val="21"/>
          <w:highlight w:val="none"/>
        </w:rPr>
        <w:t>。</w:t>
      </w:r>
    </w:p>
    <w:p>
      <w:pPr>
        <w:spacing w:line="360" w:lineRule="auto"/>
        <w:ind w:firstLine="422" w:firstLineChars="200"/>
        <w:rPr>
          <w:b/>
          <w:kern w:val="2"/>
          <w:sz w:val="21"/>
          <w:szCs w:val="21"/>
          <w:highlight w:val="none"/>
        </w:rPr>
      </w:pPr>
      <w:bookmarkStart w:id="33" w:name="_Toc351203486"/>
      <w:r>
        <w:rPr>
          <w:b/>
          <w:kern w:val="2"/>
          <w:sz w:val="21"/>
          <w:szCs w:val="21"/>
          <w:highlight w:val="none"/>
        </w:rPr>
        <w:t>六、合同文件构成</w:t>
      </w:r>
      <w:bookmarkEnd w:id="33"/>
    </w:p>
    <w:p>
      <w:pPr>
        <w:spacing w:line="360" w:lineRule="auto"/>
        <w:ind w:firstLine="420" w:firstLineChars="200"/>
        <w:rPr>
          <w:bCs/>
          <w:kern w:val="2"/>
          <w:sz w:val="21"/>
          <w:szCs w:val="21"/>
          <w:highlight w:val="none"/>
        </w:rPr>
      </w:pPr>
      <w:r>
        <w:rPr>
          <w:bCs/>
          <w:kern w:val="2"/>
          <w:sz w:val="21"/>
          <w:szCs w:val="21"/>
          <w:highlight w:val="none"/>
        </w:rPr>
        <w:t>本协议书与下列文件一起构成合同文件：</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1.</w:t>
      </w:r>
      <w:r>
        <w:rPr>
          <w:rFonts w:hint="eastAsia"/>
          <w:kern w:val="2"/>
          <w:sz w:val="21"/>
          <w:szCs w:val="21"/>
          <w:highlight w:val="none"/>
          <w:lang w:eastAsia="zh-CN"/>
        </w:rPr>
        <w:t>成交确认书</w:t>
      </w:r>
      <w:r>
        <w:rPr>
          <w:kern w:val="2"/>
          <w:sz w:val="21"/>
          <w:szCs w:val="21"/>
          <w:highlight w:val="none"/>
        </w:rPr>
        <w:t>（如果有）；</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2.</w:t>
      </w:r>
      <w:r>
        <w:rPr>
          <w:rFonts w:hint="eastAsia"/>
          <w:kern w:val="2"/>
          <w:sz w:val="21"/>
          <w:szCs w:val="21"/>
          <w:highlight w:val="none"/>
          <w:lang w:val="en-US" w:eastAsia="zh-CN"/>
        </w:rPr>
        <w:t>报价表</w:t>
      </w:r>
      <w:r>
        <w:rPr>
          <w:kern w:val="2"/>
          <w:sz w:val="21"/>
          <w:szCs w:val="21"/>
          <w:highlight w:val="none"/>
        </w:rPr>
        <w:t xml:space="preserve">及其附录（如果有）； </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3.</w:t>
      </w:r>
      <w:r>
        <w:rPr>
          <w:kern w:val="2"/>
          <w:sz w:val="21"/>
          <w:szCs w:val="21"/>
          <w:highlight w:val="none"/>
        </w:rPr>
        <w:t>专用合同条款及其附件；</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4.</w:t>
      </w:r>
      <w:r>
        <w:rPr>
          <w:kern w:val="2"/>
          <w:sz w:val="21"/>
          <w:szCs w:val="21"/>
          <w:highlight w:val="none"/>
        </w:rPr>
        <w:t>通用合同条款；</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5.</w:t>
      </w:r>
      <w:r>
        <w:rPr>
          <w:kern w:val="2"/>
          <w:sz w:val="21"/>
          <w:szCs w:val="21"/>
          <w:highlight w:val="none"/>
        </w:rPr>
        <w:t>技术标准和要求；</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6.</w:t>
      </w:r>
      <w:r>
        <w:rPr>
          <w:kern w:val="2"/>
          <w:sz w:val="21"/>
          <w:szCs w:val="21"/>
          <w:highlight w:val="none"/>
        </w:rPr>
        <w:t>图纸（如果有）；</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7.</w:t>
      </w:r>
      <w:r>
        <w:rPr>
          <w:kern w:val="2"/>
          <w:sz w:val="21"/>
          <w:szCs w:val="21"/>
          <w:highlight w:val="none"/>
        </w:rPr>
        <w:t>已标价工程量清单或预算书；</w:t>
      </w:r>
    </w:p>
    <w:p>
      <w:pPr>
        <w:autoSpaceDE w:val="0"/>
        <w:autoSpaceDN w:val="0"/>
        <w:adjustRightInd w:val="0"/>
        <w:spacing w:line="360" w:lineRule="auto"/>
        <w:ind w:firstLine="420" w:firstLineChars="200"/>
        <w:jc w:val="left"/>
        <w:rPr>
          <w:kern w:val="2"/>
          <w:sz w:val="21"/>
          <w:szCs w:val="21"/>
          <w:highlight w:val="none"/>
        </w:rPr>
      </w:pPr>
      <w:r>
        <w:rPr>
          <w:rFonts w:hint="eastAsia"/>
          <w:kern w:val="2"/>
          <w:sz w:val="21"/>
          <w:szCs w:val="21"/>
          <w:highlight w:val="none"/>
        </w:rPr>
        <w:t>8.</w:t>
      </w:r>
      <w:r>
        <w:rPr>
          <w:kern w:val="2"/>
          <w:sz w:val="21"/>
          <w:szCs w:val="21"/>
          <w:highlight w:val="none"/>
        </w:rPr>
        <w:t>其他合同文件。</w:t>
      </w:r>
    </w:p>
    <w:p>
      <w:pPr>
        <w:autoSpaceDE w:val="0"/>
        <w:autoSpaceDN w:val="0"/>
        <w:adjustRightInd w:val="0"/>
        <w:spacing w:line="360" w:lineRule="auto"/>
        <w:ind w:firstLine="420" w:firstLineChars="200"/>
        <w:jc w:val="left"/>
        <w:rPr>
          <w:kern w:val="2"/>
          <w:sz w:val="21"/>
          <w:szCs w:val="21"/>
          <w:highlight w:val="none"/>
        </w:rPr>
      </w:pPr>
      <w:r>
        <w:rPr>
          <w:kern w:val="2"/>
          <w:sz w:val="21"/>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kern w:val="2"/>
          <w:sz w:val="21"/>
          <w:szCs w:val="21"/>
          <w:highlight w:val="none"/>
        </w:rPr>
      </w:pPr>
      <w:r>
        <w:rPr>
          <w:kern w:val="2"/>
          <w:sz w:val="21"/>
          <w:szCs w:val="21"/>
          <w:highlight w:val="none"/>
        </w:rPr>
        <w:t>上述各项合同文件包括合同当事人就该项合同文件所作出的补充和修改，属于同一类内容的文件，应以最新签署的为准。</w:t>
      </w:r>
      <w:r>
        <w:rPr>
          <w:rFonts w:hint="eastAsia"/>
          <w:kern w:val="2"/>
          <w:sz w:val="21"/>
          <w:szCs w:val="21"/>
          <w:highlight w:val="none"/>
        </w:rPr>
        <w:t>专用合同条款及其附件须经合同当事人签字或盖章。</w:t>
      </w:r>
    </w:p>
    <w:p>
      <w:pPr>
        <w:spacing w:line="360" w:lineRule="auto"/>
        <w:ind w:firstLine="422" w:firstLineChars="200"/>
        <w:rPr>
          <w:b/>
          <w:kern w:val="2"/>
          <w:sz w:val="21"/>
          <w:szCs w:val="21"/>
          <w:highlight w:val="none"/>
        </w:rPr>
      </w:pPr>
      <w:bookmarkStart w:id="34" w:name="_Toc351203487"/>
      <w:r>
        <w:rPr>
          <w:b/>
          <w:kern w:val="2"/>
          <w:sz w:val="21"/>
          <w:szCs w:val="21"/>
          <w:highlight w:val="none"/>
        </w:rPr>
        <w:t>七、承诺</w:t>
      </w:r>
      <w:bookmarkEnd w:id="34"/>
    </w:p>
    <w:p>
      <w:pPr>
        <w:spacing w:line="360" w:lineRule="auto"/>
        <w:ind w:firstLine="420" w:firstLineChars="200"/>
        <w:rPr>
          <w:bCs/>
          <w:kern w:val="2"/>
          <w:sz w:val="21"/>
          <w:szCs w:val="21"/>
          <w:highlight w:val="none"/>
        </w:rPr>
      </w:pPr>
      <w:r>
        <w:rPr>
          <w:bCs/>
          <w:kern w:val="2"/>
          <w:sz w:val="21"/>
          <w:szCs w:val="21"/>
          <w:highlight w:val="none"/>
        </w:rPr>
        <w:t>1.</w:t>
      </w:r>
      <w:r>
        <w:rPr>
          <w:rFonts w:hint="eastAsia"/>
          <w:bCs/>
          <w:kern w:val="2"/>
          <w:sz w:val="21"/>
          <w:szCs w:val="21"/>
          <w:highlight w:val="none"/>
        </w:rPr>
        <w:t xml:space="preserve"> </w:t>
      </w:r>
      <w:r>
        <w:rPr>
          <w:bCs/>
          <w:kern w:val="2"/>
          <w:sz w:val="21"/>
          <w:szCs w:val="21"/>
          <w:highlight w:val="none"/>
        </w:rPr>
        <w:t>发包人承诺按照法律规定履行项目审批手续、筹集工程建设资金并按照合同约定的期限和方式支付合同价款。</w:t>
      </w:r>
    </w:p>
    <w:p>
      <w:pPr>
        <w:spacing w:line="360" w:lineRule="auto"/>
        <w:ind w:firstLine="420" w:firstLineChars="200"/>
        <w:rPr>
          <w:bCs/>
          <w:kern w:val="2"/>
          <w:sz w:val="21"/>
          <w:szCs w:val="21"/>
          <w:highlight w:val="none"/>
        </w:rPr>
      </w:pPr>
      <w:r>
        <w:rPr>
          <w:bCs/>
          <w:kern w:val="2"/>
          <w:sz w:val="21"/>
          <w:szCs w:val="21"/>
          <w:highlight w:val="none"/>
        </w:rPr>
        <w:t>2.</w:t>
      </w:r>
      <w:r>
        <w:rPr>
          <w:rFonts w:hint="eastAsia"/>
          <w:bCs/>
          <w:kern w:val="2"/>
          <w:sz w:val="21"/>
          <w:szCs w:val="21"/>
          <w:highlight w:val="none"/>
        </w:rPr>
        <w:t xml:space="preserve"> </w:t>
      </w:r>
      <w:r>
        <w:rPr>
          <w:bCs/>
          <w:kern w:val="2"/>
          <w:sz w:val="21"/>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bCs/>
          <w:kern w:val="2"/>
          <w:sz w:val="21"/>
          <w:szCs w:val="21"/>
          <w:highlight w:val="none"/>
        </w:rPr>
      </w:pPr>
      <w:r>
        <w:rPr>
          <w:bCs/>
          <w:kern w:val="2"/>
          <w:sz w:val="21"/>
          <w:szCs w:val="21"/>
          <w:highlight w:val="none"/>
        </w:rPr>
        <w:t>3.</w:t>
      </w:r>
      <w:r>
        <w:rPr>
          <w:rFonts w:hint="eastAsia"/>
          <w:bCs/>
          <w:kern w:val="2"/>
          <w:sz w:val="21"/>
          <w:szCs w:val="21"/>
          <w:highlight w:val="none"/>
        </w:rPr>
        <w:t xml:space="preserve"> </w:t>
      </w:r>
      <w:r>
        <w:rPr>
          <w:bCs/>
          <w:kern w:val="2"/>
          <w:sz w:val="21"/>
          <w:szCs w:val="21"/>
          <w:highlight w:val="none"/>
        </w:rPr>
        <w:t>发包人和承包人通过</w:t>
      </w:r>
      <w:r>
        <w:rPr>
          <w:rFonts w:hint="eastAsia"/>
          <w:bCs/>
          <w:kern w:val="2"/>
          <w:sz w:val="21"/>
          <w:szCs w:val="21"/>
          <w:highlight w:val="none"/>
        </w:rPr>
        <w:t>磋商</w:t>
      </w:r>
      <w:r>
        <w:rPr>
          <w:bCs/>
          <w:kern w:val="2"/>
          <w:sz w:val="21"/>
          <w:szCs w:val="21"/>
          <w:highlight w:val="none"/>
        </w:rPr>
        <w:t>形式签订合同的，双方理解并</w:t>
      </w:r>
      <w:r>
        <w:rPr>
          <w:rFonts w:hint="eastAsia"/>
          <w:bCs/>
          <w:kern w:val="2"/>
          <w:sz w:val="21"/>
          <w:szCs w:val="21"/>
          <w:highlight w:val="none"/>
        </w:rPr>
        <w:t>承诺</w:t>
      </w:r>
      <w:r>
        <w:rPr>
          <w:bCs/>
          <w:kern w:val="2"/>
          <w:sz w:val="21"/>
          <w:szCs w:val="21"/>
          <w:highlight w:val="none"/>
        </w:rPr>
        <w:t>不再就同一工程另行签订与合同实质性内容相背离的协议。</w:t>
      </w:r>
    </w:p>
    <w:p>
      <w:pPr>
        <w:spacing w:line="360" w:lineRule="auto"/>
        <w:ind w:firstLine="422" w:firstLineChars="200"/>
        <w:rPr>
          <w:b/>
          <w:kern w:val="2"/>
          <w:sz w:val="21"/>
          <w:szCs w:val="21"/>
          <w:highlight w:val="none"/>
        </w:rPr>
      </w:pPr>
      <w:bookmarkStart w:id="35" w:name="_Toc351203488"/>
      <w:r>
        <w:rPr>
          <w:b/>
          <w:kern w:val="2"/>
          <w:sz w:val="21"/>
          <w:szCs w:val="21"/>
          <w:highlight w:val="none"/>
        </w:rPr>
        <w:t>八、词语含义</w:t>
      </w:r>
      <w:bookmarkEnd w:id="35"/>
    </w:p>
    <w:p>
      <w:pPr>
        <w:spacing w:line="360" w:lineRule="auto"/>
        <w:ind w:firstLine="420" w:firstLineChars="200"/>
        <w:rPr>
          <w:bCs/>
          <w:kern w:val="2"/>
          <w:sz w:val="21"/>
          <w:szCs w:val="21"/>
          <w:highlight w:val="none"/>
        </w:rPr>
      </w:pPr>
      <w:r>
        <w:rPr>
          <w:bCs/>
          <w:kern w:val="2"/>
          <w:sz w:val="21"/>
          <w:szCs w:val="21"/>
          <w:highlight w:val="none"/>
        </w:rPr>
        <w:t>本协议书中词语含义与第二部分通用合同条款中赋予的含义相同。</w:t>
      </w:r>
    </w:p>
    <w:p>
      <w:pPr>
        <w:spacing w:line="360" w:lineRule="auto"/>
        <w:ind w:firstLine="422" w:firstLineChars="200"/>
        <w:rPr>
          <w:b/>
          <w:kern w:val="2"/>
          <w:sz w:val="21"/>
          <w:szCs w:val="21"/>
          <w:highlight w:val="none"/>
        </w:rPr>
      </w:pPr>
      <w:bookmarkStart w:id="36" w:name="_Toc351203489"/>
      <w:r>
        <w:rPr>
          <w:b/>
          <w:kern w:val="2"/>
          <w:sz w:val="21"/>
          <w:szCs w:val="21"/>
          <w:highlight w:val="none"/>
        </w:rPr>
        <w:t>九、签订时间</w:t>
      </w:r>
      <w:bookmarkEnd w:id="36"/>
    </w:p>
    <w:p>
      <w:pPr>
        <w:spacing w:line="360" w:lineRule="auto"/>
        <w:ind w:firstLine="420" w:firstLineChars="200"/>
        <w:rPr>
          <w:bCs/>
          <w:kern w:val="2"/>
          <w:sz w:val="21"/>
          <w:szCs w:val="21"/>
          <w:highlight w:val="none"/>
        </w:rPr>
      </w:pPr>
      <w:r>
        <w:rPr>
          <w:bCs/>
          <w:kern w:val="2"/>
          <w:sz w:val="21"/>
          <w:szCs w:val="21"/>
          <w:highlight w:val="none"/>
        </w:rPr>
        <w:t>本合同于</w:t>
      </w:r>
      <w:r>
        <w:rPr>
          <w:bCs/>
          <w:kern w:val="2"/>
          <w:sz w:val="21"/>
          <w:szCs w:val="21"/>
          <w:highlight w:val="none"/>
          <w:u w:val="single"/>
        </w:rPr>
        <w:t xml:space="preserve">         </w:t>
      </w:r>
      <w:r>
        <w:rPr>
          <w:bCs/>
          <w:kern w:val="2"/>
          <w:sz w:val="21"/>
          <w:szCs w:val="21"/>
          <w:highlight w:val="none"/>
        </w:rPr>
        <w:t>年</w:t>
      </w:r>
      <w:r>
        <w:rPr>
          <w:bCs/>
          <w:kern w:val="2"/>
          <w:sz w:val="21"/>
          <w:szCs w:val="21"/>
          <w:highlight w:val="none"/>
          <w:u w:val="single"/>
        </w:rPr>
        <w:t xml:space="preserve">    </w:t>
      </w:r>
      <w:r>
        <w:rPr>
          <w:bCs/>
          <w:kern w:val="2"/>
          <w:sz w:val="21"/>
          <w:szCs w:val="21"/>
          <w:highlight w:val="none"/>
        </w:rPr>
        <w:t>月</w:t>
      </w:r>
      <w:r>
        <w:rPr>
          <w:bCs/>
          <w:kern w:val="2"/>
          <w:sz w:val="21"/>
          <w:szCs w:val="21"/>
          <w:highlight w:val="none"/>
          <w:u w:val="single"/>
        </w:rPr>
        <w:t xml:space="preserve">    </w:t>
      </w:r>
      <w:r>
        <w:rPr>
          <w:bCs/>
          <w:kern w:val="2"/>
          <w:sz w:val="21"/>
          <w:szCs w:val="21"/>
          <w:highlight w:val="none"/>
        </w:rPr>
        <w:t>日签订。</w:t>
      </w:r>
    </w:p>
    <w:p>
      <w:pPr>
        <w:spacing w:line="360" w:lineRule="auto"/>
        <w:ind w:firstLine="422" w:firstLineChars="200"/>
        <w:rPr>
          <w:b/>
          <w:kern w:val="2"/>
          <w:sz w:val="21"/>
          <w:szCs w:val="21"/>
          <w:highlight w:val="none"/>
        </w:rPr>
      </w:pPr>
      <w:bookmarkStart w:id="37" w:name="_Toc351203490"/>
      <w:r>
        <w:rPr>
          <w:b/>
          <w:kern w:val="2"/>
          <w:sz w:val="21"/>
          <w:szCs w:val="21"/>
          <w:highlight w:val="none"/>
        </w:rPr>
        <w:t>十、签订地点</w:t>
      </w:r>
      <w:bookmarkEnd w:id="37"/>
    </w:p>
    <w:p>
      <w:pPr>
        <w:spacing w:line="360" w:lineRule="auto"/>
        <w:ind w:firstLine="420" w:firstLineChars="200"/>
        <w:rPr>
          <w:bCs/>
          <w:kern w:val="2"/>
          <w:sz w:val="21"/>
          <w:szCs w:val="21"/>
          <w:highlight w:val="none"/>
        </w:rPr>
      </w:pPr>
      <w:r>
        <w:rPr>
          <w:bCs/>
          <w:kern w:val="2"/>
          <w:sz w:val="21"/>
          <w:szCs w:val="21"/>
          <w:highlight w:val="none"/>
        </w:rPr>
        <w:t>本合同在</w:t>
      </w:r>
      <w:r>
        <w:rPr>
          <w:bCs/>
          <w:kern w:val="2"/>
          <w:sz w:val="21"/>
          <w:szCs w:val="21"/>
          <w:highlight w:val="none"/>
          <w:u w:val="single"/>
        </w:rPr>
        <w:t xml:space="preserve">                                    </w:t>
      </w:r>
      <w:r>
        <w:rPr>
          <w:bCs/>
          <w:kern w:val="2"/>
          <w:sz w:val="21"/>
          <w:szCs w:val="21"/>
          <w:highlight w:val="none"/>
        </w:rPr>
        <w:t>签订。</w:t>
      </w:r>
    </w:p>
    <w:p>
      <w:pPr>
        <w:spacing w:line="360" w:lineRule="auto"/>
        <w:ind w:firstLine="422" w:firstLineChars="200"/>
        <w:rPr>
          <w:b/>
          <w:kern w:val="2"/>
          <w:sz w:val="21"/>
          <w:szCs w:val="21"/>
          <w:highlight w:val="none"/>
        </w:rPr>
      </w:pPr>
      <w:bookmarkStart w:id="38" w:name="_Toc351203491"/>
      <w:r>
        <w:rPr>
          <w:b/>
          <w:kern w:val="2"/>
          <w:sz w:val="21"/>
          <w:szCs w:val="21"/>
          <w:highlight w:val="none"/>
        </w:rPr>
        <w:t>十一、补充协议</w:t>
      </w:r>
      <w:bookmarkEnd w:id="38"/>
    </w:p>
    <w:p>
      <w:pPr>
        <w:spacing w:line="360" w:lineRule="auto"/>
        <w:ind w:firstLine="420" w:firstLineChars="200"/>
        <w:rPr>
          <w:b/>
          <w:bCs/>
          <w:kern w:val="2"/>
          <w:sz w:val="21"/>
          <w:szCs w:val="21"/>
          <w:highlight w:val="none"/>
        </w:rPr>
      </w:pPr>
      <w:r>
        <w:rPr>
          <w:bCs/>
          <w:kern w:val="2"/>
          <w:sz w:val="21"/>
          <w:szCs w:val="21"/>
          <w:highlight w:val="none"/>
        </w:rPr>
        <w:t>合同未尽事宜，合同当事人另行签订补充协议</w:t>
      </w:r>
      <w:r>
        <w:rPr>
          <w:rFonts w:hint="eastAsia"/>
          <w:bCs/>
          <w:kern w:val="2"/>
          <w:sz w:val="21"/>
          <w:szCs w:val="21"/>
          <w:highlight w:val="none"/>
        </w:rPr>
        <w:t>，</w:t>
      </w:r>
      <w:r>
        <w:rPr>
          <w:bCs/>
          <w:kern w:val="2"/>
          <w:sz w:val="21"/>
          <w:szCs w:val="21"/>
          <w:highlight w:val="none"/>
        </w:rPr>
        <w:t>补充协议是合同的组成部分。</w:t>
      </w:r>
    </w:p>
    <w:p>
      <w:pPr>
        <w:spacing w:line="360" w:lineRule="auto"/>
        <w:ind w:firstLine="422" w:firstLineChars="200"/>
        <w:rPr>
          <w:b/>
          <w:kern w:val="2"/>
          <w:sz w:val="21"/>
          <w:szCs w:val="21"/>
          <w:highlight w:val="none"/>
        </w:rPr>
      </w:pPr>
      <w:bookmarkStart w:id="39" w:name="_Toc351203492"/>
      <w:r>
        <w:rPr>
          <w:b/>
          <w:kern w:val="2"/>
          <w:sz w:val="21"/>
          <w:szCs w:val="21"/>
          <w:highlight w:val="none"/>
        </w:rPr>
        <w:t>十二、合同生效</w:t>
      </w:r>
      <w:bookmarkEnd w:id="39"/>
    </w:p>
    <w:p>
      <w:pPr>
        <w:spacing w:line="360" w:lineRule="auto"/>
        <w:ind w:firstLine="420" w:firstLineChars="200"/>
        <w:rPr>
          <w:bCs/>
          <w:kern w:val="2"/>
          <w:sz w:val="21"/>
          <w:szCs w:val="21"/>
          <w:highlight w:val="none"/>
        </w:rPr>
      </w:pPr>
      <w:r>
        <w:rPr>
          <w:bCs/>
          <w:kern w:val="2"/>
          <w:sz w:val="21"/>
          <w:szCs w:val="21"/>
          <w:highlight w:val="none"/>
        </w:rPr>
        <w:t>本合同自</w:t>
      </w:r>
      <w:r>
        <w:rPr>
          <w:bCs/>
          <w:kern w:val="2"/>
          <w:sz w:val="21"/>
          <w:szCs w:val="21"/>
          <w:highlight w:val="none"/>
          <w:u w:val="single"/>
        </w:rPr>
        <w:t xml:space="preserve"> </w:t>
      </w:r>
      <w:r>
        <w:rPr>
          <w:rFonts w:hint="eastAsia"/>
          <w:bCs/>
          <w:kern w:val="2"/>
          <w:sz w:val="21"/>
          <w:szCs w:val="21"/>
          <w:highlight w:val="none"/>
          <w:u w:val="single"/>
          <w:lang w:val="en-US" w:eastAsia="zh-CN"/>
        </w:rPr>
        <w:t xml:space="preserve"> </w:t>
      </w:r>
      <w:r>
        <w:rPr>
          <w:rFonts w:hint="eastAsia"/>
          <w:bCs/>
          <w:kern w:val="2"/>
          <w:sz w:val="21"/>
          <w:szCs w:val="21"/>
          <w:highlight w:val="none"/>
          <w:u w:val="single"/>
        </w:rPr>
        <w:t>签订时</w:t>
      </w:r>
      <w:r>
        <w:rPr>
          <w:bCs/>
          <w:kern w:val="2"/>
          <w:sz w:val="21"/>
          <w:szCs w:val="21"/>
          <w:highlight w:val="none"/>
          <w:u w:val="single"/>
        </w:rPr>
        <w:t xml:space="preserve"> </w:t>
      </w:r>
      <w:r>
        <w:rPr>
          <w:bCs/>
          <w:kern w:val="2"/>
          <w:sz w:val="21"/>
          <w:szCs w:val="21"/>
          <w:highlight w:val="none"/>
        </w:rPr>
        <w:t>生效。</w:t>
      </w:r>
    </w:p>
    <w:p>
      <w:pPr>
        <w:spacing w:line="360" w:lineRule="auto"/>
        <w:ind w:firstLine="422" w:firstLineChars="200"/>
        <w:rPr>
          <w:b/>
          <w:kern w:val="2"/>
          <w:sz w:val="21"/>
          <w:szCs w:val="21"/>
          <w:highlight w:val="none"/>
        </w:rPr>
      </w:pPr>
      <w:bookmarkStart w:id="40" w:name="_Toc351203493"/>
      <w:r>
        <w:rPr>
          <w:b/>
          <w:kern w:val="2"/>
          <w:sz w:val="21"/>
          <w:szCs w:val="21"/>
          <w:highlight w:val="none"/>
        </w:rPr>
        <w:t>十三、合同份数</w:t>
      </w:r>
      <w:bookmarkEnd w:id="40"/>
    </w:p>
    <w:p>
      <w:pPr>
        <w:spacing w:line="360" w:lineRule="auto"/>
        <w:ind w:firstLine="420" w:firstLineChars="200"/>
        <w:rPr>
          <w:bCs/>
          <w:kern w:val="2"/>
          <w:sz w:val="21"/>
          <w:szCs w:val="21"/>
          <w:highlight w:val="none"/>
        </w:rPr>
      </w:pPr>
      <w:r>
        <w:rPr>
          <w:bCs/>
          <w:kern w:val="2"/>
          <w:sz w:val="21"/>
          <w:szCs w:val="21"/>
          <w:highlight w:val="none"/>
        </w:rPr>
        <w:t>本合同一式</w:t>
      </w:r>
      <w:r>
        <w:rPr>
          <w:bCs/>
          <w:kern w:val="2"/>
          <w:sz w:val="21"/>
          <w:szCs w:val="21"/>
          <w:highlight w:val="none"/>
          <w:u w:val="single"/>
        </w:rPr>
        <w:t xml:space="preserve">  </w:t>
      </w:r>
      <w:r>
        <w:rPr>
          <w:rFonts w:hint="eastAsia"/>
          <w:bCs/>
          <w:kern w:val="2"/>
          <w:sz w:val="21"/>
          <w:szCs w:val="21"/>
          <w:highlight w:val="none"/>
          <w:u w:val="single"/>
        </w:rPr>
        <w:t xml:space="preserve"> </w:t>
      </w:r>
      <w:r>
        <w:rPr>
          <w:bCs/>
          <w:kern w:val="2"/>
          <w:sz w:val="21"/>
          <w:szCs w:val="21"/>
          <w:highlight w:val="none"/>
          <w:u w:val="single"/>
        </w:rPr>
        <w:t xml:space="preserve"> </w:t>
      </w:r>
      <w:r>
        <w:rPr>
          <w:bCs/>
          <w:kern w:val="2"/>
          <w:sz w:val="21"/>
          <w:szCs w:val="21"/>
          <w:highlight w:val="none"/>
        </w:rPr>
        <w:t>份，均具有同等法律效力，发包人执</w:t>
      </w:r>
      <w:r>
        <w:rPr>
          <w:bCs/>
          <w:kern w:val="2"/>
          <w:sz w:val="21"/>
          <w:szCs w:val="21"/>
          <w:highlight w:val="none"/>
          <w:u w:val="single"/>
        </w:rPr>
        <w:t xml:space="preserve">  </w:t>
      </w:r>
      <w:r>
        <w:rPr>
          <w:rFonts w:hint="eastAsia"/>
          <w:bCs/>
          <w:kern w:val="2"/>
          <w:sz w:val="21"/>
          <w:szCs w:val="21"/>
          <w:highlight w:val="none"/>
          <w:u w:val="single"/>
        </w:rPr>
        <w:t xml:space="preserve"> </w:t>
      </w:r>
      <w:r>
        <w:rPr>
          <w:bCs/>
          <w:kern w:val="2"/>
          <w:sz w:val="21"/>
          <w:szCs w:val="21"/>
          <w:highlight w:val="none"/>
          <w:u w:val="single"/>
        </w:rPr>
        <w:t xml:space="preserve"> </w:t>
      </w:r>
      <w:r>
        <w:rPr>
          <w:bCs/>
          <w:kern w:val="2"/>
          <w:sz w:val="21"/>
          <w:szCs w:val="21"/>
          <w:highlight w:val="none"/>
        </w:rPr>
        <w:t>份，承包人执</w:t>
      </w:r>
      <w:r>
        <w:rPr>
          <w:bCs/>
          <w:kern w:val="2"/>
          <w:sz w:val="21"/>
          <w:szCs w:val="21"/>
          <w:highlight w:val="none"/>
          <w:u w:val="single"/>
        </w:rPr>
        <w:t xml:space="preserve">  </w:t>
      </w:r>
      <w:r>
        <w:rPr>
          <w:rFonts w:hint="eastAsia"/>
          <w:bCs/>
          <w:kern w:val="2"/>
          <w:sz w:val="21"/>
          <w:szCs w:val="21"/>
          <w:highlight w:val="none"/>
          <w:u w:val="single"/>
        </w:rPr>
        <w:t xml:space="preserve"> </w:t>
      </w:r>
      <w:r>
        <w:rPr>
          <w:bCs/>
          <w:kern w:val="2"/>
          <w:sz w:val="21"/>
          <w:szCs w:val="21"/>
          <w:highlight w:val="none"/>
          <w:u w:val="single"/>
        </w:rPr>
        <w:t xml:space="preserve"> </w:t>
      </w:r>
      <w:r>
        <w:rPr>
          <w:bCs/>
          <w:kern w:val="2"/>
          <w:sz w:val="21"/>
          <w:szCs w:val="21"/>
          <w:highlight w:val="none"/>
        </w:rPr>
        <w:t>份。</w:t>
      </w:r>
    </w:p>
    <w:p>
      <w:pPr>
        <w:spacing w:line="360" w:lineRule="auto"/>
        <w:rPr>
          <w:bCs/>
          <w:kern w:val="2"/>
          <w:sz w:val="21"/>
          <w:szCs w:val="21"/>
          <w:highlight w:val="none"/>
        </w:rPr>
      </w:pPr>
    </w:p>
    <w:p>
      <w:pPr>
        <w:spacing w:line="360" w:lineRule="auto"/>
        <w:rPr>
          <w:kern w:val="2"/>
          <w:sz w:val="21"/>
          <w:szCs w:val="21"/>
          <w:highlight w:val="none"/>
          <w:u w:val="single"/>
        </w:rPr>
      </w:pPr>
      <w:r>
        <w:rPr>
          <w:kern w:val="2"/>
          <w:sz w:val="21"/>
          <w:szCs w:val="21"/>
          <w:highlight w:val="none"/>
        </w:rPr>
        <w:t>发包人</w:t>
      </w:r>
      <w:r>
        <w:rPr>
          <w:rFonts w:hint="eastAsia"/>
          <w:kern w:val="2"/>
          <w:sz w:val="21"/>
          <w:szCs w:val="21"/>
          <w:highlight w:val="none"/>
        </w:rPr>
        <w:t>：</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none"/>
          <w:lang w:eastAsia="zh-CN"/>
        </w:rPr>
        <w:t>（</w:t>
      </w:r>
      <w:r>
        <w:rPr>
          <w:kern w:val="2"/>
          <w:sz w:val="21"/>
          <w:szCs w:val="21"/>
          <w:highlight w:val="none"/>
        </w:rPr>
        <w:t>公章</w:t>
      </w:r>
      <w:r>
        <w:rPr>
          <w:rFonts w:hint="eastAsia"/>
          <w:kern w:val="2"/>
          <w:sz w:val="21"/>
          <w:szCs w:val="21"/>
          <w:highlight w:val="none"/>
          <w:lang w:eastAsia="zh-CN"/>
        </w:rPr>
        <w:t>）</w:t>
      </w:r>
      <w:r>
        <w:rPr>
          <w:rFonts w:hint="eastAsia"/>
          <w:kern w:val="2"/>
          <w:sz w:val="21"/>
          <w:szCs w:val="21"/>
          <w:highlight w:val="none"/>
        </w:rPr>
        <w:t xml:space="preserve">          </w:t>
      </w:r>
      <w:r>
        <w:rPr>
          <w:kern w:val="2"/>
          <w:sz w:val="21"/>
          <w:szCs w:val="21"/>
          <w:highlight w:val="none"/>
        </w:rPr>
        <w:t>承包人</w:t>
      </w:r>
      <w:r>
        <w:rPr>
          <w:rFonts w:hint="eastAsia"/>
          <w:kern w:val="2"/>
          <w:sz w:val="21"/>
          <w:szCs w:val="21"/>
          <w:highlight w:val="none"/>
        </w:rPr>
        <w:t>：</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w:t>
      </w:r>
      <w:r>
        <w:rPr>
          <w:rFonts w:hint="eastAsia"/>
          <w:kern w:val="2"/>
          <w:sz w:val="21"/>
          <w:szCs w:val="21"/>
          <w:highlight w:val="none"/>
          <w:lang w:eastAsia="zh-CN"/>
        </w:rPr>
        <w:t>（</w:t>
      </w:r>
      <w:r>
        <w:rPr>
          <w:kern w:val="2"/>
          <w:sz w:val="21"/>
          <w:szCs w:val="21"/>
          <w:highlight w:val="none"/>
        </w:rPr>
        <w:t>公章</w:t>
      </w:r>
      <w:r>
        <w:rPr>
          <w:rFonts w:hint="eastAsia"/>
          <w:kern w:val="2"/>
          <w:sz w:val="21"/>
          <w:szCs w:val="21"/>
          <w:highlight w:val="none"/>
          <w:lang w:eastAsia="zh-CN"/>
        </w:rPr>
        <w:t>）</w:t>
      </w:r>
    </w:p>
    <w:p>
      <w:pPr>
        <w:spacing w:line="360" w:lineRule="auto"/>
        <w:rPr>
          <w:kern w:val="2"/>
          <w:sz w:val="21"/>
          <w:szCs w:val="21"/>
          <w:highlight w:val="none"/>
        </w:rPr>
      </w:pPr>
      <w:r>
        <w:rPr>
          <w:rFonts w:hint="eastAsia"/>
          <w:kern w:val="2"/>
          <w:sz w:val="21"/>
          <w:szCs w:val="21"/>
          <w:highlight w:val="none"/>
        </w:rPr>
        <w:t>法定代表人或其委托代理人：                  法定代表人或其委托代理人：</w:t>
      </w:r>
    </w:p>
    <w:p>
      <w:pPr>
        <w:spacing w:line="360" w:lineRule="auto"/>
        <w:rPr>
          <w:kern w:val="2"/>
          <w:sz w:val="21"/>
          <w:szCs w:val="21"/>
          <w:highlight w:val="none"/>
          <w:u w:val="single"/>
        </w:rPr>
      </w:pPr>
      <w:r>
        <w:rPr>
          <w:rFonts w:hint="eastAsia"/>
          <w:kern w:val="2"/>
          <w:sz w:val="21"/>
          <w:szCs w:val="21"/>
          <w:highlight w:val="none"/>
        </w:rPr>
        <w:t>（签字）</w:t>
      </w:r>
      <w:r>
        <w:rPr>
          <w:rFonts w:hint="eastAsia"/>
          <w:kern w:val="2"/>
          <w:sz w:val="21"/>
          <w:szCs w:val="21"/>
          <w:highlight w:val="none"/>
          <w:u w:val="single"/>
        </w:rPr>
        <w:t xml:space="preserve">                    </w:t>
      </w:r>
      <w:r>
        <w:rPr>
          <w:rFonts w:hint="eastAsia"/>
          <w:kern w:val="2"/>
          <w:sz w:val="21"/>
          <w:szCs w:val="21"/>
          <w:highlight w:val="none"/>
        </w:rPr>
        <w:t xml:space="preserve">                （签字）</w:t>
      </w:r>
      <w:r>
        <w:rPr>
          <w:rFonts w:hint="eastAsia"/>
          <w:kern w:val="2"/>
          <w:sz w:val="21"/>
          <w:szCs w:val="21"/>
          <w:highlight w:val="none"/>
          <w:u w:val="single"/>
        </w:rPr>
        <w:t xml:space="preserve">                     </w:t>
      </w:r>
    </w:p>
    <w:p>
      <w:pPr>
        <w:tabs>
          <w:tab w:val="left" w:pos="4410"/>
        </w:tabs>
        <w:spacing w:line="360" w:lineRule="auto"/>
        <w:rPr>
          <w:kern w:val="2"/>
          <w:sz w:val="21"/>
          <w:szCs w:val="21"/>
          <w:highlight w:val="none"/>
        </w:rPr>
      </w:pPr>
      <w:r>
        <w:rPr>
          <w:rFonts w:hint="eastAsia"/>
          <w:kern w:val="2"/>
          <w:sz w:val="21"/>
          <w:szCs w:val="21"/>
          <w:highlight w:val="none"/>
        </w:rPr>
        <w:t>组织机构代码：</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组织机构代码：</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地  址：</w:t>
      </w:r>
      <w:r>
        <w:rPr>
          <w:kern w:val="2"/>
          <w:sz w:val="21"/>
          <w:szCs w:val="21"/>
          <w:highlight w:val="none"/>
          <w:u w:val="single"/>
        </w:rPr>
        <w:t xml:space="preserve">     </w:t>
      </w:r>
      <w:r>
        <w:rPr>
          <w:rFonts w:hint="eastAsia"/>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地  址：</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邮政编码：</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kern w:val="2"/>
          <w:sz w:val="21"/>
          <w:szCs w:val="21"/>
          <w:highlight w:val="none"/>
        </w:rPr>
        <w:t xml:space="preserve"> </w:t>
      </w:r>
      <w:r>
        <w:rPr>
          <w:rFonts w:hint="eastAsia"/>
          <w:kern w:val="2"/>
          <w:sz w:val="21"/>
          <w:szCs w:val="21"/>
          <w:highlight w:val="none"/>
        </w:rPr>
        <w:t xml:space="preserve">               </w:t>
      </w:r>
      <w:r>
        <w:rPr>
          <w:kern w:val="2"/>
          <w:sz w:val="21"/>
          <w:szCs w:val="21"/>
          <w:highlight w:val="none"/>
        </w:rPr>
        <w:t>邮政编码：</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法定代表人：</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法定代表人：</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委托代理人：</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委托代理人：</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电  话：</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电  话：</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传  真：</w:t>
      </w:r>
      <w:r>
        <w:rPr>
          <w:kern w:val="2"/>
          <w:sz w:val="21"/>
          <w:szCs w:val="21"/>
          <w:highlight w:val="none"/>
          <w:u w:val="single"/>
        </w:rPr>
        <w:t xml:space="preserve"> </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传  真：</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p>
    <w:p>
      <w:pPr>
        <w:spacing w:line="360" w:lineRule="auto"/>
        <w:rPr>
          <w:kern w:val="2"/>
          <w:sz w:val="21"/>
          <w:szCs w:val="21"/>
          <w:highlight w:val="none"/>
          <w:u w:val="single"/>
        </w:rPr>
      </w:pPr>
      <w:r>
        <w:rPr>
          <w:kern w:val="2"/>
          <w:sz w:val="21"/>
          <w:szCs w:val="21"/>
          <w:highlight w:val="none"/>
        </w:rPr>
        <w:t>电子信箱：</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电子信箱：</w:t>
      </w:r>
      <w:r>
        <w:rPr>
          <w:kern w:val="2"/>
          <w:sz w:val="21"/>
          <w:szCs w:val="21"/>
          <w:highlight w:val="none"/>
          <w:u w:val="single"/>
        </w:rPr>
        <w:t xml:space="preserve">   </w:t>
      </w:r>
    </w:p>
    <w:p>
      <w:pPr>
        <w:spacing w:line="360" w:lineRule="auto"/>
        <w:rPr>
          <w:kern w:val="2"/>
          <w:sz w:val="21"/>
          <w:szCs w:val="21"/>
          <w:highlight w:val="none"/>
        </w:rPr>
      </w:pPr>
      <w:r>
        <w:rPr>
          <w:kern w:val="2"/>
          <w:sz w:val="21"/>
          <w:szCs w:val="21"/>
          <w:highlight w:val="none"/>
        </w:rPr>
        <w:t>开户银行：</w:t>
      </w:r>
      <w:r>
        <w:rPr>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开户银行：</w:t>
      </w:r>
      <w:r>
        <w:rPr>
          <w:kern w:val="2"/>
          <w:sz w:val="21"/>
          <w:szCs w:val="21"/>
          <w:highlight w:val="none"/>
          <w:u w:val="single"/>
        </w:rPr>
        <w:t xml:space="preserve">   </w:t>
      </w:r>
    </w:p>
    <w:p>
      <w:pPr>
        <w:rPr>
          <w:rFonts w:ascii="Times New Roman" w:hAnsi="Times New Roman"/>
          <w:kern w:val="2"/>
          <w:sz w:val="21"/>
          <w:szCs w:val="24"/>
          <w:highlight w:val="none"/>
        </w:rPr>
      </w:pPr>
      <w:r>
        <w:rPr>
          <w:kern w:val="2"/>
          <w:sz w:val="21"/>
          <w:szCs w:val="21"/>
          <w:highlight w:val="none"/>
        </w:rPr>
        <w:t>账  号：</w:t>
      </w:r>
      <w:r>
        <w:rPr>
          <w:kern w:val="2"/>
          <w:sz w:val="21"/>
          <w:szCs w:val="21"/>
          <w:highlight w:val="none"/>
          <w:u w:val="single"/>
        </w:rPr>
        <w:t xml:space="preserve">       </w:t>
      </w:r>
      <w:r>
        <w:rPr>
          <w:rFonts w:hint="eastAsia"/>
          <w:kern w:val="2"/>
          <w:sz w:val="21"/>
          <w:szCs w:val="21"/>
          <w:highlight w:val="none"/>
          <w:u w:val="single"/>
        </w:rPr>
        <w:t xml:space="preserve"> </w:t>
      </w:r>
      <w:r>
        <w:rPr>
          <w:rFonts w:hint="eastAsia"/>
          <w:kern w:val="2"/>
          <w:sz w:val="21"/>
          <w:szCs w:val="21"/>
          <w:highlight w:val="none"/>
        </w:rPr>
        <w:t xml:space="preserve">                </w:t>
      </w:r>
      <w:r>
        <w:rPr>
          <w:kern w:val="2"/>
          <w:sz w:val="21"/>
          <w:szCs w:val="21"/>
          <w:highlight w:val="none"/>
        </w:rPr>
        <w:t>账</w:t>
      </w:r>
      <w:r>
        <w:rPr>
          <w:rFonts w:hint="eastAsia"/>
          <w:kern w:val="2"/>
          <w:sz w:val="21"/>
          <w:szCs w:val="21"/>
          <w:highlight w:val="none"/>
        </w:rPr>
        <w:t xml:space="preserve"> </w:t>
      </w:r>
      <w:r>
        <w:rPr>
          <w:kern w:val="2"/>
          <w:sz w:val="21"/>
          <w:szCs w:val="21"/>
          <w:highlight w:val="none"/>
        </w:rPr>
        <w:t xml:space="preserve"> 号：</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rFonts w:hint="eastAsia"/>
          <w:kern w:val="2"/>
          <w:sz w:val="21"/>
          <w:szCs w:val="21"/>
          <w:highlight w:val="none"/>
          <w:u w:val="single"/>
        </w:rPr>
        <w:t xml:space="preserve"> </w:t>
      </w:r>
    </w:p>
    <w:p>
      <w:pPr>
        <w:spacing w:line="360" w:lineRule="auto"/>
        <w:jc w:val="center"/>
        <w:rPr>
          <w:rFonts w:ascii="等线" w:hAnsi="等线" w:eastAsia="等线" w:cs="@仿宋_GB2312"/>
          <w:b/>
          <w:kern w:val="2"/>
          <w:sz w:val="24"/>
          <w:highlight w:val="none"/>
        </w:rPr>
      </w:pPr>
      <w:r>
        <w:rPr>
          <w:rFonts w:hint="eastAsia"/>
          <w:kern w:val="2"/>
          <w:sz w:val="21"/>
          <w:szCs w:val="21"/>
          <w:highlight w:val="none"/>
          <w:lang w:val="en-US" w:eastAsia="zh-CN"/>
        </w:rPr>
        <w:t xml:space="preserve">                                   </w:t>
      </w:r>
      <w:r>
        <w:rPr>
          <w:rFonts w:hint="eastAsia"/>
          <w:kern w:val="2"/>
          <w:sz w:val="21"/>
          <w:szCs w:val="21"/>
          <w:highlight w:val="none"/>
        </w:rPr>
        <w:t>户  名</w:t>
      </w:r>
      <w:r>
        <w:rPr>
          <w:kern w:val="2"/>
          <w:sz w:val="21"/>
          <w:szCs w:val="21"/>
          <w:highlight w:val="none"/>
        </w:rPr>
        <w:t>：</w:t>
      </w:r>
      <w:r>
        <w:rPr>
          <w:kern w:val="2"/>
          <w:sz w:val="21"/>
          <w:szCs w:val="21"/>
          <w:highlight w:val="none"/>
          <w:u w:val="single"/>
        </w:rPr>
        <w:t></w:t>
      </w:r>
      <w:r>
        <w:rPr>
          <w:rFonts w:hint="eastAsia"/>
          <w:kern w:val="2"/>
          <w:sz w:val="21"/>
          <w:szCs w:val="21"/>
          <w:highlight w:val="none"/>
          <w:u w:val="single"/>
        </w:rPr>
        <w:t xml:space="preserve">  </w:t>
      </w:r>
      <w:r>
        <w:rPr>
          <w:kern w:val="2"/>
          <w:sz w:val="21"/>
          <w:szCs w:val="21"/>
          <w:highlight w:val="none"/>
          <w:u w:val="single"/>
        </w:rPr>
        <w:t xml:space="preserve">   </w:t>
      </w:r>
      <w:r>
        <w:rPr>
          <w:rFonts w:ascii="Cambria" w:hAnsi="Cambria"/>
          <w:b/>
          <w:bCs/>
          <w:kern w:val="2"/>
          <w:sz w:val="32"/>
          <w:szCs w:val="32"/>
          <w:highlight w:val="none"/>
        </w:rPr>
        <w:br w:type="page"/>
      </w:r>
      <w:bookmarkStart w:id="41" w:name="_Toc15656490"/>
      <w:r>
        <w:rPr>
          <w:rFonts w:hint="eastAsia" w:ascii="等线" w:hAnsi="等线" w:eastAsia="等线" w:cs="@仿宋_GB2312"/>
          <w:b/>
          <w:kern w:val="2"/>
          <w:sz w:val="24"/>
          <w:highlight w:val="none"/>
        </w:rPr>
        <w:t>第二节  通用合同条款</w:t>
      </w:r>
      <w:bookmarkEnd w:id="41"/>
    </w:p>
    <w:p>
      <w:pPr>
        <w:ind w:firstLine="560" w:firstLineChars="200"/>
        <w:jc w:val="center"/>
        <w:rPr>
          <w:rFonts w:ascii="Times New Roman" w:hAnsi="Times New Roman" w:eastAsia="黑体"/>
          <w:snapToGrid w:val="0"/>
          <w:sz w:val="28"/>
          <w:szCs w:val="24"/>
          <w:highlight w:val="none"/>
        </w:rPr>
      </w:pPr>
    </w:p>
    <w:p>
      <w:pPr>
        <w:spacing w:line="360" w:lineRule="auto"/>
        <w:ind w:firstLine="560" w:firstLineChars="200"/>
        <w:rPr>
          <w:snapToGrid w:val="0"/>
          <w:sz w:val="28"/>
          <w:szCs w:val="24"/>
          <w:highlight w:val="none"/>
        </w:rPr>
      </w:pPr>
      <w:r>
        <w:rPr>
          <w:rFonts w:hint="eastAsia"/>
          <w:snapToGrid w:val="0"/>
          <w:sz w:val="28"/>
          <w:szCs w:val="24"/>
          <w:highlight w:val="none"/>
        </w:rPr>
        <w:t>采用《建设工程施工合同</w:t>
      </w:r>
      <w:r>
        <w:rPr>
          <w:rFonts w:hint="eastAsia"/>
          <w:snapToGrid w:val="0"/>
          <w:sz w:val="28"/>
          <w:szCs w:val="24"/>
          <w:highlight w:val="none"/>
          <w:lang w:eastAsia="zh-CN"/>
        </w:rPr>
        <w:t>（</w:t>
      </w:r>
      <w:r>
        <w:rPr>
          <w:rFonts w:hint="eastAsia"/>
          <w:snapToGrid w:val="0"/>
          <w:sz w:val="28"/>
          <w:szCs w:val="24"/>
          <w:highlight w:val="none"/>
        </w:rPr>
        <w:t>示范文本</w:t>
      </w:r>
      <w:r>
        <w:rPr>
          <w:rFonts w:hint="eastAsia"/>
          <w:snapToGrid w:val="0"/>
          <w:sz w:val="28"/>
          <w:szCs w:val="24"/>
          <w:highlight w:val="none"/>
          <w:lang w:eastAsia="zh-CN"/>
        </w:rPr>
        <w:t>）</w:t>
      </w:r>
      <w:r>
        <w:rPr>
          <w:rFonts w:hint="eastAsia"/>
          <w:snapToGrid w:val="0"/>
          <w:sz w:val="28"/>
          <w:szCs w:val="24"/>
          <w:highlight w:val="none"/>
        </w:rPr>
        <w:t>》（GF-2017-0201）中通用合同条款。上述资料由参审单位自行准备。</w:t>
      </w:r>
    </w:p>
    <w:p>
      <w:pPr>
        <w:spacing w:line="360" w:lineRule="auto"/>
        <w:jc w:val="center"/>
        <w:outlineLvl w:val="2"/>
        <w:rPr>
          <w:rFonts w:ascii="等线" w:hAnsi="等线" w:eastAsia="等线" w:cs="@仿宋_GB2312"/>
          <w:b/>
          <w:kern w:val="2"/>
          <w:sz w:val="24"/>
          <w:highlight w:val="none"/>
        </w:rPr>
      </w:pPr>
      <w:r>
        <w:rPr>
          <w:rFonts w:ascii="黑体" w:hAnsi="Cambria" w:eastAsia="黑体"/>
          <w:b/>
          <w:bCs/>
          <w:kern w:val="2"/>
          <w:sz w:val="24"/>
          <w:szCs w:val="32"/>
          <w:highlight w:val="none"/>
        </w:rPr>
        <w:br w:type="page"/>
      </w:r>
      <w:bookmarkStart w:id="42" w:name="_Toc15656491"/>
      <w:r>
        <w:rPr>
          <w:rFonts w:hint="eastAsia" w:ascii="等线" w:hAnsi="等线" w:eastAsia="等线" w:cs="@仿宋_GB2312"/>
          <w:b/>
          <w:kern w:val="2"/>
          <w:sz w:val="24"/>
          <w:highlight w:val="none"/>
        </w:rPr>
        <w:t>第三节  专用合同条款</w:t>
      </w:r>
      <w:bookmarkEnd w:id="42"/>
    </w:p>
    <w:p>
      <w:pPr>
        <w:keepNext/>
        <w:keepLines/>
        <w:spacing w:before="120" w:after="120" w:line="360" w:lineRule="auto"/>
        <w:outlineLvl w:val="2"/>
        <w:rPr>
          <w:rFonts w:ascii="黑体" w:hAnsi="黑体" w:eastAsia="黑体"/>
          <w:bCs/>
          <w:kern w:val="2"/>
          <w:sz w:val="24"/>
          <w:szCs w:val="24"/>
          <w:highlight w:val="none"/>
        </w:rPr>
      </w:pPr>
      <w:bookmarkStart w:id="43" w:name="_Toc351203633"/>
      <w:r>
        <w:rPr>
          <w:rFonts w:ascii="黑体" w:hAnsi="黑体" w:eastAsia="黑体"/>
          <w:bCs/>
          <w:kern w:val="2"/>
          <w:sz w:val="24"/>
          <w:szCs w:val="24"/>
          <w:highlight w:val="none"/>
        </w:rPr>
        <w:t>1</w:t>
      </w:r>
      <w:bookmarkStart w:id="44" w:name="_Toc296346657"/>
      <w:bookmarkStart w:id="45" w:name="_Toc296503156"/>
      <w:bookmarkStart w:id="46" w:name="_Toc296944495"/>
      <w:bookmarkStart w:id="47" w:name="_Toc296891196"/>
      <w:bookmarkStart w:id="48" w:name="_Toc292559361"/>
      <w:bookmarkStart w:id="49" w:name="_Toc292559866"/>
      <w:bookmarkStart w:id="50" w:name="_Toc296347155"/>
      <w:bookmarkStart w:id="51" w:name="_Toc297120456"/>
      <w:bookmarkStart w:id="52" w:name="_Toc296890984"/>
      <w:bookmarkStart w:id="53" w:name="_Toc297048342"/>
      <w:r>
        <w:rPr>
          <w:rFonts w:ascii="黑体" w:hAnsi="黑体" w:eastAsia="黑体"/>
          <w:bCs/>
          <w:kern w:val="2"/>
          <w:sz w:val="24"/>
          <w:szCs w:val="24"/>
          <w:highlight w:val="none"/>
        </w:rPr>
        <w:t>. 一般约定</w:t>
      </w:r>
      <w:bookmarkEnd w:id="43"/>
    </w:p>
    <w:bookmarkEnd w:id="44"/>
    <w:bookmarkEnd w:id="45"/>
    <w:bookmarkEnd w:id="46"/>
    <w:bookmarkEnd w:id="47"/>
    <w:bookmarkEnd w:id="48"/>
    <w:bookmarkEnd w:id="49"/>
    <w:bookmarkEnd w:id="50"/>
    <w:bookmarkEnd w:id="51"/>
    <w:bookmarkEnd w:id="52"/>
    <w:bookmarkEnd w:id="53"/>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1.1</w:t>
      </w:r>
      <w:r>
        <w:rPr>
          <w:rFonts w:hint="eastAsia" w:ascii="Arial" w:hAnsi="Arial" w:eastAsia="黑体"/>
          <w:bCs/>
          <w:kern w:val="2"/>
          <w:sz w:val="21"/>
          <w:szCs w:val="28"/>
          <w:highlight w:val="none"/>
        </w:rPr>
        <w:t xml:space="preserve"> 词语定义与解释</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1.1.1</w:t>
      </w:r>
      <w:r>
        <w:rPr>
          <w:rFonts w:hint="eastAsia" w:ascii="Times New Roman" w:hAnsi="Times New Roman"/>
          <w:sz w:val="21"/>
          <w:szCs w:val="24"/>
          <w:highlight w:val="none"/>
        </w:rPr>
        <w:t xml:space="preserve"> </w:t>
      </w:r>
      <w:r>
        <w:rPr>
          <w:rFonts w:ascii="Times New Roman" w:hAnsi="Times New Roman"/>
          <w:sz w:val="21"/>
          <w:szCs w:val="24"/>
          <w:highlight w:val="none"/>
        </w:rPr>
        <w:t>合同</w:t>
      </w:r>
    </w:p>
    <w:p>
      <w:pPr>
        <w:adjustRightInd w:val="0"/>
        <w:spacing w:line="360" w:lineRule="auto"/>
        <w:ind w:firstLine="420" w:firstLineChars="200"/>
        <w:rPr>
          <w:rFonts w:hint="eastAsia" w:ascii="Times New Roman" w:hAnsi="Times New Roman" w:eastAsia="宋体"/>
          <w:sz w:val="21"/>
          <w:szCs w:val="24"/>
          <w:highlight w:val="none"/>
          <w:u w:val="single"/>
          <w:lang w:val="en-US" w:eastAsia="zh-CN"/>
        </w:rPr>
      </w:pPr>
      <w:r>
        <w:rPr>
          <w:rFonts w:ascii="Times New Roman" w:hAnsi="Times New Roman"/>
          <w:sz w:val="21"/>
          <w:szCs w:val="24"/>
          <w:highlight w:val="none"/>
        </w:rPr>
        <w:t>1.1.1.10</w:t>
      </w:r>
      <w:r>
        <w:rPr>
          <w:rFonts w:hint="eastAsia" w:ascii="Times New Roman" w:hAnsi="Times New Roman"/>
          <w:sz w:val="21"/>
          <w:szCs w:val="24"/>
          <w:highlight w:val="none"/>
        </w:rPr>
        <w:t xml:space="preserve"> </w:t>
      </w:r>
      <w:r>
        <w:rPr>
          <w:rFonts w:ascii="Times New Roman" w:hAnsi="Times New Roman"/>
          <w:sz w:val="21"/>
          <w:szCs w:val="24"/>
          <w:highlight w:val="none"/>
        </w:rPr>
        <w:t>其他合同文件包括：</w:t>
      </w:r>
      <w:r>
        <w:rPr>
          <w:rFonts w:hint="eastAsia" w:ascii="Times New Roman" w:hAnsi="Times New Roman"/>
          <w:kern w:val="2"/>
          <w:sz w:val="21"/>
          <w:szCs w:val="24"/>
          <w:highlight w:val="none"/>
          <w:u w:val="single"/>
          <w:lang w:val="en-US" w:eastAsia="zh-CN"/>
        </w:rPr>
        <w:t xml:space="preserve"> </w:t>
      </w:r>
      <w:r>
        <w:rPr>
          <w:rFonts w:hint="eastAsia" w:ascii="Times New Roman" w:hAnsi="Times New Roman"/>
          <w:sz w:val="21"/>
          <w:szCs w:val="24"/>
          <w:highlight w:val="none"/>
          <w:u w:val="single"/>
        </w:rPr>
        <w:t>合同履行过程中双方就有关工程洽商、变更达成的书面协议</w:t>
      </w:r>
      <w:r>
        <w:rPr>
          <w:rFonts w:ascii="Times New Roman" w:hAnsi="Times New Roman"/>
          <w:sz w:val="21"/>
          <w:szCs w:val="24"/>
          <w:highlight w:val="none"/>
          <w:u w:val="single"/>
        </w:rPr>
        <w:t>。</w:t>
      </w:r>
      <w:r>
        <w:rPr>
          <w:rFonts w:hint="eastAsia" w:ascii="Times New Roman" w:hAnsi="Times New Roman"/>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1.1.2 合同当事人及其他相关方</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1.1.2.4</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监理人：</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名    称：</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资质类别和等级：</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联系电话：</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电子信箱：</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通信地址：</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1.1.2.5 设计人：</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名    称：</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资质类别和等级：</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联系电话：</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电子信箱：</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通信地址：</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1.1.3 工程和设备</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1.1.3.7 作为施工现场组成部分的其他场所包括：</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1.1.3.9 永久占地包括：</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1.1.3.10 临时占地包括：</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 </w:t>
      </w:r>
      <w:r>
        <w:rPr>
          <w:rFonts w:ascii="Times New Roman" w:hAnsi="Times New Roman"/>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1.3</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 xml:space="preserve">法律 </w:t>
      </w:r>
    </w:p>
    <w:p>
      <w:pPr>
        <w:adjustRightInd w:val="0"/>
        <w:spacing w:line="360" w:lineRule="auto"/>
        <w:ind w:firstLine="420" w:firstLineChars="200"/>
        <w:rPr>
          <w:rFonts w:hint="eastAsia" w:ascii="Times New Roman" w:hAnsi="Times New Roman" w:eastAsia="宋体"/>
          <w:kern w:val="2"/>
          <w:sz w:val="21"/>
          <w:szCs w:val="24"/>
          <w:highlight w:val="none"/>
          <w:u w:val="single"/>
          <w:lang w:val="en-US" w:eastAsia="zh-CN"/>
        </w:rPr>
      </w:pPr>
      <w:r>
        <w:rPr>
          <w:rFonts w:ascii="Times New Roman" w:hAnsi="Times New Roman"/>
          <w:kern w:val="2"/>
          <w:sz w:val="21"/>
          <w:szCs w:val="24"/>
          <w:highlight w:val="none"/>
        </w:rPr>
        <w:t>适用于合同的其他规范性文件：</w:t>
      </w:r>
      <w:r>
        <w:rPr>
          <w:rFonts w:hint="eastAsia" w:ascii="Times New Roman" w:hAnsi="Times New Roman"/>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《中华人民共和国民法典》、《中华人民共和国建筑法》、《建设工程质量管理条例》、《建设工程安全生产管理条例》等国家及工程所在地现行有效的法律法规和规章。</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1.4 标准和规范</w:t>
      </w:r>
    </w:p>
    <w:p>
      <w:pPr>
        <w:adjustRightInd w:val="0"/>
        <w:spacing w:line="360" w:lineRule="auto"/>
        <w:ind w:firstLine="420" w:firstLineChars="200"/>
        <w:rPr>
          <w:rFonts w:hint="default" w:ascii="Times New Roman" w:hAnsi="Times New Roman" w:eastAsia="宋体"/>
          <w:kern w:val="2"/>
          <w:sz w:val="21"/>
          <w:szCs w:val="24"/>
          <w:highlight w:val="none"/>
          <w:lang w:val="en-US" w:eastAsia="zh-CN"/>
        </w:rPr>
      </w:pPr>
      <w:r>
        <w:rPr>
          <w:rFonts w:ascii="Times New Roman" w:hAnsi="Times New Roman"/>
          <w:kern w:val="2"/>
          <w:sz w:val="21"/>
          <w:szCs w:val="24"/>
          <w:highlight w:val="none"/>
        </w:rPr>
        <w:t>1.4.1</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适用于工程的标准规范包括：</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1.4.2 发包人提供国外标准、规范的名称：</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发包人提供国外标准、规范的份数：</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发包人提供国外标准、规范的</w:t>
      </w:r>
      <w:r>
        <w:rPr>
          <w:rFonts w:hint="eastAsia" w:ascii="Times New Roman" w:hAnsi="Times New Roman"/>
          <w:sz w:val="21"/>
          <w:szCs w:val="24"/>
          <w:highlight w:val="none"/>
        </w:rPr>
        <w:t>时间</w:t>
      </w:r>
      <w:r>
        <w:rPr>
          <w:rFonts w:ascii="Times New Roman" w:hAnsi="Times New Roman"/>
          <w:sz w:val="21"/>
          <w:szCs w:val="24"/>
          <w:highlight w:val="none"/>
        </w:rPr>
        <w:t>：</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1.4.3</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发包人对工程的技术标准和功能要求的特殊要求：</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1.5 合同文件的优先顺序</w:t>
      </w:r>
    </w:p>
    <w:p>
      <w:pPr>
        <w:adjustRightInd w:val="0"/>
        <w:spacing w:line="360" w:lineRule="auto"/>
        <w:ind w:firstLine="420" w:firstLineChars="200"/>
        <w:rPr>
          <w:rFonts w:ascii="Times New Roman" w:hAnsi="Times New Roman"/>
          <w:b/>
          <w:kern w:val="2"/>
          <w:sz w:val="21"/>
          <w:szCs w:val="24"/>
          <w:highlight w:val="none"/>
          <w:u w:val="single"/>
        </w:rPr>
      </w:pPr>
      <w:r>
        <w:rPr>
          <w:rFonts w:ascii="Times New Roman" w:hAnsi="Times New Roman"/>
          <w:sz w:val="21"/>
          <w:szCs w:val="24"/>
          <w:highlight w:val="none"/>
        </w:rPr>
        <w:t>合同文件组成及优先顺序为：</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1.6 图纸和承包人文件</w:t>
      </w:r>
      <w:r>
        <w:rPr>
          <w:rFonts w:ascii="Arial" w:hAnsi="Arial" w:eastAsia="黑体"/>
          <w:bCs/>
          <w:kern w:val="2"/>
          <w:sz w:val="21"/>
          <w:szCs w:val="28"/>
          <w:highlight w:val="none"/>
        </w:rPr>
        <w:tab/>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1.6.1</w:t>
      </w:r>
      <w:r>
        <w:rPr>
          <w:rFonts w:hint="eastAsia" w:ascii="Times New Roman" w:hAnsi="Times New Roman"/>
          <w:kern w:val="2"/>
          <w:sz w:val="21"/>
          <w:szCs w:val="24"/>
          <w:highlight w:val="none"/>
        </w:rPr>
        <w:t xml:space="preserve"> 图纸的提供和交底</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发包人向承包人提供图纸的期限：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hint="default" w:ascii="Times New Roman" w:hAnsi="Times New Roman" w:eastAsia="宋体"/>
          <w:kern w:val="2"/>
          <w:sz w:val="21"/>
          <w:szCs w:val="24"/>
          <w:highlight w:val="none"/>
          <w:lang w:val="en-US" w:eastAsia="zh-CN"/>
        </w:rPr>
      </w:pPr>
      <w:r>
        <w:rPr>
          <w:rFonts w:ascii="Times New Roman" w:hAnsi="Times New Roman"/>
          <w:kern w:val="2"/>
          <w:sz w:val="21"/>
          <w:szCs w:val="24"/>
          <w:highlight w:val="none"/>
        </w:rPr>
        <w:t>发包人向承包人提供图纸的数量：</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提供</w:t>
      </w:r>
      <w:r>
        <w:rPr>
          <w:rFonts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u w:val="single"/>
        </w:rPr>
        <w:t xml:space="preserve"> 套（含竣工图</w:t>
      </w:r>
      <w:r>
        <w:rPr>
          <w:rFonts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u w:val="single"/>
        </w:rPr>
        <w:t xml:space="preserve"> </w:t>
      </w:r>
      <w:r>
        <w:rPr>
          <w:rFonts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u w:val="single"/>
        </w:rPr>
        <w:t>套），不足的由承包人自行复制，费用自理；</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发包人向承包人提供图纸的内容：</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1.6.4 承包人文件</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需要由承包人提供的文件，包括：</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承包人提供的文件的期限为：</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承包人提供的文件的数量为：</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承包人提供的文件的形式为：</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w:t>
      </w:r>
      <w:r>
        <w:rPr>
          <w:rFonts w:hint="eastAsia" w:ascii="Times New Roman" w:hAnsi="Times New Roman"/>
          <w:kern w:val="2"/>
          <w:sz w:val="21"/>
          <w:szCs w:val="24"/>
          <w:highlight w:val="none"/>
        </w:rPr>
        <w:t>审批</w:t>
      </w:r>
      <w:r>
        <w:rPr>
          <w:rFonts w:ascii="Times New Roman" w:hAnsi="Times New Roman"/>
          <w:kern w:val="2"/>
          <w:sz w:val="21"/>
          <w:szCs w:val="24"/>
          <w:highlight w:val="none"/>
        </w:rPr>
        <w:t>承包人文件的期限：</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1.6.5</w:t>
      </w:r>
      <w:r>
        <w:rPr>
          <w:rFonts w:hint="eastAsia" w:ascii="Times New Roman" w:hAnsi="Times New Roman"/>
          <w:kern w:val="2"/>
          <w:sz w:val="21"/>
          <w:szCs w:val="24"/>
          <w:highlight w:val="none"/>
        </w:rPr>
        <w:t xml:space="preserve"> 图纸和承包人文件的保管</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w:t>
      </w:r>
      <w:r>
        <w:rPr>
          <w:rFonts w:hint="eastAsia" w:ascii="Times New Roman" w:hAnsi="Times New Roman"/>
          <w:kern w:val="2"/>
          <w:sz w:val="21"/>
          <w:szCs w:val="24"/>
          <w:highlight w:val="none"/>
        </w:rPr>
        <w:t>图纸和承包人文件保管</w:t>
      </w:r>
      <w:r>
        <w:rPr>
          <w:rFonts w:ascii="Times New Roman" w:hAnsi="Times New Roman"/>
          <w:kern w:val="2"/>
          <w:sz w:val="21"/>
          <w:szCs w:val="24"/>
          <w:highlight w:val="none"/>
        </w:rPr>
        <w:t>的约定：</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1.7 联络</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1.7.1</w:t>
      </w:r>
      <w:r>
        <w:rPr>
          <w:rFonts w:hint="eastAsia" w:ascii="Times New Roman" w:hAnsi="Times New Roman"/>
          <w:sz w:val="21"/>
          <w:szCs w:val="24"/>
          <w:highlight w:val="none"/>
        </w:rPr>
        <w:t xml:space="preserve"> </w:t>
      </w:r>
      <w:r>
        <w:rPr>
          <w:rFonts w:ascii="Times New Roman" w:hAnsi="Times New Roman"/>
          <w:sz w:val="21"/>
          <w:szCs w:val="24"/>
          <w:highlight w:val="none"/>
        </w:rPr>
        <w:t>发包人和承包人应当在</w:t>
      </w:r>
      <w:r>
        <w:rPr>
          <w:rFonts w:hint="eastAsia" w:ascii="Times New Roman" w:hAnsi="Times New Roman"/>
          <w:kern w:val="2"/>
          <w:sz w:val="21"/>
          <w:szCs w:val="24"/>
          <w:highlight w:val="none"/>
          <w:u w:val="single"/>
        </w:rPr>
        <w:t>7</w:t>
      </w:r>
      <w:r>
        <w:rPr>
          <w:rFonts w:ascii="Times New Roman" w:hAnsi="Times New Roman"/>
          <w:sz w:val="21"/>
          <w:szCs w:val="24"/>
          <w:highlight w:val="none"/>
        </w:rPr>
        <w:t>天内将与合同有关的通知、批准、证明、证书、指示、指令、要求、请求、同意、意见、确定和决定等书面函件送达对方当事人</w:t>
      </w:r>
      <w:r>
        <w:rPr>
          <w:rFonts w:hint="eastAsia"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1.7.2 发包人接收文件的地点：</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发包人指定的接收人为：</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承包人接收文件的地点：</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承包人指定的接收人为：</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监理人接收文件的地点：</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监理人指定的接收人为：</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ascii="Times New Roman" w:hAnsi="Times New Roman"/>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1.10 交通运输</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w:t>
      </w:r>
      <w:bookmarkStart w:id="54" w:name="_Toc312677986"/>
      <w:bookmarkStart w:id="55" w:name="_Toc303539100"/>
      <w:bookmarkStart w:id="56" w:name="_Toc300934943"/>
      <w:bookmarkStart w:id="57" w:name="_Toc318581155"/>
      <w:bookmarkStart w:id="58" w:name="_Toc304295521"/>
      <w:r>
        <w:rPr>
          <w:rFonts w:ascii="Times New Roman" w:hAnsi="Times New Roman"/>
          <w:kern w:val="2"/>
          <w:sz w:val="21"/>
          <w:szCs w:val="24"/>
          <w:highlight w:val="none"/>
        </w:rPr>
        <w:t>.10.1 出入现场的权利</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关于出入现场的权利的约定：</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bookmarkEnd w:id="54"/>
    <w:bookmarkEnd w:id="55"/>
    <w:bookmarkEnd w:id="56"/>
    <w:bookmarkEnd w:id="57"/>
    <w:bookmarkEnd w:id="58"/>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w:t>
      </w:r>
      <w:bookmarkStart w:id="59" w:name="_Toc304295522"/>
      <w:bookmarkStart w:id="60" w:name="_Toc312677987"/>
      <w:bookmarkStart w:id="61" w:name="_Toc318581156"/>
      <w:bookmarkStart w:id="62" w:name="_Toc300934944"/>
      <w:bookmarkStart w:id="63" w:name="_Toc303539101"/>
      <w:r>
        <w:rPr>
          <w:rFonts w:ascii="Times New Roman" w:hAnsi="Times New Roman"/>
          <w:kern w:val="2"/>
          <w:sz w:val="21"/>
          <w:szCs w:val="24"/>
          <w:highlight w:val="none"/>
        </w:rPr>
        <w:t>.10.3 场内交通</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关于场外交通和场内交通的边界的约定：</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关于发包人向承包人免费提供满足工程施工需要的场内道路和交通设施的约定：</w:t>
      </w:r>
      <w:bookmarkEnd w:id="59"/>
      <w:bookmarkEnd w:id="60"/>
      <w:bookmarkEnd w:id="61"/>
      <w:bookmarkEnd w:id="62"/>
      <w:bookmarkEnd w:id="63"/>
      <w:bookmarkStart w:id="64" w:name="_Toc318581157"/>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1.10.4</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超大件和超重件的运输</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运输超大件或超重件所需的道路和桥梁临时加固改造费用和其他有关费用由</w:t>
      </w:r>
      <w:r>
        <w:rPr>
          <w:rFonts w:hint="eastAsia" w:ascii="Times New Roman" w:hAnsi="Times New Roman"/>
          <w:b w:val="0"/>
          <w:bCs/>
          <w:sz w:val="21"/>
          <w:szCs w:val="24"/>
          <w:highlight w:val="none"/>
          <w:u w:val="single"/>
          <w:lang w:val="en-US" w:eastAsia="zh-CN"/>
        </w:rPr>
        <w:t xml:space="preserve">       </w:t>
      </w:r>
      <w:r>
        <w:rPr>
          <w:rFonts w:ascii="Times New Roman" w:hAnsi="Times New Roman"/>
          <w:kern w:val="2"/>
          <w:sz w:val="21"/>
          <w:szCs w:val="24"/>
          <w:highlight w:val="none"/>
        </w:rPr>
        <w:t>承担。</w:t>
      </w:r>
    </w:p>
    <w:bookmarkEnd w:id="64"/>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1.11 知识产权</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1.11.1</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关于发包人提供的上述文件的使用限制的要求：</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1.11.2 关于承包人为实施工程所编制文件的著作权的归属：</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关于承包人提供的上述文件的使用限制的要求：</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1.11.4 承包人在施工过程中所采用的专利、专有技术、技术秘密的使用费的承担方式：</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1.13</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工程量清单错误的修正</w:t>
      </w:r>
    </w:p>
    <w:p>
      <w:pPr>
        <w:adjustRightInd w:val="0"/>
        <w:spacing w:line="360" w:lineRule="auto"/>
        <w:ind w:firstLine="420" w:firstLineChars="200"/>
        <w:rPr>
          <w:rFonts w:ascii="Times New Roman" w:hAnsi="Times New Roman" w:cs="Courier New"/>
          <w:bCs/>
          <w:kern w:val="2"/>
          <w:sz w:val="21"/>
          <w:szCs w:val="24"/>
          <w:highlight w:val="none"/>
          <w:u w:val="single"/>
        </w:rPr>
      </w:pPr>
      <w:r>
        <w:rPr>
          <w:rFonts w:hint="eastAsia" w:ascii="Times New Roman" w:hAnsi="Times New Roman" w:cs="Courier New"/>
          <w:kern w:val="2"/>
          <w:sz w:val="21"/>
          <w:szCs w:val="24"/>
          <w:highlight w:val="none"/>
        </w:rPr>
        <w:t>出现工程量清单错误时，是否调整合同价格：</w:t>
      </w:r>
      <w:r>
        <w:rPr>
          <w:rFonts w:hint="eastAsia" w:ascii="Times New Roman" w:hAnsi="Times New Roman" w:cs="Courier New"/>
          <w:bCs/>
          <w:kern w:val="2"/>
          <w:sz w:val="21"/>
          <w:szCs w:val="24"/>
          <w:highlight w:val="none"/>
          <w:u w:val="single"/>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允许调整合同价格的工程量偏差范围：</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65" w:name="_Toc351203634"/>
      <w:r>
        <w:rPr>
          <w:rFonts w:ascii="黑体" w:hAnsi="黑体" w:eastAsia="黑体"/>
          <w:bCs/>
          <w:kern w:val="2"/>
          <w:sz w:val="24"/>
          <w:szCs w:val="24"/>
          <w:highlight w:val="none"/>
        </w:rPr>
        <w:t>2</w:t>
      </w:r>
      <w:bookmarkStart w:id="66" w:name="_Toc292559867"/>
      <w:bookmarkStart w:id="67" w:name="_Toc292559362"/>
      <w:bookmarkStart w:id="68" w:name="_Toc296503157"/>
      <w:bookmarkStart w:id="69" w:name="_Toc296891197"/>
      <w:bookmarkStart w:id="70" w:name="_Toc296346658"/>
      <w:bookmarkStart w:id="71" w:name="_Toc296347156"/>
      <w:bookmarkStart w:id="72" w:name="_Toc297048343"/>
      <w:bookmarkStart w:id="73" w:name="_Toc296944496"/>
      <w:bookmarkStart w:id="74" w:name="_Toc296890985"/>
      <w:bookmarkStart w:id="75" w:name="_Toc297120457"/>
      <w:r>
        <w:rPr>
          <w:rFonts w:ascii="黑体" w:hAnsi="黑体" w:eastAsia="黑体"/>
          <w:bCs/>
          <w:kern w:val="2"/>
          <w:sz w:val="24"/>
          <w:szCs w:val="24"/>
          <w:highlight w:val="none"/>
        </w:rPr>
        <w:t>. 发包人</w:t>
      </w:r>
      <w:bookmarkEnd w:id="65"/>
    </w:p>
    <w:bookmarkEnd w:id="66"/>
    <w:bookmarkEnd w:id="67"/>
    <w:bookmarkEnd w:id="68"/>
    <w:bookmarkEnd w:id="69"/>
    <w:bookmarkEnd w:id="70"/>
    <w:bookmarkEnd w:id="71"/>
    <w:bookmarkEnd w:id="72"/>
    <w:bookmarkEnd w:id="73"/>
    <w:bookmarkEnd w:id="74"/>
    <w:bookmarkEnd w:id="75"/>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2.2 发包人代表</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发包人代表：</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姓    名：</w:t>
      </w:r>
      <w:r>
        <w:rPr>
          <w:rFonts w:ascii="Times New Roman" w:hAnsi="Times New Roman"/>
          <w:kern w:val="2"/>
          <w:sz w:val="21"/>
          <w:szCs w:val="24"/>
          <w:highlight w:val="none"/>
          <w:u w:val="single"/>
        </w:rPr>
        <w:t xml:space="preserve"> 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身份证号：</w:t>
      </w:r>
      <w:r>
        <w:rPr>
          <w:rFonts w:ascii="Times New Roman" w:hAnsi="Times New Roman"/>
          <w:kern w:val="2"/>
          <w:sz w:val="21"/>
          <w:szCs w:val="24"/>
          <w:highlight w:val="none"/>
          <w:u w:val="single"/>
        </w:rPr>
        <w:t xml:space="preserve"> 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职    务：</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联系电话：</w:t>
      </w:r>
      <w:r>
        <w:rPr>
          <w:rFonts w:ascii="Times New Roman" w:hAnsi="Times New Roman"/>
          <w:kern w:val="2"/>
          <w:sz w:val="21"/>
          <w:szCs w:val="24"/>
          <w:highlight w:val="none"/>
          <w:u w:val="single"/>
        </w:rPr>
        <w:t>  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电子信箱：</w:t>
      </w:r>
      <w:r>
        <w:rPr>
          <w:rFonts w:ascii="Times New Roman" w:hAnsi="Times New Roman"/>
          <w:kern w:val="2"/>
          <w:sz w:val="21"/>
          <w:szCs w:val="24"/>
          <w:highlight w:val="none"/>
          <w:u w:val="single"/>
        </w:rPr>
        <w:t>  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通信地址：</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发包人对发包人代表的授权范围如下：</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2.4 施工现场、施工条件和基础资料的提供</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2.4.1 提供施工现场</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关于发包人移交施工现场的期限要求：</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开工日期</w:t>
      </w:r>
      <w:r>
        <w:rPr>
          <w:rFonts w:ascii="Times New Roman" w:hAnsi="Times New Roman"/>
          <w:b/>
          <w:kern w:val="2"/>
          <w:sz w:val="21"/>
          <w:szCs w:val="24"/>
          <w:highlight w:val="none"/>
          <w:u w:val="single"/>
        </w:rPr>
        <w:t>7</w:t>
      </w:r>
      <w:r>
        <w:rPr>
          <w:rFonts w:hint="eastAsia" w:ascii="Times New Roman" w:hAnsi="Times New Roman"/>
          <w:b/>
          <w:kern w:val="2"/>
          <w:sz w:val="21"/>
          <w:szCs w:val="24"/>
          <w:highlight w:val="none"/>
          <w:u w:val="single"/>
        </w:rPr>
        <w:t>天前</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2.4.2 提供施工条件</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关于发包人应负责提供施工</w:t>
      </w:r>
      <w:r>
        <w:rPr>
          <w:rFonts w:hint="eastAsia" w:ascii="Times New Roman" w:hAnsi="Times New Roman"/>
          <w:kern w:val="2"/>
          <w:sz w:val="21"/>
          <w:szCs w:val="24"/>
          <w:highlight w:val="none"/>
        </w:rPr>
        <w:t>所需要的条件，</w:t>
      </w:r>
      <w:r>
        <w:rPr>
          <w:rFonts w:ascii="Times New Roman" w:hAnsi="Times New Roman"/>
          <w:kern w:val="2"/>
          <w:sz w:val="21"/>
          <w:szCs w:val="24"/>
          <w:highlight w:val="none"/>
        </w:rPr>
        <w:t>包括：</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2.5 资金来源证明及支付担保</w:t>
      </w:r>
    </w:p>
    <w:p>
      <w:pPr>
        <w:snapToGrid w:val="0"/>
        <w:spacing w:line="360" w:lineRule="auto"/>
        <w:ind w:firstLine="420" w:firstLineChars="200"/>
        <w:rPr>
          <w:rFonts w:hint="eastAsia" w:ascii="Times New Roman" w:hAnsi="Times New Roman" w:eastAsia="宋体" w:cs="宋体"/>
          <w:bCs/>
          <w:color w:val="auto"/>
          <w:sz w:val="21"/>
          <w:szCs w:val="16"/>
          <w:highlight w:val="none"/>
          <w:lang w:val="en-US" w:eastAsia="zh-CN"/>
        </w:rPr>
      </w:pPr>
      <w:r>
        <w:rPr>
          <w:rFonts w:hint="eastAsia" w:ascii="Times New Roman" w:hAnsi="Times New Roman" w:eastAsia="宋体" w:cs="宋体"/>
          <w:bCs/>
          <w:color w:val="auto"/>
          <w:sz w:val="21"/>
          <w:szCs w:val="16"/>
          <w:highlight w:val="none"/>
        </w:rPr>
        <w:t>发包人提供资金来源证明的期限要求：</w:t>
      </w:r>
      <w:r>
        <w:rPr>
          <w:rFonts w:hint="eastAsia" w:ascii="Times New Roman" w:hAnsi="Times New Roman" w:eastAsia="宋体" w:cs="宋体"/>
          <w:bCs/>
          <w:color w:val="auto"/>
          <w:sz w:val="21"/>
          <w:szCs w:val="16"/>
          <w:highlight w:val="none"/>
          <w:u w:val="single"/>
          <w:lang w:val="en-US" w:eastAsia="zh-CN"/>
        </w:rPr>
        <w:t xml:space="preserve"> </w:t>
      </w:r>
      <w:r>
        <w:rPr>
          <w:rFonts w:hint="eastAsia" w:ascii="Times New Roman" w:hAnsi="Times New Roman" w:eastAsia="宋体" w:cs="宋体"/>
          <w:bCs/>
          <w:color w:val="auto"/>
          <w:sz w:val="21"/>
          <w:szCs w:val="16"/>
          <w:highlight w:val="none"/>
          <w:u w:val="single"/>
        </w:rPr>
        <w:t>在取得施工许可证的</w:t>
      </w:r>
      <w:r>
        <w:rPr>
          <w:rFonts w:hint="eastAsia" w:ascii="Times New Roman" w:hAnsi="Times New Roman" w:cs="宋体"/>
          <w:bCs/>
          <w:color w:val="auto"/>
          <w:sz w:val="21"/>
          <w:szCs w:val="16"/>
          <w:highlight w:val="none"/>
          <w:u w:val="single"/>
          <w:lang w:val="en-US" w:eastAsia="zh-CN"/>
        </w:rPr>
        <w:t>1</w:t>
      </w:r>
      <w:r>
        <w:rPr>
          <w:rFonts w:hint="eastAsia" w:ascii="Times New Roman" w:hAnsi="Times New Roman" w:eastAsia="宋体" w:cs="宋体"/>
          <w:bCs/>
          <w:color w:val="auto"/>
          <w:sz w:val="21"/>
          <w:szCs w:val="16"/>
          <w:highlight w:val="none"/>
          <w:u w:val="single"/>
        </w:rPr>
        <w:t>个月内办结工程款支付担保。施工单位在收到工程款支付担保后3日内将相关资料上传至项目所在地农民工工资支付监管平台，未按时按承诺提交工程款支付担保的工程建设项目，将视作建设资金未落实。工程款支付担保保证期限原则上应与施工合同约定的期限保持一致（采用分阶段担保的，建设单位支付相应的工程款后，当期工程款支付担保解除，进入下一阶段工程款支付担保）。施工工期延期的，建设单位应在保证期限到期前30天，办理保函、保单延期手续。</w:t>
      </w:r>
      <w:r>
        <w:rPr>
          <w:rFonts w:hint="eastAsia" w:ascii="Times New Roman" w:hAnsi="Times New Roman" w:eastAsia="宋体" w:cs="宋体"/>
          <w:bCs/>
          <w:color w:val="auto"/>
          <w:sz w:val="21"/>
          <w:szCs w:val="16"/>
          <w:highlight w:val="none"/>
          <w:u w:val="single"/>
          <w:lang w:val="en-US" w:eastAsia="zh-CN"/>
        </w:rPr>
        <w:t xml:space="preserve"> </w:t>
      </w:r>
    </w:p>
    <w:p>
      <w:pPr>
        <w:snapToGrid w:val="0"/>
        <w:spacing w:line="360" w:lineRule="auto"/>
        <w:ind w:firstLine="420" w:firstLineChars="200"/>
        <w:rPr>
          <w:rFonts w:hint="eastAsia" w:ascii="Times New Roman" w:hAnsi="Times New Roman" w:eastAsia="宋体" w:cs="宋体"/>
          <w:bCs/>
          <w:color w:val="auto"/>
          <w:sz w:val="21"/>
          <w:szCs w:val="16"/>
          <w:highlight w:val="none"/>
          <w:lang w:val="en-US" w:eastAsia="zh-CN"/>
        </w:rPr>
      </w:pPr>
      <w:r>
        <w:rPr>
          <w:rFonts w:hint="eastAsia" w:ascii="Times New Roman" w:hAnsi="Times New Roman" w:eastAsia="宋体" w:cs="宋体"/>
          <w:bCs/>
          <w:color w:val="auto"/>
          <w:sz w:val="21"/>
          <w:szCs w:val="16"/>
          <w:highlight w:val="none"/>
        </w:rPr>
        <w:t>发包人是否提供支付担保：</w:t>
      </w:r>
      <w:r>
        <w:rPr>
          <w:rFonts w:hint="eastAsia" w:ascii="Times New Roman" w:hAnsi="Times New Roman" w:eastAsia="宋体" w:cs="宋体"/>
          <w:bCs/>
          <w:color w:val="auto"/>
          <w:sz w:val="21"/>
          <w:szCs w:val="16"/>
          <w:highlight w:val="none"/>
          <w:u w:val="single"/>
          <w:lang w:val="en-US" w:eastAsia="zh-CN"/>
        </w:rPr>
        <w:t xml:space="preserve"> </w:t>
      </w:r>
      <w:r>
        <w:rPr>
          <w:rFonts w:hint="eastAsia" w:ascii="Times New Roman" w:hAnsi="Times New Roman" w:eastAsia="宋体" w:cs="宋体"/>
          <w:bCs/>
          <w:color w:val="auto"/>
          <w:sz w:val="21"/>
          <w:szCs w:val="16"/>
          <w:highlight w:val="none"/>
          <w:u w:val="single"/>
        </w:rPr>
        <w:t>是。提供施工合同额8%的工程款支付担保。</w:t>
      </w:r>
      <w:r>
        <w:rPr>
          <w:rFonts w:hint="eastAsia" w:ascii="Times New Roman" w:hAnsi="Times New Roman" w:eastAsia="宋体" w:cs="宋体"/>
          <w:bCs/>
          <w:color w:val="auto"/>
          <w:sz w:val="21"/>
          <w:szCs w:val="16"/>
          <w:highlight w:val="none"/>
          <w:lang w:val="en-US" w:eastAsia="zh-CN"/>
        </w:rPr>
        <w:t xml:space="preserve"> </w:t>
      </w:r>
    </w:p>
    <w:p>
      <w:pPr>
        <w:snapToGrid w:val="0"/>
        <w:spacing w:line="360" w:lineRule="auto"/>
        <w:ind w:firstLine="420" w:firstLineChars="200"/>
        <w:rPr>
          <w:rFonts w:hint="eastAsia" w:ascii="Times New Roman" w:hAnsi="Times New Roman" w:eastAsia="宋体" w:cs="宋体"/>
          <w:bCs/>
          <w:color w:val="auto"/>
          <w:sz w:val="24"/>
          <w:highlight w:val="none"/>
          <w:lang w:val="en-US" w:eastAsia="zh-CN"/>
        </w:rPr>
      </w:pPr>
      <w:r>
        <w:rPr>
          <w:rFonts w:hint="eastAsia" w:ascii="Times New Roman" w:hAnsi="Times New Roman" w:eastAsia="宋体" w:cs="宋体"/>
          <w:bCs/>
          <w:color w:val="auto"/>
          <w:sz w:val="21"/>
          <w:szCs w:val="16"/>
          <w:highlight w:val="none"/>
        </w:rPr>
        <w:t>发包人提供支付担保的形式：</w:t>
      </w:r>
      <w:r>
        <w:rPr>
          <w:rFonts w:hint="eastAsia" w:ascii="Times New Roman" w:hAnsi="Times New Roman" w:eastAsia="宋体" w:cs="宋体"/>
          <w:bCs/>
          <w:color w:val="auto"/>
          <w:sz w:val="21"/>
          <w:szCs w:val="16"/>
          <w:highlight w:val="none"/>
          <w:u w:val="single"/>
          <w:lang w:val="en-US" w:eastAsia="zh-CN"/>
        </w:rPr>
        <w:t xml:space="preserve"> </w:t>
      </w:r>
      <w:r>
        <w:rPr>
          <w:rFonts w:hint="eastAsia" w:ascii="Times New Roman" w:hAnsi="Times New Roman" w:eastAsia="宋体" w:cs="宋体"/>
          <w:bCs/>
          <w:color w:val="auto"/>
          <w:sz w:val="21"/>
          <w:szCs w:val="16"/>
          <w:highlight w:val="none"/>
          <w:u w:val="single"/>
        </w:rPr>
        <w:t>工程款支付担保可以采用银行保函、担保公司担保、第三方担保等方式，也可以用工程款支付保证保险替代。在我省开展工程款支付担保业务的保证人应向有关主管部门提供担保凭证网络验证途径。对于政府投资房屋建筑和市政工程建设项目，建设单位可以根据合同约定将有权部门出具的相应资金保障证明，作为工程款支付担保凭证。</w:t>
      </w:r>
      <w:r>
        <w:rPr>
          <w:rFonts w:hint="eastAsia" w:ascii="Times New Roman" w:hAnsi="Times New Roman" w:cs="宋体"/>
          <w:bCs/>
          <w:color w:val="auto"/>
          <w:sz w:val="21"/>
          <w:szCs w:val="16"/>
          <w:highlight w:val="none"/>
          <w:u w:val="single"/>
          <w:lang w:val="en-US" w:eastAsia="zh-CN"/>
        </w:rPr>
        <w:t xml:space="preserve"> </w:t>
      </w:r>
    </w:p>
    <w:p>
      <w:pPr>
        <w:snapToGrid w:val="0"/>
        <w:spacing w:line="360" w:lineRule="auto"/>
        <w:ind w:firstLine="422" w:firstLineChars="200"/>
        <w:rPr>
          <w:rFonts w:hint="default" w:ascii="Times New Roman" w:hAnsi="Times New Roman" w:eastAsia="宋体"/>
          <w:b w:val="0"/>
          <w:bCs/>
          <w:kern w:val="2"/>
          <w:sz w:val="21"/>
          <w:szCs w:val="21"/>
          <w:highlight w:val="none"/>
          <w:u w:val="single"/>
          <w:lang w:val="en-US" w:eastAsia="zh-CN"/>
        </w:rPr>
      </w:pPr>
      <w:r>
        <w:rPr>
          <w:rFonts w:hint="eastAsia" w:ascii="Times New Roman" w:hAnsi="Times New Roman" w:eastAsia="宋体" w:cs="宋体"/>
          <w:b/>
          <w:bCs w:val="0"/>
          <w:color w:val="auto"/>
          <w:sz w:val="21"/>
          <w:szCs w:val="21"/>
          <w:highlight w:val="none"/>
        </w:rPr>
        <w:t>备注：</w:t>
      </w:r>
      <w:r>
        <w:rPr>
          <w:rFonts w:hint="eastAsia" w:ascii="Times New Roman" w:hAnsi="Times New Roman" w:eastAsia="宋体" w:cs="宋体"/>
          <w:b w:val="0"/>
          <w:bCs/>
          <w:color w:val="auto"/>
          <w:sz w:val="21"/>
          <w:szCs w:val="21"/>
          <w:highlight w:val="none"/>
        </w:rPr>
        <w:t>（1）工程款支付担保保证有效期内，建设单位未按照规定向农民工工资专用账户拨付工资性工程款或者未按照合同约定支付施工进度款的，施工总承包企业（包括专业承包企业，下同）可以要求保证人履行保证责任，同时将拖欠信息报送工程所在地住房城乡建设主管部门和人力资源社会保障主管部门。（2）我省行政区域内按照规定应办理建筑工程施工许可证的房屋建筑和市政工程建设项目，均应办理工程款支付担保。</w:t>
      </w:r>
    </w:p>
    <w:p>
      <w:pPr>
        <w:keepNext/>
        <w:keepLines/>
        <w:spacing w:before="120" w:after="120" w:line="360" w:lineRule="auto"/>
        <w:jc w:val="left"/>
        <w:outlineLvl w:val="2"/>
        <w:rPr>
          <w:rFonts w:ascii="黑体" w:hAnsi="黑体" w:eastAsia="黑体"/>
          <w:bCs/>
          <w:kern w:val="2"/>
          <w:sz w:val="24"/>
          <w:szCs w:val="24"/>
          <w:highlight w:val="none"/>
        </w:rPr>
      </w:pPr>
      <w:bookmarkStart w:id="76" w:name="_Toc351203635"/>
      <w:r>
        <w:rPr>
          <w:rFonts w:ascii="黑体" w:hAnsi="黑体" w:eastAsia="黑体"/>
          <w:bCs/>
          <w:kern w:val="2"/>
          <w:sz w:val="24"/>
          <w:szCs w:val="24"/>
          <w:highlight w:val="none"/>
        </w:rPr>
        <w:t>3</w:t>
      </w:r>
      <w:bookmarkStart w:id="77" w:name="_Toc296890986"/>
      <w:bookmarkStart w:id="78" w:name="_Toc296891198"/>
      <w:bookmarkStart w:id="79" w:name="_Toc297120458"/>
      <w:bookmarkStart w:id="80" w:name="_Toc297048344"/>
      <w:bookmarkStart w:id="81" w:name="_Toc296347157"/>
      <w:bookmarkStart w:id="82" w:name="_Toc296944497"/>
      <w:bookmarkStart w:id="83" w:name="_Toc296503158"/>
      <w:bookmarkStart w:id="84" w:name="_Toc292559363"/>
      <w:bookmarkStart w:id="85" w:name="_Toc292559868"/>
      <w:bookmarkStart w:id="86" w:name="_Toc296346659"/>
      <w:r>
        <w:rPr>
          <w:rFonts w:ascii="黑体" w:hAnsi="黑体" w:eastAsia="黑体"/>
          <w:bCs/>
          <w:kern w:val="2"/>
          <w:sz w:val="24"/>
          <w:szCs w:val="24"/>
          <w:highlight w:val="none"/>
        </w:rPr>
        <w:t>. 承包人</w:t>
      </w:r>
      <w:bookmarkEnd w:id="76"/>
    </w:p>
    <w:bookmarkEnd w:id="77"/>
    <w:bookmarkEnd w:id="78"/>
    <w:bookmarkEnd w:id="79"/>
    <w:bookmarkEnd w:id="80"/>
    <w:bookmarkEnd w:id="81"/>
    <w:bookmarkEnd w:id="82"/>
    <w:bookmarkEnd w:id="83"/>
    <w:bookmarkEnd w:id="84"/>
    <w:bookmarkEnd w:id="85"/>
    <w:bookmarkEnd w:id="86"/>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3.1 承包人的一般义务</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w:t>
      </w:r>
      <w:r>
        <w:rPr>
          <w:rFonts w:hint="eastAsia" w:ascii="Times New Roman" w:hAnsi="Times New Roman"/>
          <w:sz w:val="21"/>
          <w:szCs w:val="24"/>
          <w:highlight w:val="none"/>
        </w:rPr>
        <w:t>9</w:t>
      </w:r>
      <w:r>
        <w:rPr>
          <w:rFonts w:ascii="Times New Roman" w:hAnsi="Times New Roman"/>
          <w:sz w:val="21"/>
          <w:szCs w:val="24"/>
          <w:highlight w:val="none"/>
        </w:rPr>
        <w:t>）</w:t>
      </w:r>
      <w:r>
        <w:rPr>
          <w:rFonts w:ascii="Times New Roman" w:hAnsi="Times New Roman"/>
          <w:kern w:val="2"/>
          <w:sz w:val="21"/>
          <w:szCs w:val="24"/>
          <w:highlight w:val="none"/>
        </w:rPr>
        <w:t>承包人提交的竣工资料的内容：</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承包人提供全套竣工图，所有竣工图应为新图纸</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承包人需要提交的竣工资料套数：</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2套</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承包人提交的竣工资料的费用承担：</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承包人承担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承包人提交的竣工资料移交时间：</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承包人提交的竣工资料形式要求：</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w:t>
      </w:r>
      <w:r>
        <w:rPr>
          <w:rFonts w:hint="eastAsia" w:ascii="Times New Roman" w:hAnsi="Times New Roman"/>
          <w:sz w:val="21"/>
          <w:szCs w:val="24"/>
          <w:highlight w:val="none"/>
        </w:rPr>
        <w:t>10</w:t>
      </w:r>
      <w:r>
        <w:rPr>
          <w:rFonts w:ascii="Times New Roman" w:hAnsi="Times New Roman"/>
          <w:sz w:val="21"/>
          <w:szCs w:val="24"/>
          <w:highlight w:val="none"/>
        </w:rPr>
        <w:t>）承包人应履行的其他义务：</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每月</w:t>
      </w:r>
      <w:r>
        <w:rPr>
          <w:rFonts w:ascii="Times New Roman" w:hAnsi="Times New Roman"/>
          <w:b/>
          <w:kern w:val="2"/>
          <w:sz w:val="21"/>
          <w:szCs w:val="24"/>
          <w:highlight w:val="none"/>
          <w:u w:val="single"/>
        </w:rPr>
        <w:t>25</w:t>
      </w:r>
      <w:r>
        <w:rPr>
          <w:rFonts w:hint="eastAsia" w:ascii="Times New Roman" w:hAnsi="Times New Roman"/>
          <w:b/>
          <w:kern w:val="2"/>
          <w:sz w:val="21"/>
          <w:szCs w:val="24"/>
          <w:highlight w:val="none"/>
          <w:u w:val="single"/>
        </w:rPr>
        <w:t>日提交本月工程报表和下月工程计划表，（报表和计划表应包括质量、进度、安全、投资、材料计划等内容，反映存在的问题和应对措施；一式叁份提交发包人</w:t>
      </w:r>
      <w:r>
        <w:rPr>
          <w:rFonts w:hint="eastAsia" w:ascii="Times New Roman" w:hAnsi="Times New Roman"/>
          <w:b/>
          <w:kern w:val="2"/>
          <w:sz w:val="21"/>
          <w:szCs w:val="24"/>
          <w:highlight w:val="none"/>
          <w:u w:val="single"/>
          <w:lang w:eastAsia="zh-CN"/>
        </w:rPr>
        <w:t>）</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3.2 项目经理</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 xml:space="preserve">3.2.1 </w:t>
      </w:r>
      <w:r>
        <w:rPr>
          <w:rFonts w:ascii="Times New Roman" w:hAnsi="Times New Roman"/>
          <w:kern w:val="2"/>
          <w:sz w:val="21"/>
          <w:szCs w:val="24"/>
          <w:highlight w:val="none"/>
        </w:rPr>
        <w:t>项目经理：</w:t>
      </w:r>
      <w:r>
        <w:rPr>
          <w:rFonts w:ascii="Times New Roman" w:hAnsi="Times New Roman"/>
          <w:kern w:val="2"/>
          <w:sz w:val="21"/>
          <w:szCs w:val="24"/>
          <w:highlight w:val="none"/>
        </w:rPr>
        <w:tab/>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姓    名：</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身份证号：</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建造师执业资格等级：</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建造师注册证书号：</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建造师执业印章号：</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安全生产考核合格证书号：</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联系电话：</w:t>
      </w:r>
      <w:r>
        <w:rPr>
          <w:rFonts w:ascii="Times New Roman" w:hAnsi="Times New Roman"/>
          <w:kern w:val="2"/>
          <w:sz w:val="21"/>
          <w:szCs w:val="24"/>
          <w:highlight w:val="none"/>
          <w:u w:val="single"/>
        </w:rPr>
        <w:t>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电子信箱：</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通信地址：</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承包人对项目经理的授权范围如下：</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关于项目经理每月在施工现场的时间要求：</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驻场时间每月不少于22天，每天在岗工作时间不得少于8小时。</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kern w:val="2"/>
          <w:sz w:val="21"/>
          <w:szCs w:val="24"/>
          <w:highlight w:val="none"/>
          <w:u w:val="none"/>
        </w:rPr>
        <w:t xml:space="preserve"> </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承包人未提交劳动合同，以及没有为项目经理缴纳社会保险证明的违约责任：</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项目经理未经批准，擅自离开施工现场的违约责任：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3.2.3 承包人擅自更换项目经理的违约责任：</w:t>
      </w:r>
    </w:p>
    <w:p>
      <w:pPr>
        <w:adjustRightInd w:val="0"/>
        <w:spacing w:line="360" w:lineRule="auto"/>
        <w:ind w:firstLine="422" w:firstLineChars="200"/>
        <w:rPr>
          <w:rFonts w:ascii="Times New Roman" w:hAnsi="Times New Roman"/>
          <w:kern w:val="2"/>
          <w:sz w:val="21"/>
          <w:szCs w:val="24"/>
          <w:highlight w:val="none"/>
        </w:rPr>
      </w:pP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承包人不得擅自更换磋商时所报项目经理</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w:t>
      </w:r>
      <w:r>
        <w:rPr>
          <w:rFonts w:hint="eastAsia" w:ascii="Times New Roman" w:hAnsi="Times New Roman"/>
          <w:b/>
          <w:kern w:val="2"/>
          <w:sz w:val="21"/>
          <w:szCs w:val="24"/>
          <w:highlight w:val="none"/>
          <w:u w:val="single"/>
          <w:lang w:val="en-US" w:eastAsia="zh-CN"/>
        </w:rPr>
        <w:t xml:space="preserve"> </w:t>
      </w:r>
    </w:p>
    <w:p>
      <w:pPr>
        <w:wordWrap w:val="0"/>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3.2.4 承包人无正当理由拒绝更换项目经理的违约责任：</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hint="eastAsia"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3.3 承包人人员</w:t>
      </w:r>
    </w:p>
    <w:p>
      <w:pPr>
        <w:keepNext w:val="0"/>
        <w:keepLines w:val="0"/>
        <w:widowControl w:val="0"/>
        <w:suppressLineNumbers w:val="0"/>
        <w:spacing w:before="0" w:beforeAutospacing="0" w:after="0" w:afterAutospacing="0"/>
        <w:ind w:left="0" w:right="0"/>
        <w:jc w:val="both"/>
        <w:rPr>
          <w:highlight w:val="none"/>
        </w:rPr>
      </w:pPr>
      <w:r>
        <w:rPr>
          <w:rFonts w:ascii="Times New Roman" w:hAnsi="Times New Roman"/>
          <w:kern w:val="2"/>
          <w:sz w:val="21"/>
          <w:szCs w:val="24"/>
          <w:highlight w:val="none"/>
        </w:rPr>
        <w:t>3.3.1 承包人提交项目管理机构及施工现场管理人员安排报告的期限：</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3.3.3 承包人无正当理由拒绝撤换主要施工管理人员的违约责任：</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val="0"/>
        <w:keepLines w:val="0"/>
        <w:widowControl w:val="0"/>
        <w:suppressLineNumbers w:val="0"/>
        <w:spacing w:before="0" w:beforeAutospacing="0" w:after="0" w:afterAutospacing="0"/>
        <w:ind w:left="0" w:right="0"/>
        <w:jc w:val="both"/>
        <w:rPr>
          <w:rFonts w:ascii="Times New Roman" w:hAnsi="Times New Roman"/>
          <w:kern w:val="2"/>
          <w:sz w:val="21"/>
          <w:szCs w:val="24"/>
          <w:highlight w:val="none"/>
          <w:u w:val="single"/>
        </w:rPr>
      </w:pPr>
      <w:r>
        <w:rPr>
          <w:rFonts w:ascii="Times New Roman" w:hAnsi="Times New Roman"/>
          <w:kern w:val="2"/>
          <w:sz w:val="21"/>
          <w:szCs w:val="24"/>
          <w:highlight w:val="none"/>
        </w:rPr>
        <w:t>3.3.4 承包人主要施工管理人员离开施工现场的批准要求：</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4" w:firstLineChars="202"/>
        <w:rPr>
          <w:rFonts w:ascii="Times New Roman" w:hAnsi="Times New Roman"/>
          <w:kern w:val="2"/>
          <w:sz w:val="21"/>
          <w:szCs w:val="24"/>
          <w:highlight w:val="none"/>
        </w:rPr>
      </w:pPr>
      <w:r>
        <w:rPr>
          <w:rFonts w:ascii="Times New Roman" w:hAnsi="Times New Roman"/>
          <w:kern w:val="2"/>
          <w:sz w:val="21"/>
          <w:szCs w:val="24"/>
          <w:highlight w:val="none"/>
        </w:rPr>
        <w:t>3.3.5</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承包人擅自更换主要施工管理人员的违约责任：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承包人不得擅自更换主要管理人员</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发包人如认为有必要，可要求对上述人员中的部分人员作出更好的调整</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承包人主要施工管理人员擅自离开施工现场的违约责任：</w:t>
      </w:r>
      <w:r>
        <w:rPr>
          <w:rFonts w:ascii="Times New Roman" w:hAnsi="Times New Roman"/>
          <w:kern w:val="2"/>
          <w:sz w:val="21"/>
          <w:szCs w:val="24"/>
          <w:highlight w:val="none"/>
          <w:u w:val="single"/>
        </w:rPr>
        <w:t xml:space="preserve"> 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w:t>
      </w:r>
      <w:bookmarkStart w:id="87" w:name="_Toc312677988"/>
      <w:bookmarkStart w:id="88" w:name="_Toc296503159"/>
      <w:bookmarkStart w:id="89" w:name="_Toc296944498"/>
      <w:bookmarkStart w:id="90" w:name="_Toc297216151"/>
      <w:bookmarkStart w:id="91" w:name="_Toc292559869"/>
      <w:bookmarkStart w:id="92" w:name="_Toc296890987"/>
      <w:bookmarkStart w:id="93" w:name="_Toc296347158"/>
      <w:bookmarkStart w:id="94" w:name="_Toc300934945"/>
      <w:bookmarkStart w:id="95" w:name="_Toc297123492"/>
      <w:bookmarkStart w:id="96" w:name="_Toc297120459"/>
      <w:bookmarkStart w:id="97" w:name="_Toc296346660"/>
      <w:bookmarkStart w:id="98" w:name="_Toc296891199"/>
      <w:bookmarkStart w:id="99" w:name="_Toc303539102"/>
      <w:bookmarkStart w:id="100" w:name="_Toc304295523"/>
      <w:bookmarkStart w:id="101" w:name="_Toc297048345"/>
      <w:bookmarkStart w:id="102" w:name="_Toc292559364"/>
      <w:r>
        <w:rPr>
          <w:rFonts w:ascii="Arial" w:hAnsi="Arial" w:eastAsia="黑体"/>
          <w:bCs/>
          <w:kern w:val="2"/>
          <w:sz w:val="21"/>
          <w:szCs w:val="28"/>
          <w:highlight w:val="none"/>
        </w:rPr>
        <w:t>.5 分包</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w:t>
      </w:r>
      <w:bookmarkStart w:id="103" w:name="_Toc297123493"/>
      <w:bookmarkStart w:id="104" w:name="_Toc292559870"/>
      <w:bookmarkStart w:id="105" w:name="_Toc296891200"/>
      <w:bookmarkStart w:id="106" w:name="_Toc296503160"/>
      <w:bookmarkStart w:id="107" w:name="_Toc296347159"/>
      <w:bookmarkStart w:id="108" w:name="_Toc292559365"/>
      <w:bookmarkStart w:id="109" w:name="_Toc304295524"/>
      <w:bookmarkStart w:id="110" w:name="_Toc300934946"/>
      <w:bookmarkStart w:id="111" w:name="_Toc297216152"/>
      <w:bookmarkStart w:id="112" w:name="_Toc296346661"/>
      <w:bookmarkStart w:id="113" w:name="_Toc303539103"/>
      <w:bookmarkStart w:id="114" w:name="_Toc296944499"/>
      <w:bookmarkStart w:id="115" w:name="_Toc297120460"/>
      <w:bookmarkStart w:id="116" w:name="_Toc296890988"/>
      <w:bookmarkStart w:id="117" w:name="_Toc297048346"/>
      <w:bookmarkStart w:id="118" w:name="_Toc318581158"/>
      <w:bookmarkStart w:id="119" w:name="_Toc312677989"/>
      <w:r>
        <w:rPr>
          <w:rFonts w:ascii="Times New Roman" w:hAnsi="Times New Roman"/>
          <w:kern w:val="2"/>
          <w:sz w:val="21"/>
          <w:szCs w:val="24"/>
          <w:highlight w:val="none"/>
        </w:rPr>
        <w:t>.5.1 分包的一般约定</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禁止分包的工程包括：</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主体结构、关键性工作的范围：</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20" w:name="_Toc297048347"/>
      <w:bookmarkStart w:id="121" w:name="_Toc296944500"/>
      <w:bookmarkStart w:id="122" w:name="_Toc296347160"/>
      <w:bookmarkStart w:id="123" w:name="_Toc297120461"/>
      <w:bookmarkStart w:id="124" w:name="_Toc297123494"/>
      <w:bookmarkStart w:id="125" w:name="_Toc296346662"/>
      <w:bookmarkStart w:id="126" w:name="_Toc297216153"/>
      <w:bookmarkStart w:id="127" w:name="_Toc300934947"/>
      <w:bookmarkStart w:id="128" w:name="_Toc296890989"/>
      <w:bookmarkStart w:id="129" w:name="_Toc296891201"/>
      <w:bookmarkStart w:id="130" w:name="_Toc304295525"/>
      <w:bookmarkStart w:id="131" w:name="_Toc296503161"/>
      <w:bookmarkStart w:id="132" w:name="_Toc303539104"/>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w:t>
      </w:r>
      <w:bookmarkStart w:id="133" w:name="_Toc318581159"/>
      <w:bookmarkStart w:id="134" w:name="_Toc312677990"/>
      <w:r>
        <w:rPr>
          <w:rFonts w:ascii="Times New Roman" w:hAnsi="Times New Roman"/>
          <w:kern w:val="2"/>
          <w:sz w:val="21"/>
          <w:szCs w:val="24"/>
          <w:highlight w:val="none"/>
        </w:rPr>
        <w:t>.5.2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分包的确定</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允许分包的专业工程包括：</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lang w:val="en-US" w:eastAsia="zh-CN"/>
        </w:rPr>
        <w:t>通用合同条款</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，发生时双方另行协商</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其他关于分包的约定：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3.5.4 分包合同价款</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关于分包合同价款支付的约定：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bookmarkEnd w:id="133"/>
    <w:bookmarkEnd w:id="134"/>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3.6 工程照管与成品、半成品保护</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承包人负责照管工程及工程相关的材料、工程设备的起始时间：</w:t>
      </w:r>
      <w:r>
        <w:rPr>
          <w:rFonts w:hint="eastAsia" w:ascii="Times New Roman" w:hAnsi="Times New Roman"/>
          <w:b/>
          <w:sz w:val="21"/>
          <w:szCs w:val="24"/>
          <w:highlight w:val="none"/>
          <w:u w:val="single"/>
          <w:lang w:val="en-US" w:eastAsia="zh-CN"/>
        </w:rPr>
        <w:t xml:space="preserve"> </w:t>
      </w:r>
      <w:r>
        <w:rPr>
          <w:rFonts w:hint="eastAsia" w:ascii="Times New Roman" w:hAnsi="Times New Roman"/>
          <w:b/>
          <w:sz w:val="21"/>
          <w:szCs w:val="24"/>
          <w:highlight w:val="none"/>
          <w:u w:val="single"/>
        </w:rPr>
        <w:t>自发包人向承包人移交施工现场之日起，承包人应负责照管工程及工程相关的材料、工程设备，直到颁发工程接收证书之日止</w:t>
      </w:r>
      <w:r>
        <w:rPr>
          <w:rFonts w:ascii="Times New Roman" w:hAnsi="Times New Roman"/>
          <w:b/>
          <w:sz w:val="21"/>
          <w:szCs w:val="24"/>
          <w:highlight w:val="none"/>
          <w:u w:val="single"/>
        </w:rPr>
        <w:t>。</w:t>
      </w:r>
      <w:r>
        <w:rPr>
          <w:rFonts w:hint="eastAsia" w:ascii="Times New Roman" w:hAnsi="Times New Roman"/>
          <w:b/>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3.7 履约保证金</w:t>
      </w:r>
    </w:p>
    <w:p>
      <w:pPr>
        <w:adjustRightInd w:val="0"/>
        <w:spacing w:line="360" w:lineRule="auto"/>
        <w:ind w:firstLine="420" w:firstLineChars="200"/>
        <w:rPr>
          <w:rFonts w:cs="宋体"/>
          <w:kern w:val="2"/>
          <w:sz w:val="21"/>
          <w:szCs w:val="24"/>
          <w:highlight w:val="none"/>
        </w:rPr>
      </w:pPr>
      <w:r>
        <w:rPr>
          <w:rFonts w:hint="eastAsia" w:cs="宋体"/>
          <w:kern w:val="2"/>
          <w:sz w:val="21"/>
          <w:szCs w:val="24"/>
          <w:highlight w:val="none"/>
        </w:rPr>
        <w:t>承包人是否提供履约保证金：</w:t>
      </w:r>
      <w:r>
        <w:rPr>
          <w:rFonts w:hint="eastAsia" w:cs="宋体"/>
          <w:b/>
          <w:kern w:val="2"/>
          <w:sz w:val="21"/>
          <w:szCs w:val="24"/>
          <w:highlight w:val="none"/>
          <w:u w:val="single"/>
          <w:lang w:val="en-US" w:eastAsia="zh-CN"/>
        </w:rPr>
        <w:t xml:space="preserve"> 是</w:t>
      </w:r>
      <w:r>
        <w:rPr>
          <w:rFonts w:hint="eastAsia" w:cs="宋体"/>
          <w:kern w:val="2"/>
          <w:sz w:val="21"/>
          <w:szCs w:val="24"/>
          <w:highlight w:val="none"/>
          <w:u w:val="single"/>
        </w:rPr>
        <w:t>。</w:t>
      </w:r>
      <w:r>
        <w:rPr>
          <w:rFonts w:hint="eastAsia" w:cs="宋体"/>
          <w:b/>
          <w:kern w:val="2"/>
          <w:sz w:val="21"/>
          <w:szCs w:val="24"/>
          <w:highlight w:val="none"/>
          <w:u w:val="single"/>
          <w:lang w:val="en-US" w:eastAsia="zh-CN"/>
        </w:rPr>
        <w:t xml:space="preserve"> </w:t>
      </w:r>
    </w:p>
    <w:p>
      <w:pPr>
        <w:snapToGrid w:val="0"/>
        <w:spacing w:line="360" w:lineRule="auto"/>
        <w:ind w:firstLine="420" w:firstLineChars="200"/>
        <w:rPr>
          <w:rFonts w:hint="eastAsia" w:cs="宋体"/>
          <w:kern w:val="2"/>
          <w:sz w:val="21"/>
          <w:szCs w:val="24"/>
          <w:highlight w:val="none"/>
        </w:rPr>
      </w:pPr>
      <w:r>
        <w:rPr>
          <w:rFonts w:hint="eastAsia" w:cs="宋体"/>
          <w:kern w:val="2"/>
          <w:sz w:val="21"/>
          <w:szCs w:val="24"/>
          <w:highlight w:val="none"/>
        </w:rPr>
        <w:t>承包人提供履约保证金的形式</w:t>
      </w:r>
      <w:r>
        <w:rPr>
          <w:rFonts w:hint="eastAsia" w:cs="宋体"/>
          <w:kern w:val="2"/>
          <w:sz w:val="21"/>
          <w:szCs w:val="24"/>
          <w:highlight w:val="none"/>
          <w:lang w:eastAsia="zh-CN"/>
        </w:rPr>
        <w:t>（</w:t>
      </w:r>
      <w:r>
        <w:rPr>
          <w:rFonts w:hint="eastAsia" w:cs="宋体"/>
          <w:kern w:val="2"/>
          <w:sz w:val="21"/>
          <w:szCs w:val="24"/>
          <w:highlight w:val="none"/>
          <w:lang w:val="en-US" w:eastAsia="zh-CN"/>
        </w:rPr>
        <w:t>根据实际情况勾选</w:t>
      </w:r>
      <w:r>
        <w:rPr>
          <w:rFonts w:hint="eastAsia" w:cs="宋体"/>
          <w:kern w:val="2"/>
          <w:sz w:val="21"/>
          <w:szCs w:val="24"/>
          <w:highlight w:val="none"/>
          <w:lang w:eastAsia="zh-CN"/>
        </w:rPr>
        <w:t>）</w:t>
      </w:r>
      <w:r>
        <w:rPr>
          <w:rFonts w:hint="eastAsia" w:cs="宋体"/>
          <w:kern w:val="2"/>
          <w:sz w:val="21"/>
          <w:szCs w:val="24"/>
          <w:highlight w:val="none"/>
        </w:rPr>
        <w:t>：</w:t>
      </w:r>
    </w:p>
    <w:p>
      <w:pPr>
        <w:snapToGrid w:val="0"/>
        <w:spacing w:line="360" w:lineRule="auto"/>
        <w:ind w:firstLine="420" w:firstLineChars="200"/>
        <w:rPr>
          <w:rFonts w:cs="宋体"/>
          <w:bCs/>
          <w:snapToGrid w:val="0"/>
          <w:sz w:val="21"/>
          <w:szCs w:val="21"/>
          <w:highlight w:val="none"/>
        </w:rPr>
      </w:pPr>
      <w:r>
        <w:rPr>
          <w:rFonts w:hint="eastAsia" w:cs="宋体"/>
          <w:bCs/>
          <w:snapToGrid w:val="0"/>
          <w:sz w:val="21"/>
          <w:szCs w:val="21"/>
          <w:highlight w:val="none"/>
          <w:lang w:eastAsia="zh-CN"/>
        </w:rPr>
        <w:t>□</w:t>
      </w:r>
      <w:r>
        <w:rPr>
          <w:rFonts w:hint="eastAsia" w:cs="宋体"/>
          <w:bCs/>
          <w:snapToGrid w:val="0"/>
          <w:sz w:val="21"/>
          <w:szCs w:val="21"/>
          <w:highlight w:val="none"/>
        </w:rPr>
        <w:t xml:space="preserve">银行转账  </w:t>
      </w:r>
      <w:r>
        <w:rPr>
          <w:rFonts w:hint="eastAsia" w:cs="宋体"/>
          <w:bCs/>
          <w:snapToGrid w:val="0"/>
          <w:sz w:val="21"/>
          <w:szCs w:val="21"/>
          <w:highlight w:val="none"/>
          <w:lang w:eastAsia="zh-CN"/>
        </w:rPr>
        <w:t>□</w:t>
      </w:r>
      <w:r>
        <w:rPr>
          <w:rFonts w:hint="eastAsia" w:cs="宋体"/>
          <w:bCs/>
          <w:snapToGrid w:val="0"/>
          <w:sz w:val="21"/>
          <w:szCs w:val="21"/>
          <w:highlight w:val="none"/>
        </w:rPr>
        <w:t xml:space="preserve">银行电汇  </w:t>
      </w:r>
      <w:r>
        <w:rPr>
          <w:rFonts w:hint="eastAsia" w:cs="宋体"/>
          <w:bCs/>
          <w:snapToGrid w:val="0"/>
          <w:sz w:val="21"/>
          <w:szCs w:val="21"/>
          <w:highlight w:val="none"/>
          <w:lang w:eastAsia="zh-CN"/>
        </w:rPr>
        <w:t>□</w:t>
      </w:r>
      <w:r>
        <w:rPr>
          <w:rFonts w:hint="eastAsia" w:cs="宋体"/>
          <w:bCs/>
          <w:snapToGrid w:val="0"/>
          <w:sz w:val="21"/>
          <w:szCs w:val="21"/>
          <w:highlight w:val="none"/>
        </w:rPr>
        <w:t>银行保函</w:t>
      </w:r>
      <w:r>
        <w:rPr>
          <w:rFonts w:hint="eastAsia" w:cs="宋体"/>
          <w:bCs/>
          <w:snapToGrid w:val="0"/>
          <w:sz w:val="21"/>
          <w:szCs w:val="21"/>
          <w:highlight w:val="none"/>
          <w:lang w:val="en-US" w:eastAsia="zh-CN"/>
        </w:rPr>
        <w:t xml:space="preserve">  </w:t>
      </w:r>
      <w:r>
        <w:rPr>
          <w:rFonts w:hint="eastAsia" w:cs="宋体"/>
          <w:bCs/>
          <w:snapToGrid w:val="0"/>
          <w:sz w:val="21"/>
          <w:szCs w:val="21"/>
          <w:highlight w:val="none"/>
          <w:lang w:eastAsia="zh-CN"/>
        </w:rPr>
        <w:t>□</w:t>
      </w:r>
      <w:r>
        <w:rPr>
          <w:rFonts w:hint="eastAsia" w:cs="宋体"/>
          <w:bCs/>
          <w:snapToGrid w:val="0"/>
          <w:sz w:val="21"/>
          <w:szCs w:val="21"/>
          <w:highlight w:val="none"/>
        </w:rPr>
        <w:t xml:space="preserve">担保机构担保  </w:t>
      </w:r>
      <w:r>
        <w:rPr>
          <w:rFonts w:hint="eastAsia" w:cs="宋体"/>
          <w:bCs/>
          <w:snapToGrid w:val="0"/>
          <w:sz w:val="21"/>
          <w:szCs w:val="21"/>
          <w:highlight w:val="none"/>
          <w:lang w:eastAsia="zh-CN"/>
        </w:rPr>
        <w:t>□</w:t>
      </w:r>
      <w:r>
        <w:rPr>
          <w:rFonts w:hint="eastAsia" w:cs="宋体"/>
          <w:bCs/>
          <w:snapToGrid w:val="0"/>
          <w:sz w:val="21"/>
          <w:szCs w:val="21"/>
          <w:highlight w:val="none"/>
        </w:rPr>
        <w:t>保证保险</w:t>
      </w:r>
    </w:p>
    <w:p>
      <w:pPr>
        <w:adjustRightInd w:val="0"/>
        <w:snapToGrid w:val="0"/>
        <w:spacing w:line="360" w:lineRule="auto"/>
        <w:ind w:left="-70" w:leftChars="-35" w:firstLine="497" w:firstLineChars="237"/>
        <w:rPr>
          <w:rFonts w:cs="宋体"/>
          <w:bCs/>
          <w:snapToGrid w:val="0"/>
          <w:sz w:val="21"/>
          <w:szCs w:val="21"/>
          <w:highlight w:val="none"/>
        </w:rPr>
      </w:pPr>
      <w:r>
        <w:rPr>
          <w:rFonts w:hint="eastAsia" w:cs="宋体"/>
          <w:bCs/>
          <w:snapToGrid w:val="0"/>
          <w:sz w:val="21"/>
          <w:szCs w:val="21"/>
          <w:highlight w:val="none"/>
        </w:rPr>
        <w:t>注：</w:t>
      </w:r>
    </w:p>
    <w:p>
      <w:pPr>
        <w:adjustRightInd w:val="0"/>
        <w:snapToGrid w:val="0"/>
        <w:spacing w:line="360" w:lineRule="auto"/>
        <w:ind w:left="-70" w:leftChars="-35" w:firstLine="497" w:firstLineChars="237"/>
        <w:rPr>
          <w:rFonts w:cs="宋体"/>
          <w:bCs/>
          <w:snapToGrid w:val="0"/>
          <w:sz w:val="21"/>
          <w:szCs w:val="21"/>
          <w:highlight w:val="none"/>
        </w:rPr>
      </w:pPr>
      <w:r>
        <w:rPr>
          <w:rFonts w:hint="eastAsia" w:cs="宋体"/>
          <w:bCs/>
          <w:snapToGrid w:val="0"/>
          <w:sz w:val="21"/>
          <w:szCs w:val="21"/>
          <w:highlight w:val="none"/>
        </w:rPr>
        <w:t>（1）如采用银行保函，银行保函由注册地在合肥行政区域范围（含四县一市）内的银行出具的见索即付无条件保函。</w:t>
      </w:r>
    </w:p>
    <w:p>
      <w:pPr>
        <w:adjustRightInd w:val="0"/>
        <w:snapToGrid w:val="0"/>
        <w:spacing w:line="360" w:lineRule="auto"/>
        <w:ind w:left="-70" w:leftChars="-35" w:firstLine="497" w:firstLineChars="237"/>
        <w:rPr>
          <w:rFonts w:cs="宋体"/>
          <w:bCs/>
          <w:snapToGrid w:val="0"/>
          <w:sz w:val="21"/>
          <w:szCs w:val="21"/>
          <w:highlight w:val="none"/>
        </w:rPr>
      </w:pPr>
      <w:r>
        <w:rPr>
          <w:rFonts w:hint="eastAsia" w:cs="宋体"/>
          <w:bCs/>
          <w:snapToGrid w:val="0"/>
          <w:sz w:val="21"/>
          <w:szCs w:val="21"/>
          <w:highlight w:val="none"/>
        </w:rPr>
        <w:t>（2）如采用担保机构担保，应为注册地在本地的融资担保机构或经安徽省地方金融监督管理局备案许可的融资担保机构出具的无条件担保。</w:t>
      </w:r>
    </w:p>
    <w:p>
      <w:pPr>
        <w:adjustRightInd w:val="0"/>
        <w:spacing w:line="360" w:lineRule="auto"/>
        <w:ind w:firstLine="420" w:firstLineChars="200"/>
        <w:rPr>
          <w:rFonts w:cs="宋体"/>
          <w:kern w:val="2"/>
          <w:sz w:val="21"/>
          <w:szCs w:val="24"/>
          <w:highlight w:val="none"/>
        </w:rPr>
      </w:pPr>
      <w:r>
        <w:rPr>
          <w:rFonts w:hint="eastAsia" w:cs="宋体"/>
          <w:kern w:val="2"/>
          <w:sz w:val="21"/>
          <w:szCs w:val="24"/>
          <w:highlight w:val="none"/>
        </w:rPr>
        <w:t xml:space="preserve">履约保证金的金额：成交合同金额的 </w:t>
      </w:r>
      <w:r>
        <w:rPr>
          <w:rFonts w:hint="eastAsia" w:cs="宋体"/>
          <w:kern w:val="2"/>
          <w:sz w:val="21"/>
          <w:szCs w:val="24"/>
          <w:highlight w:val="none"/>
          <w:u w:val="single"/>
        </w:rPr>
        <w:t xml:space="preserve">  </w:t>
      </w:r>
      <w:r>
        <w:rPr>
          <w:rFonts w:hint="eastAsia" w:cs="宋体"/>
          <w:kern w:val="2"/>
          <w:sz w:val="21"/>
          <w:szCs w:val="24"/>
          <w:highlight w:val="none"/>
          <w:u w:val="single"/>
          <w:lang w:val="en-US" w:eastAsia="zh-CN"/>
        </w:rPr>
        <w:t>2</w:t>
      </w:r>
      <w:r>
        <w:rPr>
          <w:rFonts w:hint="eastAsia" w:cs="宋体"/>
          <w:kern w:val="2"/>
          <w:sz w:val="21"/>
          <w:szCs w:val="24"/>
          <w:highlight w:val="none"/>
          <w:u w:val="single"/>
        </w:rPr>
        <w:t xml:space="preserve"> </w:t>
      </w:r>
      <w:r>
        <w:rPr>
          <w:rFonts w:hint="eastAsia" w:cs="宋体"/>
          <w:kern w:val="2"/>
          <w:sz w:val="21"/>
          <w:szCs w:val="24"/>
          <w:highlight w:val="none"/>
        </w:rPr>
        <w:t>％。</w:t>
      </w:r>
    </w:p>
    <w:p>
      <w:pPr>
        <w:adjustRightInd w:val="0"/>
        <w:spacing w:line="360" w:lineRule="auto"/>
        <w:ind w:firstLine="420" w:firstLineChars="200"/>
        <w:rPr>
          <w:rFonts w:cs="宋体"/>
          <w:kern w:val="2"/>
          <w:sz w:val="21"/>
          <w:szCs w:val="24"/>
          <w:highlight w:val="none"/>
        </w:rPr>
      </w:pPr>
      <w:r>
        <w:rPr>
          <w:rFonts w:hint="eastAsia" w:cs="宋体"/>
          <w:kern w:val="2"/>
          <w:sz w:val="21"/>
          <w:szCs w:val="24"/>
          <w:highlight w:val="none"/>
        </w:rPr>
        <w:t>履约保证金提交期限的要求：</w:t>
      </w:r>
      <w:r>
        <w:rPr>
          <w:rFonts w:hint="eastAsia" w:cs="宋体"/>
          <w:kern w:val="2"/>
          <w:sz w:val="21"/>
          <w:szCs w:val="24"/>
          <w:highlight w:val="none"/>
          <w:u w:val="single"/>
        </w:rPr>
        <w:t xml:space="preserve"> </w:t>
      </w:r>
      <w:r>
        <w:rPr>
          <w:rFonts w:hint="eastAsia" w:cs="宋体"/>
          <w:b w:val="0"/>
          <w:bCs/>
          <w:kern w:val="2"/>
          <w:sz w:val="21"/>
          <w:szCs w:val="24"/>
          <w:highlight w:val="none"/>
          <w:u w:val="single"/>
        </w:rPr>
        <w:t>/</w:t>
      </w:r>
      <w:r>
        <w:rPr>
          <w:rFonts w:hint="eastAsia" w:cs="宋体"/>
          <w:b/>
          <w:kern w:val="2"/>
          <w:sz w:val="21"/>
          <w:szCs w:val="24"/>
          <w:highlight w:val="none"/>
          <w:u w:val="single"/>
        </w:rPr>
        <w:t xml:space="preserve"> </w:t>
      </w:r>
      <w:r>
        <w:rPr>
          <w:rFonts w:hint="eastAsia" w:cs="宋体"/>
          <w:b/>
          <w:kern w:val="2"/>
          <w:sz w:val="21"/>
          <w:szCs w:val="24"/>
          <w:highlight w:val="none"/>
        </w:rPr>
        <w:t>。</w:t>
      </w:r>
      <w:r>
        <w:rPr>
          <w:rFonts w:hint="eastAsia" w:cs="宋体"/>
          <w:kern w:val="2"/>
          <w:sz w:val="21"/>
          <w:szCs w:val="24"/>
          <w:highlight w:val="none"/>
        </w:rPr>
        <w:t xml:space="preserve"> </w:t>
      </w:r>
    </w:p>
    <w:p>
      <w:pPr>
        <w:adjustRightInd w:val="0"/>
        <w:spacing w:line="360" w:lineRule="auto"/>
        <w:ind w:firstLine="420" w:firstLineChars="200"/>
        <w:rPr>
          <w:rFonts w:cs="宋体"/>
          <w:kern w:val="2"/>
          <w:sz w:val="21"/>
          <w:szCs w:val="24"/>
          <w:highlight w:val="none"/>
        </w:rPr>
      </w:pPr>
      <w:r>
        <w:rPr>
          <w:rFonts w:hint="eastAsia" w:cs="宋体"/>
          <w:bCs/>
          <w:snapToGrid w:val="0"/>
          <w:sz w:val="21"/>
          <w:szCs w:val="21"/>
          <w:highlight w:val="none"/>
        </w:rPr>
        <w:t>履约保证金退还时限：履约保证金有效期满7日内（最迟不得超过项目竣工验收通过后28天）。</w:t>
      </w:r>
    </w:p>
    <w:p>
      <w:pPr>
        <w:keepNext/>
        <w:keepLines/>
        <w:spacing w:before="120" w:after="120" w:line="360" w:lineRule="auto"/>
        <w:jc w:val="left"/>
        <w:outlineLvl w:val="2"/>
        <w:rPr>
          <w:rFonts w:ascii="黑体" w:hAnsi="黑体" w:eastAsia="黑体"/>
          <w:bCs/>
          <w:kern w:val="2"/>
          <w:sz w:val="24"/>
          <w:szCs w:val="24"/>
          <w:highlight w:val="none"/>
        </w:rPr>
      </w:pPr>
      <w:bookmarkStart w:id="135" w:name="_Toc351203636"/>
      <w:r>
        <w:rPr>
          <w:rFonts w:ascii="黑体" w:hAnsi="黑体" w:eastAsia="黑体"/>
          <w:bCs/>
          <w:kern w:val="2"/>
          <w:sz w:val="24"/>
          <w:szCs w:val="24"/>
          <w:highlight w:val="none"/>
        </w:rPr>
        <w:t>4</w:t>
      </w:r>
      <w:bookmarkStart w:id="136" w:name="_Toc296890990"/>
      <w:bookmarkStart w:id="137" w:name="_Toc297120462"/>
      <w:bookmarkStart w:id="138" w:name="_Toc296347161"/>
      <w:bookmarkStart w:id="139" w:name="_Toc296346663"/>
      <w:bookmarkStart w:id="140" w:name="_Toc296891202"/>
      <w:bookmarkStart w:id="141" w:name="_Toc292559871"/>
      <w:bookmarkStart w:id="142" w:name="_Toc292559366"/>
      <w:bookmarkStart w:id="143" w:name="_Toc267251413"/>
      <w:bookmarkStart w:id="144" w:name="_Toc297048348"/>
      <w:bookmarkStart w:id="145" w:name="_Toc296944501"/>
      <w:bookmarkStart w:id="146" w:name="_Toc296503162"/>
      <w:r>
        <w:rPr>
          <w:rFonts w:ascii="黑体" w:hAnsi="黑体" w:eastAsia="黑体"/>
          <w:bCs/>
          <w:kern w:val="2"/>
          <w:sz w:val="24"/>
          <w:szCs w:val="24"/>
          <w:highlight w:val="none"/>
        </w:rPr>
        <w:t>. 监</w:t>
      </w:r>
      <w:bookmarkEnd w:id="136"/>
      <w:bookmarkEnd w:id="137"/>
      <w:bookmarkEnd w:id="138"/>
      <w:bookmarkEnd w:id="139"/>
      <w:bookmarkEnd w:id="140"/>
      <w:bookmarkEnd w:id="141"/>
      <w:bookmarkEnd w:id="142"/>
      <w:bookmarkEnd w:id="143"/>
      <w:bookmarkEnd w:id="144"/>
      <w:bookmarkEnd w:id="145"/>
      <w:bookmarkEnd w:id="146"/>
      <w:r>
        <w:rPr>
          <w:rFonts w:ascii="黑体" w:hAnsi="黑体" w:eastAsia="黑体"/>
          <w:bCs/>
          <w:kern w:val="2"/>
          <w:sz w:val="24"/>
          <w:szCs w:val="24"/>
          <w:highlight w:val="none"/>
        </w:rPr>
        <w:t>理人</w:t>
      </w:r>
      <w:bookmarkEnd w:id="135"/>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4.1</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监理人的一般规定</w:t>
      </w:r>
    </w:p>
    <w:p>
      <w:pPr>
        <w:adjustRightInd w:val="0"/>
        <w:spacing w:line="360" w:lineRule="auto"/>
        <w:ind w:firstLine="420" w:firstLineChars="200"/>
        <w:rPr>
          <w:rFonts w:hint="default" w:ascii="Times New Roman" w:hAnsi="Times New Roman" w:eastAsia="宋体"/>
          <w:b/>
          <w:kern w:val="2"/>
          <w:sz w:val="21"/>
          <w:szCs w:val="24"/>
          <w:highlight w:val="none"/>
          <w:u w:val="single"/>
          <w:lang w:val="en-US" w:eastAsia="zh-CN"/>
        </w:rPr>
      </w:pPr>
      <w:r>
        <w:rPr>
          <w:rFonts w:ascii="Times New Roman" w:hAnsi="Times New Roman"/>
          <w:kern w:val="2"/>
          <w:sz w:val="21"/>
          <w:szCs w:val="24"/>
          <w:highlight w:val="none"/>
        </w:rPr>
        <w:t>关于监理人的监理内容：</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sz w:val="21"/>
          <w:szCs w:val="24"/>
          <w:highlight w:val="none"/>
          <w:u w:val="single"/>
        </w:rPr>
        <w:t>执行</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lang w:val="en-US" w:eastAsia="zh-CN"/>
        </w:rPr>
        <w:t>监理合同</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lang w:val="en-US" w:eastAsia="zh-CN"/>
        </w:rPr>
        <w:t>要求</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关于监理人的监理权限：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sz w:val="21"/>
          <w:szCs w:val="24"/>
          <w:highlight w:val="none"/>
          <w:u w:val="single"/>
        </w:rPr>
        <w:t>执行</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lang w:val="en-US" w:eastAsia="zh-CN"/>
        </w:rPr>
        <w:t>监理合同</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lang w:val="en-US" w:eastAsia="zh-CN"/>
        </w:rPr>
        <w:t>要求</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关于监理人在施工现场的办公场所、生活场所的提供和费用承担的约定：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4.2 监理人员</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总监理工程师：</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姓    名：</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职    务：</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监理工程师执业资格证书号：</w:t>
      </w:r>
      <w:r>
        <w:rPr>
          <w:rFonts w:ascii="Times New Roman" w:hAnsi="Times New Roman"/>
          <w:kern w:val="2"/>
          <w:sz w:val="21"/>
          <w:szCs w:val="24"/>
          <w:highlight w:val="none"/>
          <w:u w:val="single"/>
        </w:rPr>
        <w:t>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联系电话：</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电子信箱：</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通信地址：</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关于监理人的其他约定：</w:t>
      </w:r>
      <w:r>
        <w:rPr>
          <w:rFonts w:ascii="Times New Roman" w:hAnsi="Times New Roman"/>
          <w:kern w:val="2"/>
          <w:sz w:val="21"/>
          <w:szCs w:val="24"/>
          <w:highlight w:val="none"/>
          <w:u w:val="single"/>
        </w:rPr>
        <w:t>  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4.4 商定或确定</w:t>
      </w:r>
    </w:p>
    <w:p>
      <w:pPr>
        <w:adjustRightInd w:val="0"/>
        <w:spacing w:line="360" w:lineRule="auto"/>
        <w:ind w:firstLine="420" w:firstLineChars="200"/>
        <w:rPr>
          <w:rFonts w:ascii="Times New Roman" w:hAnsi="Times New Roman"/>
          <w:kern w:val="2"/>
          <w:sz w:val="21"/>
          <w:szCs w:val="24"/>
          <w:highlight w:val="none"/>
        </w:rPr>
      </w:pPr>
      <w:bookmarkStart w:id="147" w:name="_Toc267251418"/>
      <w:r>
        <w:rPr>
          <w:rFonts w:ascii="Times New Roman" w:hAnsi="Times New Roman"/>
          <w:kern w:val="2"/>
          <w:sz w:val="21"/>
          <w:szCs w:val="24"/>
          <w:highlight w:val="none"/>
        </w:rPr>
        <w:t>在发包人和承包人不能通过协商达成一致意见时，发包人授权监理人对以下事项进行确定：</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（2）</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（3）</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148" w:name="_Toc351203637"/>
      <w:r>
        <w:rPr>
          <w:rFonts w:ascii="黑体" w:hAnsi="黑体" w:eastAsia="黑体"/>
          <w:bCs/>
          <w:kern w:val="2"/>
          <w:sz w:val="24"/>
          <w:szCs w:val="24"/>
          <w:highlight w:val="none"/>
        </w:rPr>
        <w:t>5</w:t>
      </w:r>
      <w:bookmarkEnd w:id="147"/>
      <w:bookmarkStart w:id="149" w:name="_Toc296944502"/>
      <w:bookmarkStart w:id="150" w:name="_Toc296346664"/>
      <w:bookmarkStart w:id="151" w:name="_Toc297120463"/>
      <w:bookmarkStart w:id="152" w:name="_Toc296347162"/>
      <w:bookmarkStart w:id="153" w:name="_Toc297048349"/>
      <w:bookmarkStart w:id="154" w:name="_Toc296891203"/>
      <w:bookmarkStart w:id="155" w:name="_Toc296890991"/>
      <w:bookmarkStart w:id="156" w:name="_Toc292559872"/>
      <w:bookmarkStart w:id="157" w:name="_Toc292559367"/>
      <w:bookmarkStart w:id="158" w:name="_Toc296503163"/>
      <w:r>
        <w:rPr>
          <w:rFonts w:ascii="黑体" w:hAnsi="黑体" w:eastAsia="黑体"/>
          <w:bCs/>
          <w:kern w:val="2"/>
          <w:sz w:val="24"/>
          <w:szCs w:val="24"/>
          <w:highlight w:val="none"/>
        </w:rPr>
        <w:t>. 工程质量</w:t>
      </w:r>
      <w:bookmarkEnd w:id="148"/>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5.1 质量要求</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5</w:t>
      </w:r>
      <w:bookmarkStart w:id="159" w:name="_Toc297216155"/>
      <w:bookmarkStart w:id="160" w:name="_Toc297123496"/>
      <w:bookmarkStart w:id="161" w:name="_Toc300934949"/>
      <w:bookmarkStart w:id="162" w:name="_Toc318581164"/>
      <w:bookmarkStart w:id="163" w:name="_Toc312677997"/>
      <w:bookmarkStart w:id="164" w:name="_Toc304295527"/>
      <w:bookmarkStart w:id="165" w:name="_Toc303539106"/>
      <w:r>
        <w:rPr>
          <w:rFonts w:ascii="Times New Roman" w:hAnsi="Times New Roman"/>
          <w:kern w:val="2"/>
          <w:sz w:val="21"/>
          <w:szCs w:val="24"/>
          <w:highlight w:val="none"/>
        </w:rPr>
        <w:t>.1.1 特殊质量标准和要求：</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关于工程奖项的约定：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5.3 隐蔽工程检查</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5.3.2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承包人提前通知监理人隐蔽工程检查的期限的约定：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监理人不能按时进行检查时，应提前</w:t>
      </w:r>
      <w:r>
        <w:rPr>
          <w:rFonts w:hint="eastAsia" w:ascii="Times New Roman" w:hAnsi="Times New Roman"/>
          <w:b w:val="0"/>
          <w:bCs/>
          <w:sz w:val="21"/>
          <w:szCs w:val="24"/>
          <w:highlight w:val="none"/>
          <w:u w:val="single"/>
          <w:lang w:val="en-US" w:eastAsia="zh-CN"/>
        </w:rPr>
        <w:t xml:space="preserve">    </w:t>
      </w:r>
      <w:r>
        <w:rPr>
          <w:rFonts w:ascii="Times New Roman" w:hAnsi="Times New Roman"/>
          <w:kern w:val="2"/>
          <w:sz w:val="21"/>
          <w:szCs w:val="24"/>
          <w:highlight w:val="none"/>
        </w:rPr>
        <w:t>小时提交书面延期要求。</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关于延期最长不得超过：</w:t>
      </w:r>
      <w:r>
        <w:rPr>
          <w:rFonts w:hint="eastAsia" w:ascii="Times New Roman" w:hAnsi="Times New Roman"/>
          <w:b w:val="0"/>
          <w:bCs/>
          <w:sz w:val="21"/>
          <w:szCs w:val="24"/>
          <w:highlight w:val="none"/>
          <w:u w:val="single"/>
          <w:lang w:val="en-US" w:eastAsia="zh-CN"/>
        </w:rPr>
        <w:t xml:space="preserve">    </w:t>
      </w:r>
      <w:r>
        <w:rPr>
          <w:rFonts w:ascii="Times New Roman" w:hAnsi="Times New Roman"/>
          <w:kern w:val="2"/>
          <w:sz w:val="21"/>
          <w:szCs w:val="24"/>
          <w:highlight w:val="none"/>
        </w:rPr>
        <w:t>小时。</w:t>
      </w:r>
    </w:p>
    <w:p>
      <w:pPr>
        <w:keepNext/>
        <w:keepLines/>
        <w:spacing w:before="120" w:after="120" w:line="360" w:lineRule="auto"/>
        <w:jc w:val="left"/>
        <w:outlineLvl w:val="2"/>
        <w:rPr>
          <w:rFonts w:ascii="黑体" w:hAnsi="黑体" w:eastAsia="黑体"/>
          <w:bCs/>
          <w:kern w:val="2"/>
          <w:sz w:val="24"/>
          <w:szCs w:val="24"/>
          <w:highlight w:val="none"/>
        </w:rPr>
      </w:pPr>
      <w:bookmarkStart w:id="166" w:name="_Toc351203638"/>
      <w:r>
        <w:rPr>
          <w:rFonts w:ascii="黑体" w:hAnsi="黑体" w:eastAsia="黑体"/>
          <w:bCs/>
          <w:kern w:val="2"/>
          <w:sz w:val="24"/>
          <w:szCs w:val="24"/>
          <w:highlight w:val="none"/>
        </w:rPr>
        <w:t>6. 安全文明施工与环境保护</w:t>
      </w:r>
      <w:bookmarkEnd w:id="166"/>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6.1</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安全文明施工</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6.1.1 项目安全生产的达标目标及相应事项的约定：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6.1.4 关于治安保卫的特别约定：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关于编制施工场地治安管理计划的约定：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6.1.5 文明施工</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kern w:val="2"/>
          <w:sz w:val="21"/>
          <w:szCs w:val="24"/>
          <w:highlight w:val="none"/>
        </w:rPr>
        <w:t>合同当事人对文明施工的要求：</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hint="eastAsia"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6.1.6 关于安全文明施工费支付比例和支付期限的约定：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lang w:val="en-US" w:eastAsia="zh-CN"/>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bookmarkEnd w:id="159"/>
    <w:bookmarkEnd w:id="160"/>
    <w:bookmarkEnd w:id="161"/>
    <w:bookmarkEnd w:id="162"/>
    <w:bookmarkEnd w:id="163"/>
    <w:bookmarkEnd w:id="164"/>
    <w:bookmarkEnd w:id="165"/>
    <w:p>
      <w:pPr>
        <w:keepNext/>
        <w:keepLines/>
        <w:spacing w:before="120" w:after="120" w:line="360" w:lineRule="auto"/>
        <w:jc w:val="left"/>
        <w:outlineLvl w:val="2"/>
        <w:rPr>
          <w:rFonts w:ascii="黑体" w:hAnsi="黑体" w:eastAsia="黑体"/>
          <w:bCs/>
          <w:kern w:val="2"/>
          <w:sz w:val="24"/>
          <w:szCs w:val="24"/>
          <w:highlight w:val="none"/>
        </w:rPr>
      </w:pPr>
      <w:bookmarkStart w:id="167" w:name="_Toc351203639"/>
      <w:r>
        <w:rPr>
          <w:rFonts w:ascii="黑体" w:hAnsi="黑体" w:eastAsia="黑体"/>
          <w:bCs/>
          <w:kern w:val="2"/>
          <w:sz w:val="24"/>
          <w:szCs w:val="24"/>
          <w:highlight w:val="none"/>
        </w:rPr>
        <w:t>7. 工期和进度</w:t>
      </w:r>
      <w:bookmarkEnd w:id="167"/>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7.1 施工组织设计</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7.1.</w:t>
      </w:r>
      <w:r>
        <w:rPr>
          <w:rFonts w:hint="eastAsia" w:ascii="Times New Roman" w:hAnsi="Times New Roman"/>
          <w:kern w:val="2"/>
          <w:sz w:val="21"/>
          <w:szCs w:val="24"/>
          <w:highlight w:val="none"/>
        </w:rPr>
        <w:t>1 合</w:t>
      </w:r>
      <w:r>
        <w:rPr>
          <w:rFonts w:hint="eastAsia" w:ascii="Times New Roman" w:hAnsi="Times New Roman"/>
          <w:sz w:val="21"/>
          <w:szCs w:val="24"/>
          <w:highlight w:val="none"/>
        </w:rPr>
        <w:t>同当事人约定的</w:t>
      </w:r>
      <w:r>
        <w:rPr>
          <w:rFonts w:ascii="Times New Roman" w:hAnsi="Times New Roman"/>
          <w:sz w:val="21"/>
          <w:szCs w:val="24"/>
          <w:highlight w:val="none"/>
        </w:rPr>
        <w:t>施工组织设计</w:t>
      </w:r>
      <w:r>
        <w:rPr>
          <w:rFonts w:hint="eastAsia" w:ascii="Times New Roman" w:hAnsi="Times New Roman"/>
          <w:sz w:val="21"/>
          <w:szCs w:val="24"/>
          <w:highlight w:val="none"/>
        </w:rPr>
        <w:t>应包括的其他内容</w:t>
      </w:r>
      <w:r>
        <w:rPr>
          <w:rFonts w:ascii="Times New Roman" w:hAnsi="Times New Roman"/>
          <w:sz w:val="21"/>
          <w:szCs w:val="24"/>
          <w:highlight w:val="none"/>
        </w:rPr>
        <w:t>：</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总进度计划须含网络图、横道图</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kern w:val="2"/>
          <w:sz w:val="21"/>
          <w:szCs w:val="24"/>
          <w:highlight w:val="none"/>
        </w:rPr>
        <w:t xml:space="preserve">7.1.2 </w:t>
      </w:r>
      <w:r>
        <w:rPr>
          <w:rFonts w:ascii="Times New Roman" w:hAnsi="Times New Roman"/>
          <w:sz w:val="21"/>
          <w:szCs w:val="24"/>
          <w:highlight w:val="none"/>
        </w:rPr>
        <w:t>施工组织设计的提交和修改</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承包人提交详细施工组织设计的期限的约定：</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合同签订后14天内，但最迟不得晚于第7.3.2项〔开工通知〕载明的开工日期前7天</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发包人和监理人在收到</w:t>
      </w:r>
      <w:r>
        <w:rPr>
          <w:rFonts w:hint="eastAsia" w:ascii="Times New Roman" w:hAnsi="Times New Roman"/>
          <w:kern w:val="2"/>
          <w:sz w:val="21"/>
          <w:szCs w:val="24"/>
          <w:highlight w:val="none"/>
        </w:rPr>
        <w:t>详细的施工组织设计</w:t>
      </w:r>
      <w:r>
        <w:rPr>
          <w:rFonts w:ascii="Times New Roman" w:hAnsi="Times New Roman"/>
          <w:kern w:val="2"/>
          <w:sz w:val="21"/>
          <w:szCs w:val="24"/>
          <w:highlight w:val="none"/>
        </w:rPr>
        <w:t>后确认或提出修改意见的期限：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收到施工组织设计后7天内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w:t>
      </w:r>
      <w:bookmarkStart w:id="168" w:name="_Toc303539123"/>
      <w:bookmarkStart w:id="169" w:name="_Toc304295541"/>
      <w:bookmarkStart w:id="170" w:name="_Toc297123514"/>
      <w:bookmarkStart w:id="171" w:name="_Toc300934966"/>
      <w:bookmarkStart w:id="172" w:name="_Toc312678005"/>
      <w:bookmarkStart w:id="173" w:name="_Toc312677479"/>
      <w:bookmarkStart w:id="174" w:name="_Toc297216173"/>
      <w:r>
        <w:rPr>
          <w:rFonts w:ascii="Arial" w:hAnsi="Arial" w:eastAsia="黑体"/>
          <w:bCs/>
          <w:kern w:val="2"/>
          <w:sz w:val="21"/>
          <w:szCs w:val="28"/>
          <w:highlight w:val="none"/>
        </w:rPr>
        <w:t>.2 施工进度计划</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7.2.2 施工进度计划的修订</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发包人和监理人在收到修订的施工进度计划后确认或提出修改意见的期限：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收到修订的施工进度计划后</w:t>
      </w:r>
      <w:r>
        <w:rPr>
          <w:rFonts w:ascii="Times New Roman" w:hAnsi="Times New Roman"/>
          <w:b/>
          <w:kern w:val="2"/>
          <w:sz w:val="21"/>
          <w:szCs w:val="24"/>
          <w:highlight w:val="none"/>
          <w:u w:val="single"/>
        </w:rPr>
        <w:t>7</w:t>
      </w:r>
      <w:r>
        <w:rPr>
          <w:rFonts w:hint="eastAsia" w:ascii="Times New Roman" w:hAnsi="Times New Roman"/>
          <w:b/>
          <w:kern w:val="2"/>
          <w:sz w:val="21"/>
          <w:szCs w:val="24"/>
          <w:highlight w:val="none"/>
          <w:u w:val="single"/>
        </w:rPr>
        <w:t>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7.3 开工</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7.3.1 开工准备</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关于承包人提交</w:t>
      </w:r>
      <w:r>
        <w:rPr>
          <w:rFonts w:ascii="Times New Roman" w:hAnsi="Times New Roman"/>
          <w:sz w:val="21"/>
          <w:szCs w:val="24"/>
          <w:highlight w:val="none"/>
        </w:rPr>
        <w:t>工程开工报审表的期限：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开工前7天内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关于发包人应完成的其他开工准备工作及期限：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开工前7天内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关于承包人应完成的其他开工准备工作及期限：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开工前7天内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7.3.2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开工通知</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因发包人原因造成监理人未能在计划开工日期之日起</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90</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rPr>
        <w:t>天内发出开工通知的，承包人有权提出价格调整要求，或者解除合同。</w:t>
      </w:r>
    </w:p>
    <w:bookmarkEnd w:id="168"/>
    <w:bookmarkEnd w:id="169"/>
    <w:bookmarkEnd w:id="170"/>
    <w:bookmarkEnd w:id="171"/>
    <w:bookmarkEnd w:id="172"/>
    <w:bookmarkEnd w:id="173"/>
    <w:bookmarkEnd w:id="174"/>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7.4 测量放线</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7.4.1</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发包人通过监理人向承包人提供测量基准点、基准线和水准点及其书面资料的期限：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开工前7天内</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w:t>
      </w:r>
      <w:bookmarkStart w:id="175" w:name="_Toc300934968"/>
      <w:bookmarkStart w:id="176" w:name="_Toc297123516"/>
      <w:bookmarkStart w:id="177" w:name="_Toc312678010"/>
      <w:bookmarkStart w:id="178" w:name="_Toc303539125"/>
      <w:bookmarkStart w:id="179" w:name="_Toc297216175"/>
      <w:bookmarkStart w:id="180" w:name="_Toc304295546"/>
      <w:bookmarkStart w:id="181" w:name="_Toc312677484"/>
      <w:r>
        <w:rPr>
          <w:rFonts w:ascii="Arial" w:hAnsi="Arial" w:eastAsia="黑体"/>
          <w:bCs/>
          <w:kern w:val="2"/>
          <w:sz w:val="21"/>
          <w:szCs w:val="28"/>
          <w:highlight w:val="none"/>
        </w:rPr>
        <w:t>.5 工期延误</w:t>
      </w:r>
    </w:p>
    <w:bookmarkEnd w:id="175"/>
    <w:bookmarkEnd w:id="176"/>
    <w:bookmarkEnd w:id="177"/>
    <w:bookmarkEnd w:id="178"/>
    <w:bookmarkEnd w:id="179"/>
    <w:bookmarkEnd w:id="180"/>
    <w:bookmarkEnd w:id="181"/>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7.5.1 因发包人原因导致工期延误</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（7）因发包人原因导致工期延误的其他情形：</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w:t>
      </w:r>
      <w:bookmarkStart w:id="182" w:name="_Toc312677486"/>
      <w:bookmarkStart w:id="183" w:name="_Toc318581169"/>
      <w:bookmarkStart w:id="184" w:name="_Toc312678012"/>
      <w:bookmarkStart w:id="185" w:name="_Toc303539127"/>
      <w:bookmarkStart w:id="186" w:name="_Toc297123518"/>
      <w:bookmarkStart w:id="187" w:name="_Toc297216177"/>
      <w:bookmarkStart w:id="188" w:name="_Toc304295548"/>
      <w:bookmarkStart w:id="189" w:name="_Toc300934970"/>
      <w:r>
        <w:rPr>
          <w:rFonts w:ascii="Times New Roman" w:hAnsi="Times New Roman"/>
          <w:kern w:val="2"/>
          <w:sz w:val="21"/>
          <w:szCs w:val="24"/>
          <w:highlight w:val="none"/>
        </w:rPr>
        <w:t>.5.2 因承包人原因导致工期延误</w:t>
      </w:r>
    </w:p>
    <w:bookmarkEnd w:id="182"/>
    <w:bookmarkEnd w:id="183"/>
    <w:bookmarkEnd w:id="184"/>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因</w:t>
      </w:r>
      <w:bookmarkStart w:id="190" w:name="_Toc312677487"/>
      <w:bookmarkStart w:id="191" w:name="_Toc312678013"/>
      <w:bookmarkStart w:id="192" w:name="_Toc318581170"/>
      <w:r>
        <w:rPr>
          <w:rFonts w:ascii="Times New Roman" w:hAnsi="Times New Roman"/>
          <w:kern w:val="2"/>
          <w:sz w:val="21"/>
          <w:szCs w:val="24"/>
          <w:highlight w:val="none"/>
        </w:rPr>
        <w:t>承包人原因造成工期延误，逾期竣工违约金的计算方法为：</w:t>
      </w:r>
    </w:p>
    <w:p>
      <w:pPr>
        <w:adjustRightInd w:val="0"/>
        <w:spacing w:line="360" w:lineRule="auto"/>
        <w:ind w:firstLine="422" w:firstLineChars="200"/>
        <w:rPr>
          <w:rFonts w:ascii="Times New Roman" w:hAnsi="Times New Roman"/>
          <w:kern w:val="2"/>
          <w:sz w:val="21"/>
          <w:szCs w:val="24"/>
          <w:highlight w:val="none"/>
        </w:rPr>
      </w:pP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每延期竣工一天，承包人支付发包人合同价款的万分之二的违约金；工程延期</w:t>
      </w:r>
      <w:r>
        <w:rPr>
          <w:rFonts w:ascii="Times New Roman" w:hAnsi="Times New Roman"/>
          <w:b/>
          <w:kern w:val="2"/>
          <w:sz w:val="21"/>
          <w:szCs w:val="24"/>
          <w:highlight w:val="none"/>
          <w:u w:val="single"/>
        </w:rPr>
        <w:t>28</w:t>
      </w:r>
      <w:r>
        <w:rPr>
          <w:rFonts w:hint="eastAsia" w:ascii="Times New Roman" w:hAnsi="Times New Roman"/>
          <w:b/>
          <w:kern w:val="2"/>
          <w:sz w:val="21"/>
          <w:szCs w:val="24"/>
          <w:highlight w:val="none"/>
          <w:u w:val="single"/>
        </w:rPr>
        <w:t>天以上的，每天按合同价款万分之五向发包人支付违约金；延期竣工</w:t>
      </w:r>
      <w:r>
        <w:rPr>
          <w:rFonts w:ascii="Times New Roman" w:hAnsi="Times New Roman"/>
          <w:b/>
          <w:kern w:val="2"/>
          <w:sz w:val="21"/>
          <w:szCs w:val="24"/>
          <w:highlight w:val="none"/>
          <w:u w:val="single"/>
        </w:rPr>
        <w:t>56</w:t>
      </w:r>
      <w:r>
        <w:rPr>
          <w:rFonts w:hint="eastAsia" w:ascii="Times New Roman" w:hAnsi="Times New Roman"/>
          <w:b/>
          <w:kern w:val="2"/>
          <w:sz w:val="21"/>
          <w:szCs w:val="24"/>
          <w:highlight w:val="none"/>
          <w:u w:val="single"/>
        </w:rPr>
        <w:t>天以上的，发包人有权解除合同，并追究连带损失</w:t>
      </w:r>
      <w:r>
        <w:rPr>
          <w:rFonts w:ascii="Times New Roman" w:hAnsi="Times New Roman"/>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bookmarkEnd w:id="185"/>
      <w:bookmarkEnd w:id="186"/>
      <w:bookmarkEnd w:id="187"/>
      <w:bookmarkEnd w:id="188"/>
      <w:bookmarkEnd w:id="189"/>
      <w:bookmarkEnd w:id="190"/>
      <w:bookmarkEnd w:id="191"/>
    </w:p>
    <w:bookmarkEnd w:id="192"/>
    <w:p>
      <w:pPr>
        <w:adjustRightInd w:val="0"/>
        <w:spacing w:line="360" w:lineRule="auto"/>
        <w:ind w:firstLine="420" w:firstLineChars="200"/>
        <w:rPr>
          <w:rFonts w:hint="default" w:ascii="Times New Roman" w:hAnsi="Times New Roman" w:eastAsia="宋体"/>
          <w:b/>
          <w:kern w:val="2"/>
          <w:sz w:val="21"/>
          <w:szCs w:val="24"/>
          <w:highlight w:val="none"/>
          <w:u w:val="single"/>
          <w:lang w:val="en-US" w:eastAsia="zh-CN"/>
        </w:rPr>
      </w:pPr>
      <w:r>
        <w:rPr>
          <w:rFonts w:ascii="Times New Roman" w:hAnsi="Times New Roman"/>
          <w:kern w:val="2"/>
          <w:sz w:val="21"/>
          <w:szCs w:val="24"/>
          <w:highlight w:val="none"/>
        </w:rPr>
        <w:t>因承包人原因造成工期延误，逾</w:t>
      </w:r>
      <w:bookmarkStart w:id="193" w:name="_Toc312678014"/>
      <w:bookmarkStart w:id="194" w:name="_Toc318581171"/>
      <w:r>
        <w:rPr>
          <w:rFonts w:ascii="Times New Roman" w:hAnsi="Times New Roman"/>
          <w:kern w:val="2"/>
          <w:sz w:val="21"/>
          <w:szCs w:val="24"/>
          <w:highlight w:val="none"/>
        </w:rPr>
        <w:t>期竣工违约金的上限：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违约金最高限额为合同价款的</w:t>
      </w:r>
      <w:r>
        <w:rPr>
          <w:rFonts w:ascii="Times New Roman" w:hAnsi="Times New Roman"/>
          <w:b/>
          <w:kern w:val="2"/>
          <w:sz w:val="21"/>
          <w:szCs w:val="24"/>
          <w:highlight w:val="none"/>
          <w:u w:val="single"/>
        </w:rPr>
        <w:t>4%。</w:t>
      </w:r>
      <w:r>
        <w:rPr>
          <w:rFonts w:hint="eastAsia" w:ascii="Times New Roman" w:hAnsi="Times New Roman"/>
          <w:b/>
          <w:kern w:val="2"/>
          <w:sz w:val="21"/>
          <w:szCs w:val="24"/>
          <w:highlight w:val="none"/>
          <w:u w:val="single"/>
          <w:lang w:val="en-US" w:eastAsia="zh-CN"/>
        </w:rPr>
        <w:t xml:space="preserve"> </w:t>
      </w:r>
    </w:p>
    <w:bookmarkEnd w:id="193"/>
    <w:bookmarkEnd w:id="194"/>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w:t>
      </w:r>
      <w:bookmarkStart w:id="195" w:name="_Toc300934971"/>
      <w:bookmarkStart w:id="196" w:name="_Toc304295549"/>
      <w:bookmarkStart w:id="197" w:name="_Toc297216178"/>
      <w:bookmarkStart w:id="198" w:name="_Toc297123519"/>
      <w:bookmarkStart w:id="199" w:name="_Toc303539128"/>
      <w:bookmarkStart w:id="200" w:name="_Toc312678015"/>
      <w:r>
        <w:rPr>
          <w:rFonts w:ascii="Arial" w:hAnsi="Arial" w:eastAsia="黑体"/>
          <w:bCs/>
          <w:kern w:val="2"/>
          <w:sz w:val="21"/>
          <w:szCs w:val="28"/>
          <w:highlight w:val="none"/>
        </w:rPr>
        <w:t>.6 不</w:t>
      </w:r>
      <w:bookmarkEnd w:id="195"/>
      <w:bookmarkEnd w:id="196"/>
      <w:bookmarkEnd w:id="197"/>
      <w:bookmarkEnd w:id="198"/>
      <w:bookmarkEnd w:id="199"/>
      <w:bookmarkEnd w:id="200"/>
      <w:r>
        <w:rPr>
          <w:rFonts w:ascii="Arial" w:hAnsi="Arial" w:eastAsia="黑体"/>
          <w:bCs/>
          <w:kern w:val="2"/>
          <w:sz w:val="21"/>
          <w:szCs w:val="28"/>
          <w:highlight w:val="none"/>
        </w:rPr>
        <w:t>利物质条件</w:t>
      </w:r>
    </w:p>
    <w:p>
      <w:pPr>
        <w:adjustRightInd w:val="0"/>
        <w:spacing w:line="360" w:lineRule="auto"/>
        <w:ind w:firstLine="420" w:firstLineChars="200"/>
        <w:rPr>
          <w:rFonts w:ascii="Times New Roman" w:hAnsi="Times New Roman"/>
          <w:b/>
          <w:kern w:val="2"/>
          <w:sz w:val="21"/>
          <w:szCs w:val="24"/>
          <w:highlight w:val="none"/>
          <w:u w:val="single"/>
        </w:rPr>
      </w:pPr>
      <w:bookmarkStart w:id="201" w:name="_Toc318581172"/>
      <w:bookmarkStart w:id="202" w:name="_Toc304295550"/>
      <w:bookmarkStart w:id="203" w:name="_Toc312678016"/>
      <w:bookmarkStart w:id="204" w:name="_Toc303539129"/>
      <w:bookmarkStart w:id="205" w:name="_Toc297216179"/>
      <w:bookmarkStart w:id="206" w:name="_Toc297123520"/>
      <w:bookmarkStart w:id="207" w:name="_Toc300934972"/>
      <w:r>
        <w:rPr>
          <w:rFonts w:ascii="Times New Roman" w:hAnsi="Times New Roman"/>
          <w:kern w:val="2"/>
          <w:sz w:val="21"/>
          <w:szCs w:val="24"/>
          <w:highlight w:val="none"/>
        </w:rPr>
        <w:t>不利物质条件的其他情形和有关约定：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bookmarkEnd w:id="201"/>
    <w:bookmarkEnd w:id="202"/>
    <w:bookmarkEnd w:id="203"/>
    <w:bookmarkEnd w:id="204"/>
    <w:bookmarkEnd w:id="205"/>
    <w:bookmarkEnd w:id="206"/>
    <w:bookmarkEnd w:id="207"/>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w:t>
      </w:r>
      <w:bookmarkStart w:id="208" w:name="_Toc297123521"/>
      <w:bookmarkStart w:id="209" w:name="_Toc312678017"/>
      <w:bookmarkStart w:id="210" w:name="_Toc304295551"/>
      <w:bookmarkStart w:id="211" w:name="_Toc303539130"/>
      <w:bookmarkStart w:id="212" w:name="_Toc297216180"/>
      <w:bookmarkStart w:id="213" w:name="_Toc300934973"/>
      <w:r>
        <w:rPr>
          <w:rFonts w:ascii="Arial" w:hAnsi="Arial" w:eastAsia="黑体"/>
          <w:bCs/>
          <w:kern w:val="2"/>
          <w:sz w:val="21"/>
          <w:szCs w:val="28"/>
          <w:highlight w:val="none"/>
        </w:rPr>
        <w:t>.7</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异常恶劣的气候条件</w:t>
      </w:r>
    </w:p>
    <w:bookmarkEnd w:id="208"/>
    <w:bookmarkEnd w:id="209"/>
    <w:bookmarkEnd w:id="210"/>
    <w:bookmarkEnd w:id="211"/>
    <w:bookmarkEnd w:id="212"/>
    <w:bookmarkEnd w:id="213"/>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发包人和承包人同意以下情形视为异常恶劣的气候条件：</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（3）</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7.9 提前竣工</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7.9.2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提前竣工的奖励：</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214" w:name="_Toc351203640"/>
      <w:r>
        <w:rPr>
          <w:rFonts w:ascii="黑体" w:hAnsi="黑体" w:eastAsia="黑体"/>
          <w:bCs/>
          <w:kern w:val="2"/>
          <w:sz w:val="24"/>
          <w:szCs w:val="24"/>
          <w:highlight w:val="none"/>
        </w:rPr>
        <w:t>8. 材料与设备</w:t>
      </w:r>
      <w:bookmarkEnd w:id="214"/>
    </w:p>
    <w:bookmarkEnd w:id="149"/>
    <w:bookmarkEnd w:id="150"/>
    <w:bookmarkEnd w:id="151"/>
    <w:bookmarkEnd w:id="152"/>
    <w:bookmarkEnd w:id="153"/>
    <w:bookmarkEnd w:id="154"/>
    <w:bookmarkEnd w:id="155"/>
    <w:bookmarkEnd w:id="156"/>
    <w:bookmarkEnd w:id="157"/>
    <w:bookmarkEnd w:id="158"/>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8</w:t>
      </w:r>
      <w:bookmarkStart w:id="215" w:name="_Toc296891207"/>
      <w:bookmarkStart w:id="216" w:name="_Toc297216186"/>
      <w:bookmarkStart w:id="217" w:name="_Toc303539136"/>
      <w:bookmarkStart w:id="218" w:name="_Toc296944506"/>
      <w:bookmarkStart w:id="219" w:name="_Toc280868654"/>
      <w:bookmarkStart w:id="220" w:name="_Toc292559372"/>
      <w:bookmarkStart w:id="221" w:name="_Toc312678019"/>
      <w:bookmarkStart w:id="222" w:name="_Toc296347166"/>
      <w:bookmarkStart w:id="223" w:name="_Toc296346668"/>
      <w:bookmarkStart w:id="224" w:name="_Toc297123527"/>
      <w:bookmarkStart w:id="225" w:name="_Toc296890995"/>
      <w:bookmarkStart w:id="226" w:name="_Toc304295556"/>
      <w:bookmarkStart w:id="227" w:name="_Toc297120467"/>
      <w:bookmarkStart w:id="228" w:name="_Toc300934979"/>
      <w:bookmarkStart w:id="229" w:name="_Toc312677493"/>
      <w:bookmarkStart w:id="230" w:name="_Toc292559877"/>
      <w:bookmarkStart w:id="231" w:name="_Toc296503167"/>
      <w:bookmarkStart w:id="232" w:name="_Toc297048353"/>
      <w:bookmarkStart w:id="233" w:name="_Toc280868656"/>
      <w:bookmarkStart w:id="234" w:name="_Toc267251424"/>
      <w:bookmarkStart w:id="235" w:name="_Toc280868655"/>
      <w:r>
        <w:rPr>
          <w:rFonts w:ascii="Times New Roman" w:hAnsi="Times New Roman"/>
          <w:kern w:val="2"/>
          <w:sz w:val="21"/>
          <w:szCs w:val="24"/>
          <w:highlight w:val="none"/>
        </w:rPr>
        <w:t>.4</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材料与工程设备的保管与使用</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8</w:t>
      </w:r>
      <w:bookmarkStart w:id="236" w:name="_Toc292559373"/>
      <w:bookmarkStart w:id="237" w:name="_Toc292559878"/>
      <w:bookmarkStart w:id="238" w:name="_Toc300934980"/>
      <w:bookmarkStart w:id="239" w:name="_Toc296891208"/>
      <w:bookmarkStart w:id="240" w:name="_Toc297216187"/>
      <w:bookmarkStart w:id="241" w:name="_Toc296503168"/>
      <w:bookmarkStart w:id="242" w:name="_Toc312678020"/>
      <w:bookmarkStart w:id="243" w:name="_Toc296890996"/>
      <w:bookmarkStart w:id="244" w:name="_Toc318581173"/>
      <w:bookmarkStart w:id="245" w:name="_Toc297120468"/>
      <w:bookmarkStart w:id="246" w:name="_Toc296347167"/>
      <w:bookmarkStart w:id="247" w:name="_Toc297123528"/>
      <w:bookmarkStart w:id="248" w:name="_Toc312677494"/>
      <w:bookmarkStart w:id="249" w:name="_Toc296346669"/>
      <w:bookmarkStart w:id="250" w:name="_Toc296944507"/>
      <w:bookmarkStart w:id="251" w:name="_Toc303539137"/>
      <w:bookmarkStart w:id="252" w:name="_Toc304295557"/>
      <w:bookmarkStart w:id="253" w:name="_Toc297048354"/>
      <w:r>
        <w:rPr>
          <w:rFonts w:ascii="Times New Roman" w:hAnsi="Times New Roman"/>
          <w:kern w:val="2"/>
          <w:sz w:val="21"/>
          <w:szCs w:val="24"/>
          <w:highlight w:val="none"/>
        </w:rPr>
        <w:t>.4.1</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发包人供应的材料设备的保管费用的承担：</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bookmarkEnd w:id="236"/>
      <w:bookmarkEnd w:id="237"/>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8.6 样品</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8.6.1</w:t>
      </w:r>
      <w:r>
        <w:rPr>
          <w:rFonts w:hint="eastAsia" w:ascii="Times New Roman" w:hAnsi="Times New Roman"/>
          <w:sz w:val="21"/>
          <w:szCs w:val="24"/>
          <w:highlight w:val="none"/>
        </w:rPr>
        <w:t xml:space="preserve"> </w:t>
      </w:r>
      <w:r>
        <w:rPr>
          <w:rFonts w:ascii="Times New Roman" w:hAnsi="Times New Roman"/>
          <w:sz w:val="21"/>
          <w:szCs w:val="24"/>
          <w:highlight w:val="none"/>
        </w:rPr>
        <w:t>样品的报送</w:t>
      </w:r>
      <w:r>
        <w:rPr>
          <w:rFonts w:hint="eastAsia" w:ascii="Times New Roman" w:hAnsi="Times New Roman"/>
          <w:sz w:val="21"/>
          <w:szCs w:val="24"/>
          <w:highlight w:val="none"/>
        </w:rPr>
        <w:t>与封存</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需要承包人报送样品的材料或工程设备，样品的种类、名称、规格、数量要求：</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8.8 施工设备和临时设施</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8.8.1 承包人提供的施工设备和临时设施</w:t>
      </w:r>
    </w:p>
    <w:p>
      <w:pPr>
        <w:adjustRightInd w:val="0"/>
        <w:spacing w:line="360" w:lineRule="auto"/>
        <w:ind w:firstLine="420" w:firstLineChars="200"/>
        <w:rPr>
          <w:rFonts w:hint="default" w:ascii="Times New Roman" w:hAnsi="Times New Roman" w:eastAsia="宋体"/>
          <w:kern w:val="2"/>
          <w:sz w:val="21"/>
          <w:szCs w:val="24"/>
          <w:highlight w:val="none"/>
          <w:u w:val="single"/>
          <w:lang w:val="en-US" w:eastAsia="zh-CN"/>
        </w:rPr>
      </w:pPr>
      <w:r>
        <w:rPr>
          <w:rFonts w:ascii="Times New Roman" w:hAnsi="Times New Roman"/>
          <w:kern w:val="2"/>
          <w:sz w:val="21"/>
          <w:szCs w:val="24"/>
          <w:highlight w:val="none"/>
        </w:rPr>
        <w:t>关于修建临时设施费用承担的约定：</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承包人承担</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keepNext/>
        <w:keepLines/>
        <w:spacing w:before="120" w:after="120" w:line="360" w:lineRule="auto"/>
        <w:jc w:val="left"/>
        <w:outlineLvl w:val="2"/>
        <w:rPr>
          <w:rFonts w:ascii="黑体" w:hAnsi="黑体" w:eastAsia="黑体"/>
          <w:bCs/>
          <w:kern w:val="2"/>
          <w:sz w:val="24"/>
          <w:szCs w:val="24"/>
          <w:highlight w:val="none"/>
        </w:rPr>
      </w:pPr>
      <w:bookmarkStart w:id="254" w:name="_Toc351203641"/>
      <w:r>
        <w:rPr>
          <w:rFonts w:ascii="黑体" w:hAnsi="黑体" w:eastAsia="黑体"/>
          <w:bCs/>
          <w:kern w:val="2"/>
          <w:sz w:val="24"/>
          <w:szCs w:val="24"/>
          <w:highlight w:val="none"/>
        </w:rPr>
        <w:t>9</w:t>
      </w:r>
      <w:bookmarkEnd w:id="233"/>
      <w:bookmarkEnd w:id="234"/>
      <w:bookmarkEnd w:id="235"/>
      <w:bookmarkStart w:id="255" w:name="_Toc300934982"/>
      <w:bookmarkStart w:id="256" w:name="_Toc303539139"/>
      <w:bookmarkStart w:id="257" w:name="_Toc297123533"/>
      <w:bookmarkStart w:id="258" w:name="_Toc304295559"/>
      <w:bookmarkStart w:id="259" w:name="_Toc312677495"/>
      <w:bookmarkStart w:id="260" w:name="_Toc312678021"/>
      <w:bookmarkStart w:id="261" w:name="_Toc297216192"/>
      <w:bookmarkStart w:id="262" w:name="_Toc267251427"/>
      <w:bookmarkStart w:id="263" w:name="_Toc296891213"/>
      <w:bookmarkStart w:id="264" w:name="_Toc296944512"/>
      <w:bookmarkStart w:id="265" w:name="_Toc297120473"/>
      <w:bookmarkStart w:id="266" w:name="_Toc292559883"/>
      <w:bookmarkStart w:id="267" w:name="_Toc296346674"/>
      <w:bookmarkStart w:id="268" w:name="_Toc267251428"/>
      <w:bookmarkStart w:id="269" w:name="_Toc292559378"/>
      <w:bookmarkStart w:id="270" w:name="_Toc297048359"/>
      <w:bookmarkStart w:id="271" w:name="_Toc296503173"/>
      <w:bookmarkStart w:id="272" w:name="_Toc296891001"/>
      <w:bookmarkStart w:id="273" w:name="_Toc296347172"/>
      <w:r>
        <w:rPr>
          <w:rFonts w:ascii="黑体" w:hAnsi="黑体" w:eastAsia="黑体"/>
          <w:bCs/>
          <w:kern w:val="2"/>
          <w:sz w:val="24"/>
          <w:szCs w:val="24"/>
          <w:highlight w:val="none"/>
        </w:rPr>
        <w:t>. 试验与检验</w:t>
      </w:r>
      <w:bookmarkEnd w:id="254"/>
    </w:p>
    <w:bookmarkEnd w:id="255"/>
    <w:bookmarkEnd w:id="256"/>
    <w:bookmarkEnd w:id="257"/>
    <w:bookmarkEnd w:id="258"/>
    <w:bookmarkEnd w:id="259"/>
    <w:bookmarkEnd w:id="260"/>
    <w:bookmarkEnd w:id="261"/>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9</w:t>
      </w:r>
      <w:bookmarkStart w:id="274" w:name="_Toc304295560"/>
      <w:bookmarkStart w:id="275" w:name="_Toc303539140"/>
      <w:bookmarkStart w:id="276" w:name="_Toc312677496"/>
      <w:bookmarkStart w:id="277" w:name="_Toc312678022"/>
      <w:bookmarkStart w:id="278" w:name="_Toc300934983"/>
      <w:bookmarkStart w:id="279" w:name="_Toc297123534"/>
      <w:bookmarkStart w:id="280" w:name="_Toc297216193"/>
      <w:r>
        <w:rPr>
          <w:rFonts w:ascii="Arial" w:hAnsi="Arial" w:eastAsia="黑体"/>
          <w:bCs/>
          <w:kern w:val="2"/>
          <w:sz w:val="21"/>
          <w:szCs w:val="28"/>
          <w:highlight w:val="none"/>
        </w:rPr>
        <w:t>.1</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试验设备与试验人员</w:t>
      </w:r>
    </w:p>
    <w:bookmarkEnd w:id="274"/>
    <w:bookmarkEnd w:id="275"/>
    <w:bookmarkEnd w:id="276"/>
    <w:bookmarkEnd w:id="277"/>
    <w:bookmarkEnd w:id="278"/>
    <w:bookmarkEnd w:id="279"/>
    <w:bookmarkEnd w:id="280"/>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9</w:t>
      </w:r>
      <w:bookmarkStart w:id="281" w:name="_Toc312678023"/>
      <w:bookmarkStart w:id="282" w:name="_Toc303539141"/>
      <w:bookmarkStart w:id="283" w:name="_Toc304295561"/>
      <w:bookmarkStart w:id="284" w:name="_Toc300934984"/>
      <w:bookmarkStart w:id="285" w:name="_Toc312677497"/>
      <w:bookmarkStart w:id="286" w:name="_Toc297216194"/>
      <w:bookmarkStart w:id="287" w:name="_Toc297123535"/>
      <w:bookmarkStart w:id="288" w:name="_Toc318581174"/>
      <w:r>
        <w:rPr>
          <w:rFonts w:ascii="Times New Roman" w:hAnsi="Times New Roman"/>
          <w:kern w:val="2"/>
          <w:sz w:val="21"/>
          <w:szCs w:val="24"/>
          <w:highlight w:val="none"/>
        </w:rPr>
        <w:t>.1.2 试验设备</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施工现场需要配置的试验场所</w:t>
      </w:r>
      <w:bookmarkEnd w:id="281"/>
      <w:bookmarkEnd w:id="282"/>
      <w:bookmarkEnd w:id="283"/>
      <w:bookmarkEnd w:id="284"/>
      <w:bookmarkEnd w:id="285"/>
      <w:bookmarkEnd w:id="286"/>
      <w:bookmarkEnd w:id="287"/>
      <w:bookmarkStart w:id="289" w:name="_Toc312678024"/>
      <w:bookmarkStart w:id="290" w:name="_Toc303539142"/>
      <w:bookmarkStart w:id="291" w:name="_Toc312677498"/>
      <w:bookmarkStart w:id="292" w:name="_Toc304295562"/>
      <w:bookmarkStart w:id="293" w:name="_Toc297123536"/>
      <w:bookmarkStart w:id="294" w:name="_Toc297216195"/>
      <w:bookmarkStart w:id="295" w:name="_Toc300934985"/>
      <w:r>
        <w:rPr>
          <w:rFonts w:hint="eastAsia" w:ascii="Times New Roman" w:hAnsi="Times New Roman"/>
          <w:kern w:val="2"/>
          <w:sz w:val="21"/>
          <w:szCs w:val="24"/>
          <w:highlight w:val="non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r>
        <w:rPr>
          <w:rFonts w:hint="eastAsia" w:ascii="Times New Roman" w:hAnsi="Times New Roman"/>
          <w:kern w:val="2"/>
          <w:sz w:val="21"/>
          <w:szCs w:val="24"/>
          <w:highlight w:val="none"/>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施工现场需要配备的试验设备：</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施工现场需要具备的其他试验条件：</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9.4 现场工艺试验</w:t>
      </w:r>
      <w:r>
        <w:rPr>
          <w:rFonts w:hint="eastAsia" w:ascii="Arial" w:hAnsi="Arial" w:eastAsia="黑体"/>
          <w:bCs/>
          <w:kern w:val="2"/>
          <w:sz w:val="21"/>
          <w:szCs w:val="28"/>
          <w:highlight w:val="none"/>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现场工艺试验的有关约定：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w:t>
      </w:r>
    </w:p>
    <w:bookmarkEnd w:id="288"/>
    <w:bookmarkEnd w:id="289"/>
    <w:bookmarkEnd w:id="290"/>
    <w:bookmarkEnd w:id="291"/>
    <w:bookmarkEnd w:id="292"/>
    <w:bookmarkEnd w:id="293"/>
    <w:bookmarkEnd w:id="294"/>
    <w:bookmarkEnd w:id="295"/>
    <w:p>
      <w:pPr>
        <w:keepNext/>
        <w:keepLines/>
        <w:spacing w:before="120" w:after="120" w:line="360" w:lineRule="auto"/>
        <w:jc w:val="left"/>
        <w:outlineLvl w:val="2"/>
        <w:rPr>
          <w:rFonts w:ascii="黑体" w:hAnsi="黑体" w:eastAsia="黑体"/>
          <w:bCs/>
          <w:kern w:val="2"/>
          <w:sz w:val="24"/>
          <w:szCs w:val="24"/>
          <w:highlight w:val="none"/>
        </w:rPr>
      </w:pPr>
      <w:bookmarkStart w:id="296" w:name="_Toc351203642"/>
      <w:r>
        <w:rPr>
          <w:rFonts w:ascii="黑体" w:hAnsi="黑体" w:eastAsia="黑体"/>
          <w:bCs/>
          <w:kern w:val="2"/>
          <w:sz w:val="24"/>
          <w:szCs w:val="24"/>
          <w:highlight w:val="none"/>
        </w:rPr>
        <w:t>1</w:t>
      </w:r>
      <w:bookmarkEnd w:id="262"/>
      <w:bookmarkEnd w:id="263"/>
      <w:bookmarkEnd w:id="264"/>
      <w:bookmarkEnd w:id="265"/>
      <w:bookmarkEnd w:id="266"/>
      <w:bookmarkEnd w:id="267"/>
      <w:bookmarkEnd w:id="268"/>
      <w:bookmarkEnd w:id="269"/>
      <w:bookmarkEnd w:id="270"/>
      <w:bookmarkEnd w:id="271"/>
      <w:bookmarkEnd w:id="272"/>
      <w:bookmarkEnd w:id="273"/>
      <w:bookmarkStart w:id="297" w:name="_Toc296944532"/>
      <w:bookmarkStart w:id="298" w:name="_Toc297216199"/>
      <w:bookmarkStart w:id="299" w:name="_Toc304295566"/>
      <w:bookmarkStart w:id="300" w:name="_Toc292559398"/>
      <w:bookmarkStart w:id="301" w:name="_Toc296347192"/>
      <w:bookmarkStart w:id="302" w:name="_Toc300934989"/>
      <w:bookmarkStart w:id="303" w:name="_Toc303539146"/>
      <w:bookmarkStart w:id="304" w:name="_Toc296346694"/>
      <w:bookmarkStart w:id="305" w:name="_Toc292559903"/>
      <w:bookmarkStart w:id="306" w:name="_Toc297120493"/>
      <w:bookmarkStart w:id="307" w:name="_Toc296891021"/>
      <w:bookmarkStart w:id="308" w:name="_Toc296891233"/>
      <w:bookmarkStart w:id="309" w:name="_Toc297048379"/>
      <w:bookmarkStart w:id="310" w:name="_Toc296503193"/>
      <w:bookmarkStart w:id="311" w:name="_Toc297123540"/>
      <w:bookmarkStart w:id="312" w:name="_Toc312678025"/>
      <w:bookmarkStart w:id="313" w:name="_Toc312677499"/>
      <w:bookmarkStart w:id="314" w:name="_Toc267251435"/>
      <w:bookmarkStart w:id="315" w:name="_Toc267251441"/>
      <w:bookmarkStart w:id="316" w:name="_Toc267251437"/>
      <w:bookmarkStart w:id="317" w:name="_Toc267251440"/>
      <w:bookmarkStart w:id="318" w:name="_Toc267251439"/>
      <w:bookmarkStart w:id="319" w:name="_Toc267251433"/>
      <w:bookmarkStart w:id="320" w:name="_Toc267251442"/>
      <w:r>
        <w:rPr>
          <w:rFonts w:ascii="黑体" w:hAnsi="黑体" w:eastAsia="黑体"/>
          <w:bCs/>
          <w:kern w:val="2"/>
          <w:sz w:val="24"/>
          <w:szCs w:val="24"/>
          <w:highlight w:val="none"/>
        </w:rPr>
        <w:t>0. 变更</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bookmarkEnd w:id="312"/>
    <w:bookmarkEnd w:id="313"/>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w:t>
      </w:r>
      <w:bookmarkStart w:id="321" w:name="_Toc297123541"/>
      <w:bookmarkStart w:id="322" w:name="_Toc296346695"/>
      <w:bookmarkStart w:id="323" w:name="_Toc292559904"/>
      <w:bookmarkStart w:id="324" w:name="_Toc303539147"/>
      <w:bookmarkStart w:id="325" w:name="_Toc296891022"/>
      <w:bookmarkStart w:id="326" w:name="_Toc296944533"/>
      <w:bookmarkStart w:id="327" w:name="_Toc296503194"/>
      <w:bookmarkStart w:id="328" w:name="_Toc296347193"/>
      <w:bookmarkStart w:id="329" w:name="_Toc300934990"/>
      <w:bookmarkStart w:id="330" w:name="_Toc292559399"/>
      <w:bookmarkStart w:id="331" w:name="_Toc297120494"/>
      <w:bookmarkStart w:id="332" w:name="_Toc296891234"/>
      <w:bookmarkStart w:id="333" w:name="_Toc297216200"/>
      <w:bookmarkStart w:id="334" w:name="_Toc304295567"/>
      <w:bookmarkStart w:id="335" w:name="_Toc312678026"/>
      <w:bookmarkStart w:id="336" w:name="_Toc297048380"/>
      <w:bookmarkStart w:id="337" w:name="_Toc312677500"/>
      <w:r>
        <w:rPr>
          <w:rFonts w:ascii="Arial" w:hAnsi="Arial" w:eastAsia="黑体"/>
          <w:bCs/>
          <w:kern w:val="2"/>
          <w:sz w:val="21"/>
          <w:szCs w:val="28"/>
          <w:highlight w:val="none"/>
        </w:rPr>
        <w:t>0.1</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变更的范围</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关于变更的范围的约定</w:t>
      </w:r>
      <w:r>
        <w:rPr>
          <w:rFonts w:hint="eastAsia" w:ascii="Times New Roman" w:hAnsi="Times New Roman"/>
          <w:kern w:val="2"/>
          <w:sz w:val="21"/>
          <w:szCs w:val="24"/>
          <w:highlight w:val="none"/>
        </w:rPr>
        <w:t>：</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10.4 变更估价</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10.4.1 变更估价原则</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kern w:val="2"/>
          <w:sz w:val="21"/>
          <w:szCs w:val="24"/>
          <w:highlight w:val="none"/>
        </w:rPr>
        <w:t>关于变更估价的约定</w:t>
      </w:r>
      <w:r>
        <w:rPr>
          <w:rFonts w:hint="eastAsia" w:ascii="Times New Roman" w:hAnsi="Times New Roman"/>
          <w:kern w:val="2"/>
          <w:sz w:val="21"/>
          <w:szCs w:val="24"/>
          <w:highlight w:val="none"/>
        </w:rPr>
        <w:t>：</w:t>
      </w:r>
    </w:p>
    <w:p>
      <w:pPr>
        <w:adjustRightInd w:val="0"/>
        <w:spacing w:line="360" w:lineRule="auto"/>
        <w:ind w:firstLine="422" w:firstLineChars="200"/>
        <w:rPr>
          <w:rFonts w:ascii="Times New Roman" w:hAnsi="Times New Roman"/>
          <w:b/>
          <w:sz w:val="21"/>
          <w:szCs w:val="24"/>
          <w:highlight w:val="none"/>
        </w:rPr>
      </w:pPr>
      <w:r>
        <w:rPr>
          <w:rFonts w:hint="eastAsia" w:ascii="Times New Roman" w:hAnsi="Times New Roman"/>
          <w:b/>
          <w:sz w:val="21"/>
          <w:szCs w:val="24"/>
          <w:highlight w:val="none"/>
        </w:rPr>
        <w:t>10.4.1.1 因工程变更引起已标价工程量清单项目或其工程数量发生变化时，按下列规定调整：</w:t>
      </w:r>
    </w:p>
    <w:p>
      <w:pPr>
        <w:adjustRightInd w:val="0"/>
        <w:spacing w:line="360" w:lineRule="auto"/>
        <w:ind w:firstLine="422" w:firstLineChars="200"/>
        <w:rPr>
          <w:rFonts w:hint="eastAsia" w:ascii="Times New Roman" w:hAnsi="Times New Roman" w:eastAsia="宋体"/>
          <w:b/>
          <w:kern w:val="2"/>
          <w:sz w:val="21"/>
          <w:szCs w:val="24"/>
          <w:highlight w:val="none"/>
          <w:u w:val="single"/>
          <w:lang w:val="en-US" w:eastAsia="zh-CN"/>
        </w:rPr>
      </w:pPr>
      <w:r>
        <w:rPr>
          <w:rFonts w:hint="eastAsia"/>
          <w:b/>
          <w:kern w:val="2"/>
          <w:sz w:val="21"/>
          <w:szCs w:val="21"/>
          <w:highlight w:val="none"/>
          <w:u w:val="none"/>
          <w:lang w:eastAsia="zh-CN"/>
        </w:rPr>
        <w:t>（</w:t>
      </w:r>
      <w:r>
        <w:rPr>
          <w:rFonts w:hint="eastAsia"/>
          <w:b/>
          <w:kern w:val="2"/>
          <w:sz w:val="21"/>
          <w:szCs w:val="21"/>
          <w:highlight w:val="none"/>
          <w:u w:val="none"/>
        </w:rPr>
        <w:t>1</w:t>
      </w:r>
      <w:r>
        <w:rPr>
          <w:rFonts w:hint="eastAsia"/>
          <w:b/>
          <w:kern w:val="2"/>
          <w:sz w:val="21"/>
          <w:szCs w:val="21"/>
          <w:highlight w:val="none"/>
          <w:u w:val="none"/>
          <w:lang w:eastAsia="zh-CN"/>
        </w:rPr>
        <w:t>）</w:t>
      </w:r>
      <w:r>
        <w:rPr>
          <w:rFonts w:hint="eastAsia" w:ascii="Times New Roman" w:hAnsi="Times New Roman"/>
          <w:b/>
          <w:kern w:val="2"/>
          <w:sz w:val="21"/>
          <w:szCs w:val="24"/>
          <w:highlight w:val="none"/>
          <w:u w:val="single"/>
        </w:rPr>
        <w:t>已标价工程量清单中有适用于变更工程项目的，采用该项目的单价；但对于磋商报价中分部分项工程项目单价高于最高限价（控制价）相应子目单价的清单项目，工程量增加幅度超过本项目工程数量15%（不含15%）的，超过15%的增加部分工程量的单价按最高限价（控制价）相应子目单价与磋商优惠率同比下浮，确定工程变更单价，作为结算的依据；对于磋商报价中分部分项工程项目单价低于最高限价（控制价）相应子目单价的30%（含30%）的清单项目，工程量减少幅度超过本项目工程数量15%（不含15%）的，超过15%的减少部分工程量的单价按最高限价（控制价）相应子目单价与磋商优惠率同比下浮，确定工程变更单价，作为结算的依据；</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2" w:firstLineChars="200"/>
        <w:rPr>
          <w:rFonts w:hint="eastAsia" w:ascii="Times New Roman" w:hAnsi="Times New Roman" w:eastAsia="宋体"/>
          <w:b/>
          <w:kern w:val="2"/>
          <w:sz w:val="21"/>
          <w:szCs w:val="24"/>
          <w:highlight w:val="none"/>
          <w:u w:val="single"/>
          <w:lang w:val="en-US" w:eastAsia="zh-CN"/>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2</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u w:val="single"/>
        </w:rPr>
        <w:t>已标价工程量清单中没有适用但有类似于变更工程项目的，可在合理范围内参照类似项目的单价。</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2" w:firstLineChars="200"/>
        <w:rPr>
          <w:rFonts w:ascii="Times New Roman" w:hAnsi="Times New Roman"/>
          <w:b/>
          <w:kern w:val="2"/>
          <w:sz w:val="21"/>
          <w:szCs w:val="24"/>
          <w:highlight w:val="none"/>
          <w:u w:val="single"/>
        </w:rPr>
      </w:pPr>
      <w:r>
        <w:rPr>
          <w:rFonts w:hint="eastAsia"/>
          <w:b/>
          <w:kern w:val="2"/>
          <w:sz w:val="21"/>
          <w:szCs w:val="21"/>
          <w:highlight w:val="none"/>
          <w:u w:val="none"/>
          <w:lang w:eastAsia="zh-CN"/>
        </w:rPr>
        <w:t>（</w:t>
      </w:r>
      <w:r>
        <w:rPr>
          <w:rFonts w:hint="eastAsia"/>
          <w:b/>
          <w:kern w:val="2"/>
          <w:sz w:val="21"/>
          <w:szCs w:val="21"/>
          <w:highlight w:val="none"/>
          <w:u w:val="none"/>
        </w:rPr>
        <w:t>3</w:t>
      </w:r>
      <w:r>
        <w:rPr>
          <w:rFonts w:hint="eastAsia"/>
          <w:b/>
          <w:kern w:val="2"/>
          <w:sz w:val="21"/>
          <w:szCs w:val="21"/>
          <w:highlight w:val="none"/>
          <w:u w:val="none"/>
          <w:lang w:eastAsia="zh-CN"/>
        </w:rPr>
        <w:t>）</w:t>
      </w:r>
      <w:r>
        <w:rPr>
          <w:rFonts w:hint="eastAsia" w:ascii="Times New Roman" w:hAnsi="Times New Roman"/>
          <w:b/>
          <w:kern w:val="2"/>
          <w:sz w:val="21"/>
          <w:szCs w:val="24"/>
          <w:highlight w:val="none"/>
          <w:u w:val="single"/>
        </w:rPr>
        <w:t xml:space="preserve">已标价工程量清单中没有适用也没有类似于变更工程项目的，由承包人根据变更工程资料、磋商时的计量规则和计价办法、当期的工程造价管理机构发布的信息价格和承包人磋商总价降幅同比下浮标准，提出变更工程项目的单价； </w:t>
      </w:r>
    </w:p>
    <w:p>
      <w:pPr>
        <w:adjustRightInd w:val="0"/>
        <w:spacing w:line="360" w:lineRule="auto"/>
        <w:ind w:firstLine="422" w:firstLineChars="200"/>
        <w:rPr>
          <w:rFonts w:hint="eastAsia" w:ascii="Times New Roman" w:hAnsi="Times New Roman" w:eastAsia="宋体"/>
          <w:b/>
          <w:kern w:val="2"/>
          <w:sz w:val="21"/>
          <w:szCs w:val="24"/>
          <w:highlight w:val="none"/>
          <w:u w:val="single"/>
          <w:lang w:val="en-US" w:eastAsia="zh-CN"/>
        </w:rPr>
      </w:pPr>
      <w:r>
        <w:rPr>
          <w:rFonts w:hint="eastAsia"/>
          <w:b/>
          <w:kern w:val="2"/>
          <w:sz w:val="21"/>
          <w:szCs w:val="21"/>
          <w:highlight w:val="none"/>
          <w:u w:val="none"/>
          <w:lang w:eastAsia="zh-CN"/>
        </w:rPr>
        <w:t>（</w:t>
      </w:r>
      <w:r>
        <w:rPr>
          <w:rFonts w:hint="eastAsia"/>
          <w:b/>
          <w:kern w:val="2"/>
          <w:sz w:val="21"/>
          <w:szCs w:val="21"/>
          <w:highlight w:val="none"/>
          <w:u w:val="none"/>
        </w:rPr>
        <w:t>4</w:t>
      </w:r>
      <w:r>
        <w:rPr>
          <w:rFonts w:hint="eastAsia"/>
          <w:b/>
          <w:kern w:val="2"/>
          <w:sz w:val="21"/>
          <w:szCs w:val="21"/>
          <w:highlight w:val="none"/>
          <w:u w:val="none"/>
          <w:lang w:eastAsia="zh-CN"/>
        </w:rPr>
        <w:t>）</w:t>
      </w:r>
      <w:r>
        <w:rPr>
          <w:rFonts w:hint="eastAsia" w:ascii="Times New Roman" w:hAnsi="Times New Roman"/>
          <w:b/>
          <w:kern w:val="2"/>
          <w:sz w:val="21"/>
          <w:szCs w:val="24"/>
          <w:highlight w:val="none"/>
          <w:u w:val="single"/>
        </w:rPr>
        <w:t>已标价工程量清单中没有适用也没有类似于变更工程项目的，且工程造价管理机构发布的信息价缺价的，应由承包人根据变更工程资料、磋商时的计量规则和计价办法和通过市场调查等取得有合法依据的市场价格和承包人磋商总价降幅同比下浮标准，提出变更工程项目的单价，作为结算的依据；</w:t>
      </w:r>
      <w:r>
        <w:rPr>
          <w:rFonts w:hint="eastAsia" w:ascii="Times New Roman" w:hAnsi="Times New Roman"/>
          <w:b/>
          <w:kern w:val="2"/>
          <w:sz w:val="21"/>
          <w:szCs w:val="24"/>
          <w:highlight w:val="none"/>
          <w:u w:val="single"/>
          <w:lang w:val="en-US" w:eastAsia="zh-CN"/>
        </w:rPr>
        <w:t xml:space="preserve"> </w:t>
      </w:r>
    </w:p>
    <w:p>
      <w:pPr>
        <w:adjustRightInd w:val="0"/>
        <w:snapToGrid w:val="0"/>
        <w:spacing w:before="93" w:beforeLines="30" w:line="360" w:lineRule="auto"/>
        <w:ind w:firstLine="422" w:firstLineChars="200"/>
        <w:rPr>
          <w:b/>
          <w:sz w:val="24"/>
          <w:szCs w:val="24"/>
          <w:highlight w:val="none"/>
          <w:lang w:val="zh-CN"/>
        </w:rPr>
      </w:pPr>
      <w:r>
        <w:rPr>
          <w:rFonts w:hint="eastAsia"/>
          <w:b/>
          <w:kern w:val="2"/>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pPr>
        <w:adjustRightInd w:val="0"/>
        <w:snapToGrid w:val="0"/>
        <w:spacing w:before="93" w:beforeLines="30" w:line="360" w:lineRule="auto"/>
        <w:ind w:firstLine="422" w:firstLineChars="200"/>
        <w:rPr>
          <w:rFonts w:hint="eastAsia" w:eastAsia="宋体"/>
          <w:b/>
          <w:kern w:val="2"/>
          <w:sz w:val="21"/>
          <w:szCs w:val="21"/>
          <w:highlight w:val="none"/>
          <w:u w:val="single"/>
          <w:lang w:val="en-US" w:eastAsia="zh-CN"/>
        </w:rPr>
      </w:pPr>
      <w:r>
        <w:rPr>
          <w:rFonts w:hint="eastAsia"/>
          <w:b/>
          <w:kern w:val="2"/>
          <w:sz w:val="21"/>
          <w:szCs w:val="21"/>
          <w:highlight w:val="none"/>
          <w:u w:val="none"/>
        </w:rPr>
        <w:t>（1）</w:t>
      </w:r>
      <w:r>
        <w:rPr>
          <w:rFonts w:hint="eastAsia"/>
          <w:b/>
          <w:kern w:val="2"/>
          <w:sz w:val="21"/>
          <w:szCs w:val="21"/>
          <w:highlight w:val="none"/>
          <w:u w:val="single"/>
        </w:rPr>
        <w:t>按照费率计算的措施费，应按照实际发生变化的措施项目依据原磋商文件规定的费率计算；</w:t>
      </w:r>
      <w:r>
        <w:rPr>
          <w:rFonts w:hint="eastAsia"/>
          <w:b/>
          <w:kern w:val="2"/>
          <w:sz w:val="21"/>
          <w:szCs w:val="21"/>
          <w:highlight w:val="none"/>
          <w:u w:val="single"/>
          <w:lang w:val="en-US" w:eastAsia="zh-CN"/>
        </w:rPr>
        <w:t xml:space="preserve"> </w:t>
      </w:r>
    </w:p>
    <w:p>
      <w:pPr>
        <w:adjustRightInd w:val="0"/>
        <w:snapToGrid w:val="0"/>
        <w:spacing w:before="93" w:beforeLines="30" w:line="360" w:lineRule="auto"/>
        <w:ind w:firstLine="422" w:firstLineChars="200"/>
        <w:jc w:val="left"/>
        <w:rPr>
          <w:rFonts w:hint="eastAsia" w:eastAsia="宋体"/>
          <w:b/>
          <w:kern w:val="2"/>
          <w:sz w:val="21"/>
          <w:szCs w:val="21"/>
          <w:highlight w:val="none"/>
          <w:u w:val="single"/>
          <w:lang w:val="en-US" w:eastAsia="zh-CN"/>
        </w:rPr>
      </w:pPr>
      <w:r>
        <w:rPr>
          <w:rFonts w:hint="eastAsia"/>
          <w:b/>
          <w:kern w:val="2"/>
          <w:sz w:val="21"/>
          <w:szCs w:val="21"/>
          <w:highlight w:val="none"/>
          <w:u w:val="none"/>
        </w:rPr>
        <w:t>（2）</w:t>
      </w:r>
      <w:r>
        <w:rPr>
          <w:rFonts w:hint="eastAsia"/>
          <w:b/>
          <w:kern w:val="2"/>
          <w:sz w:val="21"/>
          <w:szCs w:val="21"/>
          <w:highlight w:val="none"/>
          <w:u w:val="single"/>
        </w:rPr>
        <w:t>按照单价计算的措施项目费，应按照实际发生变化的措施项目，按本合同</w:t>
      </w:r>
      <w:r>
        <w:rPr>
          <w:rFonts w:hint="eastAsia"/>
          <w:b/>
          <w:kern w:val="2"/>
          <w:sz w:val="21"/>
          <w:szCs w:val="21"/>
          <w:highlight w:val="none"/>
          <w:u w:val="single"/>
          <w:lang w:eastAsia="zh-CN"/>
        </w:rPr>
        <w:t>专业</w:t>
      </w:r>
      <w:r>
        <w:rPr>
          <w:rFonts w:hint="eastAsia"/>
          <w:b/>
          <w:kern w:val="2"/>
          <w:sz w:val="21"/>
          <w:szCs w:val="21"/>
          <w:highlight w:val="none"/>
          <w:u w:val="single"/>
        </w:rPr>
        <w:t>条款第10.4.1.1目计算；</w:t>
      </w:r>
      <w:r>
        <w:rPr>
          <w:rFonts w:hint="eastAsia"/>
          <w:b/>
          <w:kern w:val="2"/>
          <w:sz w:val="21"/>
          <w:szCs w:val="21"/>
          <w:highlight w:val="none"/>
          <w:u w:val="single"/>
          <w:lang w:val="en-US" w:eastAsia="zh-CN"/>
        </w:rPr>
        <w:t xml:space="preserve"> </w:t>
      </w:r>
    </w:p>
    <w:p>
      <w:pPr>
        <w:adjustRightInd w:val="0"/>
        <w:snapToGrid w:val="0"/>
        <w:spacing w:before="93" w:beforeLines="30" w:line="360" w:lineRule="auto"/>
        <w:ind w:firstLine="422" w:firstLineChars="200"/>
        <w:rPr>
          <w:rFonts w:hint="eastAsia" w:eastAsia="宋体"/>
          <w:b/>
          <w:kern w:val="2"/>
          <w:sz w:val="21"/>
          <w:szCs w:val="21"/>
          <w:highlight w:val="none"/>
          <w:u w:val="single"/>
          <w:lang w:val="en-US" w:eastAsia="zh-CN"/>
        </w:rPr>
      </w:pPr>
      <w:r>
        <w:rPr>
          <w:rFonts w:hint="eastAsia"/>
          <w:b/>
          <w:kern w:val="2"/>
          <w:sz w:val="21"/>
          <w:szCs w:val="21"/>
          <w:highlight w:val="none"/>
          <w:u w:val="none"/>
        </w:rPr>
        <w:t>（3）</w:t>
      </w:r>
      <w:r>
        <w:rPr>
          <w:rFonts w:hint="eastAsia"/>
          <w:b/>
          <w:kern w:val="2"/>
          <w:sz w:val="21"/>
          <w:szCs w:val="21"/>
          <w:highlight w:val="none"/>
          <w:u w:val="single"/>
        </w:rPr>
        <w:t>按总价（或系数）计算的措施项目费，应按照实际发生变化的措施项目和承包人磋商总价降幅同比下浮标准，提出新的措施项目费，作为结算的依据；</w:t>
      </w:r>
      <w:r>
        <w:rPr>
          <w:rFonts w:hint="eastAsia"/>
          <w:b/>
          <w:kern w:val="2"/>
          <w:sz w:val="21"/>
          <w:szCs w:val="21"/>
          <w:highlight w:val="none"/>
          <w:u w:val="single"/>
          <w:lang w:val="en-US" w:eastAsia="zh-CN"/>
        </w:rPr>
        <w:t xml:space="preserve"> </w:t>
      </w:r>
    </w:p>
    <w:p>
      <w:pPr>
        <w:adjustRightInd w:val="0"/>
        <w:snapToGrid w:val="0"/>
        <w:spacing w:before="93" w:beforeLines="30" w:line="360" w:lineRule="auto"/>
        <w:ind w:firstLine="422" w:firstLineChars="200"/>
        <w:rPr>
          <w:rFonts w:hint="eastAsia" w:eastAsia="宋体"/>
          <w:b/>
          <w:kern w:val="2"/>
          <w:sz w:val="21"/>
          <w:szCs w:val="21"/>
          <w:highlight w:val="none"/>
          <w:u w:val="single"/>
          <w:lang w:val="en-US" w:eastAsia="zh-CN"/>
        </w:rPr>
      </w:pPr>
      <w:r>
        <w:rPr>
          <w:rFonts w:hint="eastAsia"/>
          <w:b/>
          <w:kern w:val="2"/>
          <w:sz w:val="21"/>
          <w:szCs w:val="21"/>
          <w:highlight w:val="none"/>
          <w:u w:val="none"/>
        </w:rPr>
        <w:t>（4）</w:t>
      </w:r>
      <w:r>
        <w:rPr>
          <w:rFonts w:hint="eastAsia"/>
          <w:b/>
          <w:kern w:val="2"/>
          <w:sz w:val="21"/>
          <w:szCs w:val="21"/>
          <w:highlight w:val="none"/>
          <w:u w:val="single"/>
        </w:rPr>
        <w:t>如果承包人未事前将拟实施的方案提交给发包人确认，则应视为工程变更不引起措施项目费的调整或承包人放弃调整措施项目费的权利。</w:t>
      </w:r>
      <w:r>
        <w:rPr>
          <w:rFonts w:hint="eastAsia"/>
          <w:b/>
          <w:kern w:val="2"/>
          <w:sz w:val="21"/>
          <w:szCs w:val="21"/>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Start w:id="338" w:name="_Toc296347196"/>
      <w:bookmarkStart w:id="339" w:name="_Toc296944536"/>
      <w:bookmarkStart w:id="340" w:name="_Toc303539150"/>
      <w:bookmarkStart w:id="341" w:name="_Toc300934993"/>
      <w:bookmarkStart w:id="342" w:name="_Toc297123544"/>
      <w:bookmarkStart w:id="343" w:name="_Toc292559402"/>
      <w:bookmarkStart w:id="344" w:name="_Toc296891237"/>
      <w:bookmarkStart w:id="345" w:name="_Toc296891025"/>
      <w:bookmarkStart w:id="346" w:name="_Toc297216203"/>
      <w:bookmarkStart w:id="347" w:name="_Toc296503197"/>
      <w:bookmarkStart w:id="348" w:name="_Toc292559907"/>
      <w:bookmarkStart w:id="349" w:name="_Toc297120497"/>
      <w:bookmarkStart w:id="350" w:name="_Toc296346698"/>
      <w:bookmarkStart w:id="351" w:name="_Toc297048383"/>
      <w:bookmarkStart w:id="352" w:name="_Toc304295570"/>
      <w:bookmarkStart w:id="353" w:name="_Toc312677503"/>
      <w:bookmarkStart w:id="354" w:name="_Toc312678029"/>
      <w:r>
        <w:rPr>
          <w:rFonts w:ascii="Arial" w:hAnsi="Arial" w:eastAsia="黑体"/>
          <w:bCs/>
          <w:kern w:val="2"/>
          <w:sz w:val="21"/>
          <w:szCs w:val="28"/>
          <w:highlight w:val="none"/>
        </w:rPr>
        <w:t>0.5</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承</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Start w:id="355" w:name="_Toc296503203"/>
      <w:bookmarkStart w:id="356" w:name="_Toc303539151"/>
      <w:bookmarkStart w:id="357" w:name="_Toc297123545"/>
      <w:bookmarkStart w:id="358" w:name="_Toc296347202"/>
      <w:bookmarkStart w:id="359" w:name="_Toc292559408"/>
      <w:bookmarkStart w:id="360" w:name="_Toc296346704"/>
      <w:bookmarkStart w:id="361" w:name="_Toc297216204"/>
      <w:bookmarkStart w:id="362" w:name="_Toc297120503"/>
      <w:bookmarkStart w:id="363" w:name="_Toc296891031"/>
      <w:bookmarkStart w:id="364" w:name="_Toc300934994"/>
      <w:bookmarkStart w:id="365" w:name="_Toc296944542"/>
      <w:bookmarkStart w:id="366" w:name="_Toc292559913"/>
      <w:bookmarkStart w:id="367" w:name="_Toc296891243"/>
      <w:bookmarkStart w:id="368" w:name="_Toc297048389"/>
      <w:r>
        <w:rPr>
          <w:rFonts w:ascii="Arial" w:hAnsi="Arial" w:eastAsia="黑体"/>
          <w:bCs/>
          <w:kern w:val="2"/>
          <w:sz w:val="21"/>
          <w:szCs w:val="28"/>
          <w:highlight w:val="none"/>
        </w:rPr>
        <w:t>包人的合理化建议</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监理人审查承包人合理化建议的期限：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收到承包人提交的合理化建议后</w:t>
      </w:r>
      <w:r>
        <w:rPr>
          <w:rFonts w:ascii="Times New Roman" w:hAnsi="Times New Roman"/>
          <w:b/>
          <w:kern w:val="2"/>
          <w:sz w:val="21"/>
          <w:szCs w:val="24"/>
          <w:highlight w:val="none"/>
          <w:u w:val="single"/>
        </w:rPr>
        <w:t>7</w:t>
      </w:r>
      <w:r>
        <w:rPr>
          <w:rFonts w:hint="eastAsia" w:ascii="Times New Roman" w:hAnsi="Times New Roman"/>
          <w:b/>
          <w:kern w:val="2"/>
          <w:sz w:val="21"/>
          <w:szCs w:val="24"/>
          <w:highlight w:val="none"/>
          <w:u w:val="single"/>
        </w:rPr>
        <w:t>天内审查完毕</w:t>
      </w:r>
      <w:r>
        <w:rPr>
          <w:rFonts w:ascii="Times New Roman" w:hAnsi="Times New Roman"/>
          <w:b/>
          <w:bCs/>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发包人审批承包人合理化建议的期限：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收到监理人报送的合理化建议后7天内审批完毕</w:t>
      </w:r>
      <w:r>
        <w:rPr>
          <w:rFonts w:ascii="Times New Roman" w:hAnsi="Times New Roman"/>
          <w:b/>
          <w:bCs/>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承</w:t>
      </w:r>
      <w:bookmarkStart w:id="369" w:name="_Toc303539152"/>
      <w:bookmarkStart w:id="370" w:name="_Toc304295571"/>
      <w:bookmarkStart w:id="371" w:name="_Toc312678030"/>
      <w:bookmarkStart w:id="372" w:name="_Toc300934995"/>
      <w:bookmarkStart w:id="373" w:name="_Toc297216205"/>
      <w:bookmarkStart w:id="374" w:name="_Toc296503204"/>
      <w:bookmarkStart w:id="375" w:name="_Toc296891244"/>
      <w:bookmarkStart w:id="376" w:name="_Toc296944543"/>
      <w:bookmarkStart w:id="377" w:name="_Toc292559409"/>
      <w:bookmarkStart w:id="378" w:name="_Toc297123546"/>
      <w:bookmarkStart w:id="379" w:name="_Toc312677504"/>
      <w:bookmarkStart w:id="380" w:name="_Toc297048390"/>
      <w:bookmarkStart w:id="381" w:name="_Toc296346705"/>
      <w:bookmarkStart w:id="382" w:name="_Toc296347203"/>
      <w:bookmarkStart w:id="383" w:name="_Toc318581175"/>
      <w:bookmarkStart w:id="384" w:name="_Toc297120504"/>
      <w:bookmarkStart w:id="385" w:name="_Toc292559914"/>
      <w:bookmarkStart w:id="386" w:name="_Toc296891032"/>
      <w:r>
        <w:rPr>
          <w:rFonts w:ascii="Times New Roman" w:hAnsi="Times New Roman"/>
          <w:kern w:val="2"/>
          <w:sz w:val="21"/>
          <w:szCs w:val="24"/>
          <w:highlight w:val="none"/>
        </w:rPr>
        <w:t>包人提出的合理化建议降低了合同价格或者提高了工程经济效益的奖励的方法和金额为：</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不采用</w:t>
      </w:r>
      <w:r>
        <w:rPr>
          <w:rFonts w:ascii="Times New Roman" w:hAnsi="Times New Roman"/>
          <w:b/>
          <w:bCs/>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w:t>
      </w:r>
      <w:bookmarkStart w:id="387" w:name="_Toc292559404"/>
      <w:bookmarkStart w:id="388" w:name="_Toc312678033"/>
      <w:bookmarkStart w:id="389" w:name="_Toc300934997"/>
      <w:bookmarkStart w:id="390" w:name="_Toc297120499"/>
      <w:bookmarkStart w:id="391" w:name="_Toc296346700"/>
      <w:bookmarkStart w:id="392" w:name="_Toc297216207"/>
      <w:bookmarkStart w:id="393" w:name="_Toc297123548"/>
      <w:bookmarkStart w:id="394" w:name="_Toc296891239"/>
      <w:bookmarkStart w:id="395" w:name="_Toc303539154"/>
      <w:bookmarkStart w:id="396" w:name="_Toc296503199"/>
      <w:bookmarkStart w:id="397" w:name="_Toc296944538"/>
      <w:bookmarkStart w:id="398" w:name="_Toc292559909"/>
      <w:bookmarkStart w:id="399" w:name="_Toc304295574"/>
      <w:bookmarkStart w:id="400" w:name="_Toc297048385"/>
      <w:bookmarkStart w:id="401" w:name="_Toc296347198"/>
      <w:bookmarkStart w:id="402" w:name="_Toc296891027"/>
      <w:bookmarkStart w:id="403" w:name="_Toc312677507"/>
      <w:r>
        <w:rPr>
          <w:rFonts w:ascii="Arial" w:hAnsi="Arial" w:eastAsia="黑体"/>
          <w:bCs/>
          <w:kern w:val="2"/>
          <w:sz w:val="21"/>
          <w:szCs w:val="28"/>
          <w:highlight w:val="none"/>
        </w:rPr>
        <w:t>0.7 暂估价</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暂</w:t>
      </w:r>
      <w:bookmarkStart w:id="404" w:name="_Toc312677508"/>
      <w:bookmarkStart w:id="405" w:name="_Toc318581176"/>
      <w:bookmarkStart w:id="406" w:name="_Toc312678034"/>
      <w:r>
        <w:rPr>
          <w:rFonts w:ascii="Times New Roman" w:hAnsi="Times New Roman"/>
          <w:sz w:val="21"/>
          <w:szCs w:val="24"/>
          <w:highlight w:val="none"/>
        </w:rPr>
        <w:t>估价材料和工程设备的明细详见附件</w:t>
      </w:r>
      <w:r>
        <w:rPr>
          <w:rFonts w:hint="eastAsia" w:ascii="Times New Roman" w:hAnsi="Times New Roman"/>
          <w:sz w:val="21"/>
          <w:szCs w:val="24"/>
          <w:highlight w:val="none"/>
        </w:rPr>
        <w:t>11：《</w:t>
      </w:r>
      <w:r>
        <w:rPr>
          <w:rFonts w:ascii="Times New Roman" w:hAnsi="Times New Roman"/>
          <w:kern w:val="2"/>
          <w:sz w:val="21"/>
          <w:szCs w:val="24"/>
          <w:highlight w:val="none"/>
        </w:rPr>
        <w:t>暂估价一览表</w:t>
      </w:r>
      <w:r>
        <w:rPr>
          <w:rFonts w:hint="eastAsia" w:ascii="Times New Roman" w:hAnsi="Times New Roman"/>
          <w:kern w:val="2"/>
          <w:sz w:val="21"/>
          <w:szCs w:val="24"/>
          <w:highlight w:val="none"/>
        </w:rPr>
        <w:t>》</w:t>
      </w:r>
      <w:r>
        <w:rPr>
          <w:rFonts w:hint="eastAsia" w:ascii="Times New Roman" w:hAnsi="Times New Roman"/>
          <w:sz w:val="21"/>
          <w:szCs w:val="24"/>
          <w:highlight w:val="none"/>
        </w:rPr>
        <w:t>。</w:t>
      </w:r>
    </w:p>
    <w:bookmarkEnd w:id="404"/>
    <w:bookmarkEnd w:id="405"/>
    <w:bookmarkEnd w:id="406"/>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w:t>
      </w:r>
      <w:bookmarkStart w:id="407" w:name="_Toc312678035"/>
      <w:bookmarkStart w:id="408" w:name="_Toc318581177"/>
      <w:bookmarkStart w:id="409" w:name="_Toc312677509"/>
      <w:r>
        <w:rPr>
          <w:rFonts w:ascii="Times New Roman" w:hAnsi="Times New Roman"/>
          <w:kern w:val="2"/>
          <w:sz w:val="21"/>
          <w:szCs w:val="24"/>
          <w:highlight w:val="none"/>
        </w:rPr>
        <w:t>0.7.1 依法必须招标的暂估价项目</w:t>
      </w:r>
    </w:p>
    <w:bookmarkEnd w:id="407"/>
    <w:bookmarkEnd w:id="408"/>
    <w:bookmarkEnd w:id="409"/>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对于依法必须招标的暂估价项目的确认和批准采取第</w:t>
      </w:r>
      <w:r>
        <w:rPr>
          <w:rFonts w:hint="eastAsia" w:ascii="Times New Roman" w:hAnsi="Times New Roman"/>
          <w:kern w:val="2"/>
          <w:sz w:val="21"/>
          <w:szCs w:val="24"/>
          <w:highlight w:val="none"/>
          <w:u w:val="single"/>
        </w:rPr>
        <w:t>2</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种方式确定。</w:t>
      </w:r>
      <w:r>
        <w:rPr>
          <w:rFonts w:hint="eastAsia" w:ascii="Times New Roman"/>
          <w:b/>
          <w:highlight w:val="none"/>
          <w:u w:val="single"/>
          <w:lang w:val="en-US" w:eastAsia="zh-CN"/>
        </w:rPr>
        <w:t xml:space="preserve"> </w:t>
      </w:r>
      <w:r>
        <w:rPr>
          <w:rFonts w:hint="eastAsia" w:ascii="Times New Roman"/>
          <w:b/>
          <w:highlight w:val="none"/>
          <w:u w:val="single"/>
        </w:rPr>
        <w:t>并应按相关规定进行二次招标</w:t>
      </w:r>
      <w:r>
        <w:rPr>
          <w:rFonts w:ascii="Times New Roman" w:hAnsi="Times New Roman"/>
          <w:b/>
          <w:bCs/>
          <w:kern w:val="2"/>
          <w:sz w:val="21"/>
          <w:szCs w:val="24"/>
          <w:highlight w:val="none"/>
          <w:u w:val="single"/>
        </w:rPr>
        <w:t>。</w:t>
      </w:r>
      <w:r>
        <w:rPr>
          <w:rFonts w:hint="eastAsia" w:ascii="Times New Roman"/>
          <w:b/>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10.7.2 不属于依法必须招标的暂估价项目</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对于不属于依法必须招标的暂估价项目的确认和批准采取第</w:t>
      </w:r>
      <w:r>
        <w:rPr>
          <w:rFonts w:hint="eastAsia" w:ascii="Times New Roman" w:hAnsi="Times New Roman"/>
          <w:kern w:val="2"/>
          <w:sz w:val="21"/>
          <w:szCs w:val="24"/>
          <w:highlight w:val="none"/>
          <w:u w:val="single"/>
        </w:rPr>
        <w:t>1</w:t>
      </w:r>
      <w:r>
        <w:rPr>
          <w:rFonts w:ascii="Times New Roman" w:hAnsi="Times New Roman"/>
          <w:kern w:val="2"/>
          <w:sz w:val="21"/>
          <w:szCs w:val="24"/>
          <w:highlight w:val="none"/>
        </w:rPr>
        <w:t>种方式确定。</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kern w:val="2"/>
          <w:sz w:val="21"/>
          <w:szCs w:val="24"/>
          <w:highlight w:val="none"/>
        </w:rPr>
        <w:t>第3种方式：</w:t>
      </w:r>
      <w:r>
        <w:rPr>
          <w:rFonts w:ascii="Times New Roman" w:hAnsi="Times New Roman"/>
          <w:sz w:val="21"/>
          <w:szCs w:val="24"/>
          <w:highlight w:val="none"/>
        </w:rPr>
        <w:t>承包人直接实施的暂估价项目</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承包人直接实施的暂估价项目的约定：</w:t>
      </w:r>
      <w:r>
        <w:rPr>
          <w:rFonts w:hint="eastAsia" w:ascii="Times New Roman" w:hAnsi="Times New Roman"/>
          <w:kern w:val="2"/>
          <w:sz w:val="21"/>
          <w:szCs w:val="24"/>
          <w:highlight w:val="none"/>
          <w:u w:val="single"/>
          <w:lang w:val="en-US" w:eastAsia="zh-CN"/>
        </w:rPr>
        <w:t xml:space="preserve"> </w:t>
      </w:r>
      <w:r>
        <w:rPr>
          <w:rFonts w:hint="eastAsia" w:ascii="Times New Roman" w:hAnsi="Times New Roman"/>
          <w:kern w:val="2"/>
          <w:sz w:val="21"/>
          <w:szCs w:val="24"/>
          <w:highlight w:val="none"/>
          <w:u w:val="single"/>
        </w:rPr>
        <w:t>/</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10.8 暂列金额</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sz w:val="21"/>
          <w:szCs w:val="24"/>
          <w:highlight w:val="none"/>
        </w:rPr>
        <w:t>合同当事人关于暂列金额使用的约定：</w:t>
      </w:r>
      <w:r>
        <w:rPr>
          <w:rFonts w:hint="eastAsia" w:ascii="Times New Roman" w:hAnsi="Times New Roman"/>
          <w:b/>
          <w:sz w:val="21"/>
          <w:szCs w:val="24"/>
          <w:highlight w:val="none"/>
          <w:u w:val="single"/>
          <w:lang w:val="en-US" w:eastAsia="zh-CN"/>
        </w:rPr>
        <w:t xml:space="preserve"> </w:t>
      </w:r>
      <w:r>
        <w:rPr>
          <w:rFonts w:hint="eastAsia" w:ascii="Times New Roman" w:hAnsi="Times New Roman"/>
          <w:b/>
          <w:sz w:val="21"/>
          <w:szCs w:val="24"/>
          <w:highlight w:val="none"/>
          <w:u w:val="single"/>
        </w:rPr>
        <w:t>执行</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rPr>
        <w:t>通用</w:t>
      </w:r>
      <w:r>
        <w:rPr>
          <w:rFonts w:hint="eastAsia" w:ascii="Times New Roman" w:hAnsi="Times New Roman"/>
          <w:b/>
          <w:sz w:val="21"/>
          <w:szCs w:val="24"/>
          <w:highlight w:val="none"/>
          <w:u w:val="single"/>
          <w:lang w:val="en-US" w:eastAsia="zh-CN"/>
        </w:rPr>
        <w:t>合同</w:t>
      </w:r>
      <w:r>
        <w:rPr>
          <w:rFonts w:hint="eastAsia" w:ascii="Times New Roman" w:hAnsi="Times New Roman"/>
          <w:b/>
          <w:sz w:val="21"/>
          <w:szCs w:val="24"/>
          <w:highlight w:val="none"/>
          <w:u w:val="single"/>
        </w:rPr>
        <w:t>条款</w:t>
      </w:r>
      <w:r>
        <w:rPr>
          <w:rFonts w:hint="eastAsia" w:ascii="Times New Roman" w:hAnsi="Times New Roman"/>
          <w:b/>
          <w:sz w:val="21"/>
          <w:szCs w:val="24"/>
          <w:highlight w:val="none"/>
          <w:u w:val="single"/>
          <w:lang w:eastAsia="zh-CN"/>
        </w:rPr>
        <w:t>》</w:t>
      </w:r>
      <w:r>
        <w:rPr>
          <w:rFonts w:hint="eastAsia" w:ascii="Times New Roman" w:hAnsi="Times New Roman"/>
          <w:b/>
          <w:sz w:val="21"/>
          <w:szCs w:val="24"/>
          <w:highlight w:val="none"/>
          <w:u w:val="single"/>
          <w:lang w:val="en-US" w:eastAsia="zh-CN"/>
        </w:rPr>
        <w:t xml:space="preserve"> </w:t>
      </w:r>
      <w:r>
        <w:rPr>
          <w:rFonts w:hint="eastAsia" w:ascii="Times New Roman" w:hAnsi="Times New Roman"/>
          <w:sz w:val="21"/>
          <w:szCs w:val="24"/>
          <w:highlight w:val="none"/>
          <w:u w:val="single"/>
        </w:rPr>
        <w:t>。</w:t>
      </w:r>
      <w:r>
        <w:rPr>
          <w:rFonts w:hint="eastAsia" w:ascii="Times New Roman" w:hAnsi="Times New Roman"/>
          <w:sz w:val="21"/>
          <w:szCs w:val="24"/>
          <w:highlight w:val="none"/>
          <w:u w:val="single"/>
          <w:lang w:val="en-US" w:eastAsia="zh-CN"/>
        </w:rPr>
        <w:t xml:space="preserve"> </w:t>
      </w:r>
    </w:p>
    <w:p>
      <w:pPr>
        <w:keepNext/>
        <w:keepLines/>
        <w:spacing w:before="120" w:after="120" w:line="360" w:lineRule="auto"/>
        <w:jc w:val="left"/>
        <w:outlineLvl w:val="2"/>
        <w:rPr>
          <w:rFonts w:ascii="黑体" w:hAnsi="黑体" w:eastAsia="黑体"/>
          <w:bCs/>
          <w:kern w:val="2"/>
          <w:sz w:val="24"/>
          <w:szCs w:val="24"/>
          <w:highlight w:val="none"/>
        </w:rPr>
      </w:pPr>
      <w:bookmarkStart w:id="410" w:name="_Toc351203643"/>
      <w:r>
        <w:rPr>
          <w:rFonts w:ascii="黑体" w:hAnsi="黑体" w:eastAsia="黑体"/>
          <w:bCs/>
          <w:kern w:val="2"/>
          <w:sz w:val="24"/>
          <w:szCs w:val="24"/>
          <w:highlight w:val="none"/>
        </w:rPr>
        <w:t>11. 价格调整</w:t>
      </w:r>
      <w:bookmarkEnd w:id="410"/>
    </w:p>
    <w:p>
      <w:pPr>
        <w:keepNext/>
        <w:keepLines/>
        <w:spacing w:before="120" w:after="120" w:line="360" w:lineRule="auto"/>
        <w:ind w:firstLine="420" w:firstLineChars="200"/>
        <w:outlineLvl w:val="3"/>
        <w:rPr>
          <w:rFonts w:ascii="Arial" w:hAnsi="Arial" w:eastAsia="黑体"/>
          <w:bCs/>
          <w:kern w:val="2"/>
          <w:sz w:val="21"/>
          <w:szCs w:val="28"/>
          <w:highlight w:val="none"/>
        </w:rPr>
      </w:pPr>
      <w:bookmarkStart w:id="411" w:name="_Toc296346702"/>
      <w:bookmarkStart w:id="412" w:name="_Toc304295577"/>
      <w:bookmarkStart w:id="413" w:name="_Toc296347200"/>
      <w:bookmarkStart w:id="414" w:name="_Toc300935000"/>
      <w:bookmarkStart w:id="415" w:name="_Toc297216209"/>
      <w:bookmarkStart w:id="416" w:name="_Toc297120501"/>
      <w:bookmarkStart w:id="417" w:name="_Toc296891029"/>
      <w:bookmarkStart w:id="418" w:name="_Toc297123550"/>
      <w:bookmarkStart w:id="419" w:name="_Toc296891241"/>
      <w:bookmarkStart w:id="420" w:name="_Toc292559406"/>
      <w:bookmarkStart w:id="421" w:name="_Toc296503201"/>
      <w:bookmarkStart w:id="422" w:name="_Toc303539157"/>
      <w:bookmarkStart w:id="423" w:name="_Toc296944540"/>
      <w:bookmarkStart w:id="424" w:name="_Toc292559911"/>
      <w:bookmarkStart w:id="425" w:name="_Toc297048387"/>
      <w:bookmarkStart w:id="426" w:name="_Toc312678039"/>
      <w:r>
        <w:rPr>
          <w:rFonts w:ascii="Arial" w:hAnsi="Arial" w:eastAsia="黑体"/>
          <w:bCs/>
          <w:kern w:val="2"/>
          <w:sz w:val="21"/>
          <w:szCs w:val="28"/>
          <w:highlight w:val="none"/>
        </w:rPr>
        <w:t>11.1 市场价格波动引起的调整</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市场价格波动是否调整合同价格的约定：</w:t>
      </w:r>
      <w:r>
        <w:rPr>
          <w:rFonts w:hint="eastAsia" w:cs="宋体"/>
          <w:sz w:val="21"/>
          <w:szCs w:val="21"/>
          <w:highlight w:val="green"/>
          <w:u w:val="single"/>
          <w:shd w:val="clear" w:color="auto" w:fill="FFFFFF"/>
          <w:lang w:val="en-US" w:eastAsia="zh-CN"/>
        </w:rPr>
        <w:t>不调整</w:t>
      </w:r>
      <w:r>
        <w:rPr>
          <w:rFonts w:ascii="Times New Roman" w:hAnsi="Times New Roman"/>
          <w:kern w:val="2"/>
          <w:sz w:val="21"/>
          <w:szCs w:val="24"/>
          <w:highlight w:val="none"/>
          <w:u w:val="single"/>
        </w:rPr>
        <w:t>。</w:t>
      </w:r>
      <w:r>
        <w:rPr>
          <w:rFonts w:hint="eastAsia" w:cs="宋体"/>
          <w:sz w:val="21"/>
          <w:szCs w:val="21"/>
          <w:highlight w:val="none"/>
          <w:u w:val="single"/>
          <w:shd w:val="clear" w:color="auto" w:fill="FFFFFF"/>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因市场价格波动调整合同价格，采用以下第</w:t>
      </w:r>
      <w:r>
        <w:rPr>
          <w:rFonts w:hint="eastAsia" w:ascii="Times New Roman" w:hAnsi="Times New Roman"/>
          <w:kern w:val="2"/>
          <w:sz w:val="21"/>
          <w:szCs w:val="24"/>
          <w:highlight w:val="green"/>
          <w:u w:val="single"/>
          <w:lang w:val="en-US" w:eastAsia="zh-CN"/>
        </w:rPr>
        <w:t xml:space="preserve">  / </w:t>
      </w:r>
      <w:r>
        <w:rPr>
          <w:rFonts w:ascii="Times New Roman" w:hAnsi="Times New Roman"/>
          <w:kern w:val="2"/>
          <w:sz w:val="21"/>
          <w:szCs w:val="24"/>
          <w:highlight w:val="none"/>
        </w:rPr>
        <w:t>种方式对合同价格进行调整：</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第1种方式：采用价格指数</w:t>
      </w:r>
      <w:r>
        <w:rPr>
          <w:rFonts w:hint="eastAsia" w:ascii="Times New Roman" w:hAnsi="Times New Roman"/>
          <w:kern w:val="2"/>
          <w:sz w:val="21"/>
          <w:szCs w:val="24"/>
          <w:highlight w:val="none"/>
        </w:rPr>
        <w:t>进行价格</w:t>
      </w:r>
      <w:r>
        <w:rPr>
          <w:rFonts w:ascii="Times New Roman" w:hAnsi="Times New Roman"/>
          <w:kern w:val="2"/>
          <w:sz w:val="21"/>
          <w:szCs w:val="24"/>
          <w:highlight w:val="none"/>
        </w:rPr>
        <w:t>调整。</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关于各可调因子、定值和变值权重，以及基本价格指数及其来源的约定：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第2种方式：采用造价信息</w:t>
      </w:r>
      <w:r>
        <w:rPr>
          <w:rFonts w:hint="eastAsia" w:ascii="Times New Roman" w:hAnsi="Times New Roman"/>
          <w:kern w:val="2"/>
          <w:sz w:val="21"/>
          <w:szCs w:val="24"/>
          <w:highlight w:val="none"/>
        </w:rPr>
        <w:t>进行价格</w:t>
      </w:r>
      <w:r>
        <w:rPr>
          <w:rFonts w:ascii="Times New Roman" w:hAnsi="Times New Roman"/>
          <w:kern w:val="2"/>
          <w:sz w:val="21"/>
          <w:szCs w:val="24"/>
          <w:highlight w:val="none"/>
        </w:rPr>
        <w:t>调整。</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（2）关于基准价格的约定：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cs="宋体"/>
          <w:kern w:val="2"/>
          <w:sz w:val="21"/>
          <w:szCs w:val="24"/>
          <w:highlight w:val="none"/>
        </w:rPr>
        <w:t>①</w:t>
      </w:r>
      <w:r>
        <w:rPr>
          <w:rFonts w:ascii="Times New Roman" w:hAnsi="Times New Roman"/>
          <w:kern w:val="2"/>
          <w:sz w:val="21"/>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rPr>
        <w:t>%时，或材料单价跌幅以已标价工程量清单或预算书中载明材料单价为基础超过</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%时，其超过部分据实调整。</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cs="宋体"/>
          <w:kern w:val="2"/>
          <w:sz w:val="21"/>
          <w:szCs w:val="24"/>
          <w:highlight w:val="none"/>
        </w:rPr>
        <w:t>②</w:t>
      </w:r>
      <w:r>
        <w:rPr>
          <w:rFonts w:ascii="Times New Roman" w:hAnsi="Times New Roman"/>
          <w:kern w:val="2"/>
          <w:sz w:val="21"/>
          <w:szCs w:val="24"/>
          <w:highlight w:val="none"/>
        </w:rPr>
        <w:t>承包人在已标价工程量清单或预算书中载明的材料单价高于基准价格的：专用合同条款合同履行期间材料单价跌幅以基准价格为基础超过</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%时，材料单价涨幅以已标价工程量清单或预算书中载明材料单价为基础超过</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%时，其超过部分据实调整。</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cs="宋体"/>
          <w:kern w:val="2"/>
          <w:sz w:val="21"/>
          <w:szCs w:val="24"/>
          <w:highlight w:val="none"/>
        </w:rPr>
        <w:t>③</w:t>
      </w:r>
      <w:r>
        <w:rPr>
          <w:rFonts w:ascii="Times New Roman" w:hAnsi="Times New Roman"/>
          <w:kern w:val="2"/>
          <w:sz w:val="21"/>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%时，其超过部分据实调整。</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ascii="Times New Roman" w:hAnsi="Times New Roman" w:cs="Times New Roman"/>
          <w:color w:val="auto"/>
          <w:kern w:val="2"/>
          <w:sz w:val="21"/>
          <w:highlight w:val="none"/>
        </w:rPr>
        <w:t>第3种方式：</w:t>
      </w:r>
      <w:r>
        <w:rPr>
          <w:rFonts w:hint="eastAsia"/>
          <w:color w:val="auto"/>
          <w:sz w:val="21"/>
          <w:szCs w:val="21"/>
          <w:highlight w:val="none"/>
          <w:u w:val="single"/>
          <w:shd w:val="clear" w:color="auto" w:fill="FFFFFF"/>
        </w:rPr>
        <w:t>按照如下约定对合同价格进行调整，具体如下：</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（1）可调整价差的人工、主要材料范围的约定</w:t>
      </w:r>
      <w:r>
        <w:rPr>
          <w:rFonts w:hint="eastAsia"/>
          <w:color w:val="auto"/>
          <w:sz w:val="21"/>
          <w:szCs w:val="21"/>
          <w:highlight w:val="none"/>
          <w:shd w:val="clear" w:color="auto" w:fill="FFFFFF"/>
          <w:lang w:eastAsia="zh-CN"/>
        </w:rPr>
        <w:t>：</w:t>
      </w:r>
      <w:r>
        <w:rPr>
          <w:rFonts w:hint="eastAsia"/>
          <w:color w:val="auto"/>
          <w:sz w:val="21"/>
          <w:szCs w:val="21"/>
          <w:highlight w:val="none"/>
          <w:u w:val="single"/>
          <w:shd w:val="clear" w:color="auto" w:fill="FFFFFF"/>
        </w:rPr>
        <w:t> </w:t>
      </w:r>
      <w:r>
        <w:rPr>
          <w:rFonts w:hint="eastAsia"/>
          <w:color w:val="auto"/>
          <w:sz w:val="21"/>
          <w:szCs w:val="21"/>
          <w:highlight w:val="none"/>
          <w:u w:val="single"/>
          <w:shd w:val="clear" w:color="auto" w:fill="FFFFFF"/>
          <w:lang w:val="en-US" w:eastAsia="zh-CN"/>
        </w:rPr>
        <w:t>\</w:t>
      </w:r>
      <w:r>
        <w:rPr>
          <w:rFonts w:hint="eastAsia"/>
          <w:color w:val="auto"/>
          <w:sz w:val="21"/>
          <w:szCs w:val="21"/>
          <w:highlight w:val="none"/>
          <w:u w:val="single"/>
          <w:shd w:val="clear" w:color="auto" w:fill="FFFFFF"/>
        </w:rPr>
        <w:t> </w:t>
      </w:r>
    </w:p>
    <w:p>
      <w:pPr>
        <w:pStyle w:val="17"/>
        <w:shd w:val="clear" w:color="auto" w:fill="FFFFFF"/>
        <w:spacing w:before="0" w:beforeAutospacing="0" w:after="0" w:afterAutospacing="0" w:line="360" w:lineRule="auto"/>
        <w:ind w:firstLine="640"/>
        <w:jc w:val="both"/>
        <w:rPr>
          <w:rFonts w:hint="eastAsia" w:eastAsia="宋体"/>
          <w:color w:val="auto"/>
          <w:sz w:val="21"/>
          <w:szCs w:val="21"/>
          <w:highlight w:val="none"/>
          <w:lang w:val="en-US" w:eastAsia="zh-CN"/>
        </w:rPr>
      </w:pPr>
      <w:r>
        <w:rPr>
          <w:rFonts w:hint="eastAsia"/>
          <w:color w:val="auto"/>
          <w:sz w:val="21"/>
          <w:szCs w:val="21"/>
          <w:highlight w:val="none"/>
          <w:shd w:val="clear" w:color="auto" w:fill="FFFFFF"/>
        </w:rPr>
        <w:t>（2）可调整价差的人工、主要材料价格依据：</w:t>
      </w:r>
      <w:r>
        <w:rPr>
          <w:rFonts w:hint="eastAsia"/>
          <w:color w:val="auto"/>
          <w:sz w:val="21"/>
          <w:szCs w:val="21"/>
          <w:highlight w:val="none"/>
          <w:u w:val="single"/>
          <w:shd w:val="clear" w:color="auto" w:fill="FFFFFF"/>
        </w:rPr>
        <w:t>《合肥建设工程市场价格信息》发布的人工、材料信息价或经发承包双方确认的价格。</w:t>
      </w:r>
      <w:r>
        <w:rPr>
          <w:rFonts w:hint="eastAsia"/>
          <w:color w:val="auto"/>
          <w:sz w:val="21"/>
          <w:szCs w:val="21"/>
          <w:highlight w:val="none"/>
          <w:u w:val="single"/>
          <w:shd w:val="clear" w:color="auto" w:fill="FFFFFF"/>
          <w:lang w:val="en-US" w:eastAsia="zh-CN"/>
        </w:rPr>
        <w:t xml:space="preserve"> </w:t>
      </w:r>
    </w:p>
    <w:p>
      <w:pPr>
        <w:pStyle w:val="17"/>
        <w:shd w:val="clear" w:color="auto" w:fill="FFFFFF"/>
        <w:spacing w:before="0" w:beforeAutospacing="0" w:after="0" w:afterAutospacing="0" w:line="360" w:lineRule="auto"/>
        <w:ind w:firstLine="640"/>
        <w:jc w:val="both"/>
        <w:rPr>
          <w:rFonts w:hint="default" w:eastAsia="宋体"/>
          <w:color w:val="auto"/>
          <w:sz w:val="21"/>
          <w:szCs w:val="21"/>
          <w:highlight w:val="none"/>
          <w:lang w:val="en-US" w:eastAsia="zh-CN"/>
        </w:rPr>
      </w:pPr>
      <w:r>
        <w:rPr>
          <w:rFonts w:hint="eastAsia"/>
          <w:color w:val="auto"/>
          <w:sz w:val="21"/>
          <w:szCs w:val="21"/>
          <w:highlight w:val="none"/>
          <w:shd w:val="clear" w:color="auto" w:fill="FFFFFF"/>
        </w:rPr>
        <w:t>（3）可调整价差的人工、主要材料风险幅度的约定</w:t>
      </w:r>
      <w:r>
        <w:rPr>
          <w:rFonts w:hint="eastAsia"/>
          <w:color w:val="auto"/>
          <w:sz w:val="21"/>
          <w:szCs w:val="21"/>
          <w:highlight w:val="none"/>
          <w:shd w:val="clear" w:color="auto" w:fill="FFFFFF"/>
          <w:lang w:eastAsia="zh-CN"/>
        </w:rPr>
        <w:t>：</w:t>
      </w:r>
      <w:r>
        <w:rPr>
          <w:rFonts w:hint="eastAsia"/>
          <w:color w:val="auto"/>
          <w:sz w:val="21"/>
          <w:szCs w:val="21"/>
          <w:highlight w:val="none"/>
          <w:u w:val="single"/>
          <w:shd w:val="clear" w:color="auto" w:fill="FFFFFF"/>
          <w:lang w:val="en-US" w:eastAsia="zh-CN"/>
        </w:rPr>
        <w:t xml:space="preserve"> </w:t>
      </w:r>
      <w:r>
        <w:rPr>
          <w:rFonts w:hint="eastAsia"/>
          <w:color w:val="auto"/>
          <w:sz w:val="21"/>
          <w:szCs w:val="21"/>
          <w:highlight w:val="none"/>
          <w:u w:val="single"/>
          <w:shd w:val="clear" w:color="auto" w:fill="FFFFFF"/>
        </w:rPr>
        <w:t>承包人承担可调整价格的人工、主要材料的价格波动市场风险幅度为±5%。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（4）可调整价差的人工、主要材料调整周期的约定：</w:t>
      </w:r>
    </w:p>
    <w:p>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①可调整人工价差调整周期为：</w:t>
      </w:r>
      <w:r>
        <w:rPr>
          <w:rFonts w:hint="eastAsia"/>
          <w:color w:val="auto"/>
          <w:sz w:val="21"/>
          <w:szCs w:val="21"/>
          <w:highlight w:val="none"/>
          <w:u w:val="single"/>
          <w:shd w:val="clear" w:color="auto" w:fill="FFFFFF"/>
        </w:rPr>
        <w:t>标段工程工期；</w:t>
      </w:r>
    </w:p>
    <w:p>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②可调整主要材料价差调整周期为：</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参照合建〔2021〕173号文件，根据具体周期及节点进度具体约定；</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（5）可调整的人工、主要材料价差调整计算方法的约定</w:t>
      </w:r>
      <w:r>
        <w:rPr>
          <w:rFonts w:hint="eastAsia"/>
          <w:color w:val="auto"/>
          <w:sz w:val="21"/>
          <w:szCs w:val="21"/>
          <w:highlight w:val="none"/>
          <w:shd w:val="clear" w:color="auto" w:fill="FFFFFF"/>
          <w:lang w:eastAsia="zh-CN"/>
        </w:rPr>
        <w:t>：</w:t>
      </w:r>
      <w:r>
        <w:rPr>
          <w:rFonts w:hint="eastAsia"/>
          <w:color w:val="auto"/>
          <w:sz w:val="21"/>
          <w:szCs w:val="21"/>
          <w:highlight w:val="none"/>
          <w:u w:val="single"/>
          <w:shd w:val="clear" w:color="auto" w:fill="FFFFFF"/>
        </w:rPr>
        <w:t> 经发承包双方确认的人工、材料价格为价差调整周期内的《合肥建设工程市场价格信息》中发布的各期人工、材料信息价（或发承包双方共同确定的人工、材料价格）算术平均值，设为A；</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编制最高限价中采用《合肥建设工程市场价格信息》中的人工、材料基准单价为B；</w:t>
      </w:r>
      <w:r>
        <w:rPr>
          <w:rFonts w:hint="eastAsia"/>
          <w:color w:val="auto"/>
          <w:sz w:val="21"/>
          <w:szCs w:val="18"/>
          <w:highlight w:val="none"/>
          <w:u w:val="single"/>
        </w:rPr>
        <w:t>参审单位</w:t>
      </w:r>
      <w:r>
        <w:rPr>
          <w:rFonts w:hint="eastAsia"/>
          <w:color w:val="auto"/>
          <w:sz w:val="21"/>
          <w:szCs w:val="21"/>
          <w:highlight w:val="none"/>
          <w:u w:val="single"/>
          <w:shd w:val="clear" w:color="auto" w:fill="FFFFFF"/>
        </w:rPr>
        <w:t>报价中的人工、材料单价为C；承包人应承担的风险幅度为D。 </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①人工、材料价格上涨达到可以调整幅度时，其计算公式为：</w:t>
      </w:r>
      <w:r>
        <w:rPr>
          <w:rFonts w:hint="eastAsia"/>
          <w:color w:val="auto"/>
          <w:sz w:val="21"/>
          <w:szCs w:val="21"/>
          <w:highlight w:val="none"/>
          <w:u w:val="single"/>
          <w:shd w:val="clear" w:color="auto" w:fill="FFFFFF"/>
        </w:rPr>
        <w:t>人工、材料结算单价＝A－Max(B,C)×(1+D)＋C； </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②人工、材料价格下跌达到可以调整幅度时，其计算公式为：</w:t>
      </w:r>
      <w:r>
        <w:rPr>
          <w:rFonts w:hint="eastAsia"/>
          <w:color w:val="auto"/>
          <w:sz w:val="21"/>
          <w:szCs w:val="21"/>
          <w:highlight w:val="none"/>
          <w:u w:val="single"/>
          <w:shd w:val="clear" w:color="auto" w:fill="FFFFFF"/>
        </w:rPr>
        <w:t>人工、材料结算单价＝A－Min(B,C)×(1-D)＋C； </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（6）</w:t>
      </w:r>
      <w:r>
        <w:rPr>
          <w:rFonts w:hint="eastAsia"/>
          <w:color w:val="auto"/>
          <w:sz w:val="21"/>
          <w:szCs w:val="21"/>
          <w:highlight w:val="none"/>
          <w:u w:val="single"/>
          <w:shd w:val="clear" w:color="auto" w:fill="FFFFFF"/>
        </w:rPr>
        <w:t>因承包人原因导致工期延误的，计划进度日期后续工程的人工、材料价格，应采用计划进度日期与实际进度日期两者的较低者。因非承包人原因导致工期延误的，计划进度日期后续工程的人工、材料价格，应采用计划进度日期与实际进度日期两者的较高者。</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（7）签订总价合同工程的可调整价差人工、材料数量为可调整价差人工、材料投标消耗量±变更工程可调整价差人工、材料消耗量，由</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明确具体数量，其中市级投资建设项目变更工程量依据《合肥市市级投资建设项目工程变更管理规定》确定。</w:t>
      </w:r>
    </w:p>
    <w:p>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（8）可调整价差的人工、主要材料调差的实施：发承包双方应在合同中约定人工、材料市场价格波动引起的合同价款调整时间，原则上在工程竣工结算时进行调整。实施过程结算的，应在相应过程结算中调整。</w:t>
      </w:r>
    </w:p>
    <w:p>
      <w:pPr>
        <w:pStyle w:val="17"/>
        <w:shd w:val="clear" w:color="auto" w:fill="FFFFFF"/>
        <w:spacing w:before="0" w:beforeAutospacing="0" w:after="0" w:afterAutospacing="0" w:line="360" w:lineRule="auto"/>
        <w:ind w:firstLine="640"/>
        <w:jc w:val="both"/>
        <w:rPr>
          <w:rFonts w:hint="eastAsia" w:eastAsia="宋体"/>
          <w:color w:val="auto"/>
          <w:sz w:val="21"/>
          <w:szCs w:val="21"/>
          <w:highlight w:val="none"/>
          <w:lang w:val="en-US" w:eastAsia="zh-CN"/>
        </w:rPr>
      </w:pPr>
      <w:r>
        <w:rPr>
          <w:rFonts w:hint="eastAsia"/>
          <w:color w:val="auto"/>
          <w:sz w:val="21"/>
          <w:szCs w:val="21"/>
          <w:highlight w:val="none"/>
          <w:u w:val="single"/>
          <w:shd w:val="clear" w:color="auto" w:fill="FFFFFF"/>
        </w:rPr>
        <w:t>实施价差调整时发承包双方应共同确定可调整价差人工、材料名称、规格、型号、计量单位、数量（</w:t>
      </w:r>
      <w:r>
        <w:rPr>
          <w:rFonts w:hint="eastAsia"/>
          <w:color w:val="auto"/>
          <w:sz w:val="21"/>
          <w:szCs w:val="18"/>
          <w:highlight w:val="none"/>
          <w:u w:val="single"/>
        </w:rPr>
        <w:t>参审单位</w:t>
      </w:r>
      <w:r>
        <w:rPr>
          <w:rFonts w:hint="eastAsia"/>
          <w:color w:val="auto"/>
          <w:sz w:val="21"/>
          <w:szCs w:val="21"/>
          <w:highlight w:val="none"/>
          <w:u w:val="single"/>
          <w:shd w:val="clear" w:color="auto" w:fill="FFFFFF"/>
        </w:rPr>
        <w:t>工、材料消耗量±变更工程人工、材料实际消耗量）、实际价格波动幅度、承包人承担的风险幅度、基准单价、投标单价、发承包双方确认的单价、结算单价，列出清单（格式见合同附表），作为实施人工及主材价差调整的依据。</w:t>
      </w:r>
      <w:r>
        <w:rPr>
          <w:rFonts w:hint="eastAsia"/>
          <w:color w:val="auto"/>
          <w:sz w:val="21"/>
          <w:szCs w:val="21"/>
          <w:highlight w:val="none"/>
          <w:u w:val="single"/>
          <w:shd w:val="clear" w:color="auto" w:fill="FFFFFF"/>
          <w:lang w:val="en-US" w:eastAsia="zh-CN"/>
        </w:rPr>
        <w:t xml:space="preserve"> </w:t>
      </w:r>
    </w:p>
    <w:p>
      <w:pPr>
        <w:pStyle w:val="17"/>
        <w:shd w:val="clear" w:color="auto" w:fill="FFFFFF"/>
        <w:spacing w:before="0" w:beforeAutospacing="0" w:after="0" w:afterAutospacing="0" w:line="360" w:lineRule="auto"/>
        <w:ind w:firstLine="640"/>
        <w:jc w:val="both"/>
        <w:rPr>
          <w:rFonts w:hint="eastAsia" w:ascii="Times New Roman" w:hAnsi="Times New Roman" w:eastAsia="宋体" w:cs="Times New Roman"/>
          <w:color w:val="auto"/>
          <w:kern w:val="2"/>
          <w:sz w:val="21"/>
          <w:highlight w:val="none"/>
          <w:u w:val="single"/>
          <w:lang w:val="en-US" w:eastAsia="zh-CN"/>
        </w:rPr>
      </w:pPr>
      <w:r>
        <w:rPr>
          <w:rFonts w:hint="eastAsia"/>
          <w:color w:val="auto"/>
          <w:sz w:val="21"/>
          <w:szCs w:val="21"/>
          <w:highlight w:val="none"/>
          <w:u w:val="single"/>
          <w:shd w:val="clear" w:color="auto" w:fill="FFFFFF"/>
        </w:rPr>
        <w:t>（9）人工、材料价差调整费用只计取税金，不再计取其他费用。</w:t>
      </w:r>
      <w:r>
        <w:rPr>
          <w:rFonts w:hint="eastAsia"/>
          <w:color w:val="auto"/>
          <w:sz w:val="21"/>
          <w:szCs w:val="21"/>
          <w:highlight w:val="none"/>
          <w:u w:val="single"/>
          <w:shd w:val="clear" w:color="auto" w:fill="FFFFFF"/>
          <w:lang w:val="en-US" w:eastAsia="zh-CN"/>
        </w:rPr>
        <w:t xml:space="preserve"> </w:t>
      </w:r>
    </w:p>
    <w:bookmarkEnd w:id="314"/>
    <w:bookmarkEnd w:id="315"/>
    <w:bookmarkEnd w:id="316"/>
    <w:bookmarkEnd w:id="317"/>
    <w:bookmarkEnd w:id="318"/>
    <w:bookmarkEnd w:id="319"/>
    <w:p>
      <w:pPr>
        <w:keepNext/>
        <w:keepLines/>
        <w:spacing w:before="120" w:after="120" w:line="360" w:lineRule="auto"/>
        <w:jc w:val="left"/>
        <w:outlineLvl w:val="2"/>
        <w:rPr>
          <w:rFonts w:ascii="黑体" w:hAnsi="黑体" w:eastAsia="黑体"/>
          <w:bCs/>
          <w:kern w:val="2"/>
          <w:sz w:val="24"/>
          <w:szCs w:val="24"/>
          <w:highlight w:val="none"/>
        </w:rPr>
      </w:pPr>
      <w:bookmarkStart w:id="427" w:name="_Toc296944544"/>
      <w:bookmarkStart w:id="428" w:name="_Toc296891245"/>
      <w:bookmarkStart w:id="429" w:name="_Toc296346706"/>
      <w:bookmarkStart w:id="430" w:name="_Toc296347204"/>
      <w:bookmarkStart w:id="431" w:name="_Toc297048391"/>
      <w:bookmarkStart w:id="432" w:name="_Toc296891033"/>
      <w:bookmarkStart w:id="433" w:name="_Toc297120505"/>
      <w:bookmarkStart w:id="434" w:name="_Toc296503205"/>
      <w:bookmarkStart w:id="435" w:name="_Toc292559915"/>
      <w:bookmarkStart w:id="436" w:name="_Toc292559410"/>
      <w:bookmarkStart w:id="437" w:name="_Toc351203644"/>
      <w:bookmarkStart w:id="438" w:name="_Toc297216211"/>
      <w:bookmarkStart w:id="439" w:name="_Toc300935002"/>
      <w:bookmarkStart w:id="440" w:name="_Toc303539159"/>
      <w:bookmarkStart w:id="441" w:name="_Toc297123552"/>
      <w:bookmarkStart w:id="442" w:name="_Toc304295579"/>
      <w:bookmarkStart w:id="443" w:name="_Toc312678040"/>
      <w:r>
        <w:rPr>
          <w:rFonts w:ascii="黑体" w:hAnsi="黑体" w:eastAsia="黑体"/>
          <w:bCs/>
          <w:kern w:val="2"/>
          <w:sz w:val="24"/>
          <w:szCs w:val="24"/>
          <w:highlight w:val="none"/>
        </w:rPr>
        <w:t xml:space="preserve">12. </w:t>
      </w:r>
      <w:bookmarkEnd w:id="427"/>
      <w:bookmarkEnd w:id="428"/>
      <w:bookmarkEnd w:id="429"/>
      <w:bookmarkEnd w:id="430"/>
      <w:bookmarkEnd w:id="431"/>
      <w:bookmarkEnd w:id="432"/>
      <w:bookmarkEnd w:id="433"/>
      <w:bookmarkEnd w:id="434"/>
      <w:bookmarkEnd w:id="435"/>
      <w:bookmarkEnd w:id="436"/>
      <w:r>
        <w:rPr>
          <w:rFonts w:ascii="黑体" w:hAnsi="黑体" w:eastAsia="黑体"/>
          <w:bCs/>
          <w:kern w:val="2"/>
          <w:sz w:val="24"/>
          <w:szCs w:val="24"/>
          <w:highlight w:val="none"/>
        </w:rPr>
        <w:t>合同价格、计量与支付</w:t>
      </w:r>
      <w:bookmarkEnd w:id="437"/>
    </w:p>
    <w:bookmarkEnd w:id="438"/>
    <w:bookmarkEnd w:id="439"/>
    <w:bookmarkEnd w:id="440"/>
    <w:bookmarkEnd w:id="441"/>
    <w:bookmarkEnd w:id="442"/>
    <w:bookmarkEnd w:id="443"/>
    <w:p>
      <w:pPr>
        <w:keepNext/>
        <w:keepLines/>
        <w:spacing w:before="120" w:after="120" w:line="360" w:lineRule="auto"/>
        <w:ind w:firstLine="420" w:firstLineChars="200"/>
        <w:outlineLvl w:val="3"/>
        <w:rPr>
          <w:rFonts w:ascii="Arial" w:hAnsi="Arial" w:eastAsia="黑体"/>
          <w:bCs/>
          <w:kern w:val="2"/>
          <w:sz w:val="21"/>
          <w:szCs w:val="28"/>
          <w:highlight w:val="none"/>
        </w:rPr>
      </w:pPr>
      <w:bookmarkStart w:id="444" w:name="_Toc292559411"/>
      <w:bookmarkStart w:id="445" w:name="_Toc292559916"/>
      <w:bookmarkStart w:id="446" w:name="_Toc267251461"/>
      <w:bookmarkStart w:id="447" w:name="_Toc296891246"/>
      <w:bookmarkStart w:id="448" w:name="_Toc296346707"/>
      <w:bookmarkStart w:id="449" w:name="_Toc297120506"/>
      <w:bookmarkStart w:id="450" w:name="_Toc296891034"/>
      <w:bookmarkStart w:id="451" w:name="_Toc296944545"/>
      <w:bookmarkStart w:id="452" w:name="_Toc296347205"/>
      <w:bookmarkStart w:id="453" w:name="_Toc297048392"/>
      <w:bookmarkStart w:id="454" w:name="_Toc296503206"/>
      <w:bookmarkStart w:id="455" w:name="_Toc303539160"/>
      <w:bookmarkStart w:id="456" w:name="_Toc312678041"/>
      <w:bookmarkStart w:id="457" w:name="_Toc304295580"/>
      <w:bookmarkStart w:id="458" w:name="_Toc300935003"/>
      <w:bookmarkStart w:id="459" w:name="_Toc297216212"/>
      <w:bookmarkStart w:id="460" w:name="_Toc297123553"/>
      <w:r>
        <w:rPr>
          <w:rFonts w:ascii="Arial" w:hAnsi="Arial" w:eastAsia="黑体"/>
          <w:bCs/>
          <w:kern w:val="2"/>
          <w:sz w:val="21"/>
          <w:szCs w:val="28"/>
          <w:highlight w:val="none"/>
        </w:rPr>
        <w:t>12.1 合</w:t>
      </w:r>
      <w:bookmarkEnd w:id="444"/>
      <w:bookmarkEnd w:id="445"/>
      <w:bookmarkEnd w:id="446"/>
      <w:r>
        <w:rPr>
          <w:rFonts w:ascii="Arial" w:hAnsi="Arial" w:eastAsia="黑体"/>
          <w:bCs/>
          <w:kern w:val="2"/>
          <w:sz w:val="21"/>
          <w:szCs w:val="28"/>
          <w:highlight w:val="none"/>
        </w:rPr>
        <w:t>同价</w:t>
      </w:r>
      <w:bookmarkEnd w:id="447"/>
      <w:bookmarkEnd w:id="448"/>
      <w:bookmarkEnd w:id="449"/>
      <w:bookmarkEnd w:id="450"/>
      <w:bookmarkEnd w:id="451"/>
      <w:bookmarkEnd w:id="452"/>
      <w:bookmarkEnd w:id="453"/>
      <w:bookmarkEnd w:id="454"/>
      <w:r>
        <w:rPr>
          <w:rFonts w:ascii="Arial" w:hAnsi="Arial" w:eastAsia="黑体"/>
          <w:bCs/>
          <w:kern w:val="2"/>
          <w:sz w:val="21"/>
          <w:szCs w:val="28"/>
          <w:highlight w:val="none"/>
        </w:rPr>
        <w:t>格形式</w:t>
      </w:r>
    </w:p>
    <w:bookmarkEnd w:id="455"/>
    <w:bookmarkEnd w:id="456"/>
    <w:bookmarkEnd w:id="457"/>
    <w:bookmarkEnd w:id="458"/>
    <w:bookmarkEnd w:id="459"/>
    <w:bookmarkEnd w:id="460"/>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1</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单价合同。</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综合单价包含的风险范围：</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风险费用的计算方法：</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u w:val="single"/>
        </w:rPr>
        <w:t>/</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风险范围以外合同价格的调整方法：</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2</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总价合同。</w:t>
      </w:r>
    </w:p>
    <w:p>
      <w:pPr>
        <w:adjustRightInd w:val="0"/>
        <w:spacing w:line="360" w:lineRule="auto"/>
        <w:ind w:firstLine="420" w:firstLineChars="200"/>
        <w:rPr>
          <w:rFonts w:hint="default" w:ascii="Times New Roman" w:hAnsi="Times New Roman" w:eastAsia="宋体"/>
          <w:b/>
          <w:kern w:val="2"/>
          <w:sz w:val="21"/>
          <w:szCs w:val="24"/>
          <w:highlight w:val="none"/>
          <w:lang w:val="en-US" w:eastAsia="zh-CN"/>
        </w:rPr>
      </w:pPr>
      <w:r>
        <w:rPr>
          <w:rFonts w:ascii="Times New Roman" w:hAnsi="Times New Roman"/>
          <w:kern w:val="2"/>
          <w:sz w:val="21"/>
          <w:szCs w:val="24"/>
          <w:highlight w:val="none"/>
        </w:rPr>
        <w:t>总价包含的风险范围：</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u w:val="single"/>
        </w:rPr>
        <w:t>人工、材料、机械费用的市场价格变化（不包含</w:t>
      </w:r>
      <w:r>
        <w:rPr>
          <w:rFonts w:hint="eastAsia" w:ascii="Times New Roman" w:hAnsi="Times New Roman"/>
          <w:kern w:val="2"/>
          <w:sz w:val="21"/>
          <w:szCs w:val="24"/>
          <w:highlight w:val="none"/>
          <w:u w:val="single"/>
        </w:rPr>
        <w:t>磋商文件发布的《可调整价差人工和主要材料一览表》中的约定的可调整价差人工、主要材料），除不可抗力以外</w:t>
      </w:r>
      <w:r>
        <w:rPr>
          <w:rFonts w:hint="eastAsia" w:ascii="Times New Roman" w:hAnsi="Times New Roman"/>
          <w:kern w:val="2"/>
          <w:sz w:val="21"/>
          <w:szCs w:val="24"/>
          <w:highlight w:val="none"/>
          <w:u w:val="single"/>
          <w:lang w:eastAsia="zh-CN"/>
        </w:rPr>
        <w:t>的其他</w:t>
      </w:r>
      <w:r>
        <w:rPr>
          <w:rFonts w:hint="eastAsia" w:ascii="Times New Roman" w:hAnsi="Times New Roman"/>
          <w:kern w:val="2"/>
          <w:sz w:val="21"/>
          <w:szCs w:val="24"/>
          <w:highlight w:val="none"/>
          <w:u w:val="single"/>
        </w:rPr>
        <w:t>风险。</w:t>
      </w:r>
      <w:r>
        <w:rPr>
          <w:rFonts w:hint="eastAsia" w:ascii="Times New Roman" w:hAnsi="Times New Roman"/>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风险费用的计算方法：</w:t>
      </w:r>
      <w:r>
        <w:rPr>
          <w:rFonts w:hint="eastAsia" w:ascii="Times New Roman" w:hAnsi="Times New Roman"/>
          <w:kern w:val="2"/>
          <w:sz w:val="21"/>
          <w:szCs w:val="24"/>
          <w:highlight w:val="none"/>
          <w:u w:val="single"/>
          <w:lang w:val="en-US" w:eastAsia="zh-CN"/>
        </w:rPr>
        <w:t xml:space="preserve"> </w:t>
      </w:r>
      <w:r>
        <w:rPr>
          <w:rFonts w:hint="eastAsia"/>
          <w:sz w:val="21"/>
          <w:szCs w:val="18"/>
          <w:highlight w:val="none"/>
          <w:u w:val="single"/>
        </w:rPr>
        <w:t>参审单位</w:t>
      </w:r>
      <w:r>
        <w:rPr>
          <w:rFonts w:ascii="Times New Roman" w:hAnsi="Times New Roman"/>
          <w:kern w:val="2"/>
          <w:sz w:val="21"/>
          <w:szCs w:val="24"/>
          <w:highlight w:val="none"/>
          <w:u w:val="single"/>
        </w:rPr>
        <w:t>在报价时已经考虑，不再另行计取。</w:t>
      </w:r>
      <w:r>
        <w:rPr>
          <w:rFonts w:hint="eastAsia" w:ascii="Times New Roman" w:hAnsi="Times New Roman"/>
          <w:kern w:val="2"/>
          <w:sz w:val="21"/>
          <w:szCs w:val="24"/>
          <w:highlight w:val="none"/>
          <w:u w:val="single"/>
          <w:lang w:val="en-US" w:eastAsia="zh-CN"/>
        </w:rPr>
        <w:t xml:space="preserve"> </w:t>
      </w:r>
    </w:p>
    <w:p>
      <w:pPr>
        <w:adjustRightInd w:val="0"/>
        <w:spacing w:line="360" w:lineRule="auto"/>
        <w:ind w:firstLine="420" w:firstLineChars="200"/>
        <w:rPr>
          <w:rFonts w:hint="default" w:ascii="Times New Roman" w:hAnsi="Times New Roman" w:eastAsia="宋体"/>
          <w:kern w:val="2"/>
          <w:sz w:val="21"/>
          <w:szCs w:val="24"/>
          <w:highlight w:val="none"/>
          <w:lang w:val="en-US" w:eastAsia="zh-CN"/>
        </w:rPr>
      </w:pPr>
      <w:r>
        <w:rPr>
          <w:rFonts w:ascii="Times New Roman" w:hAnsi="Times New Roman"/>
          <w:kern w:val="2"/>
          <w:sz w:val="21"/>
          <w:szCs w:val="24"/>
          <w:highlight w:val="none"/>
        </w:rPr>
        <w:t>风险范围以外合同价格的调整方法：</w:t>
      </w:r>
      <w:r>
        <w:rPr>
          <w:rFonts w:hint="eastAsia" w:ascii="Times New Roman" w:hAnsi="Times New Roman"/>
          <w:kern w:val="2"/>
          <w:sz w:val="21"/>
          <w:szCs w:val="24"/>
          <w:highlight w:val="none"/>
          <w:u w:val="single"/>
          <w:lang w:val="en-US" w:eastAsia="zh-CN"/>
        </w:rPr>
        <w:t xml:space="preserve"> </w:t>
      </w:r>
      <w:r>
        <w:rPr>
          <w:rFonts w:ascii="Times New Roman" w:hAnsi="Times New Roman"/>
          <w:kern w:val="2"/>
          <w:sz w:val="21"/>
          <w:szCs w:val="24"/>
          <w:highlight w:val="none"/>
          <w:u w:val="single"/>
        </w:rPr>
        <w:t>详见合同专用条款“</w:t>
      </w:r>
      <w:r>
        <w:rPr>
          <w:rFonts w:hint="eastAsia" w:ascii="Times New Roman" w:hAnsi="Times New Roman"/>
          <w:kern w:val="2"/>
          <w:sz w:val="21"/>
          <w:szCs w:val="24"/>
          <w:highlight w:val="none"/>
          <w:u w:val="single"/>
        </w:rPr>
        <w:t>11.1 市场价格波动引起的调整”约定。</w:t>
      </w:r>
      <w:r>
        <w:rPr>
          <w:rFonts w:hint="eastAsia" w:ascii="Times New Roman" w:hAnsi="Times New Roman"/>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3</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其他价格方式：</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461" w:name="_Toc297216213"/>
      <w:bookmarkStart w:id="462" w:name="_Toc312678042"/>
      <w:bookmarkStart w:id="463" w:name="_Toc304295581"/>
      <w:bookmarkStart w:id="464" w:name="_Toc297123554"/>
      <w:bookmarkStart w:id="465" w:name="_Toc300935004"/>
      <w:bookmarkStart w:id="466" w:name="_Toc303539161"/>
      <w:bookmarkStart w:id="467" w:name="_Toc296891035"/>
      <w:bookmarkStart w:id="468" w:name="_Toc296944546"/>
      <w:bookmarkStart w:id="469" w:name="_Toc292559917"/>
      <w:bookmarkStart w:id="470" w:name="_Toc297120507"/>
      <w:bookmarkStart w:id="471" w:name="_Toc296891247"/>
      <w:bookmarkStart w:id="472" w:name="_Toc296346708"/>
      <w:bookmarkStart w:id="473" w:name="_Toc296347206"/>
      <w:bookmarkStart w:id="474" w:name="_Toc297048393"/>
      <w:bookmarkStart w:id="475" w:name="_Toc292559412"/>
      <w:bookmarkStart w:id="476" w:name="_Toc296503207"/>
      <w:r>
        <w:rPr>
          <w:rFonts w:ascii="黑体" w:hAnsi="黑体" w:eastAsia="黑体"/>
          <w:bCs/>
          <w:kern w:val="2"/>
          <w:sz w:val="24"/>
          <w:szCs w:val="24"/>
          <w:highlight w:val="none"/>
        </w:rPr>
        <w:t>12.2 预付款</w:t>
      </w:r>
    </w:p>
    <w:bookmarkEnd w:id="461"/>
    <w:bookmarkEnd w:id="462"/>
    <w:bookmarkEnd w:id="463"/>
    <w:bookmarkEnd w:id="464"/>
    <w:bookmarkEnd w:id="465"/>
    <w:bookmarkEnd w:id="466"/>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12.2.1 预付款的支付</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预付款支付比例或金额</w:t>
      </w:r>
      <w:r>
        <w:rPr>
          <w:rFonts w:ascii="Times New Roman" w:hAnsi="Times New Roman"/>
          <w:kern w:val="2"/>
          <w:sz w:val="21"/>
          <w:szCs w:val="24"/>
          <w:highlight w:val="none"/>
          <w:vertAlign w:val="superscript"/>
        </w:rPr>
        <w:footnoteReference w:id="0"/>
      </w:r>
      <w:r>
        <w:rPr>
          <w:rFonts w:ascii="Times New Roman" w:hAnsi="Times New Roman"/>
          <w:kern w:val="2"/>
          <w:sz w:val="21"/>
          <w:szCs w:val="24"/>
          <w:highlight w:val="none"/>
        </w:rPr>
        <w:t>：</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预付款支付期限</w:t>
      </w:r>
      <w:r>
        <w:rPr>
          <w:rFonts w:ascii="Times New Roman" w:hAnsi="Times New Roman"/>
          <w:kern w:val="2"/>
          <w:sz w:val="21"/>
          <w:szCs w:val="24"/>
          <w:highlight w:val="none"/>
          <w:vertAlign w:val="superscript"/>
        </w:rPr>
        <w:footnoteReference w:id="1"/>
      </w:r>
      <w:r>
        <w:rPr>
          <w:rFonts w:ascii="Times New Roman" w:hAnsi="Times New Roman"/>
          <w:kern w:val="2"/>
          <w:sz w:val="21"/>
          <w:szCs w:val="24"/>
          <w:highlight w:val="none"/>
        </w:rPr>
        <w:t>：</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预付款扣回的方式：</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12.2.2 预付款担保</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承包人提交预付款担保的期限：</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预付款担保的形式为：</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bookmarkEnd w:id="467"/>
    <w:bookmarkEnd w:id="468"/>
    <w:bookmarkEnd w:id="469"/>
    <w:bookmarkEnd w:id="470"/>
    <w:bookmarkEnd w:id="471"/>
    <w:bookmarkEnd w:id="472"/>
    <w:bookmarkEnd w:id="473"/>
    <w:bookmarkEnd w:id="474"/>
    <w:bookmarkEnd w:id="475"/>
    <w:bookmarkEnd w:id="476"/>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t>12.3 计量</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12.3.1 计量原则</w:t>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工程量计算规则：</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按工程量清单及最高限价（控制价）所采用的工程量清单计价规范及配套文件等</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12.3.2 计量周期</w:t>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关于计量周期的约定</w:t>
      </w:r>
      <w:r>
        <w:rPr>
          <w:rFonts w:ascii="Times New Roman" w:hAnsi="Times New Roman"/>
          <w:b/>
          <w:kern w:val="2"/>
          <w:sz w:val="21"/>
          <w:szCs w:val="24"/>
          <w:highlight w:val="none"/>
        </w:rPr>
        <w:t>：</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工程量的计量按月进行</w:t>
      </w:r>
      <w:r>
        <w:rPr>
          <w:rFonts w:ascii="Times New Roman" w:hAnsi="Times New Roman"/>
          <w:b/>
          <w:kern w:val="2"/>
          <w:sz w:val="21"/>
          <w:szCs w:val="24"/>
          <w:highlight w:val="none"/>
          <w:u w:val="single"/>
        </w:rPr>
        <w:t>。</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12.3.3 单价合同的计量</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关于单价合同计量的约定：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12.3.4 总价合同的计量</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关于总价合同计量的约定：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12.3.5</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总价合同采用支付分解表计量支付的，是否适用第</w:t>
      </w:r>
      <w:r>
        <w:rPr>
          <w:rFonts w:ascii="Times New Roman" w:hAnsi="Times New Roman"/>
          <w:sz w:val="21"/>
          <w:szCs w:val="24"/>
          <w:highlight w:val="none"/>
        </w:rPr>
        <w:t>12.3.4</w:t>
      </w:r>
      <w:r>
        <w:rPr>
          <w:rFonts w:ascii="Times New Roman" w:hAnsi="Times New Roman"/>
          <w:kern w:val="2"/>
          <w:sz w:val="21"/>
          <w:szCs w:val="24"/>
          <w:highlight w:val="none"/>
        </w:rPr>
        <w:t>项</w:t>
      </w:r>
      <w:r>
        <w:rPr>
          <w:rFonts w:hint="eastAsia" w:ascii="Times New Roman" w:hAnsi="Times New Roman"/>
          <w:sz w:val="21"/>
          <w:szCs w:val="24"/>
          <w:highlight w:val="none"/>
        </w:rPr>
        <w:t>〔</w:t>
      </w:r>
      <w:r>
        <w:rPr>
          <w:rFonts w:ascii="Times New Roman" w:hAnsi="Times New Roman"/>
          <w:sz w:val="21"/>
          <w:szCs w:val="24"/>
          <w:highlight w:val="none"/>
        </w:rPr>
        <w:t>总价合同的计量</w:t>
      </w:r>
      <w:r>
        <w:rPr>
          <w:rFonts w:hint="eastAsia" w:ascii="Times New Roman" w:hAnsi="Times New Roman"/>
          <w:sz w:val="21"/>
          <w:szCs w:val="24"/>
          <w:highlight w:val="none"/>
        </w:rPr>
        <w:t>〕</w:t>
      </w:r>
      <w:r>
        <w:rPr>
          <w:rFonts w:ascii="Times New Roman" w:hAnsi="Times New Roman"/>
          <w:kern w:val="2"/>
          <w:sz w:val="21"/>
          <w:szCs w:val="24"/>
          <w:highlight w:val="none"/>
        </w:rPr>
        <w:t>约定</w:t>
      </w:r>
      <w:r>
        <w:rPr>
          <w:rFonts w:hint="eastAsia" w:ascii="Times New Roman" w:hAnsi="Times New Roman"/>
          <w:kern w:val="2"/>
          <w:sz w:val="21"/>
          <w:szCs w:val="24"/>
          <w:highlight w:val="none"/>
        </w:rPr>
        <w:t>进行计量：</w:t>
      </w:r>
      <w:r>
        <w:rPr>
          <w:rFonts w:hint="eastAsia" w:ascii="Times New Roman" w:hAnsi="Times New Roman"/>
          <w:b/>
          <w:kern w:val="2"/>
          <w:sz w:val="21"/>
          <w:szCs w:val="24"/>
          <w:highlight w:val="none"/>
          <w:u w:val="single"/>
        </w:rPr>
        <w:t>不采用</w:t>
      </w:r>
      <w:r>
        <w:rPr>
          <w:rFonts w:ascii="Times New Roman" w:hAnsi="Times New Roman"/>
          <w:b/>
          <w:kern w:val="2"/>
          <w:sz w:val="21"/>
          <w:szCs w:val="24"/>
          <w:highlight w:val="none"/>
          <w:u w:val="singl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12.3.6 其他价格形式合同的计量</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其他价格形式的计量方式和程序：</w:t>
      </w:r>
      <w:r>
        <w:rPr>
          <w:rFonts w:hint="eastAsia" w:ascii="Times New Roman" w:hAnsi="Times New Roman"/>
          <w:b/>
          <w:kern w:val="2"/>
          <w:sz w:val="21"/>
          <w:szCs w:val="24"/>
          <w:highlight w:val="none"/>
          <w:u w:val="single"/>
        </w:rPr>
        <w:t>不采用</w:t>
      </w:r>
      <w:r>
        <w:rPr>
          <w:rFonts w:ascii="Times New Roman" w:hAnsi="Times New Roman"/>
          <w:kern w:val="2"/>
          <w:sz w:val="21"/>
          <w:szCs w:val="24"/>
          <w:highlight w:val="none"/>
          <w:u w:val="single"/>
        </w:rPr>
        <w:t>。</w:t>
      </w:r>
    </w:p>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t>12.4 工程进度款支付</w:t>
      </w:r>
    </w:p>
    <w:p>
      <w:pPr>
        <w:adjustRightInd w:val="0"/>
        <w:spacing w:line="360" w:lineRule="auto"/>
        <w:ind w:firstLine="420" w:firstLineChars="200"/>
        <w:rPr>
          <w:rFonts w:ascii="Times New Roman" w:hAnsi="Times New Roman"/>
          <w:kern w:val="2"/>
          <w:sz w:val="21"/>
          <w:szCs w:val="24"/>
          <w:highlight w:val="none"/>
        </w:rPr>
      </w:pPr>
      <w:bookmarkStart w:id="477" w:name="_Toc296891039"/>
      <w:bookmarkStart w:id="478" w:name="_Toc292559921"/>
      <w:bookmarkStart w:id="479" w:name="_Toc296891251"/>
      <w:bookmarkStart w:id="480" w:name="_Toc300935006"/>
      <w:bookmarkStart w:id="481" w:name="_Toc296503211"/>
      <w:bookmarkStart w:id="482" w:name="_Toc297120511"/>
      <w:bookmarkStart w:id="483" w:name="_Toc296944550"/>
      <w:bookmarkStart w:id="484" w:name="_Toc297048397"/>
      <w:bookmarkStart w:id="485" w:name="_Toc303539163"/>
      <w:bookmarkStart w:id="486" w:name="_Toc292559416"/>
      <w:bookmarkStart w:id="487" w:name="_Toc296347210"/>
      <w:bookmarkStart w:id="488" w:name="_Toc297123556"/>
      <w:bookmarkStart w:id="489" w:name="_Toc297216215"/>
      <w:bookmarkStart w:id="490" w:name="_Toc296346712"/>
      <w:r>
        <w:rPr>
          <w:rFonts w:ascii="Times New Roman" w:hAnsi="Times New Roman"/>
          <w:kern w:val="2"/>
          <w:sz w:val="21"/>
          <w:szCs w:val="24"/>
          <w:highlight w:val="none"/>
        </w:rPr>
        <w:t>12.4.1 付款周期</w:t>
      </w:r>
    </w:p>
    <w:p>
      <w:pPr>
        <w:adjustRightInd w:val="0"/>
        <w:spacing w:line="360" w:lineRule="auto"/>
        <w:ind w:firstLine="420" w:firstLineChars="200"/>
        <w:rPr>
          <w:rFonts w:hint="eastAsia" w:ascii="Times New Roman" w:hAnsi="Times New Roman"/>
          <w:b/>
          <w:bCs/>
          <w:kern w:val="2"/>
          <w:sz w:val="28"/>
          <w:szCs w:val="36"/>
          <w:highlight w:val="none"/>
          <w:u w:val="single"/>
        </w:rPr>
      </w:pPr>
      <w:r>
        <w:rPr>
          <w:rFonts w:ascii="Times New Roman" w:hAnsi="Times New Roman"/>
          <w:kern w:val="2"/>
          <w:sz w:val="21"/>
          <w:szCs w:val="24"/>
          <w:highlight w:val="none"/>
        </w:rPr>
        <w:t>关于付款周期的约定</w:t>
      </w:r>
      <w:r>
        <w:rPr>
          <w:rFonts w:ascii="Times New Roman" w:hAnsi="Times New Roman"/>
          <w:kern w:val="2"/>
          <w:sz w:val="21"/>
          <w:szCs w:val="24"/>
          <w:highlight w:val="none"/>
          <w:vertAlign w:val="superscript"/>
        </w:rPr>
        <w:footnoteReference w:id="2"/>
      </w:r>
      <w:r>
        <w:rPr>
          <w:rFonts w:ascii="Times New Roman" w:hAnsi="Times New Roman"/>
          <w:kern w:val="2"/>
          <w:sz w:val="21"/>
          <w:szCs w:val="24"/>
          <w:highlight w:val="none"/>
        </w:rPr>
        <w:t>：</w:t>
      </w:r>
      <w:r>
        <w:rPr>
          <w:rFonts w:ascii="Times New Roman" w:hAnsi="Times New Roman"/>
          <w:kern w:val="2"/>
          <w:sz w:val="21"/>
          <w:szCs w:val="24"/>
          <w:highlight w:val="none"/>
          <w:u w:val="single"/>
        </w:rPr>
        <w:t xml:space="preserve"> </w:t>
      </w:r>
      <w:r>
        <w:rPr>
          <w:rFonts w:hint="eastAsia" w:ascii="Times New Roman" w:hAnsi="Times New Roman"/>
          <w:b/>
          <w:bCs/>
          <w:kern w:val="2"/>
          <w:sz w:val="28"/>
          <w:szCs w:val="36"/>
          <w:highlight w:val="none"/>
          <w:u w:val="single"/>
        </w:rPr>
        <w:t>1.项目送电完成、调试并上线，项目施工竣工验收合格、成交</w:t>
      </w:r>
      <w:r>
        <w:rPr>
          <w:rFonts w:hint="eastAsia" w:ascii="Times New Roman" w:hAnsi="Times New Roman"/>
          <w:b/>
          <w:bCs/>
          <w:kern w:val="2"/>
          <w:sz w:val="28"/>
          <w:szCs w:val="36"/>
          <w:highlight w:val="none"/>
          <w:u w:val="single"/>
          <w:lang w:eastAsia="zh-CN"/>
        </w:rPr>
        <w:t>参审单位</w:t>
      </w:r>
      <w:r>
        <w:rPr>
          <w:rFonts w:hint="eastAsia" w:ascii="Times New Roman" w:hAnsi="Times New Roman"/>
          <w:b/>
          <w:bCs/>
          <w:kern w:val="2"/>
          <w:sz w:val="28"/>
          <w:szCs w:val="36"/>
          <w:highlight w:val="none"/>
          <w:u w:val="single"/>
        </w:rPr>
        <w:t>交付该项目的全部内容及与工程相关的全套竣工资料和全额增值税专用发票后，经</w:t>
      </w:r>
      <w:r>
        <w:rPr>
          <w:rFonts w:hint="eastAsia" w:ascii="Times New Roman" w:hAnsi="Times New Roman"/>
          <w:b/>
          <w:bCs/>
          <w:kern w:val="2"/>
          <w:sz w:val="28"/>
          <w:szCs w:val="36"/>
          <w:highlight w:val="none"/>
          <w:u w:val="single"/>
          <w:lang w:eastAsia="zh-CN"/>
        </w:rPr>
        <w:t>业主单位</w:t>
      </w:r>
      <w:r>
        <w:rPr>
          <w:rFonts w:hint="eastAsia" w:ascii="Times New Roman" w:hAnsi="Times New Roman"/>
          <w:b/>
          <w:bCs/>
          <w:kern w:val="2"/>
          <w:sz w:val="28"/>
          <w:szCs w:val="36"/>
          <w:highlight w:val="none"/>
          <w:u w:val="single"/>
        </w:rPr>
        <w:t>审核后，</w:t>
      </w:r>
      <w:r>
        <w:rPr>
          <w:rFonts w:hint="eastAsia" w:ascii="Times New Roman" w:hAnsi="Times New Roman"/>
          <w:b/>
          <w:bCs/>
          <w:kern w:val="2"/>
          <w:sz w:val="28"/>
          <w:szCs w:val="36"/>
          <w:highlight w:val="none"/>
          <w:u w:val="single"/>
          <w:lang w:eastAsia="zh-CN"/>
        </w:rPr>
        <w:t>业主单位</w:t>
      </w:r>
      <w:r>
        <w:rPr>
          <w:rFonts w:hint="eastAsia" w:ascii="Times New Roman" w:hAnsi="Times New Roman"/>
          <w:b/>
          <w:bCs/>
          <w:kern w:val="2"/>
          <w:sz w:val="28"/>
          <w:szCs w:val="36"/>
          <w:highlight w:val="none"/>
          <w:u w:val="single"/>
        </w:rPr>
        <w:t>30个工作日内支付至结算价的97%。</w:t>
      </w:r>
    </w:p>
    <w:p>
      <w:pPr>
        <w:adjustRightInd w:val="0"/>
        <w:spacing w:line="360" w:lineRule="auto"/>
        <w:ind w:firstLine="562" w:firstLineChars="200"/>
        <w:rPr>
          <w:rFonts w:ascii="Times New Roman" w:hAnsi="Times New Roman"/>
          <w:kern w:val="2"/>
          <w:sz w:val="21"/>
          <w:szCs w:val="24"/>
          <w:highlight w:val="none"/>
          <w:u w:val="single"/>
        </w:rPr>
      </w:pPr>
      <w:r>
        <w:rPr>
          <w:rFonts w:hint="eastAsia" w:ascii="Times New Roman" w:hAnsi="Times New Roman"/>
          <w:b/>
          <w:bCs/>
          <w:kern w:val="2"/>
          <w:sz w:val="28"/>
          <w:szCs w:val="36"/>
          <w:highlight w:val="none"/>
          <w:u w:val="single"/>
        </w:rPr>
        <w:t>2.剩余结算价款3%作为质保金，在工程竣工验收合格，质保期满后，</w:t>
      </w:r>
      <w:r>
        <w:rPr>
          <w:rFonts w:hint="eastAsia" w:ascii="Times New Roman" w:hAnsi="Times New Roman"/>
          <w:b/>
          <w:bCs/>
          <w:kern w:val="2"/>
          <w:sz w:val="28"/>
          <w:szCs w:val="36"/>
          <w:highlight w:val="none"/>
          <w:u w:val="single"/>
          <w:lang w:eastAsia="zh-CN"/>
        </w:rPr>
        <w:t>业主单位</w:t>
      </w:r>
      <w:r>
        <w:rPr>
          <w:rFonts w:hint="eastAsia" w:ascii="Times New Roman" w:hAnsi="Times New Roman"/>
          <w:b/>
          <w:bCs/>
          <w:kern w:val="2"/>
          <w:sz w:val="28"/>
          <w:szCs w:val="36"/>
          <w:highlight w:val="none"/>
          <w:u w:val="single"/>
        </w:rPr>
        <w:t>在扣除应扣款项后（如有）一次性支付。</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u w:val="single"/>
        </w:rPr>
        <w:t>注:</w:t>
      </w:r>
      <w:r>
        <w:rPr>
          <w:rFonts w:hint="eastAsia" w:ascii="Times New Roman" w:hAnsi="Times New Roman"/>
          <w:kern w:val="2"/>
          <w:sz w:val="21"/>
          <w:szCs w:val="24"/>
          <w:highlight w:val="none"/>
          <w:u w:val="single"/>
          <w:lang w:eastAsia="zh-CN"/>
        </w:rPr>
        <w:t>参审单位</w:t>
      </w:r>
      <w:r>
        <w:rPr>
          <w:rFonts w:hint="eastAsia" w:ascii="Times New Roman" w:hAnsi="Times New Roman"/>
          <w:kern w:val="2"/>
          <w:sz w:val="21"/>
          <w:szCs w:val="24"/>
          <w:highlight w:val="none"/>
          <w:u w:val="single"/>
        </w:rPr>
        <w:t>应向</w:t>
      </w:r>
      <w:r>
        <w:rPr>
          <w:rFonts w:hint="eastAsia" w:ascii="Times New Roman" w:hAnsi="Times New Roman"/>
          <w:kern w:val="2"/>
          <w:sz w:val="21"/>
          <w:szCs w:val="24"/>
          <w:highlight w:val="none"/>
          <w:u w:val="single"/>
          <w:lang w:eastAsia="zh-CN"/>
        </w:rPr>
        <w:t>业主单位</w:t>
      </w:r>
      <w:r>
        <w:rPr>
          <w:rFonts w:hint="eastAsia" w:ascii="Times New Roman" w:hAnsi="Times New Roman"/>
          <w:kern w:val="2"/>
          <w:sz w:val="21"/>
          <w:szCs w:val="24"/>
          <w:highlight w:val="none"/>
          <w:u w:val="single"/>
        </w:rPr>
        <w:t>提交银行、保险公司、担保公司等金融机构出具的预付款保函或其他担保措施;在签订合同时，</w:t>
      </w:r>
      <w:r>
        <w:rPr>
          <w:rFonts w:hint="eastAsia" w:ascii="Times New Roman" w:hAnsi="Times New Roman"/>
          <w:kern w:val="2"/>
          <w:sz w:val="21"/>
          <w:szCs w:val="24"/>
          <w:highlight w:val="none"/>
          <w:u w:val="single"/>
          <w:lang w:eastAsia="zh-CN"/>
        </w:rPr>
        <w:t>参审单位</w:t>
      </w:r>
      <w:r>
        <w:rPr>
          <w:rFonts w:hint="eastAsia" w:ascii="Times New Roman" w:hAnsi="Times New Roman"/>
          <w:kern w:val="2"/>
          <w:sz w:val="21"/>
          <w:szCs w:val="24"/>
          <w:highlight w:val="none"/>
          <w:u w:val="single"/>
        </w:rPr>
        <w:t>若书面明确表示无需预付款或者主动要求降低预付款比例的，</w:t>
      </w:r>
      <w:r>
        <w:rPr>
          <w:rFonts w:hint="eastAsia" w:ascii="Times New Roman" w:hAnsi="Times New Roman"/>
          <w:kern w:val="2"/>
          <w:sz w:val="21"/>
          <w:szCs w:val="24"/>
          <w:highlight w:val="none"/>
          <w:u w:val="single"/>
          <w:lang w:eastAsia="zh-CN"/>
        </w:rPr>
        <w:t>业主单位</w:t>
      </w:r>
      <w:r>
        <w:rPr>
          <w:rFonts w:hint="eastAsia" w:ascii="Times New Roman" w:hAnsi="Times New Roman"/>
          <w:kern w:val="2"/>
          <w:sz w:val="21"/>
          <w:szCs w:val="24"/>
          <w:highlight w:val="none"/>
          <w:u w:val="single"/>
        </w:rPr>
        <w:t>可不适用前述规定</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12.4.2 进度付款申请单的编制</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关于进度付款申请单编制的约定：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Times New Roman" w:hAnsi="Times New Roman"/>
          <w:kern w:val="2"/>
          <w:sz w:val="21"/>
          <w:szCs w:val="24"/>
          <w:highlight w:val="none"/>
        </w:rPr>
        <w:t>2.4.3 进度付款申请单的提交</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（1）单价合同进度付款申请单提交的约定</w:t>
      </w:r>
      <w:r>
        <w:rPr>
          <w:rFonts w:hint="eastAsia" w:ascii="Times New Roman" w:hAnsi="Times New Roman"/>
          <w:kern w:val="2"/>
          <w:sz w:val="21"/>
          <w:szCs w:val="24"/>
          <w:highlight w:val="none"/>
        </w:rPr>
        <w:t>：</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（2）总价合同进度付款申请单提交的约定</w:t>
      </w:r>
      <w:r>
        <w:rPr>
          <w:rFonts w:hint="eastAsia" w:ascii="Times New Roman" w:hAnsi="Times New Roman"/>
          <w:kern w:val="2"/>
          <w:sz w:val="21"/>
          <w:szCs w:val="24"/>
          <w:highlight w:val="none"/>
        </w:rPr>
        <w:t>：</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（3）其他价格形式合同进度付款申请单提交的约定：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12.4.4 进度款审核和支付</w:t>
      </w:r>
    </w:p>
    <w:p>
      <w:pPr>
        <w:adjustRightInd w:val="0"/>
        <w:spacing w:line="360" w:lineRule="auto"/>
        <w:ind w:firstLine="420" w:firstLineChars="200"/>
        <w:rPr>
          <w:rFonts w:ascii="Times New Roman" w:hAnsi="Times New Roman"/>
          <w:b/>
          <w:kern w:val="2"/>
          <w:sz w:val="21"/>
          <w:szCs w:val="24"/>
          <w:highlight w:val="none"/>
          <w:u w:val="single"/>
        </w:rPr>
      </w:pPr>
      <w:r>
        <w:rPr>
          <w:rFonts w:ascii="Times New Roman" w:hAnsi="Times New Roman"/>
          <w:kern w:val="2"/>
          <w:sz w:val="21"/>
          <w:szCs w:val="24"/>
          <w:highlight w:val="none"/>
        </w:rPr>
        <w:t>（1）监理人审查并报送发包人的期限：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收到承包人进度付款申请单以及相关资料后7天内完成审查并报送发包人</w:t>
      </w:r>
      <w:r>
        <w:rPr>
          <w:rFonts w:hint="eastAsia" w:ascii="Times New Roman" w:hAnsi="Times New Roman"/>
          <w:b/>
          <w:kern w:val="2"/>
          <w:sz w:val="21"/>
          <w:szCs w:val="24"/>
          <w:highlight w:val="none"/>
          <w:u w:val="none"/>
          <w:lang w:val="en-US" w:eastAsia="zh-CN"/>
        </w:rPr>
        <w:t xml:space="preserve"> </w:t>
      </w:r>
      <w:r>
        <w:rPr>
          <w:rFonts w:ascii="Times New Roman" w:hAnsi="Times New Roman"/>
          <w:b/>
          <w:kern w:val="2"/>
          <w:sz w:val="21"/>
          <w:szCs w:val="24"/>
          <w:highlight w:val="none"/>
          <w:u w:val="none"/>
        </w:rPr>
        <w:t>。</w:t>
      </w:r>
    </w:p>
    <w:p>
      <w:pPr>
        <w:adjustRightInd w:val="0"/>
        <w:spacing w:line="360" w:lineRule="auto"/>
        <w:ind w:firstLine="420" w:firstLineChars="200"/>
        <w:rPr>
          <w:rFonts w:ascii="Times New Roman" w:hAnsi="Times New Roman"/>
          <w:b/>
          <w:kern w:val="2"/>
          <w:sz w:val="21"/>
          <w:szCs w:val="24"/>
          <w:highlight w:val="none"/>
          <w:u w:val="single"/>
        </w:rPr>
      </w:pPr>
      <w:r>
        <w:rPr>
          <w:rFonts w:ascii="Times New Roman" w:hAnsi="Times New Roman"/>
          <w:kern w:val="2"/>
          <w:sz w:val="21"/>
          <w:szCs w:val="24"/>
          <w:highlight w:val="none"/>
        </w:rPr>
        <w:t>发包人完成审批并签发进度款支付证书的期限：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应在收到监理人报送的进度付款申请单及相关资料后</w:t>
      </w:r>
      <w:r>
        <w:rPr>
          <w:rFonts w:ascii="Times New Roman" w:hAnsi="Times New Roman"/>
          <w:b/>
          <w:kern w:val="2"/>
          <w:sz w:val="21"/>
          <w:szCs w:val="24"/>
          <w:highlight w:val="none"/>
          <w:u w:val="single"/>
        </w:rPr>
        <w:t>7</w:t>
      </w:r>
      <w:r>
        <w:rPr>
          <w:rFonts w:hint="eastAsia" w:ascii="Times New Roman" w:hAnsi="Times New Roman"/>
          <w:b/>
          <w:kern w:val="2"/>
          <w:sz w:val="21"/>
          <w:szCs w:val="24"/>
          <w:highlight w:val="none"/>
          <w:u w:val="single"/>
        </w:rPr>
        <w:t>天内</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none"/>
          <w:lang w:val="en-US" w:eastAsia="zh-CN"/>
        </w:rPr>
        <w:t>。</w:t>
      </w:r>
      <w:r>
        <w:rPr>
          <w:rFonts w:ascii="Times New Roman" w:hAnsi="Times New Roman"/>
          <w:kern w:val="2"/>
          <w:sz w:val="21"/>
          <w:szCs w:val="24"/>
          <w:highlight w:val="none"/>
        </w:rPr>
        <w:tab/>
      </w:r>
      <w:r>
        <w:rPr>
          <w:rFonts w:ascii="Times New Roman" w:hAnsi="Times New Roman"/>
          <w:kern w:val="2"/>
          <w:sz w:val="21"/>
          <w:szCs w:val="24"/>
          <w:highlight w:val="none"/>
        </w:rPr>
        <w:tab/>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（2）发包人支付进度款的期限：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发包人应在进度款支付证书或临时进度款支付证书签发后14天内完成支付</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发包人逾期支付进度款的违约金的计算方式：</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应按照中国人民银行发布的同期同类贷款基准利率支付违约金</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12.4.6 支付分解表的编制</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2</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总价合同支付分解表的编制与审批：</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3</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单价合同的总价项目支付分解表的编制与审批：</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rPr>
        <w:t>12.4.7 农民工工资管理</w:t>
      </w:r>
    </w:p>
    <w:p>
      <w:pPr>
        <w:adjustRightInd w:val="0"/>
        <w:spacing w:line="360" w:lineRule="auto"/>
        <w:ind w:firstLine="422" w:firstLineChars="200"/>
        <w:rPr>
          <w:rFonts w:hint="eastAsia" w:ascii="Times New Roman" w:hAnsi="Times New Roman" w:eastAsia="宋体"/>
          <w:b/>
          <w:kern w:val="2"/>
          <w:sz w:val="21"/>
          <w:szCs w:val="24"/>
          <w:highlight w:val="none"/>
          <w:lang w:eastAsia="zh-CN"/>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1</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本工程农民工工资实行专用账户管理，承包人设立的专用账户开户行为</w:t>
      </w:r>
      <w:r>
        <w:rPr>
          <w:rFonts w:hint="eastAsia"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rPr>
        <w:t>，账号：</w:t>
      </w:r>
      <w:r>
        <w:rPr>
          <w:rFonts w:hint="eastAsia"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lang w:eastAsia="zh-CN"/>
        </w:rPr>
        <w:t>；</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2</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本工程工资性工程款</w:t>
      </w:r>
      <w:r>
        <w:rPr>
          <w:rFonts w:hint="eastAsia"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rPr>
        <w:t>元（相应的最低工资标准乘建筑面积）；其中工资性工程预付款</w:t>
      </w:r>
      <w:r>
        <w:rPr>
          <w:rFonts w:hint="eastAsia" w:ascii="Times New Roman" w:hAnsi="Times New Roman"/>
          <w:b/>
          <w:kern w:val="2"/>
          <w:sz w:val="21"/>
          <w:szCs w:val="24"/>
          <w:highlight w:val="none"/>
          <w:u w:val="single"/>
        </w:rPr>
        <w:t xml:space="preserve">         </w:t>
      </w:r>
      <w:r>
        <w:rPr>
          <w:rFonts w:hint="eastAsia" w:ascii="Times New Roman" w:hAnsi="Times New Roman"/>
          <w:b/>
          <w:kern w:val="2"/>
          <w:sz w:val="21"/>
          <w:szCs w:val="24"/>
          <w:highlight w:val="none"/>
        </w:rPr>
        <w:t>元。</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工资性工程款除月工期</w:t>
      </w:r>
      <w:r>
        <w:rPr>
          <w:rFonts w:hint="eastAsia" w:ascii="Times New Roman" w:hAnsi="Times New Roman"/>
          <w:b/>
          <w:kern w:val="2"/>
          <w:sz w:val="21"/>
          <w:szCs w:val="24"/>
          <w:highlight w:val="none"/>
          <w:lang w:eastAsia="zh-CN"/>
        </w:rPr>
        <w:t>）</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3</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发包人在监理人签发开工报告前，将工资性工程预付款转入承包人开立的农民工工资专用账户。</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rPr>
        <w:t>工程开工后第一个月支付工资性工程进度款起，</w:t>
      </w:r>
      <w:r>
        <w:rPr>
          <w:rFonts w:hint="eastAsia" w:ascii="Times New Roman" w:hAnsi="Times New Roman"/>
          <w:b/>
          <w:kern w:val="2"/>
          <w:sz w:val="21"/>
          <w:szCs w:val="24"/>
          <w:highlight w:val="none"/>
          <w:lang w:val="en-US" w:eastAsia="zh-CN"/>
        </w:rPr>
        <w:t>结算时</w:t>
      </w:r>
      <w:r>
        <w:rPr>
          <w:rFonts w:hint="eastAsia" w:ascii="Times New Roman" w:hAnsi="Times New Roman"/>
          <w:b/>
          <w:kern w:val="2"/>
          <w:sz w:val="21"/>
          <w:szCs w:val="24"/>
          <w:highlight w:val="none"/>
        </w:rPr>
        <w:t>扣回工资性工程预付款。</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4</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发包人于每月25日前将工资性工程进度款转入农民工工资专用账户。</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5</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承包人每月25日前上报本工程农民工工资清单，每月10日前委托开设农民工工资专用账户的银行支付农民工工资。</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6</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工程竣工后，经项目部农民工维权组确认无农民工工资拖欠后，发、承双方办理农民工工资专用账户撤销手续，农民工工资专用账户余额划至本合同约定的承包人账户。</w:t>
      </w:r>
    </w:p>
    <w:p>
      <w:pPr>
        <w:adjustRightInd w:val="0"/>
        <w:spacing w:line="360" w:lineRule="auto"/>
        <w:ind w:firstLine="422" w:firstLineChars="200"/>
        <w:rPr>
          <w:rFonts w:ascii="Times New Roman" w:hAnsi="Times New Roman"/>
          <w:b/>
          <w:kern w:val="2"/>
          <w:sz w:val="21"/>
          <w:szCs w:val="24"/>
          <w:highlight w:val="none"/>
        </w:rPr>
      </w:pP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7</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农民工工资保证金保函严格执行转发《关于印发〈安徽省工程建设领域农民工工资保证金实施办法〉的通知》的通知</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合治欠办〔2022</w:t>
      </w:r>
      <w:r>
        <w:rPr>
          <w:rFonts w:hint="eastAsia"/>
          <w:b/>
          <w:bCs/>
          <w:sz w:val="24"/>
          <w:szCs w:val="24"/>
          <w:highlight w:val="none"/>
        </w:rPr>
        <w:t>〕</w:t>
      </w:r>
      <w:r>
        <w:rPr>
          <w:rFonts w:hint="eastAsia" w:ascii="Times New Roman" w:hAnsi="Times New Roman"/>
          <w:b/>
          <w:kern w:val="2"/>
          <w:sz w:val="21"/>
          <w:szCs w:val="24"/>
          <w:highlight w:val="none"/>
        </w:rPr>
        <w:t>5号</w:t>
      </w:r>
      <w:r>
        <w:rPr>
          <w:rFonts w:hint="eastAsia" w:ascii="Times New Roman" w:hAnsi="Times New Roman"/>
          <w:b/>
          <w:kern w:val="2"/>
          <w:sz w:val="21"/>
          <w:szCs w:val="24"/>
          <w:highlight w:val="none"/>
          <w:lang w:eastAsia="zh-CN"/>
        </w:rPr>
        <w:t>）</w:t>
      </w:r>
      <w:r>
        <w:rPr>
          <w:rFonts w:hint="eastAsia" w:ascii="Times New Roman" w:hAnsi="Times New Roman"/>
          <w:b/>
          <w:kern w:val="2"/>
          <w:sz w:val="21"/>
          <w:szCs w:val="24"/>
          <w:highlight w:val="none"/>
        </w:rPr>
        <w:t>，支持以银行保函、保险机构保单保函方式存储”。</w:t>
      </w:r>
    </w:p>
    <w:bookmarkEnd w:id="320"/>
    <w:p>
      <w:pPr>
        <w:keepNext/>
        <w:keepLines/>
        <w:spacing w:before="120" w:after="120" w:line="360" w:lineRule="auto"/>
        <w:jc w:val="left"/>
        <w:outlineLvl w:val="2"/>
        <w:rPr>
          <w:rFonts w:ascii="黑体" w:hAnsi="黑体" w:eastAsia="黑体"/>
          <w:bCs/>
          <w:kern w:val="2"/>
          <w:sz w:val="24"/>
          <w:szCs w:val="24"/>
          <w:highlight w:val="none"/>
        </w:rPr>
      </w:pPr>
      <w:bookmarkStart w:id="491" w:name="_Toc351203645"/>
      <w:bookmarkStart w:id="492" w:name="_Toc297216223"/>
      <w:bookmarkStart w:id="493" w:name="_Toc297120519"/>
      <w:bookmarkStart w:id="494" w:name="_Toc300935015"/>
      <w:bookmarkStart w:id="495" w:name="_Toc304295593"/>
      <w:bookmarkStart w:id="496" w:name="_Toc297123564"/>
      <w:bookmarkStart w:id="497" w:name="_Toc292559929"/>
      <w:bookmarkStart w:id="498" w:name="_Toc296891047"/>
      <w:bookmarkStart w:id="499" w:name="_Toc296346720"/>
      <w:bookmarkStart w:id="500" w:name="_Toc303539172"/>
      <w:bookmarkStart w:id="501" w:name="_Toc292559424"/>
      <w:bookmarkStart w:id="502" w:name="_Toc296944558"/>
      <w:bookmarkStart w:id="503" w:name="_Toc297048405"/>
      <w:bookmarkStart w:id="504" w:name="_Toc312678053"/>
      <w:bookmarkStart w:id="505" w:name="_Toc296347218"/>
      <w:bookmarkStart w:id="506" w:name="_Toc296891259"/>
      <w:bookmarkStart w:id="507" w:name="_Toc296503219"/>
      <w:r>
        <w:rPr>
          <w:rFonts w:ascii="黑体" w:hAnsi="黑体" w:eastAsia="黑体"/>
          <w:bCs/>
          <w:kern w:val="2"/>
          <w:sz w:val="24"/>
          <w:szCs w:val="24"/>
          <w:highlight w:val="none"/>
        </w:rPr>
        <w:t>13.</w:t>
      </w:r>
      <w:r>
        <w:rPr>
          <w:rFonts w:hint="eastAsia" w:ascii="黑体" w:hAnsi="黑体" w:eastAsia="黑体"/>
          <w:bCs/>
          <w:kern w:val="2"/>
          <w:sz w:val="24"/>
          <w:szCs w:val="24"/>
          <w:highlight w:val="none"/>
        </w:rPr>
        <w:t xml:space="preserve"> </w:t>
      </w:r>
      <w:r>
        <w:rPr>
          <w:rFonts w:ascii="黑体" w:hAnsi="黑体" w:eastAsia="黑体"/>
          <w:bCs/>
          <w:kern w:val="2"/>
          <w:sz w:val="24"/>
          <w:szCs w:val="24"/>
          <w:highlight w:val="none"/>
        </w:rPr>
        <w:t>验收和工程试车</w:t>
      </w:r>
      <w:bookmarkEnd w:id="491"/>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t>13.1 分部分项工程验收</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13.1.2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监理人不能按时进行验收时，应提前</w:t>
      </w:r>
      <w:r>
        <w:rPr>
          <w:rFonts w:hint="eastAsia" w:ascii="Times New Roman" w:hAnsi="Times New Roman"/>
          <w:kern w:val="2"/>
          <w:sz w:val="21"/>
          <w:szCs w:val="24"/>
          <w:highlight w:val="none"/>
          <w:u w:val="single"/>
        </w:rPr>
        <w:t>24</w:t>
      </w:r>
      <w:r>
        <w:rPr>
          <w:rFonts w:ascii="Times New Roman" w:hAnsi="Times New Roman"/>
          <w:kern w:val="2"/>
          <w:sz w:val="21"/>
          <w:szCs w:val="24"/>
          <w:highlight w:val="none"/>
        </w:rPr>
        <w:t>小时提交书面延期要求。</w:t>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关于延期最长不得超过：</w:t>
      </w:r>
      <w:r>
        <w:rPr>
          <w:rFonts w:ascii="Times New Roman" w:hAnsi="Times New Roman"/>
          <w:kern w:val="2"/>
          <w:sz w:val="21"/>
          <w:szCs w:val="24"/>
          <w:highlight w:val="none"/>
          <w:u w:val="single"/>
        </w:rPr>
        <w:t xml:space="preserve"> </w:t>
      </w:r>
      <w:r>
        <w:rPr>
          <w:rFonts w:hint="eastAsia" w:ascii="Times New Roman" w:hAnsi="Times New Roman"/>
          <w:b/>
          <w:sz w:val="21"/>
          <w:szCs w:val="24"/>
          <w:highlight w:val="none"/>
          <w:u w:val="single"/>
        </w:rPr>
        <w:t>48</w:t>
      </w:r>
      <w:r>
        <w:rPr>
          <w:rFonts w:hint="eastAsia" w:ascii="Times New Roman" w:hAnsi="Times New Roman"/>
          <w:b/>
          <w:sz w:val="21"/>
          <w:szCs w:val="24"/>
          <w:highlight w:val="none"/>
          <w:u w:val="single"/>
          <w:lang w:val="en-US" w:eastAsia="zh-CN"/>
        </w:rPr>
        <w:t xml:space="preserve"> </w:t>
      </w:r>
      <w:r>
        <w:rPr>
          <w:rFonts w:ascii="Times New Roman" w:hAnsi="Times New Roman"/>
          <w:kern w:val="2"/>
          <w:sz w:val="21"/>
          <w:szCs w:val="24"/>
          <w:highlight w:val="none"/>
        </w:rPr>
        <w:t>小时。</w:t>
      </w:r>
    </w:p>
    <w:p>
      <w:pPr>
        <w:keepNext/>
        <w:keepLines/>
        <w:spacing w:before="120" w:after="120" w:line="360" w:lineRule="auto"/>
        <w:ind w:firstLine="420" w:firstLineChars="200"/>
        <w:outlineLvl w:val="3"/>
        <w:rPr>
          <w:rFonts w:ascii="Arial" w:hAnsi="Arial" w:eastAsia="黑体"/>
          <w:bCs/>
          <w:kern w:val="2"/>
          <w:sz w:val="21"/>
          <w:szCs w:val="28"/>
          <w:highlight w:val="none"/>
        </w:rPr>
      </w:pPr>
      <w:bookmarkStart w:id="508" w:name="_Toc296891051"/>
      <w:bookmarkStart w:id="509" w:name="_Toc296347222"/>
      <w:bookmarkStart w:id="510" w:name="_Toc312678056"/>
      <w:bookmarkStart w:id="511" w:name="_Toc296503223"/>
      <w:bookmarkStart w:id="512" w:name="_Toc296944562"/>
      <w:bookmarkStart w:id="513" w:name="_Toc297048409"/>
      <w:bookmarkStart w:id="514" w:name="_Toc292559933"/>
      <w:bookmarkStart w:id="515" w:name="_Toc300935016"/>
      <w:bookmarkStart w:id="516" w:name="_Toc303539173"/>
      <w:bookmarkStart w:id="517" w:name="_Toc292559428"/>
      <w:bookmarkStart w:id="518" w:name="_Toc297216224"/>
      <w:bookmarkStart w:id="519" w:name="_Toc297120523"/>
      <w:bookmarkStart w:id="520" w:name="_Toc296346724"/>
      <w:bookmarkStart w:id="521" w:name="_Toc297123565"/>
      <w:bookmarkStart w:id="522" w:name="_Toc304295596"/>
      <w:bookmarkStart w:id="523" w:name="_Toc296891263"/>
      <w:bookmarkStart w:id="524" w:name="_Toc267251470"/>
      <w:bookmarkStart w:id="525" w:name="_Toc267251471"/>
      <w:bookmarkStart w:id="526" w:name="_Toc267251475"/>
      <w:bookmarkStart w:id="527" w:name="_Toc267251474"/>
      <w:bookmarkStart w:id="528" w:name="_Toc267251476"/>
      <w:bookmarkStart w:id="529" w:name="_Toc267251472"/>
      <w:bookmarkStart w:id="530" w:name="_Toc267251473"/>
      <w:r>
        <w:rPr>
          <w:rFonts w:ascii="Arial" w:hAnsi="Arial" w:eastAsia="黑体"/>
          <w:bCs/>
          <w:kern w:val="2"/>
          <w:sz w:val="21"/>
          <w:szCs w:val="28"/>
          <w:highlight w:val="none"/>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adjustRightInd w:val="0"/>
        <w:spacing w:line="360" w:lineRule="auto"/>
        <w:ind w:firstLine="420" w:firstLineChars="200"/>
        <w:rPr>
          <w:rFonts w:ascii="Times New Roman" w:hAnsi="Times New Roman"/>
          <w:kern w:val="2"/>
          <w:sz w:val="21"/>
          <w:szCs w:val="24"/>
          <w:highlight w:val="none"/>
        </w:rPr>
      </w:pPr>
      <w:bookmarkStart w:id="531" w:name="_Toc280868704"/>
      <w:bookmarkStart w:id="532" w:name="_Toc280868705"/>
      <w:bookmarkStart w:id="533" w:name="_Toc280868706"/>
      <w:bookmarkStart w:id="534" w:name="_Toc280868707"/>
      <w:bookmarkStart w:id="535" w:name="_Toc280868708"/>
      <w:bookmarkStart w:id="536" w:name="_Toc280868709"/>
      <w:r>
        <w:rPr>
          <w:rFonts w:ascii="Times New Roman" w:hAnsi="Times New Roman"/>
          <w:kern w:val="2"/>
          <w:sz w:val="21"/>
          <w:szCs w:val="24"/>
          <w:highlight w:val="none"/>
        </w:rPr>
        <w:t>13.2.2</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竣工验收程序</w:t>
      </w:r>
    </w:p>
    <w:bookmarkEnd w:id="531"/>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关于竣工验收程序的约定：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发包人不按照本项约定组织竣工验收、颁发工程接收证书的违约金的计算方法：</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bookmarkEnd w:id="532"/>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13.2.5</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移交、接收全部与部分工程</w:t>
      </w:r>
    </w:p>
    <w:bookmarkEnd w:id="533"/>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承包人向发包人移交工程的期限：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颁发工程接收证书后7天内完成工程的移交</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发包人未按本合同约定接收全部或部分工程的，违约金的计算方法为：</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发包人自应当接收工程之日起，承担工程照管、成品保护、保管等与工程有关的各项费用</w:t>
      </w:r>
      <w:r>
        <w:rPr>
          <w:rFonts w:hint="eastAsia" w:ascii="Times New Roman" w:hAnsi="Times New Roman"/>
          <w:b/>
          <w:kern w:val="2"/>
          <w:sz w:val="21"/>
          <w:szCs w:val="24"/>
          <w:highlight w:val="none"/>
          <w:u w:val="single"/>
          <w:lang w:val="en-US" w:eastAsia="zh-CN"/>
        </w:rPr>
        <w:t xml:space="preserve"> 。</w:t>
      </w:r>
    </w:p>
    <w:bookmarkEnd w:id="534"/>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承包人未按时移交工程的，违约金的计算方法为：</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承包人应承担工程照管、成品保护、保管等与工程有关的各项费用</w:t>
      </w:r>
      <w:r>
        <w:rPr>
          <w:rFonts w:hint="eastAsia" w:ascii="Times New Roman" w:hAnsi="Times New Roman"/>
          <w:b/>
          <w:kern w:val="2"/>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13.3 工程试车</w:t>
      </w:r>
    </w:p>
    <w:bookmarkEnd w:id="535"/>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13.3.1 试车程序</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sz w:val="21"/>
          <w:szCs w:val="24"/>
          <w:highlight w:val="none"/>
        </w:rPr>
        <w:t>工程试车内容：</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（1）单机无负荷试车费用由</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试车消耗的生产性原材料由发包人承担；试车其他费用（包括试车所需水电油等费用）由承包人在措施费中考虑</w:t>
      </w:r>
      <w:r>
        <w:rPr>
          <w:rFonts w:hint="eastAsia" w:ascii="Times New Roman" w:hAnsi="Times New Roman"/>
          <w:b/>
          <w:kern w:val="2"/>
          <w:sz w:val="21"/>
          <w:szCs w:val="24"/>
          <w:highlight w:val="none"/>
          <w:u w:val="single"/>
          <w:lang w:val="en-US" w:eastAsia="zh-CN"/>
        </w:rPr>
        <w:t xml:space="preserve"> </w:t>
      </w:r>
      <w:r>
        <w:rPr>
          <w:rFonts w:ascii="Times New Roman" w:hAnsi="Times New Roman"/>
          <w:sz w:val="21"/>
          <w:szCs w:val="24"/>
          <w:highlight w:val="none"/>
        </w:rPr>
        <w:t>承担；</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（2）无负荷联动试车费用由</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试车消耗的生产性原材料由发包人承担；试车其他费用（包括试车所需水电油等费用）由承包人在措施费中考虑</w:t>
      </w:r>
      <w:r>
        <w:rPr>
          <w:rFonts w:hint="eastAsia" w:ascii="Times New Roman" w:hAnsi="Times New Roman"/>
          <w:b/>
          <w:kern w:val="2"/>
          <w:sz w:val="21"/>
          <w:szCs w:val="24"/>
          <w:highlight w:val="none"/>
          <w:u w:val="single"/>
          <w:lang w:val="en-US" w:eastAsia="zh-CN"/>
        </w:rPr>
        <w:t xml:space="preserve"> </w:t>
      </w:r>
      <w:r>
        <w:rPr>
          <w:rFonts w:ascii="Times New Roman" w:hAnsi="Times New Roman"/>
          <w:sz w:val="21"/>
          <w:szCs w:val="24"/>
          <w:highlight w:val="none"/>
        </w:rPr>
        <w:t>承担。</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13.3.3 投料试车</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sz w:val="21"/>
          <w:szCs w:val="24"/>
          <w:highlight w:val="none"/>
        </w:rPr>
        <w:t>关于投料试车相关事项的约定：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13.6 竣工退场</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13.6.1 竣工退场</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承包人完成竣工退场的期限：</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537" w:name="_Toc351203646"/>
      <w:r>
        <w:rPr>
          <w:rFonts w:ascii="黑体" w:hAnsi="黑体" w:eastAsia="黑体"/>
          <w:bCs/>
          <w:kern w:val="2"/>
          <w:sz w:val="24"/>
          <w:szCs w:val="24"/>
          <w:highlight w:val="none"/>
        </w:rPr>
        <w:t xml:space="preserve">14. </w:t>
      </w:r>
      <w:r>
        <w:rPr>
          <w:rFonts w:hint="eastAsia" w:ascii="黑体" w:hAnsi="黑体" w:eastAsia="黑体" w:cs="宋体"/>
          <w:bCs/>
          <w:kern w:val="2"/>
          <w:sz w:val="24"/>
          <w:szCs w:val="24"/>
          <w:highlight w:val="none"/>
        </w:rPr>
        <w:t>竣工结算</w:t>
      </w:r>
      <w:bookmarkEnd w:id="537"/>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14.1 竣工</w:t>
      </w:r>
      <w:r>
        <w:rPr>
          <w:rFonts w:hint="eastAsia" w:ascii="Arial" w:hAnsi="Arial" w:eastAsia="黑体"/>
          <w:bCs/>
          <w:kern w:val="2"/>
          <w:sz w:val="21"/>
          <w:szCs w:val="28"/>
          <w:highlight w:val="none"/>
        </w:rPr>
        <w:t>结算</w:t>
      </w:r>
      <w:r>
        <w:rPr>
          <w:rFonts w:ascii="Arial" w:hAnsi="Arial" w:eastAsia="黑体"/>
          <w:bCs/>
          <w:kern w:val="2"/>
          <w:sz w:val="21"/>
          <w:szCs w:val="28"/>
          <w:highlight w:val="none"/>
        </w:rPr>
        <w:t>申请</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承包人提交竣工</w:t>
      </w:r>
      <w:r>
        <w:rPr>
          <w:rFonts w:hint="eastAsia" w:ascii="Times New Roman" w:hAnsi="Times New Roman"/>
          <w:kern w:val="2"/>
          <w:sz w:val="21"/>
          <w:szCs w:val="24"/>
          <w:highlight w:val="none"/>
        </w:rPr>
        <w:t>结算</w:t>
      </w:r>
      <w:r>
        <w:rPr>
          <w:rFonts w:ascii="Times New Roman" w:hAnsi="Times New Roman"/>
          <w:kern w:val="2"/>
          <w:sz w:val="21"/>
          <w:szCs w:val="24"/>
          <w:highlight w:val="none"/>
        </w:rPr>
        <w:t>申请单的期限：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承包人应在工程竣工验收合格后28天内</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竣工</w:t>
      </w:r>
      <w:r>
        <w:rPr>
          <w:rFonts w:hint="eastAsia" w:ascii="Times New Roman" w:hAnsi="Times New Roman"/>
          <w:kern w:val="2"/>
          <w:sz w:val="21"/>
          <w:szCs w:val="24"/>
          <w:highlight w:val="none"/>
        </w:rPr>
        <w:t>结算</w:t>
      </w:r>
      <w:r>
        <w:rPr>
          <w:rFonts w:ascii="Times New Roman" w:hAnsi="Times New Roman"/>
          <w:kern w:val="2"/>
          <w:sz w:val="21"/>
          <w:szCs w:val="24"/>
          <w:highlight w:val="none"/>
        </w:rPr>
        <w:t>申请单应包括的内容：</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14.2 竣工结算审核</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发包人</w:t>
      </w:r>
      <w:r>
        <w:rPr>
          <w:rFonts w:hint="eastAsia" w:ascii="Times New Roman" w:hAnsi="Times New Roman"/>
          <w:kern w:val="2"/>
          <w:sz w:val="21"/>
          <w:szCs w:val="24"/>
          <w:highlight w:val="none"/>
        </w:rPr>
        <w:t>审批</w:t>
      </w:r>
      <w:r>
        <w:rPr>
          <w:rFonts w:ascii="Times New Roman" w:hAnsi="Times New Roman"/>
          <w:kern w:val="2"/>
          <w:sz w:val="21"/>
          <w:szCs w:val="24"/>
          <w:highlight w:val="none"/>
        </w:rPr>
        <w:t>竣工付款申请单的期限：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发包人应在收到监理人提交的经审核的竣工结算申请单后14天内完成审批</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u w:val="single"/>
        </w:rPr>
        <w:t>。</w:t>
      </w:r>
    </w:p>
    <w:p>
      <w:pPr>
        <w:adjustRightInd w:val="0"/>
        <w:spacing w:line="360" w:lineRule="auto"/>
        <w:ind w:firstLine="420" w:firstLineChars="200"/>
        <w:rPr>
          <w:rFonts w:hint="default" w:ascii="Times New Roman" w:hAnsi="Times New Roman" w:eastAsia="宋体"/>
          <w:kern w:val="2"/>
          <w:sz w:val="21"/>
          <w:szCs w:val="24"/>
          <w:highlight w:val="none"/>
          <w:lang w:val="en-US" w:eastAsia="zh-CN"/>
        </w:rPr>
      </w:pPr>
      <w:r>
        <w:rPr>
          <w:rFonts w:ascii="Times New Roman" w:hAnsi="Times New Roman"/>
          <w:kern w:val="2"/>
          <w:sz w:val="21"/>
          <w:szCs w:val="24"/>
          <w:highlight w:val="none"/>
        </w:rPr>
        <w:t>发包人完成竣工付款的期限：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发包人应在签发竣工付款证书后的14 天内，完成对承包人的竣工付款。</w:t>
      </w:r>
      <w:r>
        <w:rPr>
          <w:rFonts w:hint="eastAsia" w:ascii="Times New Roman" w:hAnsi="Times New Roman"/>
          <w:b/>
          <w:kern w:val="2"/>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hint="eastAsia" w:ascii="Times New Roman" w:hAnsi="Times New Roman"/>
          <w:kern w:val="2"/>
          <w:sz w:val="21"/>
          <w:szCs w:val="24"/>
          <w:highlight w:val="none"/>
        </w:rPr>
        <w:t>关于竣工付款证书异议部分复核的方式和程序：</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14.4 最终结清</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14.4.1 最终结清申请单</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承包人提交最终结清申请单的份数：</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sz w:val="21"/>
          <w:szCs w:val="24"/>
          <w:highlight w:val="none"/>
        </w:rPr>
        <w:t>承包人提交最终结算申请单的期限：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缺陷责任期终止证书颁发后7天内</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u w:val="single"/>
        </w:rPr>
        <w:t>。</w:t>
      </w:r>
      <w:r>
        <w:rPr>
          <w:rFonts w:ascii="Times New Roman" w:hAnsi="Times New Roman"/>
          <w:kern w:val="2"/>
          <w:sz w:val="21"/>
          <w:szCs w:val="24"/>
          <w:highlight w:val="none"/>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14.4.2 最终结清证书和支付</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（1）发包人完成最终结清申请单的</w:t>
      </w:r>
      <w:r>
        <w:rPr>
          <w:rFonts w:hint="eastAsia" w:ascii="Times New Roman" w:hAnsi="Times New Roman"/>
          <w:kern w:val="2"/>
          <w:sz w:val="21"/>
          <w:szCs w:val="24"/>
          <w:highlight w:val="none"/>
        </w:rPr>
        <w:t>审批</w:t>
      </w:r>
      <w:r>
        <w:rPr>
          <w:rFonts w:ascii="Times New Roman" w:hAnsi="Times New Roman"/>
          <w:kern w:val="2"/>
          <w:sz w:val="21"/>
          <w:szCs w:val="24"/>
          <w:highlight w:val="none"/>
        </w:rPr>
        <w:t>并颁发最终结清证书的期限：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收到承包人提交的最终结清申请单后14天内</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u w:val="singl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（2）发包人完成支付的期限：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颁发最终结清证书后</w:t>
      </w:r>
      <w:r>
        <w:rPr>
          <w:rFonts w:ascii="Times New Roman" w:hAnsi="Times New Roman"/>
          <w:b/>
          <w:kern w:val="2"/>
          <w:sz w:val="21"/>
          <w:szCs w:val="24"/>
          <w:highlight w:val="none"/>
          <w:u w:val="single"/>
        </w:rPr>
        <w:t>7</w:t>
      </w:r>
      <w:r>
        <w:rPr>
          <w:rFonts w:hint="eastAsia" w:ascii="Times New Roman" w:hAnsi="Times New Roman"/>
          <w:b/>
          <w:kern w:val="2"/>
          <w:sz w:val="21"/>
          <w:szCs w:val="24"/>
          <w:highlight w:val="none"/>
          <w:u w:val="single"/>
        </w:rPr>
        <w:t>天内完成支付</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u w:val="single"/>
        </w:rPr>
        <w:t>。</w:t>
      </w:r>
    </w:p>
    <w:bookmarkEnd w:id="524"/>
    <w:bookmarkEnd w:id="525"/>
    <w:bookmarkEnd w:id="526"/>
    <w:bookmarkEnd w:id="527"/>
    <w:bookmarkEnd w:id="528"/>
    <w:bookmarkEnd w:id="529"/>
    <w:bookmarkEnd w:id="530"/>
    <w:bookmarkEnd w:id="536"/>
    <w:p>
      <w:pPr>
        <w:keepNext/>
        <w:keepLines/>
        <w:spacing w:before="120" w:after="120" w:line="360" w:lineRule="auto"/>
        <w:jc w:val="left"/>
        <w:outlineLvl w:val="2"/>
        <w:rPr>
          <w:rFonts w:ascii="黑体" w:hAnsi="黑体" w:eastAsia="黑体"/>
          <w:bCs/>
          <w:kern w:val="2"/>
          <w:sz w:val="24"/>
          <w:szCs w:val="24"/>
          <w:highlight w:val="none"/>
        </w:rPr>
      </w:pPr>
      <w:bookmarkStart w:id="538" w:name="_Toc351203647"/>
      <w:bookmarkStart w:id="539" w:name="_Toc267251483"/>
      <w:bookmarkStart w:id="540" w:name="_Toc267251484"/>
      <w:bookmarkStart w:id="541" w:name="_Toc267251482"/>
      <w:bookmarkStart w:id="542" w:name="_Toc267251485"/>
      <w:bookmarkStart w:id="543" w:name="_Toc267251488"/>
      <w:bookmarkStart w:id="544" w:name="_Toc267251490"/>
      <w:bookmarkStart w:id="545" w:name="_Toc267251489"/>
      <w:bookmarkStart w:id="546" w:name="_Toc267251486"/>
      <w:bookmarkStart w:id="547" w:name="_Toc267251494"/>
      <w:bookmarkStart w:id="548" w:name="_Toc267251501"/>
      <w:bookmarkStart w:id="549" w:name="_Toc267251502"/>
      <w:bookmarkStart w:id="550" w:name="_Toc267251497"/>
      <w:bookmarkStart w:id="551" w:name="_Toc267251491"/>
      <w:bookmarkStart w:id="552" w:name="_Toc267251499"/>
      <w:bookmarkStart w:id="553" w:name="_Toc267251503"/>
      <w:bookmarkStart w:id="554" w:name="_Toc267251493"/>
      <w:bookmarkStart w:id="555" w:name="_Toc267251492"/>
      <w:bookmarkStart w:id="556" w:name="_Toc267251498"/>
      <w:bookmarkStart w:id="557" w:name="_Toc267251495"/>
      <w:bookmarkStart w:id="558" w:name="_Toc267251496"/>
      <w:bookmarkStart w:id="559" w:name="_Toc267251506"/>
      <w:bookmarkStart w:id="560" w:name="_Toc267251504"/>
      <w:bookmarkStart w:id="561" w:name="_Toc267251507"/>
      <w:bookmarkStart w:id="562" w:name="_Toc267251508"/>
      <w:bookmarkStart w:id="563" w:name="_Toc267251511"/>
      <w:bookmarkStart w:id="564" w:name="_Toc267251513"/>
      <w:bookmarkStart w:id="565" w:name="_Toc267251514"/>
      <w:bookmarkStart w:id="566" w:name="_Toc267251509"/>
      <w:bookmarkStart w:id="567" w:name="_Toc267251515"/>
      <w:bookmarkStart w:id="568" w:name="_Toc267251510"/>
      <w:r>
        <w:rPr>
          <w:rFonts w:ascii="黑体" w:hAnsi="黑体" w:eastAsia="黑体"/>
          <w:bCs/>
          <w:kern w:val="2"/>
          <w:sz w:val="24"/>
          <w:szCs w:val="24"/>
          <w:highlight w:val="none"/>
        </w:rPr>
        <w:t>15. 缺陷责任期与保修</w:t>
      </w:r>
      <w:bookmarkEnd w:id="538"/>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15.2</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缺陷责任期</w:t>
      </w:r>
      <w:bookmarkEnd w:id="539"/>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缺陷责任期的具体期限：</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24个月</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u w:val="singl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15.3 质量保证金</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关于是否扣留质量保证金的约定：</w:t>
      </w:r>
      <w:r>
        <w:rPr>
          <w:rFonts w:hint="eastAsia" w:ascii="Times New Roman" w:hAnsi="Times New Roman"/>
          <w:kern w:val="2"/>
          <w:sz w:val="21"/>
          <w:szCs w:val="24"/>
          <w:highlight w:val="none"/>
          <w:u w:val="single"/>
        </w:rPr>
        <w:t>否</w:t>
      </w:r>
      <w:r>
        <w:rPr>
          <w:rFonts w:ascii="Times New Roman" w:hAnsi="Times New Roman"/>
          <w:kern w:val="2"/>
          <w:sz w:val="21"/>
          <w:szCs w:val="24"/>
          <w:highlight w:val="none"/>
        </w:rPr>
        <w:t>。</w:t>
      </w:r>
      <w:r>
        <w:rPr>
          <w:rFonts w:hint="eastAsia" w:ascii="Times New Roman" w:hAnsi="Times New Roman"/>
          <w:kern w:val="2"/>
          <w:sz w:val="21"/>
          <w:szCs w:val="24"/>
          <w:highlight w:val="none"/>
        </w:rPr>
        <w:t>在工程项目竣工前，承包人按专用合同条款第3.7条提供履约保证金的，发包人不得同时预留工程质量保证金。</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 xml:space="preserve">15.3.1 </w:t>
      </w:r>
      <w:r>
        <w:rPr>
          <w:rFonts w:hint="eastAsia" w:ascii="Times New Roman" w:hAnsi="Times New Roman"/>
          <w:kern w:val="2"/>
          <w:sz w:val="21"/>
          <w:szCs w:val="24"/>
          <w:highlight w:val="none"/>
        </w:rPr>
        <w:t>承包人提供</w:t>
      </w:r>
      <w:r>
        <w:rPr>
          <w:rFonts w:ascii="Times New Roman" w:hAnsi="Times New Roman"/>
          <w:kern w:val="2"/>
          <w:sz w:val="21"/>
          <w:szCs w:val="24"/>
          <w:highlight w:val="none"/>
        </w:rPr>
        <w:t>质量保证金的</w:t>
      </w:r>
      <w:r>
        <w:rPr>
          <w:rFonts w:hint="eastAsia" w:ascii="Times New Roman" w:hAnsi="Times New Roman"/>
          <w:kern w:val="2"/>
          <w:sz w:val="21"/>
          <w:szCs w:val="24"/>
          <w:highlight w:val="none"/>
        </w:rPr>
        <w:t>方</w:t>
      </w:r>
      <w:r>
        <w:rPr>
          <w:rFonts w:ascii="Times New Roman" w:hAnsi="Times New Roman"/>
          <w:kern w:val="2"/>
          <w:sz w:val="21"/>
          <w:szCs w:val="24"/>
          <w:highlight w:val="none"/>
        </w:rPr>
        <w:t>式</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质量保证金采用以下第</w:t>
      </w:r>
      <w:r>
        <w:rPr>
          <w:rFonts w:hint="eastAsia" w:ascii="Times New Roman" w:hAnsi="Times New Roman"/>
          <w:b w:val="0"/>
          <w:bCs/>
          <w:kern w:val="2"/>
          <w:sz w:val="21"/>
          <w:szCs w:val="24"/>
          <w:highlight w:val="none"/>
          <w:u w:val="single"/>
        </w:rPr>
        <w:t xml:space="preserve">   </w:t>
      </w:r>
      <w:r>
        <w:rPr>
          <w:rFonts w:ascii="Times New Roman" w:hAnsi="Times New Roman"/>
          <w:kern w:val="2"/>
          <w:sz w:val="21"/>
          <w:szCs w:val="24"/>
          <w:highlight w:val="none"/>
        </w:rPr>
        <w:t>种方式：</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（1）质量保证金保函，保证金额为：</w:t>
      </w:r>
      <w:r>
        <w:rPr>
          <w:rFonts w:hint="eastAsia" w:ascii="Times New Roman" w:hAnsi="Times New Roman"/>
          <w:sz w:val="21"/>
          <w:szCs w:val="24"/>
          <w:highlight w:val="none"/>
          <w:u w:val="single"/>
          <w:lang w:val="en-US" w:eastAsia="zh-CN"/>
        </w:rPr>
        <w:t xml:space="preserve"> </w:t>
      </w:r>
      <w:r>
        <w:rPr>
          <w:rFonts w:hint="eastAsia" w:ascii="Times New Roman" w:hAnsi="Times New Roman"/>
          <w:sz w:val="21"/>
          <w:szCs w:val="24"/>
          <w:highlight w:val="none"/>
          <w:u w:val="single"/>
        </w:rPr>
        <w:t>/</w:t>
      </w:r>
      <w:r>
        <w:rPr>
          <w:rFonts w:hint="eastAsia" w:ascii="Times New Roman" w:hAnsi="Times New Roman"/>
          <w:sz w:val="21"/>
          <w:szCs w:val="24"/>
          <w:highlight w:val="none"/>
          <w:u w:val="single"/>
          <w:lang w:val="en-US" w:eastAsia="zh-CN"/>
        </w:rPr>
        <w:t xml:space="preserve"> </w:t>
      </w:r>
      <w:r>
        <w:rPr>
          <w:rFonts w:ascii="Times New Roman" w:hAnsi="Times New Roman"/>
          <w:sz w:val="21"/>
          <w:szCs w:val="24"/>
          <w:highlight w:val="none"/>
        </w:rPr>
        <w:t xml:space="preserve">； </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（2）</w:t>
      </w:r>
      <w:r>
        <w:rPr>
          <w:rFonts w:hint="eastAsia" w:ascii="Times New Roman" w:hAnsi="Times New Roman"/>
          <w:sz w:val="21"/>
          <w:szCs w:val="24"/>
          <w:highlight w:val="none"/>
          <w:u w:val="single"/>
        </w:rPr>
        <w:t xml:space="preserve">   </w:t>
      </w:r>
      <w:r>
        <w:rPr>
          <w:rFonts w:ascii="Times New Roman" w:hAnsi="Times New Roman"/>
          <w:sz w:val="21"/>
          <w:szCs w:val="24"/>
          <w:highlight w:val="none"/>
        </w:rPr>
        <w:t>的工程款；</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（3）其他</w:t>
      </w:r>
      <w:r>
        <w:rPr>
          <w:rFonts w:hint="eastAsia" w:ascii="Times New Roman" w:hAnsi="Times New Roman"/>
          <w:sz w:val="21"/>
          <w:szCs w:val="24"/>
          <w:highlight w:val="none"/>
        </w:rPr>
        <w:t>方</w:t>
      </w:r>
      <w:r>
        <w:rPr>
          <w:rFonts w:ascii="Times New Roman" w:hAnsi="Times New Roman"/>
          <w:sz w:val="21"/>
          <w:szCs w:val="24"/>
          <w:highlight w:val="none"/>
        </w:rPr>
        <w:t>式</w:t>
      </w:r>
      <w:r>
        <w:rPr>
          <w:rFonts w:hint="eastAsia" w:ascii="Times New Roman" w:hAnsi="Times New Roman"/>
          <w:sz w:val="21"/>
          <w:szCs w:val="24"/>
          <w:highlight w:val="none"/>
          <w:lang w:eastAsia="zh-CN"/>
        </w:rPr>
        <w:t>：</w:t>
      </w:r>
      <w:r>
        <w:rPr>
          <w:rFonts w:hint="eastAsia" w:ascii="Times New Roman" w:hAnsi="Times New Roman"/>
          <w:sz w:val="21"/>
          <w:szCs w:val="24"/>
          <w:highlight w:val="none"/>
          <w:u w:val="single"/>
          <w:lang w:val="en-US" w:eastAsia="zh-CN"/>
        </w:rPr>
        <w:t xml:space="preserve"> </w:t>
      </w:r>
      <w:r>
        <w:rPr>
          <w:rFonts w:hint="eastAsia" w:ascii="Times New Roman" w:hAnsi="Times New Roman"/>
          <w:sz w:val="21"/>
          <w:szCs w:val="24"/>
          <w:highlight w:val="none"/>
          <w:u w:val="single"/>
        </w:rPr>
        <w:t>/</w:t>
      </w:r>
      <w:r>
        <w:rPr>
          <w:rFonts w:hint="eastAsia" w:ascii="Times New Roman" w:hAnsi="Times New Roman"/>
          <w:sz w:val="21"/>
          <w:szCs w:val="24"/>
          <w:highlight w:val="none"/>
          <w:u w:val="single"/>
          <w:lang w:val="en-US" w:eastAsia="zh-CN"/>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 xml:space="preserve">15.3.2 质量保证金的扣留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质量保证金的扣留采取以下第</w:t>
      </w:r>
      <w:r>
        <w:rPr>
          <w:rFonts w:hint="eastAsia" w:ascii="Times New Roman" w:hAnsi="Times New Roman"/>
          <w:sz w:val="21"/>
          <w:szCs w:val="24"/>
          <w:highlight w:val="none"/>
          <w:u w:val="single"/>
        </w:rPr>
        <w:t xml:space="preserve">    </w:t>
      </w:r>
      <w:r>
        <w:rPr>
          <w:rFonts w:ascii="Times New Roman" w:hAnsi="Times New Roman"/>
          <w:kern w:val="2"/>
          <w:sz w:val="21"/>
          <w:szCs w:val="24"/>
          <w:highlight w:val="none"/>
        </w:rPr>
        <w:t>种方式：</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（1）在支付工程进度款时逐次扣留，在此情形下，质量保证金的计算基数不包括预付款的支付、扣回以及价格调整的金额；</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（2）工程竣工结算时一次性扣留质量保证金；</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（3）其他扣留方式</w:t>
      </w:r>
      <w:r>
        <w:rPr>
          <w:rFonts w:hint="eastAsia" w:ascii="Times New Roman" w:hAnsi="Times New Roman"/>
          <w:sz w:val="21"/>
          <w:szCs w:val="24"/>
          <w:highlight w:val="none"/>
          <w:lang w:eastAsia="zh-CN"/>
        </w:rPr>
        <w:t>：</w:t>
      </w:r>
      <w:r>
        <w:rPr>
          <w:rFonts w:hint="eastAsia" w:ascii="Times New Roman" w:hAnsi="Times New Roman"/>
          <w:sz w:val="21"/>
          <w:szCs w:val="24"/>
          <w:highlight w:val="none"/>
          <w:u w:val="single"/>
          <w:lang w:val="en-US" w:eastAsia="zh-CN"/>
        </w:rPr>
        <w:t xml:space="preserve"> </w:t>
      </w:r>
      <w:r>
        <w:rPr>
          <w:rFonts w:hint="eastAsia" w:ascii="Times New Roman" w:hAnsi="Times New Roman"/>
          <w:sz w:val="21"/>
          <w:szCs w:val="24"/>
          <w:highlight w:val="none"/>
          <w:u w:val="single"/>
        </w:rPr>
        <w:t>/</w:t>
      </w:r>
      <w:r>
        <w:rPr>
          <w:rFonts w:hint="eastAsia" w:ascii="Times New Roman" w:hAnsi="Times New Roman"/>
          <w:sz w:val="21"/>
          <w:szCs w:val="24"/>
          <w:highlight w:val="none"/>
          <w:u w:val="single"/>
          <w:lang w:val="en-US" w:eastAsia="zh-CN"/>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关于质量保证金的补充约定：</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rPr>
        <w:t>。</w:t>
      </w:r>
    </w:p>
    <w:bookmarkEnd w:id="540"/>
    <w:bookmarkEnd w:id="541"/>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15.4</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保修</w:t>
      </w:r>
    </w:p>
    <w:bookmarkEnd w:id="542"/>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15.4.1 保修责任</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kern w:val="2"/>
          <w:sz w:val="21"/>
          <w:szCs w:val="24"/>
          <w:highlight w:val="none"/>
        </w:rPr>
        <w:t>工程保修期为：</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执行《工程质量保修书》规定</w:t>
      </w:r>
      <w:r>
        <w:rPr>
          <w:rFonts w:hint="eastAsia" w:ascii="Times New Roman" w:hAnsi="Times New Roman"/>
          <w:b/>
          <w:kern w:val="2"/>
          <w:sz w:val="21"/>
          <w:szCs w:val="24"/>
          <w:highlight w:val="none"/>
          <w:u w:val="single"/>
          <w:lang w:val="en-US" w:eastAsia="zh-CN"/>
        </w:rPr>
        <w:t xml:space="preserve"> </w:t>
      </w:r>
      <w:r>
        <w:rPr>
          <w:rFonts w:ascii="Times New Roman" w:hAnsi="Times New Roman"/>
          <w:sz w:val="21"/>
          <w:szCs w:val="24"/>
          <w:highlight w:val="none"/>
          <w:u w:val="singl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15.4.3 修复通知</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承包人收到保修通知并到达工程现场的合理时间：</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bookmarkEnd w:id="543"/>
    <w:bookmarkEnd w:id="544"/>
    <w:bookmarkEnd w:id="545"/>
    <w:bookmarkEnd w:id="546"/>
    <w:p>
      <w:pPr>
        <w:keepNext/>
        <w:keepLines/>
        <w:spacing w:before="120" w:after="120" w:line="360" w:lineRule="auto"/>
        <w:jc w:val="left"/>
        <w:outlineLvl w:val="2"/>
        <w:rPr>
          <w:rFonts w:ascii="黑体" w:hAnsi="黑体" w:eastAsia="黑体"/>
          <w:bCs/>
          <w:kern w:val="2"/>
          <w:sz w:val="24"/>
          <w:szCs w:val="24"/>
          <w:highlight w:val="none"/>
        </w:rPr>
      </w:pPr>
      <w:bookmarkStart w:id="569" w:name="_Toc351203648"/>
      <w:bookmarkStart w:id="570" w:name="_Toc280868717"/>
      <w:bookmarkStart w:id="571" w:name="_Toc280868718"/>
      <w:r>
        <w:rPr>
          <w:rFonts w:ascii="黑体" w:hAnsi="黑体" w:eastAsia="黑体"/>
          <w:bCs/>
          <w:kern w:val="2"/>
          <w:sz w:val="24"/>
          <w:szCs w:val="24"/>
          <w:highlight w:val="none"/>
        </w:rPr>
        <w:t>16. 违约</w:t>
      </w:r>
      <w:bookmarkEnd w:id="569"/>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16.1 发包人违约</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16.1.1</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发包人违约的情形</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发包人违约的其他情形：</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16.1.2 发包人违约的责任</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发包人违约责任的承担方式和计算方法：</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（1）因发包人原因未能在计划开工日期前7天内下达开工通知的违约责任：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kern w:val="2"/>
          <w:sz w:val="21"/>
          <w:szCs w:val="24"/>
          <w:highlight w:val="none"/>
          <w:u w:val="single"/>
          <w:lang w:val="en-US" w:eastAsia="zh-CN"/>
        </w:rPr>
        <w:t xml:space="preserve"> </w:t>
      </w:r>
      <w:r>
        <w:rPr>
          <w:rFonts w:ascii="Times New Roman" w:hAnsi="Times New Roman"/>
          <w:sz w:val="21"/>
          <w:szCs w:val="24"/>
          <w:highlight w:val="none"/>
          <w:u w:val="single"/>
        </w:rPr>
        <w:t>。</w:t>
      </w:r>
    </w:p>
    <w:p>
      <w:pPr>
        <w:adjustRightInd w:val="0"/>
        <w:spacing w:line="360" w:lineRule="auto"/>
        <w:ind w:firstLine="420" w:firstLineChars="200"/>
        <w:rPr>
          <w:rFonts w:hint="default" w:ascii="Times New Roman" w:hAnsi="Times New Roman" w:eastAsia="宋体"/>
          <w:sz w:val="21"/>
          <w:szCs w:val="24"/>
          <w:highlight w:val="none"/>
          <w:u w:val="single"/>
          <w:lang w:val="en-US" w:eastAsia="zh-CN"/>
        </w:rPr>
      </w:pPr>
      <w:r>
        <w:rPr>
          <w:rFonts w:ascii="Times New Roman" w:hAnsi="Times New Roman"/>
          <w:sz w:val="21"/>
          <w:szCs w:val="24"/>
          <w:highlight w:val="none"/>
        </w:rPr>
        <w:t>（2）因发包人原因未能按合同约定支付合同价款的违约责任：</w:t>
      </w:r>
      <w:r>
        <w:rPr>
          <w:rFonts w:hint="eastAsia" w:ascii="Times New Roman" w:hAnsi="Times New Roman"/>
          <w:sz w:val="21"/>
          <w:szCs w:val="24"/>
          <w:highlight w:val="none"/>
          <w:u w:val="single"/>
          <w:lang w:val="en-US" w:eastAsia="zh-CN"/>
        </w:rPr>
        <w:t xml:space="preserve"> </w:t>
      </w:r>
      <w:r>
        <w:rPr>
          <w:rFonts w:hint="eastAsia" w:ascii="Times New Roman" w:hAnsi="Times New Roman"/>
          <w:sz w:val="21"/>
          <w:szCs w:val="24"/>
          <w:highlight w:val="none"/>
          <w:u w:val="single"/>
        </w:rPr>
        <w:t>因甲方未按合同约定支付价款、未按合同约定受领标的物、擅自解除合同导致乙方遭受的直接损失，乙方可向甲方申请赔偿，赔偿金额由双方协商一致； 针对因政策变化等原因不能签订合同或解除合同时，造成乙方合法利益受损的情形，可以给予乙方合理补偿，补偿金额不得超过乙方的直接损失</w:t>
      </w:r>
      <w:r>
        <w:rPr>
          <w:rFonts w:hint="eastAsia" w:ascii="Times New Roman" w:hAnsi="Times New Roman"/>
          <w:sz w:val="21"/>
          <w:szCs w:val="24"/>
          <w:highlight w:val="none"/>
          <w:u w:val="single"/>
          <w:lang w:val="en-US" w:eastAsia="zh-CN"/>
        </w:rPr>
        <w:t xml:space="preserve"> </w:t>
      </w:r>
      <w:r>
        <w:rPr>
          <w:rFonts w:ascii="Times New Roman" w:hAnsi="Times New Roman"/>
          <w:sz w:val="21"/>
          <w:szCs w:val="24"/>
          <w:highlight w:val="none"/>
          <w:u w:val="none"/>
        </w:rPr>
        <w:t>。</w:t>
      </w:r>
    </w:p>
    <w:p>
      <w:pPr>
        <w:adjustRightInd w:val="0"/>
        <w:spacing w:line="360" w:lineRule="auto"/>
        <w:ind w:firstLine="420" w:firstLineChars="200"/>
        <w:rPr>
          <w:rFonts w:ascii="Times New Roman" w:hAnsi="Times New Roman"/>
          <w:b/>
          <w:sz w:val="21"/>
          <w:szCs w:val="24"/>
          <w:highlight w:val="none"/>
          <w:u w:val="single"/>
        </w:rPr>
      </w:pPr>
      <w:r>
        <w:rPr>
          <w:rFonts w:ascii="Times New Roman" w:hAnsi="Times New Roman"/>
          <w:sz w:val="21"/>
          <w:szCs w:val="24"/>
          <w:highlight w:val="none"/>
        </w:rPr>
        <w:t>（3）发包人违反第10.1款</w:t>
      </w:r>
      <w:r>
        <w:rPr>
          <w:rFonts w:hint="eastAsia" w:ascii="Times New Roman" w:hAnsi="Times New Roman"/>
          <w:sz w:val="21"/>
          <w:szCs w:val="24"/>
          <w:highlight w:val="none"/>
        </w:rPr>
        <w:t>〔</w:t>
      </w:r>
      <w:r>
        <w:rPr>
          <w:rFonts w:ascii="Times New Roman" w:hAnsi="Times New Roman"/>
          <w:sz w:val="21"/>
          <w:szCs w:val="24"/>
          <w:highlight w:val="none"/>
        </w:rPr>
        <w:t>变更的范围</w:t>
      </w:r>
      <w:r>
        <w:rPr>
          <w:rFonts w:hint="eastAsia" w:ascii="Times New Roman" w:hAnsi="Times New Roman"/>
          <w:sz w:val="21"/>
          <w:szCs w:val="24"/>
          <w:highlight w:val="none"/>
        </w:rPr>
        <w:t>〕</w:t>
      </w:r>
      <w:r>
        <w:rPr>
          <w:rFonts w:ascii="Times New Roman" w:hAnsi="Times New Roman"/>
          <w:sz w:val="21"/>
          <w:szCs w:val="24"/>
          <w:highlight w:val="none"/>
        </w:rPr>
        <w:t>第（2）项约定，自行实施被取消的工作或转由他人实施的违约责任：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kern w:val="2"/>
          <w:sz w:val="21"/>
          <w:szCs w:val="24"/>
          <w:highlight w:val="none"/>
          <w:u w:val="single"/>
          <w:lang w:val="en-US" w:eastAsia="zh-CN"/>
        </w:rPr>
        <w:t xml:space="preserve"> </w:t>
      </w:r>
      <w:r>
        <w:rPr>
          <w:rFonts w:ascii="Times New Roman" w:hAnsi="Times New Roman"/>
          <w:b/>
          <w:sz w:val="21"/>
          <w:szCs w:val="24"/>
          <w:highlight w:val="none"/>
          <w:u w:val="singl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（4）发包人提供的材料、工程设备的规格、数量或质量不符合合同约定，或因发包人原因导致交货日期延误或交货地点变更等情况的违约责任：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kern w:val="2"/>
          <w:sz w:val="21"/>
          <w:szCs w:val="24"/>
          <w:highlight w:val="none"/>
          <w:u w:val="single"/>
          <w:lang w:val="en-US" w:eastAsia="zh-CN"/>
        </w:rPr>
        <w:t xml:space="preserve"> </w:t>
      </w:r>
      <w:r>
        <w:rPr>
          <w:rFonts w:ascii="Times New Roman" w:hAnsi="Times New Roman"/>
          <w:b/>
          <w:sz w:val="21"/>
          <w:szCs w:val="24"/>
          <w:highlight w:val="none"/>
          <w:u w:val="single"/>
        </w:rPr>
        <w:t>。</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（5）因发包人违反合同约定造成暂停施工的违约责任：</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sz w:val="21"/>
          <w:szCs w:val="24"/>
          <w:highlight w:val="none"/>
          <w:u w:val="single"/>
          <w:lang w:val="en-US" w:eastAsia="zh-CN"/>
        </w:rPr>
        <w:t xml:space="preserve"> </w:t>
      </w:r>
      <w:r>
        <w:rPr>
          <w:rFonts w:ascii="Times New Roman" w:hAnsi="Times New Roman"/>
          <w:b/>
          <w:sz w:val="21"/>
          <w:szCs w:val="24"/>
          <w:highlight w:val="none"/>
          <w:u w:val="singl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（6）发包人无正当理由没有在约定期限内发出复工指示，导致承包人无法复工的违约责任：</w:t>
      </w:r>
      <w:r>
        <w:rPr>
          <w:rFonts w:ascii="Times New Roman" w:hAnsi="Times New Roman"/>
          <w:sz w:val="21"/>
          <w:szCs w:val="24"/>
          <w:highlight w:val="none"/>
          <w:u w:val="single"/>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kern w:val="2"/>
          <w:sz w:val="21"/>
          <w:szCs w:val="24"/>
          <w:highlight w:val="none"/>
          <w:u w:val="single"/>
          <w:lang w:val="en-US" w:eastAsia="zh-CN"/>
        </w:rPr>
        <w:t xml:space="preserve"> </w:t>
      </w:r>
      <w:r>
        <w:rPr>
          <w:rFonts w:ascii="Times New Roman" w:hAnsi="Times New Roman"/>
          <w:b/>
          <w:sz w:val="21"/>
          <w:szCs w:val="24"/>
          <w:highlight w:val="none"/>
          <w:u w:val="singl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（7）</w:t>
      </w:r>
      <w:r>
        <w:rPr>
          <w:rFonts w:hint="eastAsia" w:ascii="Times New Roman" w:hAnsi="Times New Roman"/>
          <w:sz w:val="21"/>
          <w:szCs w:val="24"/>
          <w:highlight w:val="none"/>
        </w:rPr>
        <w:t>其他：</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双方协商解决</w:t>
      </w:r>
      <w:r>
        <w:rPr>
          <w:rFonts w:hint="eastAsia" w:ascii="Times New Roman" w:hAnsi="Times New Roman"/>
          <w:b/>
          <w:kern w:val="2"/>
          <w:sz w:val="21"/>
          <w:szCs w:val="24"/>
          <w:highlight w:val="none"/>
          <w:u w:val="single"/>
          <w:lang w:val="en-US" w:eastAsia="zh-CN"/>
        </w:rPr>
        <w:t xml:space="preserve"> </w:t>
      </w:r>
      <w:r>
        <w:rPr>
          <w:rFonts w:ascii="Times New Roman" w:hAnsi="Times New Roman"/>
          <w:b/>
          <w:sz w:val="21"/>
          <w:szCs w:val="24"/>
          <w:highlight w:val="none"/>
          <w:u w:val="singl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16.1.3 因发包人违约解除合同</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承包人按16.1.1项</w:t>
      </w:r>
      <w:r>
        <w:rPr>
          <w:rFonts w:hint="eastAsia" w:ascii="Times New Roman" w:hAnsi="Times New Roman"/>
          <w:sz w:val="21"/>
          <w:szCs w:val="24"/>
          <w:highlight w:val="none"/>
        </w:rPr>
        <w:t>〔</w:t>
      </w:r>
      <w:r>
        <w:rPr>
          <w:rFonts w:ascii="Times New Roman" w:hAnsi="Times New Roman"/>
          <w:sz w:val="21"/>
          <w:szCs w:val="24"/>
          <w:highlight w:val="none"/>
        </w:rPr>
        <w:t>发包人违约的情形</w:t>
      </w:r>
      <w:r>
        <w:rPr>
          <w:rFonts w:hint="eastAsia" w:ascii="Times New Roman" w:hAnsi="Times New Roman"/>
          <w:sz w:val="21"/>
          <w:szCs w:val="24"/>
          <w:highlight w:val="none"/>
        </w:rPr>
        <w:t>〕</w:t>
      </w:r>
      <w:r>
        <w:rPr>
          <w:rFonts w:ascii="Times New Roman" w:hAnsi="Times New Roman"/>
          <w:sz w:val="21"/>
          <w:szCs w:val="24"/>
          <w:highlight w:val="none"/>
        </w:rPr>
        <w:t>约定暂停施工满</w:t>
      </w:r>
      <w:r>
        <w:rPr>
          <w:rFonts w:hint="eastAsia" w:ascii="Times New Roman" w:hAnsi="Times New Roman"/>
          <w:sz w:val="21"/>
          <w:szCs w:val="24"/>
          <w:highlight w:val="none"/>
          <w:u w:val="single"/>
        </w:rPr>
        <w:t>28</w:t>
      </w:r>
      <w:r>
        <w:rPr>
          <w:rFonts w:ascii="Times New Roman" w:hAnsi="Times New Roman"/>
          <w:sz w:val="21"/>
          <w:szCs w:val="24"/>
          <w:highlight w:val="none"/>
        </w:rPr>
        <w:t>天后发包人仍不纠正其违约行为并致使合同目的不能实现的，承包人有权解除合同。</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16.2 承包人违约</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16.2.1 承包人违约的情形</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承包人违约的其他情形：</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16.2.2</w:t>
      </w:r>
      <w:r>
        <w:rPr>
          <w:rFonts w:hint="eastAsia" w:ascii="Times New Roman" w:hAnsi="Times New Roman"/>
          <w:sz w:val="21"/>
          <w:szCs w:val="24"/>
          <w:highlight w:val="none"/>
        </w:rPr>
        <w:t xml:space="preserve"> </w:t>
      </w:r>
      <w:r>
        <w:rPr>
          <w:rFonts w:ascii="Times New Roman" w:hAnsi="Times New Roman"/>
          <w:sz w:val="21"/>
          <w:szCs w:val="24"/>
          <w:highlight w:val="none"/>
        </w:rPr>
        <w:t>承包人违约的责任</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承包人违约责任的承担方式和计算方法：</w:t>
      </w:r>
      <w:r>
        <w:rPr>
          <w:rFonts w:hint="eastAsia" w:ascii="Times New Roman" w:hAnsi="Times New Roman"/>
          <w:bCs/>
          <w:kern w:val="2"/>
          <w:sz w:val="21"/>
          <w:szCs w:val="24"/>
          <w:highlight w:val="none"/>
          <w:u w:val="single"/>
        </w:rPr>
        <w:t xml:space="preserve">                               </w:t>
      </w:r>
      <w:r>
        <w:rPr>
          <w:rFonts w:hint="eastAsia" w:ascii="Times New Roman" w:hAnsi="Times New Roman"/>
          <w:bCs/>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16.2.3 因承包人违约解除合同</w:t>
      </w:r>
    </w:p>
    <w:p>
      <w:pPr>
        <w:adjustRightInd w:val="0"/>
        <w:spacing w:line="360" w:lineRule="auto"/>
        <w:ind w:firstLine="420" w:firstLineChars="200"/>
        <w:rPr>
          <w:rFonts w:ascii="Times New Roman" w:hAnsi="Times New Roman"/>
          <w:sz w:val="21"/>
          <w:szCs w:val="24"/>
          <w:highlight w:val="none"/>
          <w:u w:val="single"/>
        </w:rPr>
      </w:pPr>
      <w:r>
        <w:rPr>
          <w:rFonts w:ascii="Times New Roman" w:hAnsi="Times New Roman"/>
          <w:sz w:val="21"/>
          <w:szCs w:val="24"/>
          <w:highlight w:val="none"/>
        </w:rPr>
        <w:t>关于承包人违约解除合同的特别约定：</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发包人</w:t>
      </w:r>
      <w:r>
        <w:rPr>
          <w:rFonts w:hint="eastAsia" w:ascii="Times New Roman" w:hAnsi="Times New Roman"/>
          <w:sz w:val="21"/>
          <w:szCs w:val="24"/>
          <w:highlight w:val="none"/>
        </w:rPr>
        <w:t>继续</w:t>
      </w:r>
      <w:r>
        <w:rPr>
          <w:rFonts w:ascii="Times New Roman" w:hAnsi="Times New Roman"/>
          <w:sz w:val="21"/>
          <w:szCs w:val="24"/>
          <w:highlight w:val="none"/>
        </w:rPr>
        <w:t>使用承包人在施工现场的材料、设备、临时工程、承包人文件和由承包人或以其名义编制的其他文件</w:t>
      </w:r>
      <w:r>
        <w:rPr>
          <w:rFonts w:hint="eastAsia" w:ascii="Times New Roman" w:hAnsi="Times New Roman"/>
          <w:sz w:val="21"/>
          <w:szCs w:val="24"/>
          <w:highlight w:val="none"/>
        </w:rPr>
        <w:t>的费用承担方式</w:t>
      </w:r>
      <w:r>
        <w:rPr>
          <w:rFonts w:ascii="Times New Roman" w:hAnsi="Times New Roman"/>
          <w:sz w:val="21"/>
          <w:szCs w:val="24"/>
          <w:highlight w:val="none"/>
        </w:rPr>
        <w:t>：</w:t>
      </w:r>
      <w:r>
        <w:rPr>
          <w:rFonts w:ascii="Times New Roman" w:hAnsi="Times New Roman"/>
          <w:sz w:val="21"/>
          <w:szCs w:val="24"/>
          <w:highlight w:val="none"/>
          <w:u w:val="single"/>
        </w:rPr>
        <w:t xml:space="preserve">    </w:t>
      </w:r>
      <w:r>
        <w:rPr>
          <w:rFonts w:hint="eastAsia" w:ascii="Times New Roman" w:hAnsi="Times New Roman"/>
          <w:sz w:val="21"/>
          <w:szCs w:val="24"/>
          <w:highlight w:val="none"/>
          <w:u w:val="single"/>
        </w:rPr>
        <w:t xml:space="preserve">          </w:t>
      </w:r>
      <w:r>
        <w:rPr>
          <w:rFonts w:hint="eastAsia" w:ascii="Times New Roman" w:hAnsi="Times New Roman"/>
          <w:sz w:val="21"/>
          <w:szCs w:val="24"/>
          <w:highlight w:val="none"/>
        </w:rPr>
        <w:t>。</w:t>
      </w:r>
    </w:p>
    <w:p>
      <w:pPr>
        <w:keepNext/>
        <w:keepLines/>
        <w:spacing w:before="120" w:after="120" w:line="360" w:lineRule="auto"/>
        <w:jc w:val="left"/>
        <w:outlineLvl w:val="2"/>
        <w:rPr>
          <w:rFonts w:ascii="黑体" w:hAnsi="黑体" w:eastAsia="黑体"/>
          <w:bCs/>
          <w:kern w:val="2"/>
          <w:sz w:val="24"/>
          <w:szCs w:val="24"/>
          <w:highlight w:val="none"/>
        </w:rPr>
      </w:pPr>
      <w:bookmarkStart w:id="572" w:name="_Toc351203649"/>
      <w:r>
        <w:rPr>
          <w:rFonts w:ascii="黑体" w:hAnsi="黑体" w:eastAsia="黑体"/>
          <w:bCs/>
          <w:kern w:val="2"/>
          <w:sz w:val="24"/>
          <w:szCs w:val="24"/>
          <w:highlight w:val="none"/>
        </w:rPr>
        <w:t>17. 不可抗力</w:t>
      </w:r>
      <w:bookmarkEnd w:id="572"/>
      <w:r>
        <w:rPr>
          <w:rFonts w:ascii="黑体" w:hAnsi="黑体" w:eastAsia="黑体"/>
          <w:bCs/>
          <w:kern w:val="2"/>
          <w:sz w:val="24"/>
          <w:szCs w:val="24"/>
          <w:highlight w:val="none"/>
        </w:rPr>
        <w:t xml:space="preserve"> </w:t>
      </w:r>
      <w:bookmarkEnd w:id="570"/>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17.1 不可抗力的确认</w:t>
      </w:r>
    </w:p>
    <w:p>
      <w:pPr>
        <w:adjustRightInd w:val="0"/>
        <w:spacing w:line="360" w:lineRule="auto"/>
        <w:ind w:firstLine="420" w:firstLineChars="200"/>
        <w:rPr>
          <w:rFonts w:ascii="Times New Roman" w:hAnsi="Times New Roman"/>
          <w:b/>
          <w:kern w:val="2"/>
          <w:sz w:val="21"/>
          <w:szCs w:val="24"/>
          <w:highlight w:val="none"/>
          <w:u w:val="single"/>
        </w:rPr>
      </w:pPr>
      <w:r>
        <w:rPr>
          <w:rFonts w:ascii="Times New Roman" w:hAnsi="Times New Roman"/>
          <w:kern w:val="2"/>
          <w:sz w:val="21"/>
          <w:szCs w:val="24"/>
          <w:highlight w:val="none"/>
        </w:rPr>
        <w:t>除通用合同条款约定的不可抗力事件之外，视为不可抗力的其他情形：</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执行</w:t>
      </w:r>
      <w:r>
        <w:rPr>
          <w:rFonts w:hint="eastAsia" w:ascii="Times New Roman" w:hAnsi="Times New Roman"/>
          <w:b/>
          <w:kern w:val="2"/>
          <w:sz w:val="21"/>
          <w:szCs w:val="24"/>
          <w:highlight w:val="none"/>
          <w:u w:val="single"/>
          <w:lang w:eastAsia="zh-CN"/>
        </w:rPr>
        <w:t>《</w:t>
      </w:r>
      <w:r>
        <w:rPr>
          <w:rFonts w:hint="eastAsia" w:ascii="Times New Roman" w:hAnsi="Times New Roman"/>
          <w:b/>
          <w:kern w:val="2"/>
          <w:sz w:val="21"/>
          <w:szCs w:val="24"/>
          <w:highlight w:val="none"/>
          <w:u w:val="single"/>
        </w:rPr>
        <w:t>通用</w:t>
      </w:r>
      <w:r>
        <w:rPr>
          <w:rFonts w:hint="eastAsia" w:ascii="Times New Roman" w:hAnsi="Times New Roman"/>
          <w:b/>
          <w:kern w:val="2"/>
          <w:sz w:val="21"/>
          <w:szCs w:val="24"/>
          <w:highlight w:val="none"/>
          <w:u w:val="single"/>
          <w:lang w:val="en-US" w:eastAsia="zh-CN"/>
        </w:rPr>
        <w:t>合同</w:t>
      </w:r>
      <w:r>
        <w:rPr>
          <w:rFonts w:hint="eastAsia" w:ascii="Times New Roman" w:hAnsi="Times New Roman"/>
          <w:b/>
          <w:kern w:val="2"/>
          <w:sz w:val="21"/>
          <w:szCs w:val="24"/>
          <w:highlight w:val="none"/>
          <w:u w:val="single"/>
        </w:rPr>
        <w:t>条款</w:t>
      </w:r>
      <w:r>
        <w:rPr>
          <w:rFonts w:hint="eastAsia" w:ascii="Times New Roman" w:hAnsi="Times New Roman"/>
          <w:b/>
          <w:kern w:val="2"/>
          <w:sz w:val="21"/>
          <w:szCs w:val="24"/>
          <w:highlight w:val="none"/>
          <w:u w:val="single"/>
          <w:lang w:eastAsia="zh-CN"/>
        </w:rPr>
        <w:t>》</w:t>
      </w:r>
      <w:r>
        <w:rPr>
          <w:rFonts w:ascii="Times New Roman" w:hAnsi="Times New Roman"/>
          <w:b/>
          <w:sz w:val="21"/>
          <w:szCs w:val="24"/>
          <w:highlight w:val="none"/>
          <w:u w:val="single"/>
        </w:rPr>
        <w:t>。</w:t>
      </w:r>
      <w:r>
        <w:rPr>
          <w:rFonts w:hint="eastAsia" w:ascii="Times New Roman" w:hAnsi="Times New Roman"/>
          <w:b/>
          <w:sz w:val="21"/>
          <w:szCs w:val="24"/>
          <w:highlight w:val="none"/>
          <w:u w:val="single"/>
          <w:lang w:val="en-US" w:eastAsia="zh-CN"/>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17.4 因不可抗力解除合同</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合同解除后，发包人应在商定或确定发包人应支付款项后</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28</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rPr>
        <w:t>天内完成款项的支付。</w:t>
      </w:r>
    </w:p>
    <w:p>
      <w:pPr>
        <w:keepNext/>
        <w:keepLines/>
        <w:spacing w:before="120" w:after="120" w:line="360" w:lineRule="auto"/>
        <w:jc w:val="left"/>
        <w:outlineLvl w:val="2"/>
        <w:rPr>
          <w:rFonts w:ascii="黑体" w:hAnsi="黑体" w:eastAsia="黑体"/>
          <w:bCs/>
          <w:kern w:val="2"/>
          <w:sz w:val="24"/>
          <w:szCs w:val="24"/>
          <w:highlight w:val="none"/>
        </w:rPr>
      </w:pPr>
      <w:bookmarkStart w:id="573" w:name="_Toc351203650"/>
      <w:r>
        <w:rPr>
          <w:rFonts w:ascii="黑体" w:hAnsi="黑体" w:eastAsia="黑体"/>
          <w:bCs/>
          <w:kern w:val="2"/>
          <w:sz w:val="24"/>
          <w:szCs w:val="24"/>
          <w:highlight w:val="none"/>
        </w:rPr>
        <w:t>18. 保险</w:t>
      </w:r>
      <w:bookmarkEnd w:id="573"/>
    </w:p>
    <w:bookmarkEnd w:id="571"/>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18.1 工程保险</w:t>
      </w:r>
    </w:p>
    <w:p>
      <w:pPr>
        <w:adjustRightInd w:val="0"/>
        <w:spacing w:line="360" w:lineRule="auto"/>
        <w:ind w:firstLine="420" w:firstLineChars="200"/>
        <w:rPr>
          <w:rFonts w:ascii="Times New Roman" w:hAnsi="Times New Roman"/>
          <w:b/>
          <w:kern w:val="2"/>
          <w:sz w:val="21"/>
          <w:szCs w:val="24"/>
          <w:highlight w:val="none"/>
        </w:rPr>
      </w:pPr>
      <w:r>
        <w:rPr>
          <w:rFonts w:ascii="Times New Roman" w:hAnsi="Times New Roman"/>
          <w:kern w:val="2"/>
          <w:sz w:val="21"/>
          <w:szCs w:val="24"/>
          <w:highlight w:val="none"/>
        </w:rPr>
        <w:t>关于工程保险的特别约定：</w:t>
      </w:r>
      <w:r>
        <w:rPr>
          <w:rFonts w:hint="eastAsia" w:ascii="Times New Roman" w:hAnsi="Times New Roman"/>
          <w:b/>
          <w:sz w:val="21"/>
          <w:szCs w:val="24"/>
          <w:highlight w:val="none"/>
          <w:u w:val="single"/>
          <w:lang w:val="en-US" w:eastAsia="zh-CN"/>
        </w:rPr>
        <w:t xml:space="preserve"> </w:t>
      </w:r>
      <w:r>
        <w:rPr>
          <w:rFonts w:hint="eastAsia" w:ascii="Times New Roman" w:hAnsi="Times New Roman"/>
          <w:b/>
          <w:sz w:val="21"/>
          <w:szCs w:val="24"/>
          <w:highlight w:val="none"/>
          <w:u w:val="single"/>
        </w:rPr>
        <w:t>发包人应投保建筑工程一切险或安装工程一切险</w:t>
      </w:r>
      <w:r>
        <w:rPr>
          <w:rFonts w:hint="eastAsia" w:ascii="Times New Roman" w:hAnsi="Times New Roman"/>
          <w:b/>
          <w:sz w:val="21"/>
          <w:szCs w:val="24"/>
          <w:highlight w:val="none"/>
          <w:u w:val="single"/>
          <w:lang w:val="en-US" w:eastAsia="zh-CN"/>
        </w:rPr>
        <w:t xml:space="preserve"> </w:t>
      </w:r>
      <w:r>
        <w:rPr>
          <w:rFonts w:ascii="Times New Roman" w:hAnsi="Times New Roman"/>
          <w:b/>
          <w:sz w:val="21"/>
          <w:szCs w:val="24"/>
          <w:highlight w:val="none"/>
          <w:u w:val="singl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18.3 其他保险</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kern w:val="2"/>
          <w:sz w:val="21"/>
          <w:szCs w:val="24"/>
          <w:highlight w:val="none"/>
        </w:rPr>
        <w:t>关于其他保险的约定：</w:t>
      </w:r>
      <w:r>
        <w:rPr>
          <w:rFonts w:hint="eastAsia" w:ascii="Times New Roman" w:hAnsi="Times New Roman"/>
          <w:b/>
          <w:sz w:val="21"/>
          <w:szCs w:val="24"/>
          <w:highlight w:val="none"/>
          <w:u w:val="single"/>
          <w:lang w:val="en-US" w:eastAsia="zh-CN"/>
        </w:rPr>
        <w:t xml:space="preserve"> </w:t>
      </w:r>
      <w:r>
        <w:rPr>
          <w:rFonts w:hint="eastAsia" w:ascii="Times New Roman" w:hAnsi="Times New Roman"/>
          <w:b/>
          <w:sz w:val="21"/>
          <w:szCs w:val="24"/>
          <w:highlight w:val="none"/>
          <w:u w:val="single"/>
        </w:rPr>
        <w:t>承包人须为其施工现场的全部人员办理意外伤害保险并支付保险费，包括其员工及为履行合同聘请的第三方的人员</w:t>
      </w:r>
      <w:r>
        <w:rPr>
          <w:rFonts w:hint="eastAsia" w:ascii="Times New Roman" w:hAnsi="Times New Roman"/>
          <w:b/>
          <w:sz w:val="21"/>
          <w:szCs w:val="24"/>
          <w:highlight w:val="none"/>
          <w:u w:val="single"/>
          <w:lang w:val="en-US" w:eastAsia="zh-CN"/>
        </w:rPr>
        <w:t xml:space="preserve"> 。</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承包人是否应为其施工设备等办理财产保险：</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18.7 通知义务</w:t>
      </w:r>
    </w:p>
    <w:p>
      <w:pPr>
        <w:adjustRightInd w:val="0"/>
        <w:spacing w:line="360" w:lineRule="auto"/>
        <w:ind w:firstLine="420" w:firstLineChars="200"/>
        <w:rPr>
          <w:rFonts w:ascii="Times New Roman" w:hAnsi="Times New Roman"/>
          <w:b/>
          <w:kern w:val="2"/>
          <w:sz w:val="21"/>
          <w:szCs w:val="24"/>
          <w:highlight w:val="none"/>
          <w:u w:val="single"/>
        </w:rPr>
      </w:pPr>
      <w:r>
        <w:rPr>
          <w:rFonts w:ascii="Times New Roman" w:hAnsi="Times New Roman"/>
          <w:sz w:val="21"/>
          <w:szCs w:val="24"/>
          <w:highlight w:val="none"/>
        </w:rPr>
        <w:t>关于变更保险合同时的通知义务的约定：</w:t>
      </w:r>
      <w:r>
        <w:rPr>
          <w:rFonts w:hint="eastAsia" w:ascii="Times New Roman" w:hAnsi="Times New Roman" w:eastAsia="宋体" w:cs="Times New Roman"/>
          <w:b/>
          <w:bCs w:val="0"/>
          <w:kern w:val="2"/>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u w:val="single"/>
          <w:lang w:val="en-US" w:eastAsia="zh-CN" w:bidi="ar"/>
        </w:rPr>
        <w:t>执行《通用合同条款》。</w:t>
      </w:r>
      <w:r>
        <w:rPr>
          <w:rFonts w:hint="eastAsia" w:ascii="Times New Roman" w:hAnsi="Times New Roman" w:eastAsia="宋体" w:cs="Times New Roman"/>
          <w:b/>
          <w:bCs w:val="0"/>
          <w:kern w:val="2"/>
          <w:sz w:val="21"/>
          <w:szCs w:val="21"/>
          <w:highlight w:val="none"/>
          <w:u w:val="single"/>
          <w:lang w:val="en-US" w:eastAsia="zh-CN" w:bidi="ar"/>
        </w:rPr>
        <w:t xml:space="preserve"> </w:t>
      </w:r>
    </w:p>
    <w:bookmarkEnd w:id="547"/>
    <w:bookmarkEnd w:id="548"/>
    <w:bookmarkEnd w:id="549"/>
    <w:bookmarkEnd w:id="550"/>
    <w:bookmarkEnd w:id="551"/>
    <w:bookmarkEnd w:id="552"/>
    <w:bookmarkEnd w:id="553"/>
    <w:bookmarkEnd w:id="554"/>
    <w:bookmarkEnd w:id="555"/>
    <w:bookmarkEnd w:id="556"/>
    <w:bookmarkEnd w:id="557"/>
    <w:bookmarkEnd w:id="558"/>
    <w:p>
      <w:pPr>
        <w:keepNext/>
        <w:keepLines/>
        <w:spacing w:before="120" w:after="120" w:line="360" w:lineRule="auto"/>
        <w:jc w:val="left"/>
        <w:outlineLvl w:val="2"/>
        <w:rPr>
          <w:rFonts w:ascii="黑体" w:hAnsi="黑体" w:eastAsia="黑体"/>
          <w:bCs/>
          <w:kern w:val="2"/>
          <w:sz w:val="24"/>
          <w:szCs w:val="24"/>
          <w:highlight w:val="none"/>
        </w:rPr>
      </w:pPr>
      <w:bookmarkStart w:id="574" w:name="_Toc351203651"/>
      <w:r>
        <w:rPr>
          <w:rFonts w:ascii="黑体" w:hAnsi="黑体" w:eastAsia="黑体"/>
          <w:bCs/>
          <w:kern w:val="2"/>
          <w:sz w:val="24"/>
          <w:szCs w:val="24"/>
          <w:highlight w:val="none"/>
        </w:rPr>
        <w:t>20. 争议解决</w:t>
      </w:r>
      <w:bookmarkEnd w:id="574"/>
    </w:p>
    <w:bookmarkEnd w:id="559"/>
    <w:bookmarkEnd w:id="560"/>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20.3 争</w:t>
      </w:r>
      <w:bookmarkEnd w:id="561"/>
      <w:r>
        <w:rPr>
          <w:rFonts w:ascii="Arial" w:hAnsi="Arial" w:eastAsia="黑体"/>
          <w:bCs/>
          <w:kern w:val="2"/>
          <w:sz w:val="21"/>
          <w:szCs w:val="28"/>
          <w:highlight w:val="none"/>
        </w:rPr>
        <w:t>议评审</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合同当事人是否同意将工程争议提交争议评审小组决</w:t>
      </w:r>
      <w:r>
        <w:rPr>
          <w:rFonts w:hint="eastAsia" w:ascii="Times New Roman" w:hAnsi="Times New Roman"/>
          <w:kern w:val="2"/>
          <w:sz w:val="21"/>
          <w:szCs w:val="24"/>
          <w:highlight w:val="none"/>
        </w:rPr>
        <w:t>定：</w:t>
      </w:r>
      <w:r>
        <w:rPr>
          <w:rFonts w:hint="eastAsia" w:ascii="Times New Roman" w:hAnsi="Times New Roman"/>
          <w:kern w:val="2"/>
          <w:sz w:val="21"/>
          <w:szCs w:val="24"/>
          <w:highlight w:val="none"/>
          <w:u w:val="single"/>
        </w:rPr>
        <w:t xml:space="preserve">                   </w:t>
      </w:r>
      <w:r>
        <w:rPr>
          <w:rFonts w:hint="eastAsia" w:ascii="Times New Roman" w:hAnsi="Times New Roman"/>
          <w:kern w:val="2"/>
          <w:sz w:val="21"/>
          <w:szCs w:val="24"/>
          <w:highlight w:val="none"/>
        </w:rPr>
        <w:t xml:space="preserve">。  </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20.3.1 争议评审小组的确定</w:t>
      </w:r>
    </w:p>
    <w:p>
      <w:pPr>
        <w:adjustRightInd w:val="0"/>
        <w:spacing w:line="360" w:lineRule="auto"/>
        <w:ind w:firstLine="420" w:firstLineChars="200"/>
        <w:rPr>
          <w:rFonts w:ascii="Times New Roman" w:hAnsi="Times New Roman"/>
          <w:kern w:val="2"/>
          <w:sz w:val="21"/>
          <w:szCs w:val="24"/>
          <w:highlight w:val="none"/>
          <w:u w:val="single"/>
        </w:rPr>
      </w:pPr>
      <w:r>
        <w:rPr>
          <w:rFonts w:ascii="Times New Roman" w:hAnsi="Times New Roman"/>
          <w:kern w:val="2"/>
          <w:sz w:val="21"/>
          <w:szCs w:val="24"/>
          <w:highlight w:val="none"/>
        </w:rPr>
        <w:t>争议评审小组成员的确定：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选定争议评审员的期限：</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争议评审小组成员的报酬承担方式：</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其他事项的约定：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adjustRightInd w:val="0"/>
        <w:spacing w:line="360" w:lineRule="auto"/>
        <w:ind w:firstLine="420" w:firstLineChars="200"/>
        <w:rPr>
          <w:rFonts w:ascii="Times New Roman" w:hAnsi="Times New Roman"/>
          <w:sz w:val="21"/>
          <w:szCs w:val="24"/>
          <w:highlight w:val="none"/>
        </w:rPr>
      </w:pPr>
      <w:r>
        <w:rPr>
          <w:rFonts w:ascii="Times New Roman" w:hAnsi="Times New Roman"/>
          <w:sz w:val="21"/>
          <w:szCs w:val="24"/>
          <w:highlight w:val="none"/>
        </w:rPr>
        <w:t>20.3.2 争议评审小组的决定</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合同当事人关于本项的约定：</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u w:val="single"/>
        </w:rPr>
        <w:t xml:space="preserve">   </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ascii="Arial" w:hAnsi="Arial" w:eastAsia="黑体"/>
          <w:bCs/>
          <w:kern w:val="2"/>
          <w:sz w:val="21"/>
          <w:szCs w:val="28"/>
          <w:highlight w:val="none"/>
        </w:rPr>
        <w:t>20.4</w:t>
      </w:r>
      <w:r>
        <w:rPr>
          <w:rFonts w:hint="eastAsia" w:ascii="Arial" w:hAnsi="Arial" w:eastAsia="黑体"/>
          <w:bCs/>
          <w:kern w:val="2"/>
          <w:sz w:val="21"/>
          <w:szCs w:val="28"/>
          <w:highlight w:val="none"/>
        </w:rPr>
        <w:t xml:space="preserve"> </w:t>
      </w:r>
      <w:r>
        <w:rPr>
          <w:rFonts w:ascii="Arial" w:hAnsi="Arial" w:eastAsia="黑体"/>
          <w:bCs/>
          <w:kern w:val="2"/>
          <w:sz w:val="21"/>
          <w:szCs w:val="28"/>
          <w:highlight w:val="none"/>
        </w:rPr>
        <w:t>仲裁或诉讼</w:t>
      </w:r>
      <w:bookmarkEnd w:id="562"/>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因合同及合同有关事项发生的争议，按下列第</w:t>
      </w:r>
      <w:r>
        <w:rPr>
          <w:rFonts w:hint="eastAsia" w:ascii="Times New Roman" w:hAnsi="Times New Roman"/>
          <w:b/>
          <w:bCs/>
          <w:kern w:val="2"/>
          <w:sz w:val="21"/>
          <w:szCs w:val="24"/>
          <w:highlight w:val="none"/>
          <w:u w:val="single"/>
          <w:lang w:eastAsia="zh-CN"/>
        </w:rPr>
        <w:t>（</w:t>
      </w:r>
      <w:r>
        <w:rPr>
          <w:rFonts w:hint="eastAsia" w:ascii="Times New Roman" w:hAnsi="Times New Roman"/>
          <w:b/>
          <w:kern w:val="2"/>
          <w:sz w:val="21"/>
          <w:szCs w:val="24"/>
          <w:highlight w:val="none"/>
          <w:u w:val="single"/>
        </w:rPr>
        <w:t>2</w:t>
      </w:r>
      <w:r>
        <w:rPr>
          <w:rFonts w:hint="eastAsia" w:ascii="Times New Roman" w:hAnsi="Times New Roman"/>
          <w:b/>
          <w:kern w:val="2"/>
          <w:sz w:val="21"/>
          <w:szCs w:val="24"/>
          <w:highlight w:val="none"/>
          <w:u w:val="single"/>
          <w:lang w:eastAsia="zh-CN"/>
        </w:rPr>
        <w:t>）</w:t>
      </w:r>
      <w:r>
        <w:rPr>
          <w:rFonts w:ascii="Times New Roman" w:hAnsi="Times New Roman"/>
          <w:kern w:val="2"/>
          <w:sz w:val="21"/>
          <w:szCs w:val="24"/>
          <w:highlight w:val="none"/>
        </w:rPr>
        <w:t>种方式</w:t>
      </w:r>
      <w:r>
        <w:rPr>
          <w:rFonts w:hint="eastAsia" w:ascii="Times New Roman" w:hAnsi="Times New Roman"/>
          <w:kern w:val="2"/>
          <w:sz w:val="21"/>
          <w:szCs w:val="24"/>
          <w:highlight w:val="none"/>
        </w:rPr>
        <w:t>解</w:t>
      </w:r>
      <w:r>
        <w:rPr>
          <w:rFonts w:ascii="Times New Roman" w:hAnsi="Times New Roman"/>
          <w:kern w:val="2"/>
          <w:sz w:val="21"/>
          <w:szCs w:val="24"/>
          <w:highlight w:val="none"/>
        </w:rPr>
        <w:t>决：</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（1）向</w:t>
      </w:r>
      <w:r>
        <w:rPr>
          <w:rFonts w:ascii="Times New Roman" w:hAnsi="Times New Roman"/>
          <w:kern w:val="2"/>
          <w:sz w:val="21"/>
          <w:szCs w:val="24"/>
          <w:highlight w:val="none"/>
          <w:u w:val="single"/>
        </w:rPr>
        <w:t xml:space="preserve"> </w:t>
      </w:r>
      <w:r>
        <w:rPr>
          <w:rFonts w:hint="eastAsia" w:ascii="Times New Roman" w:hAnsi="Times New Roman"/>
          <w:b/>
          <w:kern w:val="2"/>
          <w:sz w:val="21"/>
          <w:szCs w:val="24"/>
          <w:highlight w:val="none"/>
          <w:u w:val="single"/>
        </w:rPr>
        <w:t xml:space="preserve">      </w:t>
      </w:r>
      <w:r>
        <w:rPr>
          <w:rFonts w:ascii="Times New Roman" w:hAnsi="Times New Roman"/>
          <w:kern w:val="2"/>
          <w:sz w:val="21"/>
          <w:szCs w:val="24"/>
          <w:highlight w:val="none"/>
        </w:rPr>
        <w:t>仲裁委员会申请仲裁；</w:t>
      </w:r>
    </w:p>
    <w:p>
      <w:pPr>
        <w:adjustRightInd w:val="0"/>
        <w:spacing w:line="360" w:lineRule="auto"/>
        <w:ind w:firstLine="420" w:firstLineChars="200"/>
        <w:rPr>
          <w:rFonts w:ascii="Times New Roman" w:hAnsi="Times New Roman"/>
          <w:kern w:val="2"/>
          <w:sz w:val="21"/>
          <w:szCs w:val="24"/>
          <w:highlight w:val="none"/>
        </w:rPr>
      </w:pPr>
      <w:r>
        <w:rPr>
          <w:rFonts w:ascii="Times New Roman" w:hAnsi="Times New Roman"/>
          <w:kern w:val="2"/>
          <w:sz w:val="21"/>
          <w:szCs w:val="24"/>
          <w:highlight w:val="none"/>
        </w:rPr>
        <w:t>（2）向</w:t>
      </w:r>
      <w:r>
        <w:rPr>
          <w:rFonts w:hint="eastAsia" w:ascii="Times New Roman" w:hAnsi="Times New Roman"/>
          <w:b/>
          <w:kern w:val="2"/>
          <w:sz w:val="21"/>
          <w:szCs w:val="24"/>
          <w:highlight w:val="none"/>
          <w:u w:val="single"/>
          <w:lang w:val="en-US" w:eastAsia="zh-CN"/>
        </w:rPr>
        <w:t xml:space="preserve"> </w:t>
      </w:r>
      <w:r>
        <w:rPr>
          <w:rFonts w:hint="eastAsia" w:ascii="Times New Roman" w:hAnsi="Times New Roman"/>
          <w:b/>
          <w:kern w:val="2"/>
          <w:sz w:val="21"/>
          <w:szCs w:val="24"/>
          <w:highlight w:val="none"/>
          <w:u w:val="single"/>
        </w:rPr>
        <w:t>工程所在地</w:t>
      </w:r>
      <w:r>
        <w:rPr>
          <w:rFonts w:hint="eastAsia" w:ascii="Times New Roman" w:hAnsi="Times New Roman"/>
          <w:b/>
          <w:kern w:val="2"/>
          <w:sz w:val="21"/>
          <w:szCs w:val="24"/>
          <w:highlight w:val="none"/>
          <w:u w:val="single"/>
          <w:lang w:val="en-US" w:eastAsia="zh-CN"/>
        </w:rPr>
        <w:t xml:space="preserve"> </w:t>
      </w:r>
      <w:r>
        <w:rPr>
          <w:rFonts w:ascii="Times New Roman" w:hAnsi="Times New Roman"/>
          <w:kern w:val="2"/>
          <w:sz w:val="21"/>
          <w:szCs w:val="24"/>
          <w:highlight w:val="none"/>
        </w:rPr>
        <w:t>人民法院起诉。</w:t>
      </w:r>
      <w:bookmarkEnd w:id="563"/>
      <w:bookmarkEnd w:id="564"/>
      <w:bookmarkEnd w:id="565"/>
      <w:bookmarkEnd w:id="566"/>
      <w:bookmarkEnd w:id="567"/>
      <w:bookmarkEnd w:id="568"/>
    </w:p>
    <w:p>
      <w:pPr>
        <w:keepNext/>
        <w:keepLines/>
        <w:spacing w:before="120" w:after="120" w:line="360" w:lineRule="auto"/>
        <w:jc w:val="left"/>
        <w:outlineLvl w:val="2"/>
        <w:rPr>
          <w:rFonts w:ascii="黑体" w:hAnsi="黑体" w:eastAsia="黑体"/>
          <w:bCs/>
          <w:kern w:val="2"/>
          <w:sz w:val="24"/>
          <w:szCs w:val="24"/>
          <w:highlight w:val="none"/>
        </w:rPr>
      </w:pPr>
      <w:r>
        <w:rPr>
          <w:rFonts w:hint="eastAsia" w:ascii="黑体" w:hAnsi="黑体" w:eastAsia="黑体"/>
          <w:bCs/>
          <w:kern w:val="2"/>
          <w:sz w:val="24"/>
          <w:szCs w:val="24"/>
          <w:highlight w:val="none"/>
        </w:rPr>
        <w:t>21. 补充条款</w:t>
      </w:r>
      <w:r>
        <w:rPr>
          <w:rFonts w:ascii="黑体" w:hAnsi="黑体" w:eastAsia="黑体"/>
          <w:bCs/>
          <w:kern w:val="2"/>
          <w:sz w:val="24"/>
          <w:szCs w:val="24"/>
          <w:highlight w:val="non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本补充条款是专用条款的一部分，其解释顺序优先于专用条款内的其他条款。</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hint="eastAsia" w:ascii="Arial" w:hAnsi="Arial" w:eastAsia="黑体"/>
          <w:bCs/>
          <w:kern w:val="2"/>
          <w:sz w:val="21"/>
          <w:szCs w:val="28"/>
          <w:highlight w:val="none"/>
        </w:rPr>
        <w:t>2</w:t>
      </w:r>
      <w:r>
        <w:rPr>
          <w:rFonts w:ascii="Arial" w:hAnsi="Arial" w:eastAsia="黑体"/>
          <w:bCs/>
          <w:kern w:val="2"/>
          <w:sz w:val="21"/>
          <w:szCs w:val="28"/>
          <w:highlight w:val="none"/>
        </w:rPr>
        <w:t>1.1</w:t>
      </w:r>
      <w:r>
        <w:rPr>
          <w:rFonts w:hint="eastAsia" w:ascii="Arial" w:hAnsi="Arial" w:eastAsia="黑体"/>
          <w:bCs/>
          <w:kern w:val="2"/>
          <w:sz w:val="21"/>
          <w:szCs w:val="28"/>
          <w:highlight w:val="none"/>
        </w:rPr>
        <w:t xml:space="preserve"> 人员及职责</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1.1.1</w:t>
      </w:r>
      <w:r>
        <w:rPr>
          <w:rFonts w:hint="eastAsia" w:ascii="Times New Roman" w:hAnsi="Times New Roman"/>
          <w:sz w:val="21"/>
          <w:szCs w:val="24"/>
          <w:highlight w:val="none"/>
        </w:rPr>
        <w:t xml:space="preserve"> 发包人委派的发包人代表或监理工程师（以下简称“工程师”）无权更改合同，也无权解除发包人和承包人的义务和责任。</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1.1.2</w:t>
      </w:r>
      <w:r>
        <w:rPr>
          <w:rFonts w:hint="eastAsia" w:ascii="Times New Roman" w:hAnsi="Times New Roman"/>
          <w:sz w:val="21"/>
          <w:szCs w:val="24"/>
          <w:highlight w:val="none"/>
        </w:rPr>
        <w:t xml:space="preserve"> 发包人代表的任何批准、检查、证书、同意、通知、建议、检验、指令和要求等不解除承包人在合同中的责任。</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1.1.3</w:t>
      </w:r>
      <w:r>
        <w:rPr>
          <w:rFonts w:hint="eastAsia" w:ascii="Times New Roman" w:hAnsi="Times New Roman"/>
          <w:sz w:val="21"/>
          <w:szCs w:val="24"/>
          <w:highlight w:val="none"/>
        </w:rPr>
        <w:t xml:space="preserve"> 承包人只能从发包人代表或其授权代表处接受指令。</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1.1.4</w:t>
      </w:r>
      <w:r>
        <w:rPr>
          <w:rFonts w:hint="eastAsia" w:ascii="Times New Roman" w:hAnsi="Times New Roman"/>
          <w:sz w:val="21"/>
          <w:szCs w:val="24"/>
          <w:highlight w:val="none"/>
        </w:rPr>
        <w:t xml:space="preserve"> 发包人如需更换发包人代表须提前</w:t>
      </w:r>
      <w:r>
        <w:rPr>
          <w:rFonts w:ascii="Times New Roman" w:hAnsi="Times New Roman"/>
          <w:sz w:val="21"/>
          <w:szCs w:val="24"/>
          <w:highlight w:val="none"/>
        </w:rPr>
        <w:t>7</w:t>
      </w:r>
      <w:r>
        <w:rPr>
          <w:rFonts w:hint="eastAsia" w:ascii="Times New Roman" w:hAnsi="Times New Roman"/>
          <w:sz w:val="21"/>
          <w:szCs w:val="24"/>
          <w:highlight w:val="none"/>
        </w:rPr>
        <w:t>天通知承包人。</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1.1.5</w:t>
      </w:r>
      <w:r>
        <w:rPr>
          <w:rFonts w:hint="eastAsia" w:ascii="Times New Roman" w:hAnsi="Times New Roman"/>
          <w:sz w:val="21"/>
          <w:szCs w:val="24"/>
          <w:highlight w:val="none"/>
        </w:rPr>
        <w:t xml:space="preserve"> </w:t>
      </w:r>
      <w:r>
        <w:rPr>
          <w:rFonts w:hint="eastAsia"/>
          <w:sz w:val="21"/>
          <w:szCs w:val="18"/>
          <w:highlight w:val="none"/>
        </w:rPr>
        <w:t>承包人</w:t>
      </w:r>
      <w:r>
        <w:rPr>
          <w:rFonts w:hint="eastAsia" w:ascii="Times New Roman" w:hAnsi="Times New Roman"/>
          <w:sz w:val="21"/>
          <w:szCs w:val="24"/>
          <w:highlight w:val="none"/>
        </w:rPr>
        <w:t>委任的项目经理、项目技术负责人、各专业负责人（其他主要管理人员和技术人员）及施工机械等在整个项目施工期内必须在位。</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承包人的项目经理离开现场的，须经发包人代表同意，并书面指定临时代表，代为行使项目经理的权力；该临时代表的一切行为，甲方均认为是项目经理的行为。</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2</w:t>
      </w:r>
      <w:r>
        <w:rPr>
          <w:rFonts w:ascii="Times New Roman" w:hAnsi="Times New Roman"/>
          <w:kern w:val="2"/>
          <w:sz w:val="21"/>
          <w:szCs w:val="24"/>
          <w:highlight w:val="none"/>
        </w:rPr>
        <w:t>1.1.</w:t>
      </w:r>
      <w:r>
        <w:rPr>
          <w:rFonts w:hint="eastAsia" w:ascii="Times New Roman" w:hAnsi="Times New Roman"/>
          <w:kern w:val="2"/>
          <w:sz w:val="21"/>
          <w:szCs w:val="24"/>
          <w:highlight w:val="none"/>
        </w:rPr>
        <w:t>6 承包人提交发包人的任何文件，发包人都认为该文件已经承包人内部程序批准；承包人提交的文件发生修改的，应及时将最新版本提交发包人代表。</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2</w:t>
      </w:r>
      <w:r>
        <w:rPr>
          <w:rFonts w:ascii="Times New Roman" w:hAnsi="Times New Roman"/>
          <w:kern w:val="2"/>
          <w:sz w:val="21"/>
          <w:szCs w:val="24"/>
          <w:highlight w:val="none"/>
        </w:rPr>
        <w:t>1.1.</w:t>
      </w:r>
      <w:r>
        <w:rPr>
          <w:rFonts w:hint="eastAsia" w:ascii="Times New Roman" w:hAnsi="Times New Roman"/>
          <w:kern w:val="2"/>
          <w:sz w:val="21"/>
          <w:szCs w:val="24"/>
          <w:highlight w:val="none"/>
        </w:rPr>
        <w:t>7 承包人应始终采取一切合理防范措施来避免在项目人员内部发生违法、动乱或妨碍治安的行为，保持项目的安定；并保护好现场和周围的人员和财产安全。</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2</w:t>
      </w:r>
      <w:r>
        <w:rPr>
          <w:rFonts w:ascii="Times New Roman" w:hAnsi="Times New Roman"/>
          <w:kern w:val="2"/>
          <w:sz w:val="21"/>
          <w:szCs w:val="24"/>
          <w:highlight w:val="none"/>
        </w:rPr>
        <w:t>1.1.</w:t>
      </w:r>
      <w:r>
        <w:rPr>
          <w:rFonts w:hint="eastAsia" w:ascii="Times New Roman" w:hAnsi="Times New Roman"/>
          <w:kern w:val="2"/>
          <w:sz w:val="21"/>
          <w:szCs w:val="24"/>
          <w:highlight w:val="none"/>
        </w:rPr>
        <w:t>8 承包人雇佣职员或工人应遵守相关法律法规的规定。</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2</w:t>
      </w:r>
      <w:r>
        <w:rPr>
          <w:rFonts w:ascii="Times New Roman" w:hAnsi="Times New Roman"/>
          <w:kern w:val="2"/>
          <w:sz w:val="21"/>
          <w:szCs w:val="24"/>
          <w:highlight w:val="none"/>
        </w:rPr>
        <w:t>1.1.</w:t>
      </w:r>
      <w:r>
        <w:rPr>
          <w:rFonts w:hint="eastAsia" w:ascii="Times New Roman" w:hAnsi="Times New Roman"/>
          <w:kern w:val="2"/>
          <w:sz w:val="21"/>
          <w:szCs w:val="24"/>
          <w:highlight w:val="none"/>
        </w:rPr>
        <w:t>9 参与本项目的承包人代表或其雇员不遵守合同规定或一贯行为不轨或不能胜任工作或危害安全，发包人代表有权要求更换；原人选未经发包人许可不得再进入本项目（包括项目经理在内）。</w:t>
      </w:r>
    </w:p>
    <w:p>
      <w:pPr>
        <w:adjustRightInd w:val="0"/>
        <w:spacing w:line="360" w:lineRule="auto"/>
        <w:ind w:firstLine="420" w:firstLineChars="200"/>
        <w:rPr>
          <w:rFonts w:ascii="Times New Roman" w:hAnsi="Times New Roman"/>
          <w:kern w:val="2"/>
          <w:sz w:val="21"/>
          <w:szCs w:val="24"/>
          <w:highlight w:val="none"/>
        </w:rPr>
      </w:pPr>
      <w:r>
        <w:rPr>
          <w:rFonts w:hint="eastAsia" w:ascii="Times New Roman" w:hAnsi="Times New Roman"/>
          <w:kern w:val="2"/>
          <w:sz w:val="21"/>
          <w:szCs w:val="24"/>
          <w:highlight w:val="none"/>
        </w:rPr>
        <w:t>2</w:t>
      </w:r>
      <w:r>
        <w:rPr>
          <w:rFonts w:ascii="Times New Roman" w:hAnsi="Times New Roman"/>
          <w:kern w:val="2"/>
          <w:sz w:val="21"/>
          <w:szCs w:val="24"/>
          <w:highlight w:val="none"/>
        </w:rPr>
        <w:t>1.1.1</w:t>
      </w:r>
      <w:r>
        <w:rPr>
          <w:rFonts w:hint="eastAsia" w:ascii="Times New Roman" w:hAnsi="Times New Roman"/>
          <w:kern w:val="2"/>
          <w:sz w:val="21"/>
          <w:szCs w:val="24"/>
          <w:highlight w:val="none"/>
        </w:rPr>
        <w:t>0 承包人更换项目经理的，须提前</w:t>
      </w:r>
      <w:r>
        <w:rPr>
          <w:rFonts w:ascii="Times New Roman" w:hAnsi="Times New Roman"/>
          <w:kern w:val="2"/>
          <w:sz w:val="21"/>
          <w:szCs w:val="24"/>
          <w:highlight w:val="none"/>
        </w:rPr>
        <w:t>14</w:t>
      </w:r>
      <w:r>
        <w:rPr>
          <w:rFonts w:hint="eastAsia" w:ascii="Times New Roman" w:hAnsi="Times New Roman"/>
          <w:kern w:val="2"/>
          <w:sz w:val="21"/>
          <w:szCs w:val="24"/>
          <w:highlight w:val="none"/>
        </w:rPr>
        <w:t>天通知发包人，并征得发包人同意；该行为视为违约，承包人须支付发包人</w:t>
      </w:r>
      <w:r>
        <w:rPr>
          <w:rFonts w:ascii="Times New Roman" w:hAnsi="Times New Roman"/>
          <w:kern w:val="2"/>
          <w:sz w:val="21"/>
          <w:szCs w:val="24"/>
          <w:highlight w:val="none"/>
          <w:u w:val="single"/>
        </w:rPr>
        <w:t xml:space="preserve">     </w:t>
      </w:r>
      <w:r>
        <w:rPr>
          <w:rFonts w:hint="eastAsia" w:ascii="Times New Roman" w:hAnsi="Times New Roman"/>
          <w:kern w:val="2"/>
          <w:sz w:val="21"/>
          <w:szCs w:val="24"/>
          <w:highlight w:val="none"/>
        </w:rPr>
        <w:t>万元违约金。更换后的项目经理资历、水平不得降低。</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hint="eastAsia" w:ascii="Arial" w:hAnsi="Arial" w:eastAsia="黑体"/>
          <w:bCs/>
          <w:kern w:val="2"/>
          <w:sz w:val="21"/>
          <w:szCs w:val="28"/>
          <w:highlight w:val="none"/>
        </w:rPr>
        <w:t>2</w:t>
      </w:r>
      <w:r>
        <w:rPr>
          <w:rFonts w:ascii="Arial" w:hAnsi="Arial" w:eastAsia="黑体"/>
          <w:bCs/>
          <w:kern w:val="2"/>
          <w:sz w:val="21"/>
          <w:szCs w:val="28"/>
          <w:highlight w:val="none"/>
        </w:rPr>
        <w:t>1.2</w:t>
      </w:r>
      <w:r>
        <w:rPr>
          <w:rFonts w:hint="eastAsia" w:ascii="Arial" w:hAnsi="Arial" w:eastAsia="黑体"/>
          <w:bCs/>
          <w:kern w:val="2"/>
          <w:sz w:val="21"/>
          <w:szCs w:val="28"/>
          <w:highlight w:val="none"/>
        </w:rPr>
        <w:t xml:space="preserve"> 变更与调整</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1.2.1</w:t>
      </w:r>
      <w:r>
        <w:rPr>
          <w:rFonts w:hint="eastAsia" w:ascii="Times New Roman" w:hAnsi="Times New Roman"/>
          <w:sz w:val="21"/>
          <w:szCs w:val="24"/>
          <w:highlight w:val="none"/>
        </w:rPr>
        <w:t xml:space="preserve"> 在工程移交前，发包人代表有权签发变更指令，承包人应按照指令来实施变更，并进行工期和费用的估算，提交发包人代表。</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1.2.2</w:t>
      </w:r>
      <w:r>
        <w:rPr>
          <w:rFonts w:hint="eastAsia" w:ascii="Times New Roman" w:hAnsi="Times New Roman"/>
          <w:sz w:val="21"/>
          <w:szCs w:val="24"/>
          <w:highlight w:val="none"/>
        </w:rPr>
        <w:t xml:space="preserve"> 发包人代表收到承包人的估算后，可以决定撤销、修改或确认实施该项变更。</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1.2.3</w:t>
      </w:r>
      <w:r>
        <w:rPr>
          <w:rFonts w:hint="eastAsia" w:ascii="Times New Roman" w:hAnsi="Times New Roman"/>
          <w:sz w:val="21"/>
          <w:szCs w:val="24"/>
          <w:highlight w:val="none"/>
        </w:rPr>
        <w:t xml:space="preserve"> 如果承包人认为自己的建议能缩短工期、降低工程实施或运营成本，或对业主产生其他利益，可以向发包人代表提交建议书；建议书的编制费用自理。</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1.2.4</w:t>
      </w:r>
      <w:r>
        <w:rPr>
          <w:rFonts w:hint="eastAsia" w:ascii="Times New Roman" w:hAnsi="Times New Roman"/>
          <w:sz w:val="21"/>
          <w:szCs w:val="24"/>
          <w:highlight w:val="none"/>
        </w:rPr>
        <w:t xml:space="preserve"> 如果发包人采纳承包人的建议节省了工程费用，将给予承包人节约费用适当比例的奖励。</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1.2.5</w:t>
      </w:r>
      <w:r>
        <w:rPr>
          <w:rFonts w:hint="eastAsia" w:ascii="Times New Roman" w:hAnsi="Times New Roman"/>
          <w:sz w:val="21"/>
          <w:szCs w:val="24"/>
          <w:highlight w:val="none"/>
        </w:rPr>
        <w:t xml:space="preserve"> 上一款中节省费用的计算方法为：降低的合同额度减去因变更而引起在工程质量、寿命、以及运营效率等方面为发包人带来的潜在损失。</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1.2.6</w:t>
      </w:r>
      <w:r>
        <w:rPr>
          <w:rFonts w:hint="eastAsia" w:ascii="Times New Roman" w:hAnsi="Times New Roman"/>
          <w:sz w:val="21"/>
          <w:szCs w:val="24"/>
          <w:highlight w:val="none"/>
        </w:rPr>
        <w:t xml:space="preserve"> 任何变更指令都应由发包人代表签发给承包人，承包人收到后应回函说明；涉及到费用调整的，按照相关条款执行。</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1.2.7</w:t>
      </w:r>
      <w:r>
        <w:rPr>
          <w:rFonts w:hint="eastAsia" w:ascii="Times New Roman" w:hAnsi="Times New Roman"/>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1.2.8</w:t>
      </w:r>
      <w:r>
        <w:rPr>
          <w:rFonts w:hint="eastAsia" w:ascii="Times New Roman" w:hAnsi="Times New Roman"/>
          <w:sz w:val="21"/>
          <w:szCs w:val="24"/>
          <w:highlight w:val="none"/>
        </w:rPr>
        <w:t xml:space="preserve"> 未经发包人代表批准，承包人不得对工程进行任何变更。</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hint="eastAsia" w:ascii="Arial" w:hAnsi="Arial" w:eastAsia="黑体"/>
          <w:bCs/>
          <w:kern w:val="2"/>
          <w:sz w:val="21"/>
          <w:szCs w:val="28"/>
          <w:highlight w:val="none"/>
        </w:rPr>
        <w:t>2</w:t>
      </w:r>
      <w:r>
        <w:rPr>
          <w:rFonts w:ascii="Arial" w:hAnsi="Arial" w:eastAsia="黑体"/>
          <w:bCs/>
          <w:kern w:val="2"/>
          <w:sz w:val="21"/>
          <w:szCs w:val="28"/>
          <w:highlight w:val="none"/>
        </w:rPr>
        <w:t>1.3</w:t>
      </w:r>
      <w:r>
        <w:rPr>
          <w:rFonts w:hint="eastAsia" w:ascii="Arial" w:hAnsi="Arial" w:eastAsia="黑体"/>
          <w:bCs/>
          <w:kern w:val="2"/>
          <w:sz w:val="21"/>
          <w:szCs w:val="28"/>
          <w:highlight w:val="none"/>
        </w:rPr>
        <w:t xml:space="preserve"> 分包与配合</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1.3.1</w:t>
      </w:r>
      <w:r>
        <w:rPr>
          <w:rFonts w:hint="eastAsia" w:ascii="Times New Roman" w:hAnsi="Times New Roman"/>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1.3.2</w:t>
      </w:r>
      <w:r>
        <w:rPr>
          <w:rFonts w:hint="eastAsia" w:ascii="Times New Roman" w:hAnsi="Times New Roman"/>
          <w:sz w:val="21"/>
          <w:szCs w:val="24"/>
          <w:highlight w:val="none"/>
        </w:rPr>
        <w:t xml:space="preserve"> 发包人分包的专业工程范围如下：</w:t>
      </w:r>
      <w:r>
        <w:rPr>
          <w:rFonts w:ascii="Times New Roman" w:hAnsi="Times New Roman"/>
          <w:sz w:val="21"/>
          <w:szCs w:val="24"/>
          <w:highlight w:val="non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1</w:t>
      </w:r>
      <w:r>
        <w:rPr>
          <w:rFonts w:hint="eastAsia" w:ascii="Times New Roman" w:hAnsi="Times New Roman"/>
          <w:sz w:val="21"/>
          <w:szCs w:val="24"/>
          <w:highlight w:val="none"/>
        </w:rPr>
        <w:t>）</w:t>
      </w:r>
      <w:r>
        <w:rPr>
          <w:rFonts w:ascii="Times New Roman" w:hAnsi="Times New Roman"/>
          <w:sz w:val="21"/>
          <w:szCs w:val="24"/>
          <w:highlight w:val="none"/>
          <w:u w:val="singl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2</w:t>
      </w:r>
      <w:r>
        <w:rPr>
          <w:rFonts w:hint="eastAsia" w:ascii="Times New Roman" w:hAnsi="Times New Roman"/>
          <w:sz w:val="21"/>
          <w:szCs w:val="24"/>
          <w:highlight w:val="none"/>
        </w:rPr>
        <w:t>）</w:t>
      </w:r>
      <w:r>
        <w:rPr>
          <w:rFonts w:ascii="Times New Roman" w:hAnsi="Times New Roman"/>
          <w:sz w:val="21"/>
          <w:szCs w:val="24"/>
          <w:highlight w:val="none"/>
          <w:u w:val="singl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1.3.3</w:t>
      </w:r>
      <w:r>
        <w:rPr>
          <w:rFonts w:hint="eastAsia" w:ascii="Times New Roman" w:hAnsi="Times New Roman"/>
          <w:sz w:val="21"/>
          <w:szCs w:val="24"/>
          <w:highlight w:val="none"/>
        </w:rPr>
        <w:t xml:space="preserve"> 发包人通过招标方式选择专业工程分包施工单位，承包人参与分包工程的招标，认可招标结果，并作为总包单位与分包工程的成交人（以下简称“分包人”）签订工程分包施工合同。</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1.3.4</w:t>
      </w:r>
      <w:r>
        <w:rPr>
          <w:rFonts w:hint="eastAsia" w:ascii="Times New Roman" w:hAnsi="Times New Roman"/>
          <w:sz w:val="21"/>
          <w:szCs w:val="24"/>
          <w:highlight w:val="none"/>
        </w:rPr>
        <w:t xml:space="preserve"> 发包人支付给承包人专业分包工程合同价款（不含设备价格）的</w:t>
      </w:r>
      <w:r>
        <w:rPr>
          <w:rFonts w:ascii="Times New Roman" w:hAnsi="Times New Roman"/>
          <w:sz w:val="21"/>
          <w:szCs w:val="24"/>
          <w:highlight w:val="none"/>
          <w:u w:val="single"/>
        </w:rPr>
        <w:t xml:space="preserve">   %</w:t>
      </w:r>
      <w:r>
        <w:rPr>
          <w:rFonts w:hint="eastAsia" w:ascii="Times New Roman" w:hAnsi="Times New Roman"/>
          <w:sz w:val="21"/>
          <w:szCs w:val="24"/>
          <w:highlight w:val="none"/>
        </w:rPr>
        <w:t>作为总承包服务配合费用，承包人不得向分包人收取其他费用；该项费用包括但不限于以下内容：</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1</w:t>
      </w:r>
      <w:r>
        <w:rPr>
          <w:rFonts w:hint="eastAsia" w:ascii="Times New Roman" w:hAnsi="Times New Roman"/>
          <w:sz w:val="21"/>
          <w:szCs w:val="24"/>
          <w:highlight w:val="none"/>
        </w:rPr>
        <w:t>）乙方承担总包责任所发生的费用。</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2</w:t>
      </w:r>
      <w:r>
        <w:rPr>
          <w:rFonts w:hint="eastAsia" w:ascii="Times New Roman" w:hAnsi="Times New Roman"/>
          <w:sz w:val="21"/>
          <w:szCs w:val="24"/>
          <w:highlight w:val="none"/>
        </w:rPr>
        <w:t>）“分包工程”施工完毕、土建工程的收尾和修复以及使用承包人的施工所用水电管线等费用（水电费用装表计量，按照实际用量结算）。</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3</w:t>
      </w:r>
      <w:r>
        <w:rPr>
          <w:rFonts w:hint="eastAsia" w:ascii="Times New Roman" w:hAnsi="Times New Roman"/>
          <w:sz w:val="21"/>
          <w:szCs w:val="24"/>
          <w:highlight w:val="none"/>
        </w:rPr>
        <w:t>）分包人使用承包人现场临时工程及在用的脚手架、塔吊、施工电梯等费用。</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4</w:t>
      </w:r>
      <w:r>
        <w:rPr>
          <w:rFonts w:hint="eastAsia" w:ascii="Times New Roman" w:hAnsi="Times New Roman"/>
          <w:sz w:val="21"/>
          <w:szCs w:val="24"/>
          <w:highlight w:val="none"/>
        </w:rPr>
        <w:t>）分包人使用工程的施工道路，到总包单位搭伙，使用总包单位的卫生间等。</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5</w:t>
      </w:r>
      <w:r>
        <w:rPr>
          <w:rFonts w:hint="eastAsia" w:ascii="Times New Roman" w:hAnsi="Times New Roman"/>
          <w:sz w:val="21"/>
          <w:szCs w:val="24"/>
          <w:highlight w:val="none"/>
        </w:rPr>
        <w:t>）门窗洞口、安装工程管道口、楼地面墙面凿洞、槽等的后塞及修补等，以及整个工程的安全保卫等。</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6</w:t>
      </w:r>
      <w:r>
        <w:rPr>
          <w:rFonts w:hint="eastAsia" w:ascii="Times New Roman" w:hAnsi="Times New Roman"/>
          <w:sz w:val="21"/>
          <w:szCs w:val="24"/>
          <w:highlight w:val="none"/>
        </w:rPr>
        <w:t>）为分包人提供标高、轴线、定位，隐蔽工程指引等。</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7</w:t>
      </w:r>
      <w:r>
        <w:rPr>
          <w:rFonts w:hint="eastAsia" w:ascii="Times New Roman" w:hAnsi="Times New Roman"/>
          <w:sz w:val="21"/>
          <w:szCs w:val="24"/>
          <w:highlight w:val="none"/>
        </w:rPr>
        <w:t>）分包人的工程资料收集整理和移交；工程质量的检验和验收。</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8</w:t>
      </w:r>
      <w:r>
        <w:rPr>
          <w:rFonts w:hint="eastAsia" w:ascii="Times New Roman" w:hAnsi="Times New Roman"/>
          <w:sz w:val="21"/>
          <w:szCs w:val="24"/>
          <w:highlight w:val="none"/>
        </w:rPr>
        <w:t>）保证分包工程在施工期间有足够的工作面，保证其按时开工和连续施工，并承担因乙方原因使分包工程不能按时开工和配合不及时造成的工期延误责任。</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1.3.5</w:t>
      </w:r>
      <w:r>
        <w:rPr>
          <w:rFonts w:hint="eastAsia" w:ascii="Times New Roman" w:hAnsi="Times New Roman"/>
          <w:sz w:val="21"/>
          <w:szCs w:val="24"/>
          <w:highlight w:val="none"/>
        </w:rPr>
        <w:t xml:space="preserve"> 配合工程：是指某一位于施工现场内或现场外的工程，并非由承包人施工或总包，但与承包人的工程有一定联系，需要承包人配合的工程；配合工程如下：</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1</w:t>
      </w:r>
      <w:r>
        <w:rPr>
          <w:rFonts w:hint="eastAsia" w:ascii="Times New Roman" w:hAnsi="Times New Roman"/>
          <w:sz w:val="21"/>
          <w:szCs w:val="24"/>
          <w:highlight w:val="none"/>
        </w:rPr>
        <w:t>）</w:t>
      </w:r>
      <w:r>
        <w:rPr>
          <w:rFonts w:ascii="Times New Roman" w:hAnsi="Times New Roman"/>
          <w:sz w:val="21"/>
          <w:szCs w:val="24"/>
          <w:highlight w:val="none"/>
          <w:u w:val="singl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2</w:t>
      </w:r>
      <w:r>
        <w:rPr>
          <w:rFonts w:hint="eastAsia" w:ascii="Times New Roman" w:hAnsi="Times New Roman"/>
          <w:sz w:val="21"/>
          <w:szCs w:val="24"/>
          <w:highlight w:val="none"/>
        </w:rPr>
        <w:t>）</w:t>
      </w:r>
      <w:r>
        <w:rPr>
          <w:rFonts w:ascii="Times New Roman" w:hAnsi="Times New Roman"/>
          <w:sz w:val="21"/>
          <w:szCs w:val="24"/>
          <w:highlight w:val="none"/>
          <w:u w:val="single"/>
        </w:rPr>
        <w:t xml:space="preserve">                                     </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1.3.6</w:t>
      </w:r>
      <w:r>
        <w:rPr>
          <w:rFonts w:hint="eastAsia" w:ascii="Times New Roman" w:hAnsi="Times New Roman"/>
          <w:sz w:val="21"/>
          <w:szCs w:val="24"/>
          <w:highlight w:val="none"/>
        </w:rPr>
        <w:t xml:space="preserve"> 对于配合工程，承包人除不需要承办总包责任外，其他责任和义务同分包工程；发包人给予承包人</w:t>
      </w:r>
      <w:r>
        <w:rPr>
          <w:rFonts w:ascii="Times New Roman" w:hAnsi="Times New Roman"/>
          <w:sz w:val="21"/>
          <w:szCs w:val="24"/>
          <w:highlight w:val="none"/>
          <w:u w:val="single"/>
        </w:rPr>
        <w:t xml:space="preserve">    </w:t>
      </w:r>
      <w:r>
        <w:rPr>
          <w:rFonts w:hint="eastAsia" w:ascii="Times New Roman" w:hAnsi="Times New Roman"/>
          <w:sz w:val="21"/>
          <w:szCs w:val="24"/>
          <w:highlight w:val="none"/>
        </w:rPr>
        <w:t>万元作为承包人承担配合工作的配合费用。</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1.3.7</w:t>
      </w:r>
      <w:r>
        <w:rPr>
          <w:rFonts w:hint="eastAsia" w:ascii="Times New Roman" w:hAnsi="Times New Roman"/>
          <w:sz w:val="21"/>
          <w:szCs w:val="24"/>
          <w:highlight w:val="none"/>
        </w:rPr>
        <w:t xml:space="preserve"> 凡在与已交工工程有关联的部位施工时，必须提前向甲方提出书面联系单，经甲方同意，并签字后方可施工。</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hint="eastAsia" w:ascii="Arial" w:hAnsi="Arial" w:eastAsia="黑体"/>
          <w:bCs/>
          <w:kern w:val="2"/>
          <w:sz w:val="21"/>
          <w:szCs w:val="28"/>
          <w:highlight w:val="none"/>
        </w:rPr>
        <w:t>2</w:t>
      </w:r>
      <w:r>
        <w:rPr>
          <w:rFonts w:ascii="Arial" w:hAnsi="Arial" w:eastAsia="黑体"/>
          <w:bCs/>
          <w:kern w:val="2"/>
          <w:sz w:val="21"/>
          <w:szCs w:val="28"/>
          <w:highlight w:val="none"/>
        </w:rPr>
        <w:t>1.4</w:t>
      </w:r>
      <w:r>
        <w:rPr>
          <w:rFonts w:hint="eastAsia" w:ascii="Arial" w:hAnsi="Arial" w:eastAsia="黑体"/>
          <w:bCs/>
          <w:kern w:val="2"/>
          <w:sz w:val="21"/>
          <w:szCs w:val="28"/>
          <w:highlight w:val="none"/>
        </w:rPr>
        <w:t xml:space="preserve"> 结算</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1.4.1</w:t>
      </w:r>
      <w:r>
        <w:rPr>
          <w:rFonts w:hint="eastAsia" w:ascii="Times New Roman" w:hAnsi="Times New Roman"/>
          <w:sz w:val="21"/>
          <w:szCs w:val="24"/>
          <w:highlight w:val="none"/>
        </w:rPr>
        <w:t xml:space="preserve"> 承包人的报价（合同价款）是承包人基于业主提供的资料和现场数据及承包人的解释和现场考察计算出来的，覆盖了完成合同义务所包括的一切工作，不得以漏项或考虑不周提出索赔。</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1.4.2</w:t>
      </w:r>
      <w:r>
        <w:rPr>
          <w:rFonts w:hint="eastAsia" w:ascii="Times New Roman" w:hAnsi="Times New Roman"/>
          <w:sz w:val="21"/>
          <w:szCs w:val="24"/>
          <w:highlight w:val="none"/>
        </w:rPr>
        <w:t xml:space="preserve"> 水电费的结算：</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1</w:t>
      </w:r>
      <w:r>
        <w:rPr>
          <w:rFonts w:hint="eastAsia" w:ascii="Times New Roman" w:hAnsi="Times New Roman"/>
          <w:sz w:val="21"/>
          <w:szCs w:val="24"/>
          <w:highlight w:val="none"/>
        </w:rPr>
        <w:t>）发包人在现场安装计量装置，承包人负责施工期间的保护，并在工程移交的同时完好地移交给发包人。</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2</w:t>
      </w:r>
      <w:r>
        <w:rPr>
          <w:rFonts w:hint="eastAsia" w:ascii="Times New Roman" w:hAnsi="Times New Roman"/>
          <w:sz w:val="21"/>
          <w:szCs w:val="24"/>
          <w:highlight w:val="none"/>
        </w:rPr>
        <w:t>）承包人报价已经包含水电费用，工程结算时按照发包人实际缴纳的水电费在结算价（税前）中扣除。</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w:t>
      </w:r>
      <w:r>
        <w:rPr>
          <w:rFonts w:ascii="Times New Roman" w:hAnsi="Times New Roman"/>
          <w:sz w:val="21"/>
          <w:szCs w:val="24"/>
          <w:highlight w:val="none"/>
        </w:rPr>
        <w:t>3</w:t>
      </w:r>
      <w:r>
        <w:rPr>
          <w:rFonts w:hint="eastAsia" w:ascii="Times New Roman" w:hAnsi="Times New Roman"/>
          <w:sz w:val="21"/>
          <w:szCs w:val="24"/>
          <w:highlight w:val="none"/>
        </w:rPr>
        <w:t>）因承包人保护不善造成计量装置损坏，承包人负责修复，并承担由此造成的增加费用（包括修复费用和水电损失费用以及可能发生的罚款或其他费用）。</w:t>
      </w:r>
    </w:p>
    <w:p>
      <w:pPr>
        <w:adjustRightInd w:val="0"/>
        <w:spacing w:line="360" w:lineRule="auto"/>
        <w:ind w:firstLine="420" w:firstLineChars="200"/>
        <w:rPr>
          <w:rFonts w:ascii="Times New Roman" w:hAnsi="Times New Roman"/>
          <w:sz w:val="21"/>
          <w:szCs w:val="24"/>
          <w:highlight w:val="none"/>
          <w:u w:val="single" w:color="FFFFFF"/>
        </w:rPr>
      </w:pPr>
      <w:r>
        <w:rPr>
          <w:rFonts w:hint="eastAsia" w:ascii="Times New Roman" w:hAnsi="Times New Roman"/>
          <w:sz w:val="21"/>
          <w:szCs w:val="24"/>
          <w:highlight w:val="none"/>
          <w:u w:val="single" w:color="FFFFFF"/>
        </w:rPr>
        <w:t>2</w:t>
      </w:r>
      <w:r>
        <w:rPr>
          <w:rFonts w:ascii="Times New Roman" w:hAnsi="Times New Roman"/>
          <w:sz w:val="21"/>
          <w:szCs w:val="24"/>
          <w:highlight w:val="none"/>
          <w:u w:val="single" w:color="FFFFFF"/>
        </w:rPr>
        <w:t>1.4.3</w:t>
      </w:r>
      <w:r>
        <w:rPr>
          <w:rFonts w:hint="eastAsia" w:ascii="Times New Roman" w:hAnsi="Times New Roman"/>
          <w:sz w:val="21"/>
          <w:szCs w:val="24"/>
          <w:highlight w:val="none"/>
          <w:u w:val="single" w:color="FFFFFF"/>
        </w:rPr>
        <w:t xml:space="preserve"> 发包人供应材料设备的结算：材料按照总价的</w:t>
      </w:r>
      <w:r>
        <w:rPr>
          <w:rFonts w:ascii="Times New Roman" w:hAnsi="Times New Roman"/>
          <w:sz w:val="21"/>
          <w:szCs w:val="24"/>
          <w:highlight w:val="none"/>
          <w:u w:val="single"/>
        </w:rPr>
        <w:t xml:space="preserve">    </w:t>
      </w:r>
      <w:r>
        <w:rPr>
          <w:rFonts w:ascii="Times New Roman" w:hAnsi="Times New Roman"/>
          <w:sz w:val="21"/>
          <w:szCs w:val="24"/>
          <w:highlight w:val="none"/>
          <w:u w:val="single" w:color="FFFFFF"/>
        </w:rPr>
        <w:t xml:space="preserve"> %</w:t>
      </w:r>
      <w:r>
        <w:rPr>
          <w:rFonts w:hint="eastAsia" w:ascii="Times New Roman" w:hAnsi="Times New Roman"/>
          <w:sz w:val="21"/>
          <w:szCs w:val="24"/>
          <w:highlight w:val="none"/>
          <w:u w:val="single" w:color="FFFFFF"/>
        </w:rPr>
        <w:t>计取保管费（材料数量最多不超过设计文件的用量（可以计算定额损耗））；设备按照总价的</w:t>
      </w:r>
      <w:r>
        <w:rPr>
          <w:rFonts w:ascii="Times New Roman" w:hAnsi="Times New Roman"/>
          <w:sz w:val="21"/>
          <w:szCs w:val="24"/>
          <w:highlight w:val="none"/>
          <w:u w:val="single" w:color="FFFFFF"/>
        </w:rPr>
        <w:t xml:space="preserve"> </w:t>
      </w:r>
      <w:r>
        <w:rPr>
          <w:rFonts w:ascii="Times New Roman" w:hAnsi="Times New Roman"/>
          <w:sz w:val="21"/>
          <w:szCs w:val="24"/>
          <w:highlight w:val="none"/>
          <w:u w:val="single"/>
        </w:rPr>
        <w:t xml:space="preserve">   </w:t>
      </w:r>
      <w:r>
        <w:rPr>
          <w:rFonts w:ascii="Times New Roman" w:hAnsi="Times New Roman"/>
          <w:sz w:val="21"/>
          <w:szCs w:val="24"/>
          <w:highlight w:val="none"/>
          <w:u w:val="single" w:color="FFFFFF"/>
        </w:rPr>
        <w:t xml:space="preserve"> %</w:t>
      </w:r>
      <w:r>
        <w:rPr>
          <w:rFonts w:hint="eastAsia" w:ascii="Times New Roman" w:hAnsi="Times New Roman"/>
          <w:sz w:val="21"/>
          <w:szCs w:val="24"/>
          <w:highlight w:val="none"/>
          <w:u w:val="single" w:color="FFFFFF"/>
        </w:rPr>
        <w:t>计取保管费；此费用仅计取税金。</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1.4.4</w:t>
      </w:r>
      <w:r>
        <w:rPr>
          <w:rFonts w:hint="eastAsia" w:ascii="Times New Roman" w:hAnsi="Times New Roman"/>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w:t>
      </w:r>
      <w:r>
        <w:rPr>
          <w:rFonts w:hint="eastAsia" w:ascii="Times New Roman" w:hAnsi="Times New Roman"/>
          <w:sz w:val="21"/>
          <w:szCs w:val="24"/>
          <w:highlight w:val="none"/>
        </w:rPr>
        <w:t>5 对于发包人提供的工程量清单中工程量的错误，承包人未在磋商文件规定的异议截止日期前提出异议并附计算书的，工程结算时不再调整。</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w:t>
      </w:r>
      <w:r>
        <w:rPr>
          <w:rFonts w:hint="eastAsia" w:ascii="Times New Roman" w:hAnsi="Times New Roman"/>
          <w:sz w:val="21"/>
          <w:szCs w:val="24"/>
          <w:highlight w:val="none"/>
        </w:rPr>
        <w:t>6 对于发包人提供的工程量清单中单项子目工程量的误差，承包人在磋商文件规定的截止日期前提出异议未被</w:t>
      </w:r>
      <w:r>
        <w:rPr>
          <w:rFonts w:hint="eastAsia"/>
          <w:sz w:val="21"/>
          <w:szCs w:val="18"/>
          <w:highlight w:val="none"/>
        </w:rPr>
        <w:t>业主单位</w:t>
      </w:r>
      <w:r>
        <w:rPr>
          <w:rFonts w:hint="eastAsia" w:ascii="Times New Roman" w:hAnsi="Times New Roman"/>
          <w:sz w:val="21"/>
          <w:szCs w:val="24"/>
          <w:highlight w:val="none"/>
        </w:rPr>
        <w:t>接受，但事后被证明异议的实质性内容是正确的，其工程量可以调整，但只调整单项子目工程量误差超出</w:t>
      </w:r>
      <w:r>
        <w:rPr>
          <w:rFonts w:ascii="Times New Roman" w:hAnsi="Times New Roman"/>
          <w:sz w:val="21"/>
          <w:szCs w:val="24"/>
          <w:highlight w:val="none"/>
        </w:rPr>
        <w:t>3%</w:t>
      </w:r>
      <w:r>
        <w:rPr>
          <w:rFonts w:hint="eastAsia" w:ascii="Times New Roman" w:hAnsi="Times New Roman"/>
          <w:sz w:val="21"/>
          <w:szCs w:val="24"/>
          <w:highlight w:val="none"/>
        </w:rPr>
        <w:t>以外的部分。本条仅针对该单项子目造价占合同价款</w:t>
      </w:r>
      <w:r>
        <w:rPr>
          <w:rFonts w:ascii="Times New Roman" w:hAnsi="Times New Roman"/>
          <w:sz w:val="21"/>
          <w:szCs w:val="24"/>
          <w:highlight w:val="none"/>
        </w:rPr>
        <w:t>3%</w:t>
      </w:r>
      <w:r>
        <w:rPr>
          <w:rFonts w:hint="eastAsia" w:ascii="Times New Roman" w:hAnsi="Times New Roman"/>
          <w:sz w:val="21"/>
          <w:szCs w:val="24"/>
          <w:highlight w:val="none"/>
        </w:rPr>
        <w:t>以上的情况。</w:t>
      </w:r>
    </w:p>
    <w:p>
      <w:pPr>
        <w:adjustRightInd w:val="0"/>
        <w:spacing w:line="360" w:lineRule="auto"/>
        <w:ind w:firstLine="420" w:firstLineChars="200"/>
        <w:rPr>
          <w:rFonts w:ascii="Times New Roman" w:hAnsi="Times New Roman"/>
          <w:sz w:val="21"/>
          <w:szCs w:val="24"/>
          <w:highlight w:val="none"/>
        </w:rPr>
      </w:pPr>
      <w:r>
        <w:rPr>
          <w:rFonts w:hint="eastAsia" w:ascii="Times New Roman" w:hAnsi="Times New Roman"/>
          <w:sz w:val="21"/>
          <w:szCs w:val="24"/>
          <w:highlight w:val="none"/>
        </w:rPr>
        <w:t>2</w:t>
      </w:r>
      <w:r>
        <w:rPr>
          <w:rFonts w:ascii="Times New Roman" w:hAnsi="Times New Roman"/>
          <w:sz w:val="21"/>
          <w:szCs w:val="24"/>
          <w:highlight w:val="none"/>
        </w:rPr>
        <w:t>1.4.</w:t>
      </w:r>
      <w:r>
        <w:rPr>
          <w:rFonts w:hint="eastAsia" w:ascii="Times New Roman" w:hAnsi="Times New Roman"/>
          <w:sz w:val="21"/>
          <w:szCs w:val="24"/>
          <w:highlight w:val="none"/>
        </w:rPr>
        <w:t>7 对于发包人提供的工程量清单中的单项子目，承包人没有报价的，发包人认为视同该项价格已经包括在其他项目中。</w:t>
      </w:r>
    </w:p>
    <w:p>
      <w:pPr>
        <w:keepNext/>
        <w:keepLines/>
        <w:spacing w:before="120" w:after="120" w:line="360" w:lineRule="auto"/>
        <w:ind w:firstLine="420" w:firstLineChars="200"/>
        <w:outlineLvl w:val="3"/>
        <w:rPr>
          <w:rFonts w:ascii="Arial" w:hAnsi="Arial" w:eastAsia="黑体"/>
          <w:bCs/>
          <w:kern w:val="2"/>
          <w:sz w:val="21"/>
          <w:szCs w:val="28"/>
          <w:highlight w:val="none"/>
        </w:rPr>
      </w:pPr>
      <w:r>
        <w:rPr>
          <w:rFonts w:hint="eastAsia" w:ascii="Arial" w:hAnsi="Arial" w:eastAsia="黑体"/>
          <w:bCs/>
          <w:kern w:val="2"/>
          <w:sz w:val="21"/>
          <w:szCs w:val="28"/>
          <w:highlight w:val="none"/>
        </w:rPr>
        <w:t>21.5 其他</w:t>
      </w:r>
    </w:p>
    <w:p>
      <w:pPr>
        <w:adjustRightInd w:val="0"/>
        <w:spacing w:line="360" w:lineRule="auto"/>
        <w:ind w:firstLine="422" w:firstLineChars="200"/>
        <w:rPr>
          <w:rFonts w:ascii="Times New Roman" w:hAnsi="Times New Roman"/>
          <w:b/>
          <w:sz w:val="21"/>
          <w:szCs w:val="24"/>
          <w:highlight w:val="none"/>
        </w:rPr>
      </w:pPr>
      <w:r>
        <w:rPr>
          <w:rFonts w:hint="eastAsia" w:ascii="Times New Roman" w:hAnsi="Times New Roman"/>
          <w:b/>
          <w:sz w:val="21"/>
          <w:szCs w:val="24"/>
          <w:highlight w:val="none"/>
        </w:rPr>
        <w:t>21.5.1 注册地不在合肥市行政区域范围（含四县一市）的成交人，应按照《纳税人跨县（市、区）提供建筑服务增值税征收管理暂行办法》（国家税务总局公告2016年第17号）规定，在建筑服务发生地及时足额预缴增值税。</w:t>
      </w:r>
    </w:p>
    <w:p>
      <w:pPr>
        <w:adjustRightInd w:val="0"/>
        <w:spacing w:line="360" w:lineRule="auto"/>
        <w:ind w:firstLine="422" w:firstLineChars="200"/>
        <w:rPr>
          <w:rFonts w:ascii="Times New Roman" w:hAnsi="Times New Roman"/>
          <w:b/>
          <w:sz w:val="21"/>
          <w:szCs w:val="24"/>
          <w:highlight w:val="none"/>
        </w:rPr>
      </w:pPr>
      <w:r>
        <w:rPr>
          <w:rFonts w:hint="eastAsia" w:ascii="Times New Roman" w:hAnsi="Times New Roman"/>
          <w:b/>
          <w:sz w:val="21"/>
          <w:szCs w:val="24"/>
          <w:highlight w:val="none"/>
        </w:rPr>
        <w:t>21.5.2 根据合政〔2018〕16号文要求，工程结算审计核减额超过报审金额10%的，其超过10%以上部分的审计咨询费用由施工单位（合同乙方）承担，发包人在支付工程结算款时予以代扣，并支付给审计委托的工程造价咨询单位。</w:t>
      </w:r>
    </w:p>
    <w:p>
      <w:pPr>
        <w:spacing w:line="360" w:lineRule="auto"/>
        <w:rPr>
          <w:rFonts w:ascii="Times New Roman" w:hAnsi="Times New Roman"/>
          <w:b/>
          <w:kern w:val="2"/>
          <w:sz w:val="21"/>
          <w:szCs w:val="24"/>
          <w:highlight w:val="none"/>
        </w:rPr>
      </w:pP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发包人：</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公章</w:t>
      </w:r>
      <w:r>
        <w:rPr>
          <w:rFonts w:hint="eastAsia" w:ascii="Times New Roman" w:hAnsi="Times New Roman"/>
          <w:kern w:val="2"/>
          <w:sz w:val="21"/>
          <w:szCs w:val="24"/>
          <w:highlight w:val="none"/>
          <w:lang w:eastAsia="zh-CN"/>
        </w:rPr>
        <w:t>）</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承包人：</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lang w:eastAsia="zh-CN"/>
        </w:rPr>
        <w:t>（</w:t>
      </w:r>
      <w:r>
        <w:rPr>
          <w:rFonts w:hint="eastAsia" w:ascii="Times New Roman" w:hAnsi="Times New Roman"/>
          <w:kern w:val="2"/>
          <w:sz w:val="21"/>
          <w:szCs w:val="24"/>
          <w:highlight w:val="none"/>
        </w:rPr>
        <w:t>公章</w:t>
      </w:r>
      <w:r>
        <w:rPr>
          <w:rFonts w:hint="eastAsia" w:ascii="Times New Roman" w:hAnsi="Times New Roman"/>
          <w:kern w:val="2"/>
          <w:sz w:val="21"/>
          <w:szCs w:val="24"/>
          <w:highlight w:val="none"/>
          <w:lang w:eastAsia="zh-CN"/>
        </w:rPr>
        <w:t>）</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法定代表人或其委托代理人：</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法定代表人或其委托代理人：</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（签字）</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（签字）</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组织机构代码：</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组织机构代码：</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地</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址：</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地</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址：</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邮政编码：</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w:t>
      </w:r>
      <w:r>
        <w:rPr>
          <w:rFonts w:hint="eastAsia" w:ascii="Times New Roman" w:hAnsi="Times New Roman"/>
          <w:kern w:val="2"/>
          <w:sz w:val="21"/>
          <w:szCs w:val="24"/>
          <w:highlight w:val="none"/>
          <w:lang w:val="en-US" w:eastAsia="zh-CN"/>
        </w:rPr>
        <w:t xml:space="preserve"> </w:t>
      </w:r>
      <w:r>
        <w:rPr>
          <w:rFonts w:hint="eastAsia" w:ascii="Times New Roman" w:hAnsi="Times New Roman"/>
          <w:kern w:val="2"/>
          <w:sz w:val="21"/>
          <w:szCs w:val="24"/>
          <w:highlight w:val="none"/>
        </w:rPr>
        <w:t xml:space="preserve">      邮政编码：</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法定代表人：</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法定代表人：</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委托代理人：</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委托代理人：</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电</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话：</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电</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话：</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传</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真：</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传</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真：</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电子信箱：</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电子信箱：</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开户银行：</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开户银行：</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u w:val="single"/>
        </w:rPr>
      </w:pPr>
      <w:r>
        <w:rPr>
          <w:rFonts w:hint="eastAsia" w:ascii="Times New Roman" w:hAnsi="Times New Roman"/>
          <w:kern w:val="2"/>
          <w:sz w:val="21"/>
          <w:szCs w:val="24"/>
          <w:highlight w:val="none"/>
        </w:rPr>
        <w:t>账</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号：</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账</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号：</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 xml:space="preserve">                           </w:t>
      </w:r>
      <w:r>
        <w:rPr>
          <w:rFonts w:ascii="Times New Roman" w:hAnsi="Times New Roman"/>
          <w:kern w:val="2"/>
          <w:sz w:val="21"/>
          <w:szCs w:val="24"/>
          <w:highlight w:val="none"/>
        </w:rPr>
        <w:t xml:space="preserve">   </w:t>
      </w:r>
      <w:r>
        <w:rPr>
          <w:rFonts w:hint="eastAsia" w:ascii="Times New Roman" w:hAnsi="Times New Roman"/>
          <w:kern w:val="2"/>
          <w:sz w:val="21"/>
          <w:szCs w:val="24"/>
          <w:highlight w:val="none"/>
        </w:rPr>
        <w:t xml:space="preserve">             户  名：</w:t>
      </w:r>
      <w:r>
        <w:rPr>
          <w:rFonts w:hint="eastAsia" w:ascii="Times New Roman" w:hAnsi="Times New Roman" w:cs="宋体"/>
          <w:kern w:val="2"/>
          <w:sz w:val="21"/>
          <w:szCs w:val="24"/>
          <w:highlight w:val="none"/>
          <w:u w:val="single"/>
        </w:rPr>
        <w:t></w:t>
      </w:r>
      <w:r>
        <w:rPr>
          <w:rFonts w:ascii="Times New Roman" w:hAnsi="Times New Roman"/>
          <w:kern w:val="2"/>
          <w:sz w:val="21"/>
          <w:szCs w:val="24"/>
          <w:highlight w:val="none"/>
          <w:u w:val="single"/>
        </w:rPr>
        <w:t xml:space="preserve">     </w:t>
      </w:r>
    </w:p>
    <w:p>
      <w:pPr>
        <w:spacing w:line="360" w:lineRule="auto"/>
        <w:rPr>
          <w:rFonts w:ascii="Times New Roman" w:hAnsi="Times New Roman"/>
          <w:b/>
          <w:kern w:val="2"/>
          <w:sz w:val="24"/>
          <w:szCs w:val="24"/>
          <w:highlight w:val="none"/>
        </w:rPr>
      </w:pPr>
    </w:p>
    <w:p>
      <w:pPr>
        <w:spacing w:line="360" w:lineRule="auto"/>
        <w:rPr>
          <w:rFonts w:ascii="Times New Roman" w:hAnsi="Times New Roman"/>
          <w:b/>
          <w:kern w:val="2"/>
          <w:sz w:val="21"/>
          <w:szCs w:val="24"/>
          <w:highlight w:val="none"/>
        </w:rPr>
      </w:pPr>
      <w:r>
        <w:rPr>
          <w:rFonts w:ascii="Times New Roman" w:hAnsi="Times New Roman"/>
          <w:b/>
          <w:kern w:val="2"/>
          <w:sz w:val="21"/>
          <w:szCs w:val="24"/>
          <w:highlight w:val="none"/>
        </w:rPr>
        <w:br w:type="page"/>
      </w:r>
      <w:r>
        <w:rPr>
          <w:rFonts w:hint="eastAsia" w:ascii="Times New Roman" w:hAnsi="Times New Roman"/>
          <w:b/>
          <w:kern w:val="2"/>
          <w:sz w:val="21"/>
          <w:szCs w:val="24"/>
          <w:highlight w:val="none"/>
        </w:rPr>
        <w:t>附件</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1</w:t>
      </w:r>
      <w:r>
        <w:rPr>
          <w:rFonts w:hint="eastAsia" w:ascii="Times New Roman" w:hAnsi="Times New Roman"/>
          <w:kern w:val="2"/>
          <w:sz w:val="21"/>
          <w:szCs w:val="24"/>
          <w:highlight w:val="none"/>
        </w:rPr>
        <w:t>：承包人承揽工程项目一览表</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2</w:t>
      </w:r>
      <w:r>
        <w:rPr>
          <w:rFonts w:hint="eastAsia" w:ascii="Times New Roman" w:hAnsi="Times New Roman"/>
          <w:kern w:val="2"/>
          <w:sz w:val="21"/>
          <w:szCs w:val="24"/>
          <w:highlight w:val="none"/>
        </w:rPr>
        <w:t>：发包人供应材料设备一览表</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3</w:t>
      </w:r>
      <w:r>
        <w:rPr>
          <w:rFonts w:hint="eastAsia" w:ascii="Times New Roman" w:hAnsi="Times New Roman"/>
          <w:kern w:val="2"/>
          <w:sz w:val="21"/>
          <w:szCs w:val="24"/>
          <w:highlight w:val="none"/>
        </w:rPr>
        <w:t>：工程质量保修书</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4</w:t>
      </w:r>
      <w:r>
        <w:rPr>
          <w:rFonts w:hint="eastAsia" w:ascii="Times New Roman" w:hAnsi="Times New Roman"/>
          <w:kern w:val="2"/>
          <w:sz w:val="21"/>
          <w:szCs w:val="24"/>
          <w:highlight w:val="none"/>
        </w:rPr>
        <w:t>：主要建设工程文件目录</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5</w:t>
      </w:r>
      <w:r>
        <w:rPr>
          <w:rFonts w:hint="eastAsia" w:ascii="Times New Roman" w:hAnsi="Times New Roman"/>
          <w:kern w:val="2"/>
          <w:sz w:val="21"/>
          <w:szCs w:val="24"/>
          <w:highlight w:val="none"/>
        </w:rPr>
        <w:t>：承包人用于本工程施工的机械设备表</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6</w:t>
      </w:r>
      <w:r>
        <w:rPr>
          <w:rFonts w:hint="eastAsia" w:ascii="Times New Roman" w:hAnsi="Times New Roman"/>
          <w:kern w:val="2"/>
          <w:sz w:val="21"/>
          <w:szCs w:val="24"/>
          <w:highlight w:val="none"/>
        </w:rPr>
        <w:t>：承包人主要施工管理人员表</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7</w:t>
      </w:r>
      <w:r>
        <w:rPr>
          <w:rFonts w:hint="eastAsia" w:ascii="Times New Roman" w:hAnsi="Times New Roman"/>
          <w:kern w:val="2"/>
          <w:sz w:val="21"/>
          <w:szCs w:val="24"/>
          <w:highlight w:val="none"/>
        </w:rPr>
        <w:t>：分包人主要施工管理人员表</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8</w:t>
      </w:r>
      <w:r>
        <w:rPr>
          <w:rFonts w:hint="eastAsia" w:ascii="Times New Roman" w:hAnsi="Times New Roman"/>
          <w:kern w:val="2"/>
          <w:sz w:val="21"/>
          <w:szCs w:val="24"/>
          <w:highlight w:val="none"/>
        </w:rPr>
        <w:t>：廉政协议</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附件9：履约保证金格式</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附件10：预付款担保格式</w:t>
      </w:r>
    </w:p>
    <w:p>
      <w:pPr>
        <w:spacing w:line="360" w:lineRule="auto"/>
        <w:rPr>
          <w:rFonts w:ascii="Times New Roman" w:hAnsi="Times New Roman"/>
          <w:kern w:val="2"/>
          <w:sz w:val="21"/>
          <w:szCs w:val="24"/>
          <w:highlight w:val="none"/>
        </w:rPr>
      </w:pPr>
      <w:r>
        <w:rPr>
          <w:rFonts w:hint="eastAsia" w:ascii="Times New Roman" w:hAnsi="Times New Roman"/>
          <w:kern w:val="2"/>
          <w:sz w:val="21"/>
          <w:szCs w:val="24"/>
          <w:highlight w:val="none"/>
        </w:rPr>
        <w:t>附件11：支付担保格式</w:t>
      </w:r>
    </w:p>
    <w:p>
      <w:pPr>
        <w:spacing w:line="360" w:lineRule="auto"/>
        <w:rPr>
          <w:rFonts w:hint="eastAsia" w:ascii="Times New Roman" w:hAnsi="Times New Roman"/>
          <w:kern w:val="2"/>
          <w:sz w:val="21"/>
          <w:szCs w:val="24"/>
          <w:highlight w:val="none"/>
        </w:rPr>
      </w:pPr>
      <w:r>
        <w:rPr>
          <w:rFonts w:hint="eastAsia" w:ascii="Times New Roman" w:hAnsi="Times New Roman"/>
          <w:kern w:val="2"/>
          <w:sz w:val="21"/>
          <w:szCs w:val="24"/>
          <w:highlight w:val="none"/>
        </w:rPr>
        <w:t>附件</w:t>
      </w:r>
      <w:r>
        <w:rPr>
          <w:rFonts w:ascii="Times New Roman" w:hAnsi="Times New Roman"/>
          <w:kern w:val="2"/>
          <w:sz w:val="21"/>
          <w:szCs w:val="24"/>
          <w:highlight w:val="none"/>
        </w:rPr>
        <w:t>1</w:t>
      </w:r>
      <w:r>
        <w:rPr>
          <w:rFonts w:hint="eastAsia" w:ascii="Times New Roman" w:hAnsi="Times New Roman"/>
          <w:kern w:val="2"/>
          <w:sz w:val="21"/>
          <w:szCs w:val="24"/>
          <w:highlight w:val="none"/>
        </w:rPr>
        <w:t>2：暂估价一览表</w:t>
      </w:r>
    </w:p>
    <w:p>
      <w:pPr>
        <w:spacing w:line="360" w:lineRule="auto"/>
        <w:rPr>
          <w:rFonts w:hint="default" w:ascii="Times New Roman" w:hAnsi="Times New Roman" w:eastAsia="宋体"/>
          <w:kern w:val="2"/>
          <w:sz w:val="21"/>
          <w:szCs w:val="24"/>
          <w:highlight w:val="none"/>
          <w:lang w:val="en-US" w:eastAsia="zh-CN"/>
        </w:rPr>
      </w:pPr>
      <w:r>
        <w:rPr>
          <w:rFonts w:hint="eastAsia" w:ascii="Times New Roman" w:hAnsi="Times New Roman"/>
          <w:kern w:val="2"/>
          <w:sz w:val="21"/>
          <w:szCs w:val="24"/>
          <w:highlight w:val="none"/>
          <w:lang w:val="en-US" w:eastAsia="zh-CN"/>
        </w:rPr>
        <w:t>附件13：发包人要求</w:t>
      </w:r>
    </w:p>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br w:type="page"/>
      </w:r>
      <w:r>
        <w:rPr>
          <w:rFonts w:hint="eastAsia" w:ascii="黑体" w:hAnsi="黑体" w:eastAsia="黑体"/>
          <w:bCs/>
          <w:kern w:val="2"/>
          <w:sz w:val="24"/>
          <w:szCs w:val="24"/>
          <w:highlight w:val="none"/>
        </w:rPr>
        <w:t>附件</w:t>
      </w:r>
      <w:r>
        <w:rPr>
          <w:rFonts w:ascii="黑体" w:hAnsi="黑体" w:eastAsia="黑体"/>
          <w:bCs/>
          <w:kern w:val="2"/>
          <w:sz w:val="24"/>
          <w:szCs w:val="24"/>
          <w:highlight w:val="none"/>
        </w:rPr>
        <w:t>1</w:t>
      </w:r>
      <w:r>
        <w:rPr>
          <w:rFonts w:hint="eastAsia" w:ascii="黑体" w:hAnsi="黑体" w:eastAsia="黑体"/>
          <w:bCs/>
          <w:kern w:val="2"/>
          <w:sz w:val="24"/>
          <w:szCs w:val="24"/>
          <w:highlight w:val="none"/>
        </w:rPr>
        <w:t>：承包人承揽工程项目一览表</w:t>
      </w:r>
    </w:p>
    <w:p>
      <w:pPr>
        <w:spacing w:line="360" w:lineRule="auto"/>
        <w:jc w:val="center"/>
        <w:rPr>
          <w:kern w:val="2"/>
          <w:sz w:val="22"/>
          <w:szCs w:val="21"/>
          <w:highlight w:val="none"/>
        </w:rPr>
      </w:pPr>
      <w:r>
        <w:rPr>
          <w:rFonts w:hint="eastAsia"/>
          <w:kern w:val="2"/>
          <w:sz w:val="22"/>
          <w:szCs w:val="21"/>
          <w:highlight w:val="none"/>
        </w:rPr>
        <w:t>承包人承揽工程项目一览表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75"/>
        <w:gridCol w:w="998"/>
        <w:gridCol w:w="998"/>
        <w:gridCol w:w="875"/>
        <w:gridCol w:w="624"/>
        <w:gridCol w:w="998"/>
        <w:gridCol w:w="998"/>
        <w:gridCol w:w="875"/>
        <w:gridCol w:w="624"/>
        <w:gridCol w:w="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3"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单位工程名称</w:t>
            </w:r>
          </w:p>
        </w:tc>
        <w:tc>
          <w:tcPr>
            <w:tcW w:w="596"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建设规模</w:t>
            </w:r>
          </w:p>
        </w:tc>
        <w:tc>
          <w:tcPr>
            <w:tcW w:w="596"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建筑面积</w:t>
            </w:r>
            <w:r>
              <w:rPr>
                <w:rFonts w:hint="eastAsia"/>
                <w:kern w:val="2"/>
                <w:sz w:val="22"/>
                <w:szCs w:val="21"/>
                <w:highlight w:val="none"/>
                <w:lang w:eastAsia="zh-CN"/>
              </w:rPr>
              <w:t>（</w:t>
            </w:r>
            <w:r>
              <w:rPr>
                <w:rFonts w:hint="eastAsia"/>
                <w:kern w:val="2"/>
                <w:sz w:val="22"/>
                <w:szCs w:val="21"/>
                <w:highlight w:val="none"/>
              </w:rPr>
              <w:t>平方米</w:t>
            </w:r>
            <w:r>
              <w:rPr>
                <w:rFonts w:hint="eastAsia"/>
                <w:kern w:val="2"/>
                <w:sz w:val="22"/>
                <w:szCs w:val="21"/>
                <w:highlight w:val="none"/>
                <w:lang w:eastAsia="zh-CN"/>
              </w:rPr>
              <w:t>）</w:t>
            </w:r>
          </w:p>
        </w:tc>
        <w:tc>
          <w:tcPr>
            <w:tcW w:w="523"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结构形式</w:t>
            </w:r>
          </w:p>
        </w:tc>
        <w:tc>
          <w:tcPr>
            <w:tcW w:w="373"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层数</w:t>
            </w:r>
          </w:p>
        </w:tc>
        <w:tc>
          <w:tcPr>
            <w:tcW w:w="596"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生产能力</w:t>
            </w:r>
          </w:p>
        </w:tc>
        <w:tc>
          <w:tcPr>
            <w:tcW w:w="596"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设备安装内容</w:t>
            </w:r>
          </w:p>
        </w:tc>
        <w:tc>
          <w:tcPr>
            <w:tcW w:w="523"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合同价格（元）</w:t>
            </w:r>
          </w:p>
        </w:tc>
        <w:tc>
          <w:tcPr>
            <w:tcW w:w="373"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开工日期</w:t>
            </w:r>
          </w:p>
        </w:tc>
        <w:tc>
          <w:tcPr>
            <w:tcW w:w="297"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double" w:color="auto" w:sz="6" w:space="0"/>
            </w:tcBorders>
            <w:vAlign w:val="center"/>
          </w:tcPr>
          <w:p>
            <w:pPr>
              <w:keepNext/>
              <w:snapToGrid w:val="0"/>
              <w:spacing w:line="360" w:lineRule="auto"/>
              <w:jc w:val="center"/>
              <w:rPr>
                <w:kern w:val="2"/>
                <w:sz w:val="22"/>
                <w:szCs w:val="21"/>
                <w:highlight w:val="none"/>
              </w:rPr>
            </w:pPr>
          </w:p>
        </w:tc>
        <w:tc>
          <w:tcPr>
            <w:tcW w:w="596" w:type="pct"/>
            <w:tcBorders>
              <w:top w:val="double" w:color="auto" w:sz="6" w:space="0"/>
            </w:tcBorders>
            <w:vAlign w:val="center"/>
          </w:tcPr>
          <w:p>
            <w:pPr>
              <w:keepNext/>
              <w:snapToGrid w:val="0"/>
              <w:spacing w:line="360" w:lineRule="auto"/>
              <w:jc w:val="center"/>
              <w:rPr>
                <w:kern w:val="2"/>
                <w:sz w:val="22"/>
                <w:szCs w:val="21"/>
                <w:highlight w:val="none"/>
              </w:rPr>
            </w:pPr>
          </w:p>
        </w:tc>
        <w:tc>
          <w:tcPr>
            <w:tcW w:w="596" w:type="pct"/>
            <w:tcBorders>
              <w:top w:val="double" w:color="auto" w:sz="6" w:space="0"/>
            </w:tcBorders>
            <w:vAlign w:val="center"/>
          </w:tcPr>
          <w:p>
            <w:pPr>
              <w:keepNext/>
              <w:snapToGrid w:val="0"/>
              <w:spacing w:line="360" w:lineRule="auto"/>
              <w:jc w:val="center"/>
              <w:rPr>
                <w:kern w:val="2"/>
                <w:sz w:val="22"/>
                <w:szCs w:val="21"/>
                <w:highlight w:val="none"/>
              </w:rPr>
            </w:pPr>
          </w:p>
        </w:tc>
        <w:tc>
          <w:tcPr>
            <w:tcW w:w="523" w:type="pct"/>
            <w:tcBorders>
              <w:top w:val="double" w:color="auto" w:sz="6" w:space="0"/>
            </w:tcBorders>
            <w:vAlign w:val="center"/>
          </w:tcPr>
          <w:p>
            <w:pPr>
              <w:keepNext/>
              <w:snapToGrid w:val="0"/>
              <w:spacing w:line="360" w:lineRule="auto"/>
              <w:jc w:val="center"/>
              <w:rPr>
                <w:kern w:val="2"/>
                <w:sz w:val="22"/>
                <w:szCs w:val="21"/>
                <w:highlight w:val="none"/>
              </w:rPr>
            </w:pPr>
          </w:p>
        </w:tc>
        <w:tc>
          <w:tcPr>
            <w:tcW w:w="373" w:type="pct"/>
            <w:tcBorders>
              <w:top w:val="double" w:color="auto" w:sz="6" w:space="0"/>
            </w:tcBorders>
            <w:vAlign w:val="center"/>
          </w:tcPr>
          <w:p>
            <w:pPr>
              <w:keepNext/>
              <w:snapToGrid w:val="0"/>
              <w:spacing w:line="360" w:lineRule="auto"/>
              <w:jc w:val="center"/>
              <w:rPr>
                <w:kern w:val="2"/>
                <w:sz w:val="22"/>
                <w:szCs w:val="21"/>
                <w:highlight w:val="none"/>
              </w:rPr>
            </w:pPr>
          </w:p>
        </w:tc>
        <w:tc>
          <w:tcPr>
            <w:tcW w:w="596" w:type="pct"/>
            <w:tcBorders>
              <w:top w:val="double" w:color="auto" w:sz="6" w:space="0"/>
            </w:tcBorders>
            <w:vAlign w:val="center"/>
          </w:tcPr>
          <w:p>
            <w:pPr>
              <w:keepNext/>
              <w:snapToGrid w:val="0"/>
              <w:spacing w:line="360" w:lineRule="auto"/>
              <w:jc w:val="center"/>
              <w:rPr>
                <w:kern w:val="2"/>
                <w:sz w:val="22"/>
                <w:szCs w:val="21"/>
                <w:highlight w:val="none"/>
              </w:rPr>
            </w:pPr>
          </w:p>
        </w:tc>
        <w:tc>
          <w:tcPr>
            <w:tcW w:w="596" w:type="pct"/>
            <w:tcBorders>
              <w:top w:val="double" w:color="auto" w:sz="6" w:space="0"/>
            </w:tcBorders>
            <w:vAlign w:val="center"/>
          </w:tcPr>
          <w:p>
            <w:pPr>
              <w:keepNext/>
              <w:snapToGrid w:val="0"/>
              <w:spacing w:line="360" w:lineRule="auto"/>
              <w:jc w:val="center"/>
              <w:rPr>
                <w:kern w:val="2"/>
                <w:sz w:val="22"/>
                <w:szCs w:val="21"/>
                <w:highlight w:val="none"/>
              </w:rPr>
            </w:pPr>
          </w:p>
        </w:tc>
        <w:tc>
          <w:tcPr>
            <w:tcW w:w="523" w:type="pct"/>
            <w:tcBorders>
              <w:top w:val="double" w:color="auto" w:sz="6" w:space="0"/>
            </w:tcBorders>
            <w:vAlign w:val="center"/>
          </w:tcPr>
          <w:p>
            <w:pPr>
              <w:keepNext/>
              <w:snapToGrid w:val="0"/>
              <w:spacing w:line="360" w:lineRule="auto"/>
              <w:jc w:val="center"/>
              <w:rPr>
                <w:kern w:val="2"/>
                <w:sz w:val="22"/>
                <w:szCs w:val="21"/>
                <w:highlight w:val="none"/>
              </w:rPr>
            </w:pPr>
          </w:p>
        </w:tc>
        <w:tc>
          <w:tcPr>
            <w:tcW w:w="373" w:type="pct"/>
            <w:tcBorders>
              <w:top w:val="double" w:color="auto" w:sz="6" w:space="0"/>
            </w:tcBorders>
            <w:vAlign w:val="center"/>
          </w:tcPr>
          <w:p>
            <w:pPr>
              <w:keepNext/>
              <w:snapToGrid w:val="0"/>
              <w:spacing w:line="360" w:lineRule="auto"/>
              <w:jc w:val="center"/>
              <w:rPr>
                <w:kern w:val="2"/>
                <w:sz w:val="22"/>
                <w:szCs w:val="21"/>
                <w:highlight w:val="none"/>
              </w:rPr>
            </w:pPr>
          </w:p>
        </w:tc>
        <w:tc>
          <w:tcPr>
            <w:tcW w:w="297" w:type="pct"/>
            <w:tcBorders>
              <w:top w:val="double" w:color="auto" w:sz="6" w:space="0"/>
            </w:tcBorders>
            <w:vAlign w:val="center"/>
          </w:tcPr>
          <w:p>
            <w:pPr>
              <w:keepNext/>
              <w:snapToGrid w:val="0"/>
              <w:spacing w:line="360" w:lineRule="auto"/>
              <w:jc w:val="center"/>
              <w:rPr>
                <w:kern w:val="2"/>
                <w:sz w:val="2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23" w:type="pct"/>
            <w:tcBorders>
              <w:top w:val="nil"/>
            </w:tcBorders>
            <w:vAlign w:val="center"/>
          </w:tcPr>
          <w:p>
            <w:pPr>
              <w:keepNext/>
              <w:snapToGrid w:val="0"/>
              <w:spacing w:line="360" w:lineRule="auto"/>
              <w:jc w:val="center"/>
              <w:rPr>
                <w:kern w:val="2"/>
                <w:sz w:val="22"/>
                <w:szCs w:val="21"/>
                <w:highlight w:val="none"/>
              </w:rPr>
            </w:pPr>
          </w:p>
        </w:tc>
        <w:tc>
          <w:tcPr>
            <w:tcW w:w="373"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23" w:type="pct"/>
            <w:tcBorders>
              <w:top w:val="nil"/>
            </w:tcBorders>
            <w:vAlign w:val="center"/>
          </w:tcPr>
          <w:p>
            <w:pPr>
              <w:keepNext/>
              <w:snapToGrid w:val="0"/>
              <w:spacing w:line="360" w:lineRule="auto"/>
              <w:jc w:val="center"/>
              <w:rPr>
                <w:kern w:val="2"/>
                <w:sz w:val="22"/>
                <w:szCs w:val="21"/>
                <w:highlight w:val="none"/>
              </w:rPr>
            </w:pPr>
          </w:p>
        </w:tc>
        <w:tc>
          <w:tcPr>
            <w:tcW w:w="373" w:type="pct"/>
            <w:tcBorders>
              <w:top w:val="nil"/>
            </w:tcBorders>
            <w:vAlign w:val="center"/>
          </w:tcPr>
          <w:p>
            <w:pPr>
              <w:keepNext/>
              <w:snapToGrid w:val="0"/>
              <w:spacing w:line="360" w:lineRule="auto"/>
              <w:jc w:val="center"/>
              <w:rPr>
                <w:kern w:val="2"/>
                <w:sz w:val="22"/>
                <w:szCs w:val="21"/>
                <w:highlight w:val="none"/>
              </w:rPr>
            </w:pPr>
          </w:p>
        </w:tc>
        <w:tc>
          <w:tcPr>
            <w:tcW w:w="297" w:type="pct"/>
            <w:tcBorders>
              <w:top w:val="nil"/>
            </w:tcBorders>
            <w:vAlign w:val="center"/>
          </w:tcPr>
          <w:p>
            <w:pPr>
              <w:keepNext/>
              <w:snapToGrid w:val="0"/>
              <w:spacing w:line="360" w:lineRule="auto"/>
              <w:jc w:val="center"/>
              <w:rPr>
                <w:kern w:val="2"/>
                <w:sz w:val="2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23" w:type="pct"/>
            <w:tcBorders>
              <w:top w:val="nil"/>
            </w:tcBorders>
            <w:vAlign w:val="center"/>
          </w:tcPr>
          <w:p>
            <w:pPr>
              <w:keepNext/>
              <w:snapToGrid w:val="0"/>
              <w:spacing w:line="360" w:lineRule="auto"/>
              <w:jc w:val="center"/>
              <w:rPr>
                <w:kern w:val="2"/>
                <w:sz w:val="22"/>
                <w:szCs w:val="21"/>
                <w:highlight w:val="none"/>
              </w:rPr>
            </w:pPr>
          </w:p>
        </w:tc>
        <w:tc>
          <w:tcPr>
            <w:tcW w:w="373"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96" w:type="pct"/>
            <w:tcBorders>
              <w:top w:val="nil"/>
            </w:tcBorders>
            <w:vAlign w:val="center"/>
          </w:tcPr>
          <w:p>
            <w:pPr>
              <w:keepNext/>
              <w:snapToGrid w:val="0"/>
              <w:spacing w:line="360" w:lineRule="auto"/>
              <w:jc w:val="center"/>
              <w:rPr>
                <w:kern w:val="2"/>
                <w:sz w:val="22"/>
                <w:szCs w:val="21"/>
                <w:highlight w:val="none"/>
              </w:rPr>
            </w:pPr>
          </w:p>
        </w:tc>
        <w:tc>
          <w:tcPr>
            <w:tcW w:w="523" w:type="pct"/>
            <w:tcBorders>
              <w:top w:val="nil"/>
            </w:tcBorders>
            <w:vAlign w:val="center"/>
          </w:tcPr>
          <w:p>
            <w:pPr>
              <w:keepNext/>
              <w:snapToGrid w:val="0"/>
              <w:spacing w:line="360" w:lineRule="auto"/>
              <w:jc w:val="center"/>
              <w:rPr>
                <w:kern w:val="2"/>
                <w:sz w:val="22"/>
                <w:szCs w:val="21"/>
                <w:highlight w:val="none"/>
              </w:rPr>
            </w:pPr>
          </w:p>
        </w:tc>
        <w:tc>
          <w:tcPr>
            <w:tcW w:w="373" w:type="pct"/>
            <w:tcBorders>
              <w:top w:val="nil"/>
            </w:tcBorders>
            <w:vAlign w:val="center"/>
          </w:tcPr>
          <w:p>
            <w:pPr>
              <w:keepNext/>
              <w:snapToGrid w:val="0"/>
              <w:spacing w:line="360" w:lineRule="auto"/>
              <w:jc w:val="center"/>
              <w:rPr>
                <w:kern w:val="2"/>
                <w:sz w:val="22"/>
                <w:szCs w:val="21"/>
                <w:highlight w:val="none"/>
              </w:rPr>
            </w:pPr>
          </w:p>
        </w:tc>
        <w:tc>
          <w:tcPr>
            <w:tcW w:w="297" w:type="pct"/>
            <w:tcBorders>
              <w:top w:val="nil"/>
            </w:tcBorders>
            <w:vAlign w:val="center"/>
          </w:tcPr>
          <w:p>
            <w:pPr>
              <w:keepNext/>
              <w:snapToGrid w:val="0"/>
              <w:spacing w:line="360" w:lineRule="auto"/>
              <w:jc w:val="center"/>
              <w:rPr>
                <w:kern w:val="2"/>
                <w:sz w:val="2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96"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96"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23" w:type="pct"/>
            <w:tcBorders>
              <w:bottom w:val="single" w:color="auto" w:sz="12" w:space="0"/>
            </w:tcBorders>
            <w:vAlign w:val="center"/>
          </w:tcPr>
          <w:p>
            <w:pPr>
              <w:keepNext/>
              <w:snapToGrid w:val="0"/>
              <w:spacing w:line="360" w:lineRule="auto"/>
              <w:jc w:val="center"/>
              <w:rPr>
                <w:kern w:val="2"/>
                <w:sz w:val="22"/>
                <w:szCs w:val="21"/>
                <w:highlight w:val="none"/>
              </w:rPr>
            </w:pPr>
          </w:p>
        </w:tc>
        <w:tc>
          <w:tcPr>
            <w:tcW w:w="373"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96"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96" w:type="pct"/>
            <w:tcBorders>
              <w:bottom w:val="single" w:color="auto" w:sz="12" w:space="0"/>
            </w:tcBorders>
            <w:vAlign w:val="center"/>
          </w:tcPr>
          <w:p>
            <w:pPr>
              <w:keepNext/>
              <w:snapToGrid w:val="0"/>
              <w:spacing w:line="360" w:lineRule="auto"/>
              <w:jc w:val="center"/>
              <w:rPr>
                <w:kern w:val="2"/>
                <w:sz w:val="22"/>
                <w:szCs w:val="21"/>
                <w:highlight w:val="none"/>
              </w:rPr>
            </w:pPr>
          </w:p>
        </w:tc>
        <w:tc>
          <w:tcPr>
            <w:tcW w:w="523" w:type="pct"/>
            <w:tcBorders>
              <w:bottom w:val="single" w:color="auto" w:sz="12" w:space="0"/>
            </w:tcBorders>
            <w:vAlign w:val="center"/>
          </w:tcPr>
          <w:p>
            <w:pPr>
              <w:keepNext/>
              <w:snapToGrid w:val="0"/>
              <w:spacing w:line="360" w:lineRule="auto"/>
              <w:jc w:val="center"/>
              <w:rPr>
                <w:kern w:val="2"/>
                <w:sz w:val="22"/>
                <w:szCs w:val="21"/>
                <w:highlight w:val="none"/>
              </w:rPr>
            </w:pPr>
          </w:p>
        </w:tc>
        <w:tc>
          <w:tcPr>
            <w:tcW w:w="373" w:type="pct"/>
            <w:tcBorders>
              <w:bottom w:val="single" w:color="auto" w:sz="12" w:space="0"/>
            </w:tcBorders>
            <w:vAlign w:val="center"/>
          </w:tcPr>
          <w:p>
            <w:pPr>
              <w:keepNext/>
              <w:snapToGrid w:val="0"/>
              <w:spacing w:line="360" w:lineRule="auto"/>
              <w:jc w:val="center"/>
              <w:rPr>
                <w:kern w:val="2"/>
                <w:sz w:val="22"/>
                <w:szCs w:val="21"/>
                <w:highlight w:val="none"/>
              </w:rPr>
            </w:pPr>
          </w:p>
        </w:tc>
        <w:tc>
          <w:tcPr>
            <w:tcW w:w="297" w:type="pct"/>
            <w:tcBorders>
              <w:bottom w:val="single" w:color="auto" w:sz="12" w:space="0"/>
            </w:tcBorders>
            <w:vAlign w:val="center"/>
          </w:tcPr>
          <w:p>
            <w:pPr>
              <w:keepNext/>
              <w:snapToGrid w:val="0"/>
              <w:spacing w:line="360" w:lineRule="auto"/>
              <w:jc w:val="center"/>
              <w:rPr>
                <w:kern w:val="2"/>
                <w:sz w:val="22"/>
                <w:szCs w:val="21"/>
                <w:highlight w:val="none"/>
              </w:rPr>
            </w:pPr>
          </w:p>
        </w:tc>
      </w:tr>
    </w:tbl>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spacing w:line="360" w:lineRule="auto"/>
        <w:jc w:val="center"/>
        <w:rPr>
          <w:kern w:val="2"/>
          <w:sz w:val="22"/>
          <w:szCs w:val="21"/>
          <w:highlight w:val="none"/>
        </w:rPr>
      </w:pPr>
    </w:p>
    <w:p>
      <w:pPr>
        <w:keepNext/>
        <w:keepLines/>
        <w:spacing w:before="120" w:after="120" w:line="360" w:lineRule="auto"/>
        <w:jc w:val="left"/>
        <w:outlineLvl w:val="2"/>
        <w:rPr>
          <w:rFonts w:ascii="黑体" w:hAnsi="黑体" w:eastAsia="黑体"/>
          <w:bCs/>
          <w:kern w:val="2"/>
          <w:sz w:val="24"/>
          <w:szCs w:val="24"/>
          <w:highlight w:val="none"/>
        </w:rPr>
      </w:pPr>
      <w:r>
        <w:rPr>
          <w:rFonts w:hint="eastAsia" w:ascii="黑体" w:hAnsi="黑体" w:eastAsia="黑体"/>
          <w:bCs/>
          <w:kern w:val="2"/>
          <w:sz w:val="24"/>
          <w:szCs w:val="24"/>
          <w:highlight w:val="none"/>
        </w:rPr>
        <w:t>附</w:t>
      </w:r>
      <w:bookmarkStart w:id="575" w:name="_Toc296891265"/>
      <w:bookmarkStart w:id="576" w:name="_Toc267261692"/>
      <w:bookmarkStart w:id="577" w:name="_Toc296891053"/>
      <w:bookmarkStart w:id="578" w:name="_Toc296503225"/>
      <w:bookmarkStart w:id="579" w:name="_Toc296346726"/>
      <w:bookmarkStart w:id="580" w:name="_Toc296944564"/>
      <w:bookmarkStart w:id="581" w:name="_Toc296347224"/>
      <w:r>
        <w:rPr>
          <w:rFonts w:hint="eastAsia" w:ascii="黑体" w:hAnsi="黑体" w:eastAsia="黑体"/>
          <w:bCs/>
          <w:kern w:val="2"/>
          <w:sz w:val="24"/>
          <w:szCs w:val="24"/>
          <w:highlight w:val="none"/>
        </w:rPr>
        <w:t>件</w:t>
      </w:r>
      <w:r>
        <w:rPr>
          <w:rFonts w:ascii="黑体" w:hAnsi="黑体" w:eastAsia="黑体"/>
          <w:bCs/>
          <w:kern w:val="2"/>
          <w:sz w:val="24"/>
          <w:szCs w:val="24"/>
          <w:highlight w:val="none"/>
        </w:rPr>
        <w:t>2</w:t>
      </w:r>
      <w:r>
        <w:rPr>
          <w:rFonts w:hint="eastAsia" w:ascii="黑体" w:hAnsi="黑体" w:eastAsia="黑体"/>
          <w:bCs/>
          <w:kern w:val="2"/>
          <w:sz w:val="24"/>
          <w:szCs w:val="24"/>
          <w:highlight w:val="none"/>
        </w:rPr>
        <w:t>：发包人供应材料设备一览表</w:t>
      </w:r>
    </w:p>
    <w:bookmarkEnd w:id="575"/>
    <w:bookmarkEnd w:id="576"/>
    <w:bookmarkEnd w:id="577"/>
    <w:bookmarkEnd w:id="578"/>
    <w:bookmarkEnd w:id="579"/>
    <w:bookmarkEnd w:id="580"/>
    <w:bookmarkEnd w:id="581"/>
    <w:p>
      <w:pPr>
        <w:spacing w:line="360" w:lineRule="auto"/>
        <w:jc w:val="center"/>
        <w:rPr>
          <w:kern w:val="2"/>
          <w:sz w:val="22"/>
          <w:szCs w:val="21"/>
          <w:highlight w:val="none"/>
        </w:rPr>
      </w:pPr>
      <w:r>
        <w:rPr>
          <w:rFonts w:hint="eastAsia"/>
          <w:kern w:val="2"/>
          <w:sz w:val="22"/>
          <w:szCs w:val="21"/>
          <w:highlight w:val="none"/>
        </w:rPr>
        <w:t>发包人供应材料设备一览表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37"/>
        <w:gridCol w:w="1105"/>
        <w:gridCol w:w="937"/>
        <w:gridCol w:w="814"/>
        <w:gridCol w:w="738"/>
        <w:gridCol w:w="905"/>
        <w:gridCol w:w="860"/>
        <w:gridCol w:w="738"/>
        <w:gridCol w:w="836"/>
        <w:gridCol w:w="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41"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序号</w:t>
            </w:r>
          </w:p>
        </w:tc>
        <w:tc>
          <w:tcPr>
            <w:tcW w:w="661"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材料、设备品种</w:t>
            </w:r>
          </w:p>
        </w:tc>
        <w:tc>
          <w:tcPr>
            <w:tcW w:w="560"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规格型号</w:t>
            </w:r>
          </w:p>
        </w:tc>
        <w:tc>
          <w:tcPr>
            <w:tcW w:w="487"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单位</w:t>
            </w:r>
          </w:p>
        </w:tc>
        <w:tc>
          <w:tcPr>
            <w:tcW w:w="441"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数量</w:t>
            </w:r>
          </w:p>
        </w:tc>
        <w:tc>
          <w:tcPr>
            <w:tcW w:w="541"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单价（元）</w:t>
            </w:r>
          </w:p>
        </w:tc>
        <w:tc>
          <w:tcPr>
            <w:tcW w:w="514"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质量等级</w:t>
            </w:r>
          </w:p>
        </w:tc>
        <w:tc>
          <w:tcPr>
            <w:tcW w:w="441"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供应时间</w:t>
            </w:r>
          </w:p>
        </w:tc>
        <w:tc>
          <w:tcPr>
            <w:tcW w:w="500"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送达地点</w:t>
            </w:r>
          </w:p>
        </w:tc>
        <w:tc>
          <w:tcPr>
            <w:tcW w:w="416" w:type="pct"/>
            <w:tcBorders>
              <w:top w:val="single" w:color="auto" w:sz="12" w:space="0"/>
              <w:bottom w:val="double" w:color="auto" w:sz="6" w:space="0"/>
            </w:tcBorders>
            <w:vAlign w:val="center"/>
          </w:tcPr>
          <w:p>
            <w:pPr>
              <w:keepNext/>
              <w:snapToGrid w:val="0"/>
              <w:spacing w:line="240" w:lineRule="auto"/>
              <w:jc w:val="center"/>
              <w:rPr>
                <w:kern w:val="2"/>
                <w:sz w:val="22"/>
                <w:szCs w:val="21"/>
                <w:highlight w:val="none"/>
              </w:rPr>
            </w:pPr>
            <w:r>
              <w:rPr>
                <w:rFonts w:hint="eastAsia"/>
                <w:kern w:val="2"/>
                <w:sz w:val="22"/>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top w:val="double" w:color="auto" w:sz="6" w:space="0"/>
            </w:tcBorders>
            <w:vAlign w:val="center"/>
          </w:tcPr>
          <w:p>
            <w:pPr>
              <w:keepNext/>
              <w:snapToGrid w:val="0"/>
              <w:spacing w:line="360" w:lineRule="auto"/>
              <w:jc w:val="center"/>
              <w:rPr>
                <w:kern w:val="2"/>
                <w:sz w:val="22"/>
                <w:szCs w:val="21"/>
                <w:highlight w:val="none"/>
              </w:rPr>
            </w:pPr>
          </w:p>
        </w:tc>
        <w:tc>
          <w:tcPr>
            <w:tcW w:w="661" w:type="pct"/>
            <w:tcBorders>
              <w:top w:val="double" w:color="auto" w:sz="6" w:space="0"/>
            </w:tcBorders>
            <w:vAlign w:val="center"/>
          </w:tcPr>
          <w:p>
            <w:pPr>
              <w:keepNext/>
              <w:snapToGrid w:val="0"/>
              <w:spacing w:line="360" w:lineRule="auto"/>
              <w:jc w:val="center"/>
              <w:rPr>
                <w:kern w:val="2"/>
                <w:sz w:val="22"/>
                <w:szCs w:val="21"/>
                <w:highlight w:val="none"/>
              </w:rPr>
            </w:pPr>
          </w:p>
        </w:tc>
        <w:tc>
          <w:tcPr>
            <w:tcW w:w="560" w:type="pct"/>
            <w:tcBorders>
              <w:top w:val="double" w:color="auto" w:sz="6" w:space="0"/>
            </w:tcBorders>
            <w:vAlign w:val="center"/>
          </w:tcPr>
          <w:p>
            <w:pPr>
              <w:keepNext/>
              <w:snapToGrid w:val="0"/>
              <w:spacing w:line="360" w:lineRule="auto"/>
              <w:jc w:val="center"/>
              <w:rPr>
                <w:kern w:val="2"/>
                <w:sz w:val="22"/>
                <w:szCs w:val="21"/>
                <w:highlight w:val="none"/>
              </w:rPr>
            </w:pPr>
          </w:p>
        </w:tc>
        <w:tc>
          <w:tcPr>
            <w:tcW w:w="487" w:type="pct"/>
            <w:tcBorders>
              <w:top w:val="double" w:color="auto" w:sz="6" w:space="0"/>
            </w:tcBorders>
            <w:vAlign w:val="center"/>
          </w:tcPr>
          <w:p>
            <w:pPr>
              <w:keepNext/>
              <w:snapToGrid w:val="0"/>
              <w:spacing w:line="360" w:lineRule="auto"/>
              <w:jc w:val="center"/>
              <w:rPr>
                <w:kern w:val="2"/>
                <w:sz w:val="22"/>
                <w:szCs w:val="21"/>
                <w:highlight w:val="none"/>
              </w:rPr>
            </w:pPr>
          </w:p>
        </w:tc>
        <w:tc>
          <w:tcPr>
            <w:tcW w:w="441" w:type="pct"/>
            <w:tcBorders>
              <w:top w:val="double" w:color="auto" w:sz="6" w:space="0"/>
            </w:tcBorders>
            <w:vAlign w:val="center"/>
          </w:tcPr>
          <w:p>
            <w:pPr>
              <w:keepNext/>
              <w:snapToGrid w:val="0"/>
              <w:spacing w:line="360" w:lineRule="auto"/>
              <w:jc w:val="center"/>
              <w:rPr>
                <w:kern w:val="2"/>
                <w:sz w:val="22"/>
                <w:szCs w:val="21"/>
                <w:highlight w:val="none"/>
              </w:rPr>
            </w:pPr>
          </w:p>
        </w:tc>
        <w:tc>
          <w:tcPr>
            <w:tcW w:w="541" w:type="pct"/>
            <w:tcBorders>
              <w:top w:val="double" w:color="auto" w:sz="6" w:space="0"/>
            </w:tcBorders>
            <w:vAlign w:val="center"/>
          </w:tcPr>
          <w:p>
            <w:pPr>
              <w:keepNext/>
              <w:snapToGrid w:val="0"/>
              <w:spacing w:line="360" w:lineRule="auto"/>
              <w:jc w:val="center"/>
              <w:rPr>
                <w:kern w:val="2"/>
                <w:sz w:val="22"/>
                <w:szCs w:val="21"/>
                <w:highlight w:val="none"/>
              </w:rPr>
            </w:pPr>
          </w:p>
        </w:tc>
        <w:tc>
          <w:tcPr>
            <w:tcW w:w="514" w:type="pct"/>
            <w:tcBorders>
              <w:top w:val="double" w:color="auto" w:sz="6" w:space="0"/>
            </w:tcBorders>
            <w:vAlign w:val="center"/>
          </w:tcPr>
          <w:p>
            <w:pPr>
              <w:keepNext/>
              <w:snapToGrid w:val="0"/>
              <w:spacing w:line="360" w:lineRule="auto"/>
              <w:jc w:val="center"/>
              <w:rPr>
                <w:kern w:val="2"/>
                <w:sz w:val="22"/>
                <w:szCs w:val="21"/>
                <w:highlight w:val="none"/>
              </w:rPr>
            </w:pPr>
          </w:p>
        </w:tc>
        <w:tc>
          <w:tcPr>
            <w:tcW w:w="441" w:type="pct"/>
            <w:tcBorders>
              <w:top w:val="double" w:color="auto" w:sz="6" w:space="0"/>
            </w:tcBorders>
            <w:vAlign w:val="center"/>
          </w:tcPr>
          <w:p>
            <w:pPr>
              <w:keepNext/>
              <w:snapToGrid w:val="0"/>
              <w:spacing w:line="360" w:lineRule="auto"/>
              <w:jc w:val="center"/>
              <w:rPr>
                <w:kern w:val="2"/>
                <w:sz w:val="22"/>
                <w:szCs w:val="21"/>
                <w:highlight w:val="none"/>
              </w:rPr>
            </w:pPr>
          </w:p>
        </w:tc>
        <w:tc>
          <w:tcPr>
            <w:tcW w:w="500" w:type="pct"/>
            <w:tcBorders>
              <w:top w:val="double" w:color="auto" w:sz="6" w:space="0"/>
            </w:tcBorders>
            <w:vAlign w:val="center"/>
          </w:tcPr>
          <w:p>
            <w:pPr>
              <w:keepNext/>
              <w:snapToGrid w:val="0"/>
              <w:spacing w:line="360" w:lineRule="auto"/>
              <w:jc w:val="center"/>
              <w:rPr>
                <w:kern w:val="2"/>
                <w:sz w:val="22"/>
                <w:szCs w:val="21"/>
                <w:highlight w:val="none"/>
              </w:rPr>
            </w:pPr>
          </w:p>
        </w:tc>
        <w:tc>
          <w:tcPr>
            <w:tcW w:w="416" w:type="pct"/>
            <w:tcBorders>
              <w:top w:val="double" w:color="auto" w:sz="6" w:space="0"/>
            </w:tcBorders>
            <w:vAlign w:val="center"/>
          </w:tcPr>
          <w:p>
            <w:pPr>
              <w:keepNext/>
              <w:snapToGrid w:val="0"/>
              <w:spacing w:line="360" w:lineRule="auto"/>
              <w:jc w:val="center"/>
              <w:rPr>
                <w:kern w:val="2"/>
                <w:sz w:val="2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vAlign w:val="center"/>
          </w:tcPr>
          <w:p>
            <w:pPr>
              <w:snapToGrid w:val="0"/>
              <w:spacing w:line="360" w:lineRule="auto"/>
              <w:jc w:val="center"/>
              <w:rPr>
                <w:kern w:val="2"/>
                <w:sz w:val="22"/>
                <w:szCs w:val="21"/>
                <w:highlight w:val="none"/>
              </w:rPr>
            </w:pPr>
          </w:p>
        </w:tc>
        <w:tc>
          <w:tcPr>
            <w:tcW w:w="661" w:type="pct"/>
            <w:vAlign w:val="center"/>
          </w:tcPr>
          <w:p>
            <w:pPr>
              <w:snapToGrid w:val="0"/>
              <w:spacing w:line="360" w:lineRule="auto"/>
              <w:jc w:val="center"/>
              <w:rPr>
                <w:kern w:val="2"/>
                <w:sz w:val="22"/>
                <w:szCs w:val="21"/>
                <w:highlight w:val="none"/>
              </w:rPr>
            </w:pPr>
          </w:p>
        </w:tc>
        <w:tc>
          <w:tcPr>
            <w:tcW w:w="560" w:type="pct"/>
            <w:vAlign w:val="center"/>
          </w:tcPr>
          <w:p>
            <w:pPr>
              <w:snapToGrid w:val="0"/>
              <w:spacing w:line="360" w:lineRule="auto"/>
              <w:jc w:val="center"/>
              <w:rPr>
                <w:kern w:val="2"/>
                <w:sz w:val="22"/>
                <w:szCs w:val="21"/>
                <w:highlight w:val="none"/>
              </w:rPr>
            </w:pPr>
          </w:p>
        </w:tc>
        <w:tc>
          <w:tcPr>
            <w:tcW w:w="487" w:type="pct"/>
            <w:vAlign w:val="center"/>
          </w:tcPr>
          <w:p>
            <w:pPr>
              <w:snapToGrid w:val="0"/>
              <w:spacing w:line="360" w:lineRule="auto"/>
              <w:jc w:val="center"/>
              <w:rPr>
                <w:kern w:val="2"/>
                <w:sz w:val="22"/>
                <w:szCs w:val="21"/>
                <w:highlight w:val="none"/>
              </w:rPr>
            </w:pPr>
          </w:p>
        </w:tc>
        <w:tc>
          <w:tcPr>
            <w:tcW w:w="441" w:type="pct"/>
            <w:vAlign w:val="center"/>
          </w:tcPr>
          <w:p>
            <w:pPr>
              <w:snapToGrid w:val="0"/>
              <w:spacing w:line="360" w:lineRule="auto"/>
              <w:jc w:val="center"/>
              <w:rPr>
                <w:kern w:val="2"/>
                <w:sz w:val="22"/>
                <w:szCs w:val="21"/>
                <w:highlight w:val="none"/>
              </w:rPr>
            </w:pPr>
          </w:p>
        </w:tc>
        <w:tc>
          <w:tcPr>
            <w:tcW w:w="541" w:type="pct"/>
            <w:vAlign w:val="center"/>
          </w:tcPr>
          <w:p>
            <w:pPr>
              <w:snapToGrid w:val="0"/>
              <w:spacing w:line="360" w:lineRule="auto"/>
              <w:jc w:val="center"/>
              <w:rPr>
                <w:kern w:val="2"/>
                <w:sz w:val="22"/>
                <w:szCs w:val="21"/>
                <w:highlight w:val="none"/>
              </w:rPr>
            </w:pPr>
          </w:p>
        </w:tc>
        <w:tc>
          <w:tcPr>
            <w:tcW w:w="514" w:type="pct"/>
            <w:vAlign w:val="center"/>
          </w:tcPr>
          <w:p>
            <w:pPr>
              <w:snapToGrid w:val="0"/>
              <w:spacing w:line="360" w:lineRule="auto"/>
              <w:jc w:val="center"/>
              <w:rPr>
                <w:kern w:val="2"/>
                <w:sz w:val="22"/>
                <w:szCs w:val="21"/>
                <w:highlight w:val="none"/>
              </w:rPr>
            </w:pPr>
          </w:p>
        </w:tc>
        <w:tc>
          <w:tcPr>
            <w:tcW w:w="441" w:type="pct"/>
            <w:vAlign w:val="center"/>
          </w:tcPr>
          <w:p>
            <w:pPr>
              <w:snapToGrid w:val="0"/>
              <w:spacing w:line="360" w:lineRule="auto"/>
              <w:jc w:val="center"/>
              <w:rPr>
                <w:kern w:val="2"/>
                <w:sz w:val="22"/>
                <w:szCs w:val="21"/>
                <w:highlight w:val="none"/>
              </w:rPr>
            </w:pPr>
          </w:p>
        </w:tc>
        <w:tc>
          <w:tcPr>
            <w:tcW w:w="500" w:type="pct"/>
            <w:vAlign w:val="center"/>
          </w:tcPr>
          <w:p>
            <w:pPr>
              <w:snapToGrid w:val="0"/>
              <w:spacing w:line="360" w:lineRule="auto"/>
              <w:jc w:val="center"/>
              <w:rPr>
                <w:kern w:val="2"/>
                <w:sz w:val="22"/>
                <w:szCs w:val="21"/>
                <w:highlight w:val="none"/>
              </w:rPr>
            </w:pPr>
          </w:p>
        </w:tc>
        <w:tc>
          <w:tcPr>
            <w:tcW w:w="416" w:type="pct"/>
            <w:vAlign w:val="center"/>
          </w:tcPr>
          <w:p>
            <w:pPr>
              <w:snapToGrid w:val="0"/>
              <w:spacing w:line="360" w:lineRule="auto"/>
              <w:jc w:val="center"/>
              <w:rPr>
                <w:kern w:val="2"/>
                <w:sz w:val="2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bottom w:val="single" w:color="auto" w:sz="12" w:space="0"/>
            </w:tcBorders>
            <w:vAlign w:val="center"/>
          </w:tcPr>
          <w:p>
            <w:pPr>
              <w:snapToGrid w:val="0"/>
              <w:spacing w:line="360" w:lineRule="auto"/>
              <w:jc w:val="center"/>
              <w:rPr>
                <w:kern w:val="2"/>
                <w:sz w:val="22"/>
                <w:szCs w:val="21"/>
                <w:highlight w:val="none"/>
              </w:rPr>
            </w:pPr>
          </w:p>
        </w:tc>
        <w:tc>
          <w:tcPr>
            <w:tcW w:w="661" w:type="pct"/>
            <w:tcBorders>
              <w:bottom w:val="single" w:color="auto" w:sz="12" w:space="0"/>
            </w:tcBorders>
            <w:vAlign w:val="center"/>
          </w:tcPr>
          <w:p>
            <w:pPr>
              <w:snapToGrid w:val="0"/>
              <w:spacing w:line="360" w:lineRule="auto"/>
              <w:jc w:val="center"/>
              <w:rPr>
                <w:kern w:val="2"/>
                <w:sz w:val="22"/>
                <w:szCs w:val="21"/>
                <w:highlight w:val="none"/>
              </w:rPr>
            </w:pPr>
          </w:p>
        </w:tc>
        <w:tc>
          <w:tcPr>
            <w:tcW w:w="560" w:type="pct"/>
            <w:tcBorders>
              <w:bottom w:val="single" w:color="auto" w:sz="12" w:space="0"/>
            </w:tcBorders>
            <w:vAlign w:val="center"/>
          </w:tcPr>
          <w:p>
            <w:pPr>
              <w:snapToGrid w:val="0"/>
              <w:spacing w:line="360" w:lineRule="auto"/>
              <w:jc w:val="center"/>
              <w:rPr>
                <w:kern w:val="2"/>
                <w:sz w:val="22"/>
                <w:szCs w:val="21"/>
                <w:highlight w:val="none"/>
              </w:rPr>
            </w:pPr>
          </w:p>
        </w:tc>
        <w:tc>
          <w:tcPr>
            <w:tcW w:w="487" w:type="pct"/>
            <w:tcBorders>
              <w:bottom w:val="single" w:color="auto" w:sz="12" w:space="0"/>
            </w:tcBorders>
            <w:vAlign w:val="center"/>
          </w:tcPr>
          <w:p>
            <w:pPr>
              <w:snapToGrid w:val="0"/>
              <w:spacing w:line="360" w:lineRule="auto"/>
              <w:jc w:val="center"/>
              <w:rPr>
                <w:kern w:val="2"/>
                <w:sz w:val="22"/>
                <w:szCs w:val="21"/>
                <w:highlight w:val="none"/>
              </w:rPr>
            </w:pPr>
          </w:p>
        </w:tc>
        <w:tc>
          <w:tcPr>
            <w:tcW w:w="441" w:type="pct"/>
            <w:tcBorders>
              <w:bottom w:val="single" w:color="auto" w:sz="12" w:space="0"/>
            </w:tcBorders>
            <w:vAlign w:val="center"/>
          </w:tcPr>
          <w:p>
            <w:pPr>
              <w:snapToGrid w:val="0"/>
              <w:spacing w:line="360" w:lineRule="auto"/>
              <w:jc w:val="center"/>
              <w:rPr>
                <w:kern w:val="2"/>
                <w:sz w:val="22"/>
                <w:szCs w:val="21"/>
                <w:highlight w:val="none"/>
              </w:rPr>
            </w:pPr>
          </w:p>
        </w:tc>
        <w:tc>
          <w:tcPr>
            <w:tcW w:w="541" w:type="pct"/>
            <w:tcBorders>
              <w:bottom w:val="single" w:color="auto" w:sz="12" w:space="0"/>
            </w:tcBorders>
            <w:vAlign w:val="center"/>
          </w:tcPr>
          <w:p>
            <w:pPr>
              <w:snapToGrid w:val="0"/>
              <w:spacing w:line="360" w:lineRule="auto"/>
              <w:jc w:val="center"/>
              <w:rPr>
                <w:kern w:val="2"/>
                <w:sz w:val="22"/>
                <w:szCs w:val="21"/>
                <w:highlight w:val="none"/>
              </w:rPr>
            </w:pPr>
          </w:p>
        </w:tc>
        <w:tc>
          <w:tcPr>
            <w:tcW w:w="514" w:type="pct"/>
            <w:tcBorders>
              <w:bottom w:val="single" w:color="auto" w:sz="12" w:space="0"/>
            </w:tcBorders>
            <w:vAlign w:val="center"/>
          </w:tcPr>
          <w:p>
            <w:pPr>
              <w:snapToGrid w:val="0"/>
              <w:spacing w:line="360" w:lineRule="auto"/>
              <w:jc w:val="center"/>
              <w:rPr>
                <w:kern w:val="2"/>
                <w:sz w:val="22"/>
                <w:szCs w:val="21"/>
                <w:highlight w:val="none"/>
              </w:rPr>
            </w:pPr>
          </w:p>
        </w:tc>
        <w:tc>
          <w:tcPr>
            <w:tcW w:w="441" w:type="pct"/>
            <w:tcBorders>
              <w:bottom w:val="single" w:color="auto" w:sz="12" w:space="0"/>
            </w:tcBorders>
            <w:vAlign w:val="center"/>
          </w:tcPr>
          <w:p>
            <w:pPr>
              <w:snapToGrid w:val="0"/>
              <w:spacing w:line="360" w:lineRule="auto"/>
              <w:jc w:val="center"/>
              <w:rPr>
                <w:kern w:val="2"/>
                <w:sz w:val="22"/>
                <w:szCs w:val="21"/>
                <w:highlight w:val="none"/>
              </w:rPr>
            </w:pPr>
          </w:p>
        </w:tc>
        <w:tc>
          <w:tcPr>
            <w:tcW w:w="500" w:type="pct"/>
            <w:tcBorders>
              <w:bottom w:val="single" w:color="auto" w:sz="12" w:space="0"/>
            </w:tcBorders>
            <w:vAlign w:val="center"/>
          </w:tcPr>
          <w:p>
            <w:pPr>
              <w:snapToGrid w:val="0"/>
              <w:spacing w:line="360" w:lineRule="auto"/>
              <w:jc w:val="center"/>
              <w:rPr>
                <w:kern w:val="2"/>
                <w:sz w:val="22"/>
                <w:szCs w:val="21"/>
                <w:highlight w:val="none"/>
              </w:rPr>
            </w:pPr>
          </w:p>
        </w:tc>
        <w:tc>
          <w:tcPr>
            <w:tcW w:w="416" w:type="pct"/>
            <w:tcBorders>
              <w:bottom w:val="single" w:color="auto" w:sz="12" w:space="0"/>
            </w:tcBorders>
            <w:vAlign w:val="center"/>
          </w:tcPr>
          <w:p>
            <w:pPr>
              <w:snapToGrid w:val="0"/>
              <w:spacing w:line="360" w:lineRule="auto"/>
              <w:jc w:val="center"/>
              <w:rPr>
                <w:kern w:val="2"/>
                <w:sz w:val="22"/>
                <w:szCs w:val="21"/>
                <w:highlight w:val="none"/>
              </w:rPr>
            </w:pPr>
          </w:p>
        </w:tc>
      </w:tr>
    </w:tbl>
    <w:p>
      <w:pPr>
        <w:adjustRightInd w:val="0"/>
        <w:snapToGrid w:val="0"/>
        <w:spacing w:line="360" w:lineRule="auto"/>
        <w:rPr>
          <w:rFonts w:hint="eastAsia" w:eastAsia="宋体"/>
          <w:kern w:val="2"/>
          <w:sz w:val="24"/>
          <w:szCs w:val="24"/>
          <w:highlight w:val="none"/>
          <w:lang w:val="en-US" w:eastAsia="zh-CN"/>
        </w:rPr>
      </w:pPr>
      <w:r>
        <w:rPr>
          <w:rFonts w:ascii="黑体" w:hAnsi="黑体" w:eastAsia="黑体"/>
          <w:bCs/>
          <w:kern w:val="2"/>
          <w:sz w:val="22"/>
          <w:szCs w:val="21"/>
          <w:highlight w:val="none"/>
        </w:rPr>
        <w:br w:type="page"/>
      </w:r>
    </w:p>
    <w:p>
      <w:pPr>
        <w:keepNext/>
        <w:keepLines/>
        <w:spacing w:before="120" w:after="120" w:line="360" w:lineRule="auto"/>
        <w:jc w:val="left"/>
        <w:outlineLvl w:val="2"/>
        <w:rPr>
          <w:rFonts w:ascii="黑体" w:hAnsi="黑体" w:eastAsia="黑体"/>
          <w:bCs/>
          <w:kern w:val="2"/>
          <w:sz w:val="24"/>
          <w:szCs w:val="24"/>
          <w:highlight w:val="none"/>
        </w:rPr>
      </w:pPr>
      <w:r>
        <w:rPr>
          <w:rFonts w:hint="eastAsia" w:ascii="黑体" w:hAnsi="黑体" w:eastAsia="黑体"/>
          <w:bCs/>
          <w:kern w:val="2"/>
          <w:sz w:val="24"/>
          <w:szCs w:val="24"/>
          <w:highlight w:val="none"/>
        </w:rPr>
        <w:t>附</w:t>
      </w:r>
      <w:bookmarkStart w:id="582" w:name="_Toc296891054"/>
      <w:bookmarkStart w:id="583" w:name="_Toc296503226"/>
      <w:bookmarkStart w:id="584" w:name="_Toc296891266"/>
      <w:bookmarkStart w:id="585" w:name="_Toc267261693"/>
      <w:bookmarkStart w:id="586" w:name="_Toc296944565"/>
      <w:bookmarkStart w:id="587" w:name="_Toc296346727"/>
      <w:bookmarkStart w:id="588" w:name="_Toc296347225"/>
      <w:r>
        <w:rPr>
          <w:rFonts w:hint="eastAsia" w:ascii="黑体" w:hAnsi="黑体" w:eastAsia="黑体"/>
          <w:bCs/>
          <w:kern w:val="2"/>
          <w:sz w:val="24"/>
          <w:szCs w:val="24"/>
          <w:highlight w:val="none"/>
        </w:rPr>
        <w:t>件</w:t>
      </w:r>
      <w:r>
        <w:rPr>
          <w:rFonts w:ascii="黑体" w:hAnsi="黑体" w:eastAsia="黑体"/>
          <w:bCs/>
          <w:kern w:val="2"/>
          <w:sz w:val="24"/>
          <w:szCs w:val="24"/>
          <w:highlight w:val="none"/>
        </w:rPr>
        <w:t>3</w:t>
      </w:r>
      <w:r>
        <w:rPr>
          <w:rFonts w:hint="eastAsia" w:ascii="黑体" w:hAnsi="黑体" w:eastAsia="黑体"/>
          <w:bCs/>
          <w:kern w:val="2"/>
          <w:sz w:val="24"/>
          <w:szCs w:val="24"/>
          <w:highlight w:val="none"/>
        </w:rPr>
        <w:t>：</w:t>
      </w:r>
      <w:bookmarkEnd w:id="582"/>
      <w:bookmarkEnd w:id="583"/>
      <w:bookmarkEnd w:id="584"/>
      <w:bookmarkEnd w:id="585"/>
      <w:bookmarkEnd w:id="586"/>
      <w:bookmarkEnd w:id="587"/>
      <w:bookmarkEnd w:id="588"/>
      <w:r>
        <w:rPr>
          <w:rFonts w:hint="eastAsia" w:ascii="黑体" w:hAnsi="黑体" w:eastAsia="黑体"/>
          <w:bCs/>
          <w:kern w:val="2"/>
          <w:sz w:val="24"/>
          <w:szCs w:val="24"/>
          <w:highlight w:val="none"/>
        </w:rPr>
        <w:t>工程质量保修书</w:t>
      </w:r>
    </w:p>
    <w:p>
      <w:pPr>
        <w:adjustRightInd w:val="0"/>
        <w:snapToGrid w:val="0"/>
        <w:spacing w:line="360" w:lineRule="auto"/>
        <w:jc w:val="center"/>
        <w:rPr>
          <w:kern w:val="2"/>
          <w:sz w:val="28"/>
          <w:szCs w:val="28"/>
          <w:highlight w:val="none"/>
        </w:rPr>
      </w:pPr>
      <w:r>
        <w:rPr>
          <w:rFonts w:hint="eastAsia"/>
          <w:kern w:val="2"/>
          <w:sz w:val="28"/>
          <w:szCs w:val="28"/>
          <w:highlight w:val="none"/>
        </w:rPr>
        <w:t>工程质量保修书</w:t>
      </w:r>
    </w:p>
    <w:p>
      <w:pPr>
        <w:adjustRightInd w:val="0"/>
        <w:snapToGrid w:val="0"/>
        <w:spacing w:line="360" w:lineRule="auto"/>
        <w:ind w:firstLine="420" w:firstLineChars="200"/>
        <w:rPr>
          <w:rFonts w:hint="eastAsia" w:eastAsia="宋体"/>
          <w:position w:val="14"/>
          <w:sz w:val="21"/>
          <w:szCs w:val="21"/>
          <w:highlight w:val="none"/>
          <w:lang w:eastAsia="zh-CN"/>
        </w:rPr>
      </w:pPr>
      <w:r>
        <w:rPr>
          <w:rFonts w:hint="eastAsia"/>
          <w:bCs/>
          <w:position w:val="14"/>
          <w:sz w:val="21"/>
          <w:szCs w:val="21"/>
          <w:highlight w:val="none"/>
        </w:rPr>
        <w:t>发包人</w:t>
      </w:r>
      <w:r>
        <w:rPr>
          <w:rFonts w:hint="eastAsia"/>
          <w:position w:val="14"/>
          <w:sz w:val="21"/>
          <w:szCs w:val="21"/>
          <w:highlight w:val="none"/>
        </w:rPr>
        <w:t>：</w:t>
      </w:r>
      <w:r>
        <w:rPr>
          <w:rFonts w:hint="eastAsia"/>
          <w:position w:val="14"/>
          <w:sz w:val="21"/>
          <w:szCs w:val="21"/>
          <w:highlight w:val="none"/>
          <w:u w:val="single"/>
          <w:lang w:val="en-US" w:eastAsia="zh-CN"/>
        </w:rPr>
        <w:t xml:space="preserve"> </w:t>
      </w:r>
      <w:r>
        <w:rPr>
          <w:rFonts w:hint="eastAsia"/>
          <w:position w:val="14"/>
          <w:sz w:val="21"/>
          <w:szCs w:val="21"/>
          <w:highlight w:val="none"/>
          <w:u w:val="single"/>
          <w:lang w:eastAsia="zh-CN"/>
        </w:rPr>
        <w:t>肥西综合能源服务有限公司</w:t>
      </w:r>
      <w:r>
        <w:rPr>
          <w:rFonts w:hint="eastAsia"/>
          <w:position w:val="14"/>
          <w:sz w:val="21"/>
          <w:szCs w:val="21"/>
          <w:highlight w:val="none"/>
          <w:u w:val="single"/>
          <w:lang w:val="en-US" w:eastAsia="zh-CN"/>
        </w:rPr>
        <w:t xml:space="preserve"> </w:t>
      </w:r>
    </w:p>
    <w:p>
      <w:pPr>
        <w:widowControl/>
        <w:adjustRightInd w:val="0"/>
        <w:snapToGrid w:val="0"/>
        <w:spacing w:line="360" w:lineRule="auto"/>
        <w:ind w:firstLine="420" w:firstLineChars="200"/>
        <w:jc w:val="left"/>
        <w:rPr>
          <w:rFonts w:hint="default" w:eastAsia="宋体"/>
          <w:position w:val="14"/>
          <w:sz w:val="21"/>
          <w:szCs w:val="21"/>
          <w:highlight w:val="none"/>
          <w:lang w:val="en-US" w:eastAsia="zh-CN"/>
        </w:rPr>
      </w:pPr>
      <w:r>
        <w:rPr>
          <w:rFonts w:hint="eastAsia"/>
          <w:bCs/>
          <w:position w:val="14"/>
          <w:sz w:val="21"/>
          <w:szCs w:val="21"/>
          <w:highlight w:val="none"/>
        </w:rPr>
        <w:t>承包人</w:t>
      </w:r>
      <w:r>
        <w:rPr>
          <w:rFonts w:hint="eastAsia"/>
          <w:position w:val="14"/>
          <w:sz w:val="21"/>
          <w:szCs w:val="21"/>
          <w:highlight w:val="none"/>
        </w:rPr>
        <w:t>：</w:t>
      </w:r>
      <w:r>
        <w:rPr>
          <w:rFonts w:hint="eastAsia"/>
          <w:position w:val="14"/>
          <w:sz w:val="21"/>
          <w:szCs w:val="21"/>
          <w:highlight w:val="none"/>
          <w:u w:val="single"/>
          <w:lang w:val="en-US" w:eastAsia="zh-CN"/>
        </w:rPr>
        <w:t xml:space="preserve">                      </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发包人、承包人根据《中华人民共和国建筑法》《建设工程质量管理条例》</w:t>
      </w:r>
      <w:r>
        <w:rPr>
          <w:rFonts w:hint="eastAsia"/>
          <w:position w:val="6"/>
          <w:sz w:val="21"/>
          <w:szCs w:val="21"/>
          <w:highlight w:val="none"/>
          <w:lang w:eastAsia="zh-CN"/>
        </w:rPr>
        <w:t>，</w:t>
      </w:r>
      <w:r>
        <w:rPr>
          <w:rFonts w:hint="eastAsia"/>
          <w:position w:val="6"/>
          <w:sz w:val="21"/>
          <w:szCs w:val="21"/>
          <w:highlight w:val="none"/>
        </w:rPr>
        <w:t>参照《房屋建筑工程质量保修办法》，经协商一致，对</w:t>
      </w:r>
      <w:r>
        <w:rPr>
          <w:rFonts w:hint="eastAsia"/>
          <w:position w:val="6"/>
          <w:sz w:val="21"/>
          <w:szCs w:val="21"/>
          <w:highlight w:val="none"/>
          <w:u w:val="single"/>
          <w:lang w:val="en-US" w:eastAsia="zh-CN"/>
        </w:rPr>
        <w:t xml:space="preserve"> </w:t>
      </w:r>
      <w:r>
        <w:rPr>
          <w:rFonts w:hint="eastAsia"/>
          <w:position w:val="6"/>
          <w:sz w:val="21"/>
          <w:szCs w:val="21"/>
          <w:highlight w:val="none"/>
          <w:u w:val="single"/>
          <w:lang w:eastAsia="zh-CN"/>
        </w:rPr>
        <w:t>肥西县上派镇光明府光储充放一体化充电站项目</w:t>
      </w:r>
      <w:r>
        <w:rPr>
          <w:rFonts w:hint="eastAsia"/>
          <w:position w:val="6"/>
          <w:sz w:val="21"/>
          <w:szCs w:val="21"/>
          <w:highlight w:val="none"/>
          <w:u w:val="single"/>
          <w:lang w:val="en-US" w:eastAsia="zh-CN"/>
        </w:rPr>
        <w:t xml:space="preserve"> </w:t>
      </w:r>
      <w:r>
        <w:rPr>
          <w:rFonts w:hint="eastAsia"/>
          <w:position w:val="6"/>
          <w:sz w:val="21"/>
          <w:szCs w:val="21"/>
          <w:highlight w:val="none"/>
        </w:rPr>
        <w:t>签订工程质量保修书。</w:t>
      </w:r>
    </w:p>
    <w:p>
      <w:pPr>
        <w:widowControl/>
        <w:adjustRightInd w:val="0"/>
        <w:snapToGrid w:val="0"/>
        <w:spacing w:line="360" w:lineRule="auto"/>
        <w:ind w:firstLine="422" w:firstLineChars="200"/>
        <w:jc w:val="left"/>
        <w:rPr>
          <w:b/>
          <w:bCs/>
          <w:position w:val="6"/>
          <w:sz w:val="21"/>
          <w:szCs w:val="21"/>
          <w:highlight w:val="none"/>
        </w:rPr>
      </w:pPr>
      <w:r>
        <w:rPr>
          <w:rFonts w:hint="eastAsia"/>
          <w:b/>
          <w:bCs/>
          <w:position w:val="6"/>
          <w:sz w:val="21"/>
          <w:szCs w:val="21"/>
          <w:highlight w:val="none"/>
        </w:rPr>
        <w:t>一、工程质量保修范围和内容</w:t>
      </w:r>
    </w:p>
    <w:p>
      <w:pPr>
        <w:adjustRightInd w:val="0"/>
        <w:snapToGrid w:val="0"/>
        <w:spacing w:line="360" w:lineRule="auto"/>
        <w:ind w:firstLine="420" w:firstLineChars="200"/>
        <w:jc w:val="left"/>
        <w:rPr>
          <w:kern w:val="2"/>
          <w:position w:val="6"/>
          <w:sz w:val="21"/>
          <w:szCs w:val="21"/>
          <w:highlight w:val="none"/>
        </w:rPr>
      </w:pPr>
      <w:r>
        <w:rPr>
          <w:rFonts w:hint="eastAsia"/>
          <w:kern w:val="2"/>
          <w:position w:val="6"/>
          <w:sz w:val="21"/>
          <w:szCs w:val="21"/>
          <w:highlight w:val="none"/>
        </w:rPr>
        <w:t>按照《建设工程质量管理条例》及有关</w:t>
      </w:r>
      <w:r>
        <w:rPr>
          <w:rFonts w:hint="eastAsia"/>
          <w:kern w:val="2"/>
          <w:position w:val="6"/>
          <w:sz w:val="21"/>
          <w:szCs w:val="21"/>
          <w:highlight w:val="none"/>
          <w:lang w:eastAsia="zh-CN"/>
        </w:rPr>
        <w:t>法律、法规</w:t>
      </w:r>
      <w:r>
        <w:rPr>
          <w:rFonts w:hint="eastAsia"/>
          <w:kern w:val="2"/>
          <w:position w:val="6"/>
          <w:sz w:val="21"/>
          <w:szCs w:val="21"/>
          <w:highlight w:val="none"/>
        </w:rPr>
        <w:t>、规章的管理规定，双方约定由施工单位在质量保修期内，承担本工程的质量保修责任。</w:t>
      </w:r>
    </w:p>
    <w:p>
      <w:pPr>
        <w:adjustRightInd w:val="0"/>
        <w:snapToGrid w:val="0"/>
        <w:spacing w:line="360" w:lineRule="auto"/>
        <w:ind w:firstLine="420" w:firstLineChars="200"/>
        <w:jc w:val="left"/>
        <w:rPr>
          <w:kern w:val="2"/>
          <w:position w:val="6"/>
          <w:sz w:val="21"/>
          <w:szCs w:val="21"/>
          <w:highlight w:val="none"/>
        </w:rPr>
      </w:pPr>
      <w:r>
        <w:rPr>
          <w:rFonts w:hint="eastAsia"/>
          <w:kern w:val="2"/>
          <w:position w:val="6"/>
          <w:sz w:val="21"/>
          <w:szCs w:val="21"/>
          <w:highlight w:val="none"/>
        </w:rPr>
        <w:t>质量保修范围和内容：</w:t>
      </w:r>
      <w:r>
        <w:rPr>
          <w:rFonts w:hint="eastAsia"/>
          <w:kern w:val="2"/>
          <w:position w:val="6"/>
          <w:sz w:val="21"/>
          <w:szCs w:val="21"/>
          <w:highlight w:val="none"/>
          <w:u w:val="single"/>
          <w:lang w:val="en-US" w:eastAsia="zh-CN"/>
        </w:rPr>
        <w:t xml:space="preserve">                 </w:t>
      </w:r>
      <w:r>
        <w:rPr>
          <w:rFonts w:hint="eastAsia"/>
          <w:kern w:val="2"/>
          <w:position w:val="6"/>
          <w:sz w:val="21"/>
          <w:szCs w:val="21"/>
          <w:highlight w:val="none"/>
        </w:rPr>
        <w:t>。</w:t>
      </w:r>
      <w:r>
        <w:rPr>
          <w:rFonts w:hint="eastAsia"/>
          <w:bCs/>
          <w:position w:val="6"/>
          <w:sz w:val="21"/>
          <w:szCs w:val="21"/>
          <w:highlight w:val="none"/>
        </w:rPr>
        <w:t>因不可抗力或使用不当造成的质量缺陷，不属保修范围。</w:t>
      </w:r>
    </w:p>
    <w:p>
      <w:pPr>
        <w:widowControl/>
        <w:adjustRightInd w:val="0"/>
        <w:snapToGrid w:val="0"/>
        <w:spacing w:line="360" w:lineRule="auto"/>
        <w:ind w:firstLine="422" w:firstLineChars="200"/>
        <w:jc w:val="left"/>
        <w:rPr>
          <w:b/>
          <w:bCs/>
          <w:position w:val="6"/>
          <w:sz w:val="21"/>
          <w:szCs w:val="21"/>
          <w:highlight w:val="none"/>
        </w:rPr>
      </w:pPr>
      <w:r>
        <w:rPr>
          <w:rFonts w:hint="eastAsia"/>
          <w:b/>
          <w:bCs/>
          <w:position w:val="6"/>
          <w:sz w:val="21"/>
          <w:szCs w:val="21"/>
          <w:highlight w:val="none"/>
        </w:rPr>
        <w:t>二、质量保修期</w:t>
      </w:r>
    </w:p>
    <w:p>
      <w:pPr>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双方根据</w:t>
      </w:r>
      <w:r>
        <w:rPr>
          <w:rFonts w:hint="eastAsia"/>
          <w:kern w:val="2"/>
          <w:position w:val="6"/>
          <w:sz w:val="21"/>
          <w:szCs w:val="21"/>
          <w:highlight w:val="none"/>
        </w:rPr>
        <w:t>《建设工程质量管理条例》</w:t>
      </w:r>
      <w:r>
        <w:rPr>
          <w:rFonts w:hint="eastAsia"/>
          <w:position w:val="6"/>
          <w:sz w:val="21"/>
          <w:szCs w:val="21"/>
          <w:highlight w:val="none"/>
        </w:rPr>
        <w:t>及有关规定，约定本工程的质量保修期如下：</w:t>
      </w:r>
    </w:p>
    <w:p>
      <w:pPr>
        <w:widowControl/>
        <w:adjustRightInd w:val="0"/>
        <w:snapToGrid w:val="0"/>
        <w:spacing w:line="360" w:lineRule="auto"/>
        <w:ind w:left="400" w:leftChars="200" w:firstLine="58" w:firstLineChars="28"/>
        <w:jc w:val="left"/>
        <w:rPr>
          <w:position w:val="6"/>
          <w:sz w:val="21"/>
          <w:szCs w:val="21"/>
          <w:highlight w:val="none"/>
        </w:rPr>
      </w:pPr>
      <w:r>
        <w:rPr>
          <w:rFonts w:hint="eastAsia"/>
          <w:position w:val="6"/>
          <w:sz w:val="21"/>
          <w:szCs w:val="21"/>
          <w:highlight w:val="none"/>
        </w:rPr>
        <w:t>1. 主体结构和基础工程，为</w:t>
      </w:r>
      <w:r>
        <w:rPr>
          <w:rFonts w:hint="eastAsia"/>
          <w:position w:val="6"/>
          <w:sz w:val="21"/>
          <w:szCs w:val="21"/>
          <w:highlight w:val="none"/>
          <w:u w:val="single"/>
        </w:rPr>
        <w:t xml:space="preserve">     </w:t>
      </w:r>
      <w:r>
        <w:rPr>
          <w:rFonts w:hint="eastAsia"/>
          <w:position w:val="6"/>
          <w:sz w:val="21"/>
          <w:szCs w:val="21"/>
          <w:highlight w:val="none"/>
        </w:rPr>
        <w:t>年；</w:t>
      </w:r>
    </w:p>
    <w:p>
      <w:pPr>
        <w:widowControl/>
        <w:adjustRightInd w:val="0"/>
        <w:snapToGrid w:val="0"/>
        <w:spacing w:line="360" w:lineRule="auto"/>
        <w:ind w:left="400" w:leftChars="200" w:firstLine="58" w:firstLineChars="28"/>
        <w:jc w:val="left"/>
        <w:rPr>
          <w:position w:val="6"/>
          <w:sz w:val="21"/>
          <w:szCs w:val="21"/>
          <w:highlight w:val="none"/>
        </w:rPr>
      </w:pPr>
      <w:r>
        <w:rPr>
          <w:rFonts w:hint="eastAsia"/>
          <w:position w:val="6"/>
          <w:sz w:val="21"/>
          <w:szCs w:val="21"/>
          <w:highlight w:val="none"/>
        </w:rPr>
        <w:t xml:space="preserve">2. </w:t>
      </w:r>
      <w:r>
        <w:rPr>
          <w:rFonts w:hint="eastAsia"/>
          <w:kern w:val="2"/>
          <w:position w:val="6"/>
          <w:sz w:val="21"/>
          <w:szCs w:val="21"/>
          <w:highlight w:val="none"/>
          <w:u w:val="single"/>
          <w:lang w:val="en-US" w:eastAsia="zh-CN"/>
        </w:rPr>
        <w:t xml:space="preserve">                 </w:t>
      </w:r>
      <w:r>
        <w:rPr>
          <w:rFonts w:hint="eastAsia"/>
          <w:position w:val="6"/>
          <w:sz w:val="21"/>
          <w:szCs w:val="21"/>
          <w:highlight w:val="none"/>
        </w:rPr>
        <w:t>工程，为</w:t>
      </w:r>
      <w:r>
        <w:rPr>
          <w:rFonts w:hint="eastAsia"/>
          <w:position w:val="6"/>
          <w:sz w:val="21"/>
          <w:szCs w:val="21"/>
          <w:highlight w:val="none"/>
          <w:u w:val="single"/>
        </w:rPr>
        <w:t xml:space="preserve">     </w:t>
      </w:r>
      <w:r>
        <w:rPr>
          <w:rFonts w:hint="eastAsia"/>
          <w:position w:val="6"/>
          <w:sz w:val="21"/>
          <w:szCs w:val="21"/>
          <w:highlight w:val="none"/>
        </w:rPr>
        <w:t>年；</w:t>
      </w:r>
    </w:p>
    <w:p>
      <w:pPr>
        <w:widowControl/>
        <w:adjustRightInd w:val="0"/>
        <w:snapToGrid w:val="0"/>
        <w:spacing w:line="360" w:lineRule="auto"/>
        <w:ind w:left="400" w:leftChars="200" w:firstLine="58" w:firstLineChars="28"/>
        <w:jc w:val="left"/>
        <w:rPr>
          <w:position w:val="6"/>
          <w:sz w:val="21"/>
          <w:szCs w:val="21"/>
          <w:highlight w:val="none"/>
        </w:rPr>
      </w:pPr>
      <w:r>
        <w:rPr>
          <w:rFonts w:hint="eastAsia"/>
          <w:position w:val="6"/>
          <w:sz w:val="21"/>
          <w:szCs w:val="21"/>
          <w:highlight w:val="none"/>
        </w:rPr>
        <w:t xml:space="preserve">3. </w:t>
      </w:r>
      <w:r>
        <w:rPr>
          <w:rFonts w:hint="eastAsia"/>
          <w:kern w:val="2"/>
          <w:position w:val="6"/>
          <w:sz w:val="21"/>
          <w:szCs w:val="21"/>
          <w:highlight w:val="none"/>
          <w:u w:val="single"/>
          <w:lang w:val="en-US" w:eastAsia="zh-CN"/>
        </w:rPr>
        <w:t xml:space="preserve">                 </w:t>
      </w:r>
      <w:r>
        <w:rPr>
          <w:rFonts w:hint="eastAsia"/>
          <w:position w:val="6"/>
          <w:sz w:val="21"/>
          <w:szCs w:val="21"/>
          <w:highlight w:val="none"/>
        </w:rPr>
        <w:t>工程，为</w:t>
      </w:r>
      <w:r>
        <w:rPr>
          <w:rFonts w:hint="eastAsia"/>
          <w:position w:val="6"/>
          <w:sz w:val="21"/>
          <w:szCs w:val="21"/>
          <w:highlight w:val="none"/>
          <w:u w:val="single"/>
        </w:rPr>
        <w:t xml:space="preserve">     </w:t>
      </w:r>
      <w:r>
        <w:rPr>
          <w:rFonts w:hint="eastAsia"/>
          <w:position w:val="6"/>
          <w:sz w:val="21"/>
          <w:szCs w:val="21"/>
          <w:highlight w:val="none"/>
        </w:rPr>
        <w:t>年；</w:t>
      </w:r>
    </w:p>
    <w:p>
      <w:pPr>
        <w:adjustRightInd w:val="0"/>
        <w:snapToGrid w:val="0"/>
        <w:spacing w:line="360" w:lineRule="auto"/>
        <w:ind w:left="342" w:leftChars="171" w:firstLine="105" w:firstLineChars="50"/>
        <w:rPr>
          <w:position w:val="6"/>
          <w:sz w:val="21"/>
          <w:szCs w:val="21"/>
          <w:highlight w:val="none"/>
        </w:rPr>
      </w:pPr>
      <w:r>
        <w:rPr>
          <w:rFonts w:hint="eastAsia"/>
          <w:position w:val="6"/>
          <w:sz w:val="21"/>
          <w:szCs w:val="21"/>
          <w:highlight w:val="none"/>
        </w:rPr>
        <w:t xml:space="preserve">4. </w:t>
      </w:r>
      <w:r>
        <w:rPr>
          <w:rFonts w:hint="eastAsia"/>
          <w:kern w:val="2"/>
          <w:position w:val="6"/>
          <w:sz w:val="21"/>
          <w:szCs w:val="21"/>
          <w:highlight w:val="none"/>
          <w:u w:val="single"/>
          <w:lang w:val="en-US" w:eastAsia="zh-CN"/>
        </w:rPr>
        <w:t xml:space="preserve">                 </w:t>
      </w:r>
      <w:r>
        <w:rPr>
          <w:rFonts w:hint="eastAsia"/>
          <w:position w:val="6"/>
          <w:sz w:val="21"/>
          <w:szCs w:val="21"/>
          <w:highlight w:val="none"/>
        </w:rPr>
        <w:t xml:space="preserve">工程，为 </w:t>
      </w:r>
      <w:r>
        <w:rPr>
          <w:rFonts w:hint="eastAsia"/>
          <w:position w:val="6"/>
          <w:sz w:val="21"/>
          <w:szCs w:val="21"/>
          <w:highlight w:val="none"/>
          <w:u w:val="single"/>
        </w:rPr>
        <w:t xml:space="preserve">     </w:t>
      </w:r>
      <w:r>
        <w:rPr>
          <w:rFonts w:hint="eastAsia"/>
          <w:position w:val="6"/>
          <w:sz w:val="21"/>
          <w:szCs w:val="21"/>
          <w:highlight w:val="none"/>
        </w:rPr>
        <w:t>年；</w:t>
      </w:r>
      <w:r>
        <w:rPr>
          <w:rFonts w:hint="eastAsia"/>
          <w:position w:val="6"/>
          <w:sz w:val="21"/>
          <w:szCs w:val="21"/>
          <w:highlight w:val="none"/>
        </w:rPr>
        <w:br w:type="textWrapping"/>
      </w:r>
      <w:r>
        <w:rPr>
          <w:rFonts w:hint="eastAsia"/>
          <w:position w:val="6"/>
          <w:sz w:val="21"/>
          <w:szCs w:val="21"/>
          <w:highlight w:val="none"/>
        </w:rPr>
        <w:t>质量保修期自工程竣工验收合格之日起计算。</w:t>
      </w:r>
    </w:p>
    <w:p>
      <w:pPr>
        <w:adjustRightInd w:val="0"/>
        <w:snapToGrid w:val="0"/>
        <w:spacing w:line="360" w:lineRule="auto"/>
        <w:ind w:firstLine="422" w:firstLineChars="200"/>
        <w:rPr>
          <w:b/>
          <w:kern w:val="2"/>
          <w:sz w:val="21"/>
          <w:szCs w:val="21"/>
          <w:highlight w:val="none"/>
        </w:rPr>
      </w:pPr>
      <w:r>
        <w:rPr>
          <w:rFonts w:hint="eastAsia"/>
          <w:b/>
          <w:kern w:val="2"/>
          <w:sz w:val="21"/>
          <w:szCs w:val="21"/>
          <w:highlight w:val="none"/>
        </w:rPr>
        <w:t>三、缺陷责任期</w:t>
      </w:r>
    </w:p>
    <w:p>
      <w:pPr>
        <w:adjustRightInd w:val="0"/>
        <w:snapToGrid w:val="0"/>
        <w:spacing w:line="360" w:lineRule="auto"/>
        <w:ind w:firstLine="420" w:firstLineChars="200"/>
        <w:rPr>
          <w:kern w:val="2"/>
          <w:sz w:val="21"/>
          <w:szCs w:val="21"/>
          <w:highlight w:val="none"/>
        </w:rPr>
      </w:pPr>
      <w:r>
        <w:rPr>
          <w:rFonts w:hint="eastAsia"/>
          <w:kern w:val="2"/>
          <w:sz w:val="21"/>
          <w:szCs w:val="21"/>
          <w:highlight w:val="none"/>
        </w:rPr>
        <w:t>工程缺陷责任期为</w:t>
      </w:r>
      <w:r>
        <w:rPr>
          <w:rFonts w:hint="eastAsia"/>
          <w:kern w:val="2"/>
          <w:sz w:val="21"/>
          <w:szCs w:val="21"/>
          <w:highlight w:val="none"/>
          <w:u w:val="single"/>
        </w:rPr>
        <w:t xml:space="preserve">     </w:t>
      </w:r>
      <w:r>
        <w:rPr>
          <w:rFonts w:hint="eastAsia"/>
          <w:kern w:val="2"/>
          <w:sz w:val="21"/>
          <w:szCs w:val="21"/>
          <w:highlight w:val="none"/>
        </w:rPr>
        <w:t>，缺陷责任期自工程竣工验收合格之日起计算。单位工程先于全部工程进行验收，单位工程缺陷责任期自单位工程验收合格之日起算。</w:t>
      </w:r>
    </w:p>
    <w:p>
      <w:pPr>
        <w:adjustRightInd w:val="0"/>
        <w:snapToGrid w:val="0"/>
        <w:spacing w:line="360" w:lineRule="auto"/>
        <w:ind w:firstLine="420" w:firstLineChars="200"/>
        <w:rPr>
          <w:kern w:val="2"/>
          <w:sz w:val="21"/>
          <w:szCs w:val="21"/>
          <w:highlight w:val="none"/>
        </w:rPr>
      </w:pPr>
      <w:r>
        <w:rPr>
          <w:rFonts w:hint="eastAsia"/>
          <w:kern w:val="2"/>
          <w:sz w:val="21"/>
          <w:szCs w:val="21"/>
          <w:highlight w:val="none"/>
        </w:rPr>
        <w:t>缺陷责任期终止后，发包人应退还剩余的质量保证金。</w:t>
      </w:r>
    </w:p>
    <w:p>
      <w:pPr>
        <w:widowControl/>
        <w:adjustRightInd w:val="0"/>
        <w:snapToGrid w:val="0"/>
        <w:spacing w:line="360" w:lineRule="auto"/>
        <w:ind w:firstLine="422" w:firstLineChars="200"/>
        <w:jc w:val="left"/>
        <w:rPr>
          <w:b/>
          <w:bCs/>
          <w:position w:val="6"/>
          <w:sz w:val="21"/>
          <w:szCs w:val="21"/>
          <w:highlight w:val="none"/>
        </w:rPr>
      </w:pPr>
      <w:r>
        <w:rPr>
          <w:rFonts w:hint="eastAsia"/>
          <w:b/>
          <w:kern w:val="2"/>
          <w:sz w:val="21"/>
          <w:szCs w:val="21"/>
          <w:highlight w:val="none"/>
        </w:rPr>
        <w:t>四、质量保修责任</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1. 属于保修范围、内容的项目，承包人应当在接到保修通知之日起7天内派人保修。承包人不在约定期限内派人保修的，发包人可以委托他人修理。</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2. 发生紧急抢修事故的，承包人在接到事故通知后，应当立即到达事故现场抢修。</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4. 质量保修完成后，由发包人组织验收。</w:t>
      </w:r>
    </w:p>
    <w:p>
      <w:pPr>
        <w:widowControl/>
        <w:adjustRightInd w:val="0"/>
        <w:snapToGrid w:val="0"/>
        <w:spacing w:line="360" w:lineRule="auto"/>
        <w:ind w:firstLine="422" w:firstLineChars="200"/>
        <w:jc w:val="left"/>
        <w:rPr>
          <w:b/>
          <w:bCs/>
          <w:position w:val="6"/>
          <w:sz w:val="21"/>
          <w:szCs w:val="21"/>
          <w:highlight w:val="none"/>
        </w:rPr>
      </w:pPr>
      <w:r>
        <w:rPr>
          <w:rFonts w:hint="eastAsia"/>
          <w:b/>
          <w:bCs/>
          <w:position w:val="6"/>
          <w:sz w:val="21"/>
          <w:szCs w:val="21"/>
          <w:highlight w:val="none"/>
        </w:rPr>
        <w:t>五、保修费用</w:t>
      </w:r>
    </w:p>
    <w:p>
      <w:pPr>
        <w:widowControl/>
        <w:adjustRightInd w:val="0"/>
        <w:snapToGrid w:val="0"/>
        <w:spacing w:line="360" w:lineRule="auto"/>
        <w:ind w:firstLine="420" w:firstLineChars="200"/>
        <w:jc w:val="left"/>
        <w:rPr>
          <w:position w:val="6"/>
          <w:sz w:val="21"/>
          <w:szCs w:val="21"/>
          <w:highlight w:val="none"/>
        </w:rPr>
      </w:pPr>
      <w:r>
        <w:rPr>
          <w:rFonts w:hint="eastAsia"/>
          <w:position w:val="6"/>
          <w:sz w:val="21"/>
          <w:szCs w:val="21"/>
          <w:highlight w:val="none"/>
        </w:rPr>
        <w:t>保修费用由造成质量缺陷的责任方承担。</w:t>
      </w:r>
    </w:p>
    <w:p>
      <w:pPr>
        <w:widowControl/>
        <w:adjustRightInd w:val="0"/>
        <w:snapToGrid w:val="0"/>
        <w:spacing w:line="360" w:lineRule="auto"/>
        <w:ind w:firstLine="422" w:firstLineChars="200"/>
        <w:jc w:val="left"/>
        <w:rPr>
          <w:b/>
          <w:kern w:val="2"/>
          <w:sz w:val="21"/>
          <w:szCs w:val="21"/>
          <w:highlight w:val="none"/>
        </w:rPr>
      </w:pPr>
      <w:r>
        <w:rPr>
          <w:rFonts w:hint="eastAsia"/>
          <w:b/>
          <w:bCs/>
          <w:position w:val="6"/>
          <w:sz w:val="21"/>
          <w:szCs w:val="21"/>
          <w:highlight w:val="none"/>
        </w:rPr>
        <w:t>六、双方约定的其他工程质量保修事项：</w:t>
      </w:r>
      <w:r>
        <w:rPr>
          <w:rFonts w:hint="eastAsia"/>
          <w:b/>
          <w:bCs/>
          <w:position w:val="6"/>
          <w:sz w:val="21"/>
          <w:szCs w:val="21"/>
          <w:highlight w:val="none"/>
          <w:u w:val="single"/>
        </w:rPr>
        <w:t xml:space="preserve">             </w:t>
      </w:r>
      <w:r>
        <w:rPr>
          <w:rFonts w:hint="eastAsia"/>
          <w:b/>
          <w:bCs/>
          <w:position w:val="6"/>
          <w:sz w:val="21"/>
          <w:szCs w:val="21"/>
          <w:highlight w:val="none"/>
        </w:rPr>
        <w:t>。</w:t>
      </w:r>
    </w:p>
    <w:p>
      <w:pPr>
        <w:widowControl/>
        <w:adjustRightInd w:val="0"/>
        <w:snapToGrid w:val="0"/>
        <w:spacing w:line="360" w:lineRule="auto"/>
        <w:ind w:firstLine="420" w:firstLineChars="200"/>
        <w:jc w:val="left"/>
        <w:rPr>
          <w:bCs/>
          <w:sz w:val="21"/>
          <w:szCs w:val="21"/>
          <w:highlight w:val="none"/>
        </w:rPr>
      </w:pPr>
      <w:r>
        <w:rPr>
          <w:rFonts w:hint="eastAsia"/>
          <w:bCs/>
          <w:position w:val="6"/>
          <w:sz w:val="21"/>
          <w:szCs w:val="21"/>
          <w:highlight w:val="none"/>
        </w:rPr>
        <w:t>本工程质量保修书，由施工合同发包人、承包人双方在竣工验收前共同签署，作为施工合同附件，其有效期限至保修期满。</w:t>
      </w:r>
    </w:p>
    <w:p>
      <w:pPr>
        <w:adjustRightInd w:val="0"/>
        <w:snapToGrid w:val="0"/>
        <w:spacing w:line="360" w:lineRule="auto"/>
        <w:ind w:firstLine="420"/>
        <w:jc w:val="center"/>
        <w:rPr>
          <w:kern w:val="2"/>
          <w:sz w:val="21"/>
          <w:szCs w:val="21"/>
          <w:highlight w:val="none"/>
        </w:rPr>
      </w:pPr>
    </w:p>
    <w:p>
      <w:pPr>
        <w:adjustRightInd w:val="0"/>
        <w:snapToGrid w:val="0"/>
        <w:spacing w:line="360" w:lineRule="auto"/>
        <w:rPr>
          <w:kern w:val="2"/>
          <w:sz w:val="21"/>
          <w:szCs w:val="21"/>
          <w:highlight w:val="none"/>
          <w:u w:val="single"/>
        </w:rPr>
      </w:pPr>
      <w:r>
        <w:rPr>
          <w:rFonts w:hint="eastAsia"/>
          <w:kern w:val="2"/>
          <w:sz w:val="21"/>
          <w:szCs w:val="21"/>
          <w:highlight w:val="none"/>
        </w:rPr>
        <w:t>发包人</w:t>
      </w:r>
      <w:r>
        <w:rPr>
          <w:rFonts w:hint="eastAsia"/>
          <w:kern w:val="2"/>
          <w:sz w:val="21"/>
          <w:szCs w:val="21"/>
          <w:highlight w:val="none"/>
          <w:lang w:eastAsia="zh-CN"/>
        </w:rPr>
        <w:t>（</w:t>
      </w:r>
      <w:r>
        <w:rPr>
          <w:rFonts w:hint="eastAsia"/>
          <w:kern w:val="2"/>
          <w:sz w:val="21"/>
          <w:szCs w:val="21"/>
          <w:highlight w:val="none"/>
        </w:rPr>
        <w:t>公章</w:t>
      </w:r>
      <w:r>
        <w:rPr>
          <w:rFonts w:hint="eastAsia"/>
          <w:kern w:val="2"/>
          <w:sz w:val="21"/>
          <w:szCs w:val="21"/>
          <w:highlight w:val="none"/>
          <w:lang w:eastAsia="zh-CN"/>
        </w:rPr>
        <w:t>）</w:t>
      </w:r>
      <w:r>
        <w:rPr>
          <w:rFonts w:hint="eastAsia"/>
          <w:kern w:val="2"/>
          <w:sz w:val="21"/>
          <w:szCs w:val="21"/>
          <w:highlight w:val="non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承包人</w:t>
      </w:r>
      <w:r>
        <w:rPr>
          <w:rFonts w:hint="eastAsia"/>
          <w:kern w:val="2"/>
          <w:sz w:val="21"/>
          <w:szCs w:val="21"/>
          <w:highlight w:val="none"/>
          <w:lang w:eastAsia="zh-CN"/>
        </w:rPr>
        <w:t>（</w:t>
      </w:r>
      <w:r>
        <w:rPr>
          <w:rFonts w:hint="eastAsia"/>
          <w:kern w:val="2"/>
          <w:sz w:val="21"/>
          <w:szCs w:val="21"/>
          <w:highlight w:val="none"/>
        </w:rPr>
        <w:t>公章</w:t>
      </w:r>
      <w:r>
        <w:rPr>
          <w:rFonts w:hint="eastAsia"/>
          <w:kern w:val="2"/>
          <w:sz w:val="21"/>
          <w:szCs w:val="21"/>
          <w:highlight w:val="none"/>
          <w:lang w:eastAsia="zh-CN"/>
        </w:rPr>
        <w:t>）</w:t>
      </w:r>
      <w:r>
        <w:rPr>
          <w:rFonts w:hint="eastAsia"/>
          <w:kern w:val="2"/>
          <w:sz w:val="21"/>
          <w:szCs w:val="21"/>
          <w:highlight w:val="none"/>
        </w:rPr>
        <w:t>：</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p>
    <w:p>
      <w:pPr>
        <w:adjustRightInd w:val="0"/>
        <w:snapToGrid w:val="0"/>
        <w:spacing w:line="360" w:lineRule="auto"/>
        <w:rPr>
          <w:rFonts w:hint="eastAsia" w:eastAsia="宋体"/>
          <w:kern w:val="2"/>
          <w:sz w:val="21"/>
          <w:szCs w:val="21"/>
          <w:highlight w:val="none"/>
          <w:u w:val="single"/>
          <w:lang w:val="en-US" w:eastAsia="zh-CN"/>
        </w:rPr>
      </w:pPr>
      <w:r>
        <w:rPr>
          <w:rFonts w:hint="eastAsia"/>
          <w:kern w:val="2"/>
          <w:sz w:val="21"/>
          <w:szCs w:val="21"/>
          <w:highlight w:val="none"/>
        </w:rPr>
        <w:t>地  址：</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地  址：</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u w:val="single"/>
          <w:lang w:val="en-US" w:eastAsia="zh-CN"/>
        </w:rPr>
        <w:t xml:space="preserve"> </w:t>
      </w:r>
    </w:p>
    <w:p>
      <w:pPr>
        <w:adjustRightInd w:val="0"/>
        <w:snapToGrid w:val="0"/>
        <w:spacing w:line="360" w:lineRule="auto"/>
        <w:rPr>
          <w:kern w:val="2"/>
          <w:sz w:val="21"/>
          <w:szCs w:val="21"/>
          <w:highlight w:val="none"/>
          <w:u w:val="single"/>
        </w:rPr>
      </w:pPr>
      <w:r>
        <w:rPr>
          <w:rFonts w:hint="eastAsia"/>
          <w:kern w:val="2"/>
          <w:sz w:val="21"/>
          <w:szCs w:val="21"/>
          <w:highlight w:val="none"/>
        </w:rPr>
        <w:t>法定代表人</w:t>
      </w:r>
      <w:r>
        <w:rPr>
          <w:rFonts w:hint="eastAsia"/>
          <w:kern w:val="2"/>
          <w:sz w:val="21"/>
          <w:szCs w:val="21"/>
          <w:highlight w:val="none"/>
          <w:lang w:eastAsia="zh-CN"/>
        </w:rPr>
        <w:t>（</w:t>
      </w:r>
      <w:r>
        <w:rPr>
          <w:rFonts w:hint="eastAsia"/>
          <w:kern w:val="2"/>
          <w:sz w:val="21"/>
          <w:szCs w:val="21"/>
          <w:highlight w:val="none"/>
        </w:rPr>
        <w:t>签字</w:t>
      </w:r>
      <w:r>
        <w:rPr>
          <w:rFonts w:hint="eastAsia"/>
          <w:kern w:val="2"/>
          <w:sz w:val="21"/>
          <w:szCs w:val="21"/>
          <w:highlight w:val="none"/>
          <w:lang w:eastAsia="zh-CN"/>
        </w:rPr>
        <w:t>）</w:t>
      </w:r>
      <w:r>
        <w:rPr>
          <w:rFonts w:hint="eastAsia"/>
          <w:kern w:val="2"/>
          <w:sz w:val="21"/>
          <w:szCs w:val="21"/>
          <w:highlight w:val="none"/>
        </w:rPr>
        <w:t>：</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法定代表人</w:t>
      </w:r>
      <w:r>
        <w:rPr>
          <w:rFonts w:hint="eastAsia"/>
          <w:kern w:val="2"/>
          <w:sz w:val="21"/>
          <w:szCs w:val="21"/>
          <w:highlight w:val="none"/>
          <w:lang w:eastAsia="zh-CN"/>
        </w:rPr>
        <w:t>（</w:t>
      </w:r>
      <w:r>
        <w:rPr>
          <w:rFonts w:hint="eastAsia"/>
          <w:kern w:val="2"/>
          <w:sz w:val="21"/>
          <w:szCs w:val="21"/>
          <w:highlight w:val="none"/>
        </w:rPr>
        <w:t>签字</w:t>
      </w:r>
      <w:r>
        <w:rPr>
          <w:rFonts w:hint="eastAsia"/>
          <w:kern w:val="2"/>
          <w:sz w:val="21"/>
          <w:szCs w:val="21"/>
          <w:highlight w:val="none"/>
          <w:lang w:eastAsia="zh-CN"/>
        </w:rPr>
        <w:t>）</w:t>
      </w:r>
      <w:r>
        <w:rPr>
          <w:rFonts w:hint="eastAsia"/>
          <w:kern w:val="2"/>
          <w:sz w:val="21"/>
          <w:szCs w:val="21"/>
          <w:highlight w:val="none"/>
        </w:rPr>
        <w:t>：</w:t>
      </w:r>
      <w:r>
        <w:rPr>
          <w:rFonts w:hint="eastAsia" w:cs="宋体"/>
          <w:kern w:val="2"/>
          <w:sz w:val="21"/>
          <w:szCs w:val="21"/>
          <w:highlight w:val="none"/>
          <w:u w:val="single"/>
        </w:rPr>
        <w:t></w:t>
      </w:r>
      <w:r>
        <w:rPr>
          <w:rFonts w:hint="eastAsia"/>
          <w:kern w:val="2"/>
          <w:sz w:val="21"/>
          <w:szCs w:val="21"/>
          <w:highlight w:val="none"/>
          <w:u w:val="single"/>
        </w:rPr>
        <w:t xml:space="preserve">       </w:t>
      </w:r>
    </w:p>
    <w:p>
      <w:pPr>
        <w:adjustRightInd w:val="0"/>
        <w:snapToGrid w:val="0"/>
        <w:spacing w:line="360" w:lineRule="auto"/>
        <w:rPr>
          <w:kern w:val="2"/>
          <w:sz w:val="21"/>
          <w:szCs w:val="21"/>
          <w:highlight w:val="none"/>
          <w:u w:val="single"/>
        </w:rPr>
      </w:pPr>
      <w:r>
        <w:rPr>
          <w:rFonts w:hint="eastAsia"/>
          <w:kern w:val="2"/>
          <w:sz w:val="21"/>
          <w:szCs w:val="21"/>
          <w:highlight w:val="none"/>
        </w:rPr>
        <w:t>委托代理人</w:t>
      </w:r>
      <w:r>
        <w:rPr>
          <w:rFonts w:hint="eastAsia"/>
          <w:kern w:val="2"/>
          <w:sz w:val="21"/>
          <w:szCs w:val="21"/>
          <w:highlight w:val="none"/>
          <w:lang w:eastAsia="zh-CN"/>
        </w:rPr>
        <w:t>（</w:t>
      </w:r>
      <w:r>
        <w:rPr>
          <w:rFonts w:hint="eastAsia"/>
          <w:kern w:val="2"/>
          <w:sz w:val="21"/>
          <w:szCs w:val="21"/>
          <w:highlight w:val="none"/>
        </w:rPr>
        <w:t>签字</w:t>
      </w:r>
      <w:r>
        <w:rPr>
          <w:rFonts w:hint="eastAsia"/>
          <w:kern w:val="2"/>
          <w:sz w:val="21"/>
          <w:szCs w:val="21"/>
          <w:highlight w:val="none"/>
          <w:lang w:eastAsia="zh-CN"/>
        </w:rPr>
        <w:t>）</w:t>
      </w:r>
      <w:r>
        <w:rPr>
          <w:rFonts w:hint="eastAsia"/>
          <w:kern w:val="2"/>
          <w:sz w:val="21"/>
          <w:szCs w:val="21"/>
          <w:highlight w:val="none"/>
        </w:rPr>
        <w:t>：</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委托代理人</w:t>
      </w:r>
      <w:r>
        <w:rPr>
          <w:rFonts w:hint="eastAsia"/>
          <w:kern w:val="2"/>
          <w:sz w:val="21"/>
          <w:szCs w:val="21"/>
          <w:highlight w:val="none"/>
          <w:lang w:eastAsia="zh-CN"/>
        </w:rPr>
        <w:t>（</w:t>
      </w:r>
      <w:r>
        <w:rPr>
          <w:rFonts w:hint="eastAsia"/>
          <w:kern w:val="2"/>
          <w:sz w:val="21"/>
          <w:szCs w:val="21"/>
          <w:highlight w:val="none"/>
        </w:rPr>
        <w:t>签字</w:t>
      </w:r>
      <w:r>
        <w:rPr>
          <w:rFonts w:hint="eastAsia"/>
          <w:kern w:val="2"/>
          <w:sz w:val="21"/>
          <w:szCs w:val="21"/>
          <w:highlight w:val="none"/>
          <w:lang w:eastAsia="zh-CN"/>
        </w:rPr>
        <w:t>）</w:t>
      </w:r>
      <w:r>
        <w:rPr>
          <w:rFonts w:hint="eastAsia"/>
          <w:kern w:val="2"/>
          <w:sz w:val="21"/>
          <w:szCs w:val="21"/>
          <w:highlight w:val="none"/>
        </w:rPr>
        <w:t>：</w:t>
      </w:r>
      <w:r>
        <w:rPr>
          <w:rFonts w:hint="eastAsia" w:cs="宋体"/>
          <w:kern w:val="2"/>
          <w:sz w:val="21"/>
          <w:szCs w:val="21"/>
          <w:highlight w:val="none"/>
          <w:u w:val="single"/>
        </w:rPr>
        <w:t></w:t>
      </w:r>
      <w:r>
        <w:rPr>
          <w:rFonts w:hint="eastAsia"/>
          <w:kern w:val="2"/>
          <w:sz w:val="21"/>
          <w:szCs w:val="21"/>
          <w:highlight w:val="none"/>
          <w:u w:val="single"/>
        </w:rPr>
        <w:t xml:space="preserve">       </w:t>
      </w:r>
    </w:p>
    <w:p>
      <w:pPr>
        <w:adjustRightInd w:val="0"/>
        <w:snapToGrid w:val="0"/>
        <w:spacing w:line="360" w:lineRule="auto"/>
        <w:rPr>
          <w:rFonts w:hint="eastAsia" w:eastAsia="宋体"/>
          <w:kern w:val="2"/>
          <w:sz w:val="21"/>
          <w:szCs w:val="21"/>
          <w:highlight w:val="none"/>
          <w:lang w:val="en-US" w:eastAsia="zh-CN"/>
        </w:rPr>
      </w:pPr>
      <w:r>
        <w:rPr>
          <w:rFonts w:hint="eastAsia"/>
          <w:kern w:val="2"/>
          <w:sz w:val="21"/>
          <w:szCs w:val="21"/>
          <w:highlight w:val="none"/>
        </w:rPr>
        <w:t>电  话：</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电  话：</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u w:val="single"/>
          <w:lang w:val="en-US" w:eastAsia="zh-CN"/>
        </w:rPr>
        <w:t xml:space="preserve"> </w:t>
      </w:r>
    </w:p>
    <w:p>
      <w:pPr>
        <w:adjustRightInd w:val="0"/>
        <w:snapToGrid w:val="0"/>
        <w:spacing w:line="360" w:lineRule="auto"/>
        <w:rPr>
          <w:kern w:val="2"/>
          <w:sz w:val="21"/>
          <w:szCs w:val="21"/>
          <w:highlight w:val="none"/>
        </w:rPr>
      </w:pPr>
      <w:r>
        <w:rPr>
          <w:rFonts w:hint="eastAsia"/>
          <w:kern w:val="2"/>
          <w:sz w:val="21"/>
          <w:szCs w:val="21"/>
          <w:highlight w:val="none"/>
        </w:rPr>
        <w:t>传  真：</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传  真：</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u w:val="single"/>
          <w:lang w:val="en-US" w:eastAsia="zh-CN"/>
        </w:rPr>
        <w:t xml:space="preserve"> </w:t>
      </w:r>
      <w:r>
        <w:rPr>
          <w:rFonts w:hint="eastAsia"/>
          <w:kern w:val="2"/>
          <w:sz w:val="21"/>
          <w:szCs w:val="21"/>
          <w:highlight w:val="none"/>
          <w:u w:val="single"/>
        </w:rPr>
        <w:t xml:space="preserve">  </w:t>
      </w:r>
    </w:p>
    <w:p>
      <w:pPr>
        <w:adjustRightInd w:val="0"/>
        <w:snapToGrid w:val="0"/>
        <w:spacing w:line="360" w:lineRule="auto"/>
        <w:rPr>
          <w:kern w:val="2"/>
          <w:sz w:val="21"/>
          <w:szCs w:val="21"/>
          <w:highlight w:val="none"/>
        </w:rPr>
      </w:pPr>
      <w:r>
        <w:rPr>
          <w:rFonts w:hint="eastAsia"/>
          <w:kern w:val="2"/>
          <w:sz w:val="21"/>
          <w:szCs w:val="21"/>
          <w:highlight w:val="none"/>
        </w:rPr>
        <w:t>开户银行：</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开户银行：</w:t>
      </w:r>
      <w:r>
        <w:rPr>
          <w:rFonts w:hint="eastAsia" w:cs="宋体"/>
          <w:kern w:val="2"/>
          <w:sz w:val="21"/>
          <w:szCs w:val="21"/>
          <w:highlight w:val="none"/>
          <w:u w:val="single"/>
        </w:rPr>
        <w:t></w:t>
      </w:r>
      <w:r>
        <w:rPr>
          <w:rFonts w:hint="eastAsia" w:cs="宋体"/>
          <w:kern w:val="2"/>
          <w:sz w:val="21"/>
          <w:szCs w:val="21"/>
          <w:highlight w:val="none"/>
          <w:u w:val="single"/>
          <w:lang w:val="en-US" w:eastAsia="zh-CN"/>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p>
    <w:p>
      <w:pPr>
        <w:adjustRightInd w:val="0"/>
        <w:snapToGrid w:val="0"/>
        <w:spacing w:line="360" w:lineRule="auto"/>
        <w:rPr>
          <w:kern w:val="2"/>
          <w:sz w:val="21"/>
          <w:szCs w:val="21"/>
          <w:highlight w:val="none"/>
        </w:rPr>
      </w:pPr>
      <w:r>
        <w:rPr>
          <w:rFonts w:hint="eastAsia"/>
          <w:kern w:val="2"/>
          <w:sz w:val="21"/>
          <w:szCs w:val="21"/>
          <w:highlight w:val="none"/>
        </w:rPr>
        <w:t>账  号：</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账  号：</w:t>
      </w:r>
      <w:r>
        <w:rPr>
          <w:rFonts w:hint="eastAsia" w:cs="宋体"/>
          <w:kern w:val="2"/>
          <w:sz w:val="21"/>
          <w:szCs w:val="21"/>
          <w:highlight w:val="none"/>
          <w:u w:val="single"/>
        </w:rPr>
        <w:t></w:t>
      </w:r>
      <w:r>
        <w:rPr>
          <w:rFonts w:hint="eastAsia" w:cs="宋体"/>
          <w:kern w:val="2"/>
          <w:sz w:val="21"/>
          <w:szCs w:val="21"/>
          <w:highlight w:val="none"/>
          <w:u w:val="single"/>
          <w:lang w:val="en-US" w:eastAsia="zh-CN"/>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p>
    <w:p>
      <w:pPr>
        <w:adjustRightInd w:val="0"/>
        <w:snapToGrid w:val="0"/>
        <w:spacing w:line="360" w:lineRule="auto"/>
        <w:rPr>
          <w:kern w:val="2"/>
          <w:sz w:val="21"/>
          <w:szCs w:val="21"/>
          <w:highlight w:val="none"/>
        </w:rPr>
      </w:pPr>
      <w:r>
        <w:rPr>
          <w:rFonts w:hint="eastAsia"/>
          <w:kern w:val="2"/>
          <w:sz w:val="21"/>
          <w:szCs w:val="21"/>
          <w:highlight w:val="none"/>
        </w:rPr>
        <w:t>邮政编码：</w:t>
      </w:r>
      <w:r>
        <w:rPr>
          <w:rFonts w:hint="eastAsia"/>
          <w:kern w:val="2"/>
          <w:sz w:val="21"/>
          <w:szCs w:val="21"/>
          <w:highlight w:val="none"/>
          <w:u w:val="single"/>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r>
        <w:rPr>
          <w:rFonts w:hint="eastAsia"/>
          <w:kern w:val="2"/>
          <w:sz w:val="21"/>
          <w:szCs w:val="21"/>
          <w:highlight w:val="none"/>
        </w:rPr>
        <w:t xml:space="preserve">                    邮政编码：</w:t>
      </w:r>
      <w:r>
        <w:rPr>
          <w:rFonts w:hint="eastAsia" w:cs="宋体"/>
          <w:kern w:val="2"/>
          <w:sz w:val="21"/>
          <w:szCs w:val="21"/>
          <w:highlight w:val="none"/>
          <w:u w:val="single"/>
        </w:rPr>
        <w:t></w:t>
      </w:r>
      <w:r>
        <w:rPr>
          <w:rFonts w:hint="eastAsia" w:cs="宋体"/>
          <w:kern w:val="2"/>
          <w:sz w:val="21"/>
          <w:szCs w:val="21"/>
          <w:highlight w:val="none"/>
          <w:u w:val="single"/>
          <w:lang w:val="en-US" w:eastAsia="zh-CN"/>
        </w:rPr>
        <w:t xml:space="preserve"> </w:t>
      </w:r>
      <w:r>
        <w:rPr>
          <w:rFonts w:hint="eastAsia" w:cs="宋体"/>
          <w:kern w:val="2"/>
          <w:sz w:val="21"/>
          <w:szCs w:val="21"/>
          <w:highlight w:val="none"/>
          <w:u w:val="single"/>
        </w:rPr>
        <w:t></w:t>
      </w:r>
      <w:r>
        <w:rPr>
          <w:rFonts w:hint="eastAsia"/>
          <w:kern w:val="2"/>
          <w:sz w:val="21"/>
          <w:szCs w:val="21"/>
          <w:highlight w:val="none"/>
          <w:u w:val="single"/>
        </w:rPr>
        <w:t xml:space="preserve">   </w:t>
      </w:r>
    </w:p>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
          <w:bCs/>
          <w:kern w:val="2"/>
          <w:sz w:val="24"/>
          <w:szCs w:val="24"/>
          <w:highlight w:val="none"/>
        </w:rPr>
        <w:br w:type="page"/>
      </w:r>
      <w:r>
        <w:rPr>
          <w:rFonts w:hint="eastAsia" w:ascii="黑体" w:hAnsi="黑体" w:eastAsia="黑体"/>
          <w:bCs/>
          <w:kern w:val="2"/>
          <w:sz w:val="24"/>
          <w:szCs w:val="24"/>
          <w:highlight w:val="none"/>
        </w:rPr>
        <w:t>附件</w:t>
      </w:r>
      <w:r>
        <w:rPr>
          <w:rFonts w:ascii="黑体" w:hAnsi="黑体" w:eastAsia="黑体"/>
          <w:bCs/>
          <w:kern w:val="2"/>
          <w:sz w:val="24"/>
          <w:szCs w:val="24"/>
          <w:highlight w:val="none"/>
        </w:rPr>
        <w:t>4</w:t>
      </w:r>
      <w:r>
        <w:rPr>
          <w:rFonts w:hint="eastAsia" w:ascii="黑体" w:hAnsi="黑体" w:eastAsia="黑体"/>
          <w:bCs/>
          <w:kern w:val="2"/>
          <w:sz w:val="24"/>
          <w:szCs w:val="24"/>
          <w:highlight w:val="none"/>
        </w:rPr>
        <w:t>：主要建设工程文件目录</w:t>
      </w:r>
    </w:p>
    <w:p>
      <w:pPr>
        <w:spacing w:before="156" w:beforeLines="50" w:after="156" w:afterLines="50"/>
        <w:jc w:val="center"/>
        <w:rPr>
          <w:kern w:val="2"/>
          <w:sz w:val="21"/>
          <w:szCs w:val="21"/>
          <w:highlight w:val="none"/>
        </w:rPr>
      </w:pPr>
      <w:r>
        <w:rPr>
          <w:rFonts w:hint="eastAsia"/>
          <w:kern w:val="2"/>
          <w:sz w:val="21"/>
          <w:szCs w:val="21"/>
          <w:highlight w:val="none"/>
        </w:rPr>
        <w:t>主要建设工程文件目录</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1"/>
        <w:gridCol w:w="1151"/>
        <w:gridCol w:w="1341"/>
        <w:gridCol w:w="1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vAlign w:val="center"/>
          </w:tcPr>
          <w:p>
            <w:pPr>
              <w:keepNext/>
              <w:jc w:val="center"/>
              <w:rPr>
                <w:kern w:val="2"/>
                <w:sz w:val="22"/>
                <w:szCs w:val="22"/>
                <w:highlight w:val="none"/>
              </w:rPr>
            </w:pPr>
            <w:r>
              <w:rPr>
                <w:rFonts w:hint="eastAsia"/>
                <w:kern w:val="2"/>
                <w:sz w:val="22"/>
                <w:szCs w:val="22"/>
                <w:highlight w:val="none"/>
              </w:rPr>
              <w:t>文件名称</w:t>
            </w:r>
          </w:p>
        </w:tc>
        <w:tc>
          <w:tcPr>
            <w:tcW w:w="706" w:type="pct"/>
            <w:tcBorders>
              <w:top w:val="single" w:color="auto" w:sz="12" w:space="0"/>
              <w:bottom w:val="double" w:color="auto" w:sz="6" w:space="0"/>
            </w:tcBorders>
            <w:vAlign w:val="center"/>
          </w:tcPr>
          <w:p>
            <w:pPr>
              <w:keepNext/>
              <w:jc w:val="center"/>
              <w:rPr>
                <w:kern w:val="2"/>
                <w:sz w:val="22"/>
                <w:szCs w:val="22"/>
                <w:highlight w:val="none"/>
              </w:rPr>
            </w:pPr>
            <w:r>
              <w:rPr>
                <w:rFonts w:hint="eastAsia"/>
                <w:kern w:val="2"/>
                <w:sz w:val="22"/>
                <w:szCs w:val="22"/>
                <w:highlight w:val="none"/>
              </w:rPr>
              <w:t>套数</w:t>
            </w:r>
          </w:p>
        </w:tc>
        <w:tc>
          <w:tcPr>
            <w:tcW w:w="802" w:type="pct"/>
            <w:tcBorders>
              <w:top w:val="single" w:color="auto" w:sz="12" w:space="0"/>
              <w:bottom w:val="double" w:color="auto" w:sz="6" w:space="0"/>
            </w:tcBorders>
            <w:vAlign w:val="center"/>
          </w:tcPr>
          <w:p>
            <w:pPr>
              <w:keepNext/>
              <w:jc w:val="center"/>
              <w:rPr>
                <w:kern w:val="2"/>
                <w:sz w:val="22"/>
                <w:szCs w:val="22"/>
                <w:highlight w:val="none"/>
              </w:rPr>
            </w:pPr>
            <w:r>
              <w:rPr>
                <w:rFonts w:hint="eastAsia"/>
                <w:kern w:val="2"/>
                <w:sz w:val="22"/>
                <w:szCs w:val="22"/>
                <w:highlight w:val="none"/>
              </w:rPr>
              <w:t>费用（元）</w:t>
            </w:r>
          </w:p>
        </w:tc>
        <w:tc>
          <w:tcPr>
            <w:tcW w:w="688" w:type="pct"/>
            <w:tcBorders>
              <w:top w:val="single" w:color="auto" w:sz="12" w:space="0"/>
              <w:bottom w:val="double" w:color="auto" w:sz="6" w:space="0"/>
            </w:tcBorders>
            <w:vAlign w:val="center"/>
          </w:tcPr>
          <w:p>
            <w:pPr>
              <w:keepNext/>
              <w:jc w:val="center"/>
              <w:rPr>
                <w:kern w:val="2"/>
                <w:sz w:val="22"/>
                <w:szCs w:val="22"/>
                <w:highlight w:val="none"/>
              </w:rPr>
            </w:pPr>
            <w:r>
              <w:rPr>
                <w:rFonts w:hint="eastAsia"/>
                <w:kern w:val="2"/>
                <w:sz w:val="22"/>
                <w:szCs w:val="22"/>
                <w:highlight w:val="none"/>
              </w:rPr>
              <w:t>质量</w:t>
            </w:r>
          </w:p>
        </w:tc>
        <w:tc>
          <w:tcPr>
            <w:tcW w:w="802" w:type="pct"/>
            <w:tcBorders>
              <w:top w:val="single" w:color="auto" w:sz="12" w:space="0"/>
              <w:bottom w:val="double" w:color="auto" w:sz="6" w:space="0"/>
            </w:tcBorders>
          </w:tcPr>
          <w:p>
            <w:pPr>
              <w:jc w:val="center"/>
              <w:rPr>
                <w:kern w:val="2"/>
                <w:sz w:val="22"/>
                <w:szCs w:val="22"/>
                <w:highlight w:val="none"/>
              </w:rPr>
            </w:pPr>
            <w:r>
              <w:rPr>
                <w:rFonts w:hint="eastAsia"/>
                <w:kern w:val="2"/>
                <w:sz w:val="22"/>
                <w:szCs w:val="22"/>
                <w:highlight w:val="none"/>
              </w:rPr>
              <w:t>移交时间</w:t>
            </w:r>
          </w:p>
        </w:tc>
        <w:tc>
          <w:tcPr>
            <w:tcW w:w="922" w:type="pct"/>
            <w:tcBorders>
              <w:top w:val="single" w:color="auto" w:sz="12" w:space="0"/>
              <w:bottom w:val="double" w:color="auto" w:sz="6" w:space="0"/>
            </w:tcBorders>
          </w:tcPr>
          <w:p>
            <w:pPr>
              <w:jc w:val="center"/>
              <w:rPr>
                <w:kern w:val="2"/>
                <w:sz w:val="22"/>
                <w:szCs w:val="22"/>
                <w:highlight w:val="none"/>
              </w:rPr>
            </w:pPr>
            <w:r>
              <w:rPr>
                <w:rFonts w:hint="eastAsia"/>
                <w:kern w:val="2"/>
                <w:sz w:val="22"/>
                <w:szCs w:val="22"/>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pPr>
              <w:keepNext/>
              <w:jc w:val="center"/>
              <w:rPr>
                <w:kern w:val="2"/>
                <w:sz w:val="21"/>
                <w:szCs w:val="21"/>
                <w:highlight w:val="none"/>
              </w:rPr>
            </w:pPr>
          </w:p>
        </w:tc>
        <w:tc>
          <w:tcPr>
            <w:tcW w:w="706" w:type="pct"/>
            <w:tcBorders>
              <w:top w:val="double" w:color="auto" w:sz="6" w:space="0"/>
            </w:tcBorders>
            <w:vAlign w:val="center"/>
          </w:tcPr>
          <w:p>
            <w:pPr>
              <w:keepNext/>
              <w:jc w:val="center"/>
              <w:rPr>
                <w:kern w:val="2"/>
                <w:sz w:val="21"/>
                <w:szCs w:val="21"/>
                <w:highlight w:val="none"/>
              </w:rPr>
            </w:pPr>
          </w:p>
        </w:tc>
        <w:tc>
          <w:tcPr>
            <w:tcW w:w="802" w:type="pct"/>
            <w:tcBorders>
              <w:top w:val="double" w:color="auto" w:sz="6" w:space="0"/>
            </w:tcBorders>
            <w:vAlign w:val="center"/>
          </w:tcPr>
          <w:p>
            <w:pPr>
              <w:keepNext/>
              <w:jc w:val="center"/>
              <w:rPr>
                <w:kern w:val="2"/>
                <w:sz w:val="21"/>
                <w:szCs w:val="21"/>
                <w:highlight w:val="none"/>
              </w:rPr>
            </w:pPr>
          </w:p>
        </w:tc>
        <w:tc>
          <w:tcPr>
            <w:tcW w:w="688" w:type="pct"/>
            <w:tcBorders>
              <w:top w:val="double" w:color="auto" w:sz="6" w:space="0"/>
            </w:tcBorders>
            <w:vAlign w:val="center"/>
          </w:tcPr>
          <w:p>
            <w:pPr>
              <w:keepNext/>
              <w:jc w:val="center"/>
              <w:rPr>
                <w:kern w:val="2"/>
                <w:sz w:val="21"/>
                <w:szCs w:val="21"/>
                <w:highlight w:val="none"/>
              </w:rPr>
            </w:pPr>
          </w:p>
        </w:tc>
        <w:tc>
          <w:tcPr>
            <w:tcW w:w="802" w:type="pct"/>
            <w:tcBorders>
              <w:top w:val="double" w:color="auto" w:sz="6" w:space="0"/>
            </w:tcBorders>
            <w:vAlign w:val="center"/>
          </w:tcPr>
          <w:p>
            <w:pPr>
              <w:keepNext/>
              <w:jc w:val="center"/>
              <w:rPr>
                <w:kern w:val="2"/>
                <w:sz w:val="21"/>
                <w:szCs w:val="21"/>
                <w:highlight w:val="none"/>
              </w:rPr>
            </w:pPr>
          </w:p>
        </w:tc>
        <w:tc>
          <w:tcPr>
            <w:tcW w:w="922" w:type="pct"/>
            <w:tcBorders>
              <w:top w:val="double" w:color="auto" w:sz="6" w:space="0"/>
            </w:tcBorders>
            <w:vAlign w:val="center"/>
          </w:tcPr>
          <w:p>
            <w:pPr>
              <w:keepNex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pPr>
              <w:keepNext/>
              <w:jc w:val="center"/>
              <w:rPr>
                <w:kern w:val="2"/>
                <w:sz w:val="21"/>
                <w:szCs w:val="21"/>
                <w:highlight w:val="none"/>
              </w:rPr>
            </w:pPr>
          </w:p>
        </w:tc>
        <w:tc>
          <w:tcPr>
            <w:tcW w:w="706" w:type="pct"/>
            <w:tcBorders>
              <w:top w:val="nil"/>
            </w:tcBorders>
            <w:vAlign w:val="center"/>
          </w:tcPr>
          <w:p>
            <w:pPr>
              <w:keepNext/>
              <w:jc w:val="center"/>
              <w:rPr>
                <w:kern w:val="2"/>
                <w:sz w:val="21"/>
                <w:szCs w:val="21"/>
                <w:highlight w:val="none"/>
              </w:rPr>
            </w:pPr>
          </w:p>
        </w:tc>
        <w:tc>
          <w:tcPr>
            <w:tcW w:w="802" w:type="pct"/>
            <w:tcBorders>
              <w:top w:val="nil"/>
            </w:tcBorders>
            <w:vAlign w:val="center"/>
          </w:tcPr>
          <w:p>
            <w:pPr>
              <w:keepNext/>
              <w:jc w:val="center"/>
              <w:rPr>
                <w:kern w:val="2"/>
                <w:sz w:val="21"/>
                <w:szCs w:val="21"/>
                <w:highlight w:val="none"/>
              </w:rPr>
            </w:pPr>
          </w:p>
        </w:tc>
        <w:tc>
          <w:tcPr>
            <w:tcW w:w="688" w:type="pct"/>
            <w:tcBorders>
              <w:top w:val="nil"/>
            </w:tcBorders>
            <w:vAlign w:val="center"/>
          </w:tcPr>
          <w:p>
            <w:pPr>
              <w:keepNext/>
              <w:jc w:val="center"/>
              <w:rPr>
                <w:kern w:val="2"/>
                <w:sz w:val="21"/>
                <w:szCs w:val="21"/>
                <w:highlight w:val="none"/>
              </w:rPr>
            </w:pPr>
          </w:p>
        </w:tc>
        <w:tc>
          <w:tcPr>
            <w:tcW w:w="802" w:type="pct"/>
            <w:tcBorders>
              <w:top w:val="nil"/>
            </w:tcBorders>
            <w:vAlign w:val="center"/>
          </w:tcPr>
          <w:p>
            <w:pPr>
              <w:keepNext/>
              <w:jc w:val="center"/>
              <w:rPr>
                <w:kern w:val="2"/>
                <w:sz w:val="21"/>
                <w:szCs w:val="21"/>
                <w:highlight w:val="none"/>
              </w:rPr>
            </w:pPr>
          </w:p>
        </w:tc>
        <w:tc>
          <w:tcPr>
            <w:tcW w:w="922" w:type="pct"/>
            <w:tcBorders>
              <w:top w:val="nil"/>
            </w:tcBorders>
            <w:vAlign w:val="center"/>
          </w:tcPr>
          <w:p>
            <w:pPr>
              <w:keepNex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pPr>
              <w:jc w:val="center"/>
              <w:rPr>
                <w:kern w:val="2"/>
                <w:sz w:val="21"/>
                <w:szCs w:val="21"/>
                <w:highlight w:val="none"/>
              </w:rPr>
            </w:pPr>
          </w:p>
        </w:tc>
        <w:tc>
          <w:tcPr>
            <w:tcW w:w="706" w:type="pct"/>
          </w:tcPr>
          <w:p>
            <w:pPr>
              <w:jc w:val="center"/>
              <w:rPr>
                <w:kern w:val="2"/>
                <w:sz w:val="21"/>
                <w:szCs w:val="21"/>
                <w:highlight w:val="none"/>
              </w:rPr>
            </w:pPr>
          </w:p>
        </w:tc>
        <w:tc>
          <w:tcPr>
            <w:tcW w:w="802" w:type="pct"/>
          </w:tcPr>
          <w:p>
            <w:pPr>
              <w:jc w:val="center"/>
              <w:rPr>
                <w:kern w:val="2"/>
                <w:sz w:val="21"/>
                <w:szCs w:val="21"/>
                <w:highlight w:val="none"/>
              </w:rPr>
            </w:pPr>
          </w:p>
        </w:tc>
        <w:tc>
          <w:tcPr>
            <w:tcW w:w="688" w:type="pct"/>
          </w:tcPr>
          <w:p>
            <w:pPr>
              <w:jc w:val="center"/>
              <w:rPr>
                <w:kern w:val="2"/>
                <w:sz w:val="21"/>
                <w:szCs w:val="21"/>
                <w:highlight w:val="none"/>
              </w:rPr>
            </w:pPr>
          </w:p>
        </w:tc>
        <w:tc>
          <w:tcPr>
            <w:tcW w:w="802" w:type="pct"/>
          </w:tcPr>
          <w:p>
            <w:pPr>
              <w:jc w:val="center"/>
              <w:rPr>
                <w:kern w:val="2"/>
                <w:sz w:val="21"/>
                <w:szCs w:val="21"/>
                <w:highlight w:val="none"/>
              </w:rPr>
            </w:pPr>
          </w:p>
        </w:tc>
        <w:tc>
          <w:tcPr>
            <w:tcW w:w="922" w:type="pct"/>
          </w:tcPr>
          <w:p>
            <w:pPr>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pPr>
              <w:jc w:val="center"/>
              <w:rPr>
                <w:kern w:val="2"/>
                <w:sz w:val="21"/>
                <w:szCs w:val="21"/>
                <w:highlight w:val="none"/>
              </w:rPr>
            </w:pPr>
          </w:p>
        </w:tc>
        <w:tc>
          <w:tcPr>
            <w:tcW w:w="706" w:type="pct"/>
          </w:tcPr>
          <w:p>
            <w:pPr>
              <w:jc w:val="center"/>
              <w:rPr>
                <w:kern w:val="2"/>
                <w:sz w:val="21"/>
                <w:szCs w:val="21"/>
                <w:highlight w:val="none"/>
              </w:rPr>
            </w:pPr>
          </w:p>
        </w:tc>
        <w:tc>
          <w:tcPr>
            <w:tcW w:w="802" w:type="pct"/>
          </w:tcPr>
          <w:p>
            <w:pPr>
              <w:jc w:val="center"/>
              <w:rPr>
                <w:kern w:val="2"/>
                <w:sz w:val="21"/>
                <w:szCs w:val="21"/>
                <w:highlight w:val="none"/>
              </w:rPr>
            </w:pPr>
          </w:p>
        </w:tc>
        <w:tc>
          <w:tcPr>
            <w:tcW w:w="688" w:type="pct"/>
          </w:tcPr>
          <w:p>
            <w:pPr>
              <w:jc w:val="center"/>
              <w:rPr>
                <w:kern w:val="2"/>
                <w:sz w:val="21"/>
                <w:szCs w:val="21"/>
                <w:highlight w:val="none"/>
              </w:rPr>
            </w:pPr>
          </w:p>
        </w:tc>
        <w:tc>
          <w:tcPr>
            <w:tcW w:w="802" w:type="pct"/>
          </w:tcPr>
          <w:p>
            <w:pPr>
              <w:jc w:val="center"/>
              <w:rPr>
                <w:kern w:val="2"/>
                <w:sz w:val="21"/>
                <w:szCs w:val="21"/>
                <w:highlight w:val="none"/>
              </w:rPr>
            </w:pPr>
          </w:p>
        </w:tc>
        <w:tc>
          <w:tcPr>
            <w:tcW w:w="922" w:type="pct"/>
          </w:tcPr>
          <w:p>
            <w:pPr>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pPr>
              <w:jc w:val="center"/>
              <w:rPr>
                <w:kern w:val="2"/>
                <w:sz w:val="21"/>
                <w:szCs w:val="21"/>
                <w:highlight w:val="none"/>
              </w:rPr>
            </w:pPr>
          </w:p>
        </w:tc>
        <w:tc>
          <w:tcPr>
            <w:tcW w:w="706" w:type="pct"/>
            <w:tcBorders>
              <w:bottom w:val="single" w:color="auto" w:sz="12" w:space="0"/>
            </w:tcBorders>
          </w:tcPr>
          <w:p>
            <w:pPr>
              <w:jc w:val="center"/>
              <w:rPr>
                <w:kern w:val="2"/>
                <w:sz w:val="21"/>
                <w:szCs w:val="21"/>
                <w:highlight w:val="none"/>
              </w:rPr>
            </w:pPr>
          </w:p>
        </w:tc>
        <w:tc>
          <w:tcPr>
            <w:tcW w:w="802" w:type="pct"/>
            <w:tcBorders>
              <w:bottom w:val="single" w:color="auto" w:sz="12" w:space="0"/>
            </w:tcBorders>
          </w:tcPr>
          <w:p>
            <w:pPr>
              <w:jc w:val="center"/>
              <w:rPr>
                <w:kern w:val="2"/>
                <w:sz w:val="21"/>
                <w:szCs w:val="21"/>
                <w:highlight w:val="none"/>
              </w:rPr>
            </w:pPr>
          </w:p>
        </w:tc>
        <w:tc>
          <w:tcPr>
            <w:tcW w:w="688" w:type="pct"/>
            <w:tcBorders>
              <w:bottom w:val="single" w:color="auto" w:sz="12" w:space="0"/>
            </w:tcBorders>
          </w:tcPr>
          <w:p>
            <w:pPr>
              <w:jc w:val="center"/>
              <w:rPr>
                <w:kern w:val="2"/>
                <w:sz w:val="21"/>
                <w:szCs w:val="21"/>
                <w:highlight w:val="none"/>
              </w:rPr>
            </w:pPr>
          </w:p>
        </w:tc>
        <w:tc>
          <w:tcPr>
            <w:tcW w:w="802" w:type="pct"/>
            <w:tcBorders>
              <w:bottom w:val="single" w:color="auto" w:sz="12" w:space="0"/>
            </w:tcBorders>
          </w:tcPr>
          <w:p>
            <w:pPr>
              <w:jc w:val="center"/>
              <w:rPr>
                <w:kern w:val="2"/>
                <w:sz w:val="21"/>
                <w:szCs w:val="21"/>
                <w:highlight w:val="none"/>
              </w:rPr>
            </w:pPr>
          </w:p>
        </w:tc>
        <w:tc>
          <w:tcPr>
            <w:tcW w:w="922" w:type="pct"/>
            <w:tcBorders>
              <w:bottom w:val="single" w:color="auto" w:sz="12" w:space="0"/>
            </w:tcBorders>
          </w:tcPr>
          <w:p>
            <w:pPr>
              <w:jc w:val="center"/>
              <w:rPr>
                <w:kern w:val="2"/>
                <w:sz w:val="21"/>
                <w:szCs w:val="21"/>
                <w:highlight w:val="none"/>
              </w:rPr>
            </w:pPr>
          </w:p>
        </w:tc>
      </w:tr>
    </w:tbl>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spacing w:line="360" w:lineRule="auto"/>
        <w:jc w:val="center"/>
        <w:rPr>
          <w:kern w:val="2"/>
          <w:sz w:val="21"/>
          <w:szCs w:val="21"/>
          <w:highlight w:val="none"/>
        </w:rPr>
      </w:pPr>
    </w:p>
    <w:p>
      <w:pPr>
        <w:keepNext/>
        <w:keepLines/>
        <w:spacing w:before="120" w:after="120" w:line="360" w:lineRule="auto"/>
        <w:jc w:val="left"/>
        <w:outlineLvl w:val="2"/>
        <w:rPr>
          <w:rFonts w:ascii="黑体" w:hAnsi="黑体" w:eastAsia="黑体"/>
          <w:bCs/>
          <w:kern w:val="2"/>
          <w:sz w:val="24"/>
          <w:szCs w:val="24"/>
          <w:highlight w:val="none"/>
        </w:rPr>
      </w:pPr>
      <w:r>
        <w:rPr>
          <w:rFonts w:hint="eastAsia" w:ascii="黑体" w:hAnsi="黑体" w:eastAsia="黑体"/>
          <w:bCs/>
          <w:kern w:val="2"/>
          <w:sz w:val="24"/>
          <w:szCs w:val="24"/>
          <w:highlight w:val="none"/>
        </w:rPr>
        <w:t>附</w:t>
      </w:r>
      <w:bookmarkStart w:id="589" w:name="_Toc296346728"/>
      <w:bookmarkStart w:id="590" w:name="_Toc267261698"/>
      <w:bookmarkStart w:id="591" w:name="_Toc296944566"/>
      <w:bookmarkStart w:id="592" w:name="_Toc296891055"/>
      <w:bookmarkStart w:id="593" w:name="_Toc296891267"/>
      <w:bookmarkStart w:id="594" w:name="_Toc296347226"/>
      <w:bookmarkStart w:id="595" w:name="_Toc296503227"/>
      <w:r>
        <w:rPr>
          <w:rFonts w:hint="eastAsia" w:ascii="黑体" w:hAnsi="黑体" w:eastAsia="黑体"/>
          <w:bCs/>
          <w:kern w:val="2"/>
          <w:sz w:val="24"/>
          <w:szCs w:val="24"/>
          <w:highlight w:val="none"/>
        </w:rPr>
        <w:t>件</w:t>
      </w:r>
      <w:r>
        <w:rPr>
          <w:rFonts w:ascii="黑体" w:hAnsi="黑体" w:eastAsia="黑体"/>
          <w:bCs/>
          <w:kern w:val="2"/>
          <w:sz w:val="24"/>
          <w:szCs w:val="24"/>
          <w:highlight w:val="none"/>
        </w:rPr>
        <w:t>5</w:t>
      </w:r>
      <w:r>
        <w:rPr>
          <w:rFonts w:hint="eastAsia" w:ascii="黑体" w:hAnsi="黑体" w:eastAsia="黑体"/>
          <w:bCs/>
          <w:kern w:val="2"/>
          <w:sz w:val="24"/>
          <w:szCs w:val="24"/>
          <w:highlight w:val="none"/>
        </w:rPr>
        <w:t>：承包人用于本工程施工的机械设备表</w:t>
      </w:r>
    </w:p>
    <w:bookmarkEnd w:id="589"/>
    <w:bookmarkEnd w:id="590"/>
    <w:bookmarkEnd w:id="591"/>
    <w:bookmarkEnd w:id="592"/>
    <w:bookmarkEnd w:id="593"/>
    <w:bookmarkEnd w:id="594"/>
    <w:bookmarkEnd w:id="595"/>
    <w:p>
      <w:pPr>
        <w:spacing w:before="156" w:beforeLines="50" w:after="156" w:afterLines="50"/>
        <w:jc w:val="center"/>
        <w:rPr>
          <w:kern w:val="2"/>
          <w:sz w:val="21"/>
          <w:szCs w:val="21"/>
          <w:highlight w:val="none"/>
        </w:rPr>
      </w:pPr>
      <w:r>
        <w:rPr>
          <w:rFonts w:hint="eastAsia"/>
          <w:kern w:val="2"/>
          <w:sz w:val="21"/>
          <w:szCs w:val="21"/>
          <w:highlight w:val="none"/>
        </w:rPr>
        <w:t>承包人用于本工程施工的机械设备表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3"/>
        <w:gridCol w:w="793"/>
        <w:gridCol w:w="663"/>
        <w:gridCol w:w="793"/>
        <w:gridCol w:w="898"/>
        <w:gridCol w:w="1382"/>
        <w:gridCol w:w="952"/>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1"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序号</w:t>
            </w:r>
          </w:p>
        </w:tc>
        <w:tc>
          <w:tcPr>
            <w:tcW w:w="791"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机械或设备名称</w:t>
            </w:r>
          </w:p>
        </w:tc>
        <w:tc>
          <w:tcPr>
            <w:tcW w:w="474"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规格型号</w:t>
            </w:r>
          </w:p>
        </w:tc>
        <w:tc>
          <w:tcPr>
            <w:tcW w:w="396"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数量</w:t>
            </w:r>
          </w:p>
        </w:tc>
        <w:tc>
          <w:tcPr>
            <w:tcW w:w="474"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产地</w:t>
            </w:r>
          </w:p>
        </w:tc>
        <w:tc>
          <w:tcPr>
            <w:tcW w:w="537"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制造年份</w:t>
            </w:r>
          </w:p>
        </w:tc>
        <w:tc>
          <w:tcPr>
            <w:tcW w:w="826"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额定功率</w:t>
            </w:r>
            <w:r>
              <w:rPr>
                <w:rFonts w:hint="eastAsia"/>
                <w:kern w:val="2"/>
                <w:sz w:val="22"/>
                <w:szCs w:val="22"/>
                <w:highlight w:val="none"/>
                <w:lang w:eastAsia="zh-CN"/>
              </w:rPr>
              <w:t>（</w:t>
            </w:r>
            <w:r>
              <w:rPr>
                <w:kern w:val="2"/>
                <w:sz w:val="22"/>
                <w:szCs w:val="22"/>
                <w:highlight w:val="none"/>
              </w:rPr>
              <w:t>kW)</w:t>
            </w:r>
          </w:p>
        </w:tc>
        <w:tc>
          <w:tcPr>
            <w:tcW w:w="569"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生产能力</w:t>
            </w:r>
          </w:p>
        </w:tc>
        <w:tc>
          <w:tcPr>
            <w:tcW w:w="520" w:type="pct"/>
            <w:tcBorders>
              <w:top w:val="single" w:color="auto" w:sz="12" w:space="0"/>
              <w:bottom w:val="double" w:color="auto" w:sz="6" w:space="0"/>
            </w:tcBorders>
            <w:vAlign w:val="center"/>
          </w:tcPr>
          <w:p>
            <w:pPr>
              <w:keepNext/>
              <w:spacing w:line="240" w:lineRule="auto"/>
              <w:jc w:val="center"/>
              <w:rPr>
                <w:kern w:val="2"/>
                <w:sz w:val="22"/>
                <w:szCs w:val="22"/>
                <w:highlight w:val="none"/>
              </w:rPr>
            </w:pPr>
            <w:r>
              <w:rPr>
                <w:rFonts w:hint="eastAsia"/>
                <w:kern w:val="2"/>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double" w:color="auto" w:sz="6" w:space="0"/>
            </w:tcBorders>
            <w:vAlign w:val="center"/>
          </w:tcPr>
          <w:p>
            <w:pPr>
              <w:keepNext/>
              <w:jc w:val="center"/>
              <w:rPr>
                <w:kern w:val="2"/>
                <w:sz w:val="21"/>
                <w:szCs w:val="21"/>
                <w:highlight w:val="none"/>
              </w:rPr>
            </w:pPr>
          </w:p>
        </w:tc>
        <w:tc>
          <w:tcPr>
            <w:tcW w:w="791" w:type="pct"/>
            <w:tcBorders>
              <w:top w:val="double" w:color="auto" w:sz="6" w:space="0"/>
            </w:tcBorders>
            <w:vAlign w:val="center"/>
          </w:tcPr>
          <w:p>
            <w:pPr>
              <w:keepNext/>
              <w:jc w:val="center"/>
              <w:rPr>
                <w:kern w:val="2"/>
                <w:sz w:val="21"/>
                <w:szCs w:val="21"/>
                <w:highlight w:val="none"/>
              </w:rPr>
            </w:pPr>
          </w:p>
        </w:tc>
        <w:tc>
          <w:tcPr>
            <w:tcW w:w="474" w:type="pct"/>
            <w:tcBorders>
              <w:top w:val="double" w:color="auto" w:sz="6" w:space="0"/>
            </w:tcBorders>
            <w:vAlign w:val="center"/>
          </w:tcPr>
          <w:p>
            <w:pPr>
              <w:keepNext/>
              <w:jc w:val="center"/>
              <w:rPr>
                <w:kern w:val="2"/>
                <w:sz w:val="21"/>
                <w:szCs w:val="21"/>
                <w:highlight w:val="none"/>
              </w:rPr>
            </w:pPr>
          </w:p>
        </w:tc>
        <w:tc>
          <w:tcPr>
            <w:tcW w:w="396" w:type="pct"/>
            <w:tcBorders>
              <w:top w:val="double" w:color="auto" w:sz="6" w:space="0"/>
            </w:tcBorders>
            <w:vAlign w:val="center"/>
          </w:tcPr>
          <w:p>
            <w:pPr>
              <w:keepNext/>
              <w:jc w:val="center"/>
              <w:rPr>
                <w:kern w:val="2"/>
                <w:sz w:val="21"/>
                <w:szCs w:val="21"/>
                <w:highlight w:val="none"/>
              </w:rPr>
            </w:pPr>
          </w:p>
        </w:tc>
        <w:tc>
          <w:tcPr>
            <w:tcW w:w="474" w:type="pct"/>
            <w:tcBorders>
              <w:top w:val="double" w:color="auto" w:sz="6" w:space="0"/>
            </w:tcBorders>
            <w:vAlign w:val="center"/>
          </w:tcPr>
          <w:p>
            <w:pPr>
              <w:keepNext/>
              <w:jc w:val="center"/>
              <w:rPr>
                <w:kern w:val="2"/>
                <w:sz w:val="21"/>
                <w:szCs w:val="21"/>
                <w:highlight w:val="none"/>
              </w:rPr>
            </w:pPr>
          </w:p>
        </w:tc>
        <w:tc>
          <w:tcPr>
            <w:tcW w:w="537" w:type="pct"/>
            <w:tcBorders>
              <w:top w:val="double" w:color="auto" w:sz="6" w:space="0"/>
            </w:tcBorders>
            <w:vAlign w:val="center"/>
          </w:tcPr>
          <w:p>
            <w:pPr>
              <w:keepNext/>
              <w:jc w:val="center"/>
              <w:rPr>
                <w:kern w:val="2"/>
                <w:sz w:val="21"/>
                <w:szCs w:val="21"/>
                <w:highlight w:val="none"/>
              </w:rPr>
            </w:pPr>
          </w:p>
        </w:tc>
        <w:tc>
          <w:tcPr>
            <w:tcW w:w="826" w:type="pct"/>
            <w:tcBorders>
              <w:top w:val="double" w:color="auto" w:sz="6" w:space="0"/>
            </w:tcBorders>
            <w:vAlign w:val="center"/>
          </w:tcPr>
          <w:p>
            <w:pPr>
              <w:keepNext/>
              <w:jc w:val="center"/>
              <w:rPr>
                <w:kern w:val="2"/>
                <w:sz w:val="21"/>
                <w:szCs w:val="21"/>
                <w:highlight w:val="none"/>
              </w:rPr>
            </w:pPr>
          </w:p>
        </w:tc>
        <w:tc>
          <w:tcPr>
            <w:tcW w:w="569" w:type="pct"/>
            <w:tcBorders>
              <w:top w:val="double" w:color="auto" w:sz="6" w:space="0"/>
            </w:tcBorders>
            <w:vAlign w:val="center"/>
          </w:tcPr>
          <w:p>
            <w:pPr>
              <w:keepNext/>
              <w:jc w:val="center"/>
              <w:rPr>
                <w:kern w:val="2"/>
                <w:sz w:val="21"/>
                <w:szCs w:val="21"/>
                <w:highlight w:val="none"/>
              </w:rPr>
            </w:pPr>
          </w:p>
        </w:tc>
        <w:tc>
          <w:tcPr>
            <w:tcW w:w="520" w:type="pct"/>
            <w:tcBorders>
              <w:top w:val="double" w:color="auto" w:sz="6" w:space="0"/>
            </w:tcBorders>
            <w:vAlign w:val="center"/>
          </w:tcPr>
          <w:p>
            <w:pPr>
              <w:keepNex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nil"/>
            </w:tcBorders>
            <w:vAlign w:val="center"/>
          </w:tcPr>
          <w:p>
            <w:pPr>
              <w:keepNext/>
              <w:jc w:val="center"/>
              <w:rPr>
                <w:kern w:val="2"/>
                <w:sz w:val="21"/>
                <w:szCs w:val="21"/>
                <w:highlight w:val="none"/>
              </w:rPr>
            </w:pPr>
          </w:p>
        </w:tc>
        <w:tc>
          <w:tcPr>
            <w:tcW w:w="791" w:type="pct"/>
            <w:tcBorders>
              <w:top w:val="nil"/>
            </w:tcBorders>
            <w:vAlign w:val="center"/>
          </w:tcPr>
          <w:p>
            <w:pPr>
              <w:keepNext/>
              <w:jc w:val="center"/>
              <w:rPr>
                <w:kern w:val="2"/>
                <w:sz w:val="21"/>
                <w:szCs w:val="21"/>
                <w:highlight w:val="none"/>
              </w:rPr>
            </w:pPr>
          </w:p>
        </w:tc>
        <w:tc>
          <w:tcPr>
            <w:tcW w:w="474" w:type="pct"/>
            <w:tcBorders>
              <w:top w:val="nil"/>
            </w:tcBorders>
            <w:vAlign w:val="center"/>
          </w:tcPr>
          <w:p>
            <w:pPr>
              <w:keepNext/>
              <w:jc w:val="center"/>
              <w:rPr>
                <w:kern w:val="2"/>
                <w:sz w:val="21"/>
                <w:szCs w:val="21"/>
                <w:highlight w:val="none"/>
              </w:rPr>
            </w:pPr>
          </w:p>
        </w:tc>
        <w:tc>
          <w:tcPr>
            <w:tcW w:w="396" w:type="pct"/>
            <w:tcBorders>
              <w:top w:val="nil"/>
            </w:tcBorders>
            <w:vAlign w:val="center"/>
          </w:tcPr>
          <w:p>
            <w:pPr>
              <w:keepNext/>
              <w:jc w:val="center"/>
              <w:rPr>
                <w:kern w:val="2"/>
                <w:sz w:val="21"/>
                <w:szCs w:val="21"/>
                <w:highlight w:val="none"/>
              </w:rPr>
            </w:pPr>
          </w:p>
        </w:tc>
        <w:tc>
          <w:tcPr>
            <w:tcW w:w="474" w:type="pct"/>
            <w:tcBorders>
              <w:top w:val="nil"/>
            </w:tcBorders>
            <w:vAlign w:val="center"/>
          </w:tcPr>
          <w:p>
            <w:pPr>
              <w:keepNext/>
              <w:jc w:val="center"/>
              <w:rPr>
                <w:kern w:val="2"/>
                <w:sz w:val="21"/>
                <w:szCs w:val="21"/>
                <w:highlight w:val="none"/>
              </w:rPr>
            </w:pPr>
          </w:p>
        </w:tc>
        <w:tc>
          <w:tcPr>
            <w:tcW w:w="537" w:type="pct"/>
            <w:tcBorders>
              <w:top w:val="nil"/>
            </w:tcBorders>
            <w:vAlign w:val="center"/>
          </w:tcPr>
          <w:p>
            <w:pPr>
              <w:keepNext/>
              <w:jc w:val="center"/>
              <w:rPr>
                <w:kern w:val="2"/>
                <w:sz w:val="21"/>
                <w:szCs w:val="21"/>
                <w:highlight w:val="none"/>
              </w:rPr>
            </w:pPr>
          </w:p>
        </w:tc>
        <w:tc>
          <w:tcPr>
            <w:tcW w:w="826" w:type="pct"/>
            <w:tcBorders>
              <w:top w:val="nil"/>
            </w:tcBorders>
            <w:vAlign w:val="center"/>
          </w:tcPr>
          <w:p>
            <w:pPr>
              <w:keepNext/>
              <w:jc w:val="center"/>
              <w:rPr>
                <w:kern w:val="2"/>
                <w:sz w:val="21"/>
                <w:szCs w:val="21"/>
                <w:highlight w:val="none"/>
              </w:rPr>
            </w:pPr>
          </w:p>
        </w:tc>
        <w:tc>
          <w:tcPr>
            <w:tcW w:w="569" w:type="pct"/>
            <w:tcBorders>
              <w:top w:val="nil"/>
            </w:tcBorders>
            <w:vAlign w:val="center"/>
          </w:tcPr>
          <w:p>
            <w:pPr>
              <w:keepNext/>
              <w:jc w:val="center"/>
              <w:rPr>
                <w:kern w:val="2"/>
                <w:sz w:val="21"/>
                <w:szCs w:val="21"/>
                <w:highlight w:val="none"/>
              </w:rPr>
            </w:pPr>
          </w:p>
        </w:tc>
        <w:tc>
          <w:tcPr>
            <w:tcW w:w="520" w:type="pct"/>
            <w:tcBorders>
              <w:top w:val="nil"/>
            </w:tcBorders>
            <w:vAlign w:val="center"/>
          </w:tcPr>
          <w:p>
            <w:pPr>
              <w:keepNex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pPr>
              <w:jc w:val="center"/>
              <w:rPr>
                <w:kern w:val="2"/>
                <w:sz w:val="21"/>
                <w:szCs w:val="21"/>
                <w:highlight w:val="none"/>
              </w:rPr>
            </w:pPr>
          </w:p>
        </w:tc>
        <w:tc>
          <w:tcPr>
            <w:tcW w:w="791" w:type="pct"/>
          </w:tcPr>
          <w:p>
            <w:pPr>
              <w:jc w:val="center"/>
              <w:rPr>
                <w:kern w:val="2"/>
                <w:sz w:val="21"/>
                <w:szCs w:val="21"/>
                <w:highlight w:val="none"/>
              </w:rPr>
            </w:pPr>
          </w:p>
        </w:tc>
        <w:tc>
          <w:tcPr>
            <w:tcW w:w="474" w:type="pct"/>
          </w:tcPr>
          <w:p>
            <w:pPr>
              <w:jc w:val="center"/>
              <w:rPr>
                <w:kern w:val="2"/>
                <w:sz w:val="21"/>
                <w:szCs w:val="21"/>
                <w:highlight w:val="none"/>
              </w:rPr>
            </w:pPr>
          </w:p>
        </w:tc>
        <w:tc>
          <w:tcPr>
            <w:tcW w:w="396" w:type="pct"/>
          </w:tcPr>
          <w:p>
            <w:pPr>
              <w:jc w:val="center"/>
              <w:rPr>
                <w:kern w:val="2"/>
                <w:sz w:val="21"/>
                <w:szCs w:val="21"/>
                <w:highlight w:val="none"/>
              </w:rPr>
            </w:pPr>
          </w:p>
        </w:tc>
        <w:tc>
          <w:tcPr>
            <w:tcW w:w="474" w:type="pct"/>
          </w:tcPr>
          <w:p>
            <w:pPr>
              <w:jc w:val="center"/>
              <w:rPr>
                <w:kern w:val="2"/>
                <w:sz w:val="21"/>
                <w:szCs w:val="21"/>
                <w:highlight w:val="none"/>
              </w:rPr>
            </w:pPr>
          </w:p>
        </w:tc>
        <w:tc>
          <w:tcPr>
            <w:tcW w:w="537" w:type="pct"/>
          </w:tcPr>
          <w:p>
            <w:pPr>
              <w:jc w:val="center"/>
              <w:rPr>
                <w:kern w:val="2"/>
                <w:sz w:val="21"/>
                <w:szCs w:val="21"/>
                <w:highlight w:val="none"/>
              </w:rPr>
            </w:pPr>
          </w:p>
        </w:tc>
        <w:tc>
          <w:tcPr>
            <w:tcW w:w="826" w:type="pct"/>
          </w:tcPr>
          <w:p>
            <w:pPr>
              <w:jc w:val="center"/>
              <w:rPr>
                <w:kern w:val="2"/>
                <w:sz w:val="21"/>
                <w:szCs w:val="21"/>
                <w:highlight w:val="none"/>
              </w:rPr>
            </w:pPr>
          </w:p>
        </w:tc>
        <w:tc>
          <w:tcPr>
            <w:tcW w:w="569" w:type="pct"/>
          </w:tcPr>
          <w:p>
            <w:pPr>
              <w:jc w:val="center"/>
              <w:rPr>
                <w:kern w:val="2"/>
                <w:sz w:val="21"/>
                <w:szCs w:val="21"/>
                <w:highlight w:val="none"/>
              </w:rPr>
            </w:pPr>
          </w:p>
        </w:tc>
        <w:tc>
          <w:tcPr>
            <w:tcW w:w="520" w:type="pct"/>
          </w:tcPr>
          <w:p>
            <w:pPr>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pPr>
              <w:jc w:val="center"/>
              <w:rPr>
                <w:kern w:val="2"/>
                <w:sz w:val="21"/>
                <w:szCs w:val="21"/>
                <w:highlight w:val="none"/>
              </w:rPr>
            </w:pPr>
          </w:p>
        </w:tc>
        <w:tc>
          <w:tcPr>
            <w:tcW w:w="791" w:type="pct"/>
          </w:tcPr>
          <w:p>
            <w:pPr>
              <w:jc w:val="center"/>
              <w:rPr>
                <w:kern w:val="2"/>
                <w:sz w:val="21"/>
                <w:szCs w:val="21"/>
                <w:highlight w:val="none"/>
              </w:rPr>
            </w:pPr>
          </w:p>
        </w:tc>
        <w:tc>
          <w:tcPr>
            <w:tcW w:w="474" w:type="pct"/>
          </w:tcPr>
          <w:p>
            <w:pPr>
              <w:jc w:val="center"/>
              <w:rPr>
                <w:kern w:val="2"/>
                <w:sz w:val="21"/>
                <w:szCs w:val="21"/>
                <w:highlight w:val="none"/>
              </w:rPr>
            </w:pPr>
          </w:p>
        </w:tc>
        <w:tc>
          <w:tcPr>
            <w:tcW w:w="396" w:type="pct"/>
          </w:tcPr>
          <w:p>
            <w:pPr>
              <w:jc w:val="center"/>
              <w:rPr>
                <w:kern w:val="2"/>
                <w:sz w:val="21"/>
                <w:szCs w:val="21"/>
                <w:highlight w:val="none"/>
              </w:rPr>
            </w:pPr>
          </w:p>
        </w:tc>
        <w:tc>
          <w:tcPr>
            <w:tcW w:w="474" w:type="pct"/>
          </w:tcPr>
          <w:p>
            <w:pPr>
              <w:jc w:val="center"/>
              <w:rPr>
                <w:kern w:val="2"/>
                <w:sz w:val="21"/>
                <w:szCs w:val="21"/>
                <w:highlight w:val="none"/>
              </w:rPr>
            </w:pPr>
          </w:p>
        </w:tc>
        <w:tc>
          <w:tcPr>
            <w:tcW w:w="537" w:type="pct"/>
          </w:tcPr>
          <w:p>
            <w:pPr>
              <w:jc w:val="center"/>
              <w:rPr>
                <w:kern w:val="2"/>
                <w:sz w:val="21"/>
                <w:szCs w:val="21"/>
                <w:highlight w:val="none"/>
              </w:rPr>
            </w:pPr>
          </w:p>
        </w:tc>
        <w:tc>
          <w:tcPr>
            <w:tcW w:w="826" w:type="pct"/>
          </w:tcPr>
          <w:p>
            <w:pPr>
              <w:jc w:val="center"/>
              <w:rPr>
                <w:kern w:val="2"/>
                <w:sz w:val="21"/>
                <w:szCs w:val="21"/>
                <w:highlight w:val="none"/>
              </w:rPr>
            </w:pPr>
          </w:p>
        </w:tc>
        <w:tc>
          <w:tcPr>
            <w:tcW w:w="569" w:type="pct"/>
          </w:tcPr>
          <w:p>
            <w:pPr>
              <w:jc w:val="center"/>
              <w:rPr>
                <w:kern w:val="2"/>
                <w:sz w:val="21"/>
                <w:szCs w:val="21"/>
                <w:highlight w:val="none"/>
              </w:rPr>
            </w:pPr>
          </w:p>
        </w:tc>
        <w:tc>
          <w:tcPr>
            <w:tcW w:w="520" w:type="pct"/>
          </w:tcPr>
          <w:p>
            <w:pPr>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bottom w:val="single" w:color="auto" w:sz="12" w:space="0"/>
            </w:tcBorders>
          </w:tcPr>
          <w:p>
            <w:pPr>
              <w:jc w:val="center"/>
              <w:rPr>
                <w:kern w:val="2"/>
                <w:sz w:val="21"/>
                <w:szCs w:val="21"/>
                <w:highlight w:val="none"/>
              </w:rPr>
            </w:pPr>
          </w:p>
        </w:tc>
        <w:tc>
          <w:tcPr>
            <w:tcW w:w="791" w:type="pct"/>
            <w:tcBorders>
              <w:bottom w:val="single" w:color="auto" w:sz="12" w:space="0"/>
            </w:tcBorders>
          </w:tcPr>
          <w:p>
            <w:pPr>
              <w:jc w:val="center"/>
              <w:rPr>
                <w:kern w:val="2"/>
                <w:sz w:val="21"/>
                <w:szCs w:val="21"/>
                <w:highlight w:val="none"/>
              </w:rPr>
            </w:pPr>
          </w:p>
        </w:tc>
        <w:tc>
          <w:tcPr>
            <w:tcW w:w="474" w:type="pct"/>
            <w:tcBorders>
              <w:bottom w:val="single" w:color="auto" w:sz="12" w:space="0"/>
            </w:tcBorders>
          </w:tcPr>
          <w:p>
            <w:pPr>
              <w:jc w:val="center"/>
              <w:rPr>
                <w:kern w:val="2"/>
                <w:sz w:val="21"/>
                <w:szCs w:val="21"/>
                <w:highlight w:val="none"/>
              </w:rPr>
            </w:pPr>
          </w:p>
        </w:tc>
        <w:tc>
          <w:tcPr>
            <w:tcW w:w="396" w:type="pct"/>
            <w:tcBorders>
              <w:bottom w:val="single" w:color="auto" w:sz="12" w:space="0"/>
            </w:tcBorders>
          </w:tcPr>
          <w:p>
            <w:pPr>
              <w:jc w:val="center"/>
              <w:rPr>
                <w:kern w:val="2"/>
                <w:sz w:val="21"/>
                <w:szCs w:val="21"/>
                <w:highlight w:val="none"/>
              </w:rPr>
            </w:pPr>
          </w:p>
        </w:tc>
        <w:tc>
          <w:tcPr>
            <w:tcW w:w="474" w:type="pct"/>
            <w:tcBorders>
              <w:bottom w:val="single" w:color="auto" w:sz="12" w:space="0"/>
            </w:tcBorders>
          </w:tcPr>
          <w:p>
            <w:pPr>
              <w:jc w:val="center"/>
              <w:rPr>
                <w:kern w:val="2"/>
                <w:sz w:val="21"/>
                <w:szCs w:val="21"/>
                <w:highlight w:val="none"/>
              </w:rPr>
            </w:pPr>
          </w:p>
        </w:tc>
        <w:tc>
          <w:tcPr>
            <w:tcW w:w="537" w:type="pct"/>
            <w:tcBorders>
              <w:bottom w:val="single" w:color="auto" w:sz="12" w:space="0"/>
            </w:tcBorders>
          </w:tcPr>
          <w:p>
            <w:pPr>
              <w:jc w:val="center"/>
              <w:rPr>
                <w:kern w:val="2"/>
                <w:sz w:val="21"/>
                <w:szCs w:val="21"/>
                <w:highlight w:val="none"/>
              </w:rPr>
            </w:pPr>
          </w:p>
        </w:tc>
        <w:tc>
          <w:tcPr>
            <w:tcW w:w="826" w:type="pct"/>
            <w:tcBorders>
              <w:bottom w:val="single" w:color="auto" w:sz="12" w:space="0"/>
            </w:tcBorders>
          </w:tcPr>
          <w:p>
            <w:pPr>
              <w:jc w:val="center"/>
              <w:rPr>
                <w:kern w:val="2"/>
                <w:sz w:val="21"/>
                <w:szCs w:val="21"/>
                <w:highlight w:val="none"/>
              </w:rPr>
            </w:pPr>
          </w:p>
        </w:tc>
        <w:tc>
          <w:tcPr>
            <w:tcW w:w="569" w:type="pct"/>
            <w:tcBorders>
              <w:bottom w:val="single" w:color="auto" w:sz="12" w:space="0"/>
            </w:tcBorders>
          </w:tcPr>
          <w:p>
            <w:pPr>
              <w:jc w:val="center"/>
              <w:rPr>
                <w:kern w:val="2"/>
                <w:sz w:val="21"/>
                <w:szCs w:val="21"/>
                <w:highlight w:val="none"/>
              </w:rPr>
            </w:pPr>
          </w:p>
        </w:tc>
        <w:tc>
          <w:tcPr>
            <w:tcW w:w="520" w:type="pct"/>
            <w:tcBorders>
              <w:bottom w:val="single" w:color="auto" w:sz="12" w:space="0"/>
            </w:tcBorders>
          </w:tcPr>
          <w:p>
            <w:pPr>
              <w:jc w:val="center"/>
              <w:rPr>
                <w:kern w:val="2"/>
                <w:sz w:val="21"/>
                <w:szCs w:val="21"/>
                <w:highlight w:val="none"/>
              </w:rPr>
            </w:pPr>
          </w:p>
        </w:tc>
      </w:tr>
    </w:tbl>
    <w:p>
      <w:pPr>
        <w:rPr>
          <w:kern w:val="2"/>
          <w:sz w:val="21"/>
          <w:szCs w:val="21"/>
          <w:highlight w:val="none"/>
        </w:rPr>
      </w:pPr>
    </w:p>
    <w:p>
      <w:pPr>
        <w:widowControl/>
        <w:spacing w:line="360" w:lineRule="auto"/>
        <w:jc w:val="center"/>
        <w:rPr>
          <w:kern w:val="2"/>
          <w:sz w:val="24"/>
          <w:szCs w:val="24"/>
          <w:highlight w:val="none"/>
        </w:rPr>
      </w:pPr>
      <w:r>
        <w:rPr>
          <w:kern w:val="2"/>
          <w:sz w:val="21"/>
          <w:szCs w:val="21"/>
          <w:highlight w:val="none"/>
        </w:rPr>
        <w:br w:type="page"/>
      </w:r>
    </w:p>
    <w:p>
      <w:pPr>
        <w:keepNext/>
        <w:keepLines/>
        <w:spacing w:before="120" w:after="120" w:line="360" w:lineRule="auto"/>
        <w:jc w:val="left"/>
        <w:outlineLvl w:val="2"/>
        <w:rPr>
          <w:rFonts w:ascii="黑体" w:hAnsi="黑体" w:eastAsia="黑体"/>
          <w:bCs/>
          <w:kern w:val="2"/>
          <w:sz w:val="24"/>
          <w:szCs w:val="24"/>
          <w:highlight w:val="none"/>
        </w:rPr>
      </w:pPr>
      <w:r>
        <w:rPr>
          <w:rFonts w:hint="eastAsia" w:ascii="黑体" w:hAnsi="黑体" w:eastAsia="黑体"/>
          <w:bCs/>
          <w:kern w:val="2"/>
          <w:sz w:val="24"/>
          <w:szCs w:val="24"/>
          <w:highlight w:val="none"/>
        </w:rPr>
        <w:t>附</w:t>
      </w:r>
      <w:bookmarkStart w:id="596" w:name="_Toc296503228"/>
      <w:bookmarkStart w:id="597" w:name="_Toc267261699"/>
      <w:bookmarkStart w:id="598" w:name="_Toc296891056"/>
      <w:bookmarkStart w:id="599" w:name="_Toc296944567"/>
      <w:bookmarkStart w:id="600" w:name="_Toc296891268"/>
      <w:bookmarkStart w:id="601" w:name="_Toc296346729"/>
      <w:bookmarkStart w:id="602" w:name="_Toc296347227"/>
      <w:r>
        <w:rPr>
          <w:rFonts w:hint="eastAsia" w:ascii="黑体" w:hAnsi="黑体" w:eastAsia="黑体"/>
          <w:bCs/>
          <w:kern w:val="2"/>
          <w:sz w:val="24"/>
          <w:szCs w:val="24"/>
          <w:highlight w:val="none"/>
        </w:rPr>
        <w:t>件</w:t>
      </w:r>
      <w:bookmarkEnd w:id="596"/>
      <w:bookmarkEnd w:id="597"/>
      <w:bookmarkEnd w:id="598"/>
      <w:bookmarkEnd w:id="599"/>
      <w:bookmarkEnd w:id="600"/>
      <w:bookmarkEnd w:id="601"/>
      <w:bookmarkEnd w:id="602"/>
      <w:r>
        <w:rPr>
          <w:rFonts w:ascii="黑体" w:hAnsi="黑体" w:eastAsia="黑体"/>
          <w:bCs/>
          <w:kern w:val="2"/>
          <w:sz w:val="24"/>
          <w:szCs w:val="24"/>
          <w:highlight w:val="none"/>
        </w:rPr>
        <w:t>6</w:t>
      </w:r>
      <w:r>
        <w:rPr>
          <w:rFonts w:hint="eastAsia" w:ascii="黑体" w:hAnsi="黑体" w:eastAsia="黑体"/>
          <w:bCs/>
          <w:kern w:val="2"/>
          <w:sz w:val="24"/>
          <w:szCs w:val="24"/>
          <w:highlight w:val="none"/>
        </w:rPr>
        <w:t>：承包人主要施工管理人员表</w:t>
      </w:r>
    </w:p>
    <w:p>
      <w:pPr>
        <w:spacing w:line="360" w:lineRule="auto"/>
        <w:jc w:val="center"/>
        <w:rPr>
          <w:kern w:val="2"/>
          <w:sz w:val="24"/>
          <w:szCs w:val="24"/>
          <w:highlight w:val="none"/>
        </w:rPr>
      </w:pPr>
      <w:r>
        <w:rPr>
          <w:rFonts w:hint="eastAsia"/>
          <w:kern w:val="2"/>
          <w:sz w:val="24"/>
          <w:szCs w:val="24"/>
          <w:highlight w:val="none"/>
        </w:rPr>
        <w:t>承包人主要施工管理人员表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7"/>
        <w:gridCol w:w="1047"/>
        <w:gridCol w:w="840"/>
        <w:gridCol w:w="840"/>
        <w:gridCol w:w="2141"/>
        <w:gridCol w:w="1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名</w:t>
            </w:r>
            <w:r>
              <w:rPr>
                <w:kern w:val="2"/>
                <w:sz w:val="21"/>
                <w:szCs w:val="21"/>
                <w:highlight w:val="none"/>
              </w:rPr>
              <w:t xml:space="preserve">    </w:t>
            </w:r>
            <w:r>
              <w:rPr>
                <w:rFonts w:hint="eastAsia"/>
                <w:kern w:val="2"/>
                <w:sz w:val="21"/>
                <w:szCs w:val="21"/>
                <w:highlight w:val="none"/>
              </w:rPr>
              <w:t>称</w:t>
            </w:r>
          </w:p>
        </w:tc>
        <w:tc>
          <w:tcPr>
            <w:tcW w:w="626"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姓名</w:t>
            </w:r>
          </w:p>
        </w:tc>
        <w:tc>
          <w:tcPr>
            <w:tcW w:w="502"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职务</w:t>
            </w:r>
          </w:p>
        </w:tc>
        <w:tc>
          <w:tcPr>
            <w:tcW w:w="502"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职称</w:t>
            </w:r>
          </w:p>
        </w:tc>
        <w:tc>
          <w:tcPr>
            <w:tcW w:w="1279"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主要资历、经验及承担过的项目</w:t>
            </w:r>
          </w:p>
        </w:tc>
        <w:tc>
          <w:tcPr>
            <w:tcW w:w="1152" w:type="pct"/>
            <w:tcBorders>
              <w:top w:val="single" w:color="auto" w:sz="12" w:space="0"/>
              <w:bottom w:val="double" w:color="auto" w:sz="6" w:space="0"/>
            </w:tcBorders>
          </w:tcPr>
          <w:p>
            <w:pPr>
              <w:keepNext/>
              <w:spacing w:line="360" w:lineRule="auto"/>
              <w:jc w:val="center"/>
              <w:rPr>
                <w:kern w:val="2"/>
                <w:sz w:val="21"/>
                <w:szCs w:val="21"/>
                <w:highlight w:val="none"/>
              </w:rPr>
            </w:pPr>
            <w:r>
              <w:rPr>
                <w:rFonts w:hint="eastAsia"/>
                <w:kern w:val="2"/>
                <w:sz w:val="21"/>
                <w:szCs w:val="21"/>
                <w:highlight w:val="none"/>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一、总部人员</w:t>
            </w:r>
          </w:p>
        </w:tc>
        <w:tc>
          <w:tcPr>
            <w:tcW w:w="1152" w:type="pct"/>
            <w:tcBorders>
              <w:top w:val="double" w:color="auto" w:sz="6" w:space="0"/>
            </w:tcBorders>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pPr>
              <w:spacing w:line="360" w:lineRule="auto"/>
              <w:jc w:val="center"/>
              <w:rPr>
                <w:kern w:val="2"/>
                <w:sz w:val="21"/>
                <w:szCs w:val="21"/>
                <w:highlight w:val="none"/>
              </w:rPr>
            </w:pPr>
            <w:r>
              <w:rPr>
                <w:rFonts w:hint="eastAsia"/>
                <w:kern w:val="2"/>
                <w:sz w:val="21"/>
                <w:szCs w:val="21"/>
                <w:highlight w:val="none"/>
              </w:rPr>
              <w:t>项目主管</w:t>
            </w:r>
          </w:p>
        </w:tc>
        <w:tc>
          <w:tcPr>
            <w:tcW w:w="626" w:type="pct"/>
            <w:tcBorders>
              <w:top w:val="nil"/>
            </w:tcBorders>
            <w:vAlign w:val="center"/>
          </w:tcPr>
          <w:p>
            <w:pPr>
              <w:keepNext/>
              <w:spacing w:line="360" w:lineRule="auto"/>
              <w:jc w:val="center"/>
              <w:rPr>
                <w:kern w:val="2"/>
                <w:sz w:val="21"/>
                <w:szCs w:val="21"/>
                <w:highlight w:val="none"/>
              </w:rPr>
            </w:pPr>
          </w:p>
        </w:tc>
        <w:tc>
          <w:tcPr>
            <w:tcW w:w="502" w:type="pct"/>
            <w:tcBorders>
              <w:top w:val="nil"/>
            </w:tcBorders>
            <w:vAlign w:val="center"/>
          </w:tcPr>
          <w:p>
            <w:pPr>
              <w:keepNext/>
              <w:spacing w:line="360" w:lineRule="auto"/>
              <w:jc w:val="center"/>
              <w:rPr>
                <w:kern w:val="2"/>
                <w:sz w:val="21"/>
                <w:szCs w:val="21"/>
                <w:highlight w:val="none"/>
              </w:rPr>
            </w:pPr>
          </w:p>
        </w:tc>
        <w:tc>
          <w:tcPr>
            <w:tcW w:w="502" w:type="pct"/>
            <w:tcBorders>
              <w:top w:val="nil"/>
            </w:tcBorders>
            <w:vAlign w:val="center"/>
          </w:tcPr>
          <w:p>
            <w:pPr>
              <w:keepNext/>
              <w:spacing w:line="360" w:lineRule="auto"/>
              <w:jc w:val="center"/>
              <w:rPr>
                <w:kern w:val="2"/>
                <w:sz w:val="21"/>
                <w:szCs w:val="21"/>
                <w:highlight w:val="none"/>
              </w:rPr>
            </w:pPr>
          </w:p>
        </w:tc>
        <w:tc>
          <w:tcPr>
            <w:tcW w:w="1279" w:type="pct"/>
            <w:tcBorders>
              <w:top w:val="nil"/>
            </w:tcBorders>
            <w:vAlign w:val="center"/>
          </w:tcPr>
          <w:p>
            <w:pPr>
              <w:keepNext/>
              <w:spacing w:line="360" w:lineRule="auto"/>
              <w:jc w:val="center"/>
              <w:rPr>
                <w:kern w:val="2"/>
                <w:sz w:val="21"/>
                <w:szCs w:val="21"/>
                <w:highlight w:val="none"/>
              </w:rPr>
            </w:pPr>
          </w:p>
        </w:tc>
        <w:tc>
          <w:tcPr>
            <w:tcW w:w="1152" w:type="pct"/>
            <w:tcBorders>
              <w:top w:val="nil"/>
            </w:tcBorders>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pPr>
              <w:spacing w:line="360" w:lineRule="auto"/>
              <w:jc w:val="center"/>
              <w:rPr>
                <w:kern w:val="2"/>
                <w:sz w:val="21"/>
                <w:szCs w:val="21"/>
                <w:highlight w:val="none"/>
              </w:rPr>
            </w:pPr>
            <w:r>
              <w:rPr>
                <w:rFonts w:hint="eastAsia"/>
                <w:kern w:val="2"/>
                <w:sz w:val="21"/>
                <w:szCs w:val="21"/>
                <w:highlight w:val="none"/>
              </w:rPr>
              <w:t>其他人员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spacing w:line="360" w:lineRule="auto"/>
              <w:jc w:val="center"/>
              <w:rPr>
                <w:kern w:val="2"/>
                <w:sz w:val="21"/>
                <w:szCs w:val="21"/>
                <w:highlight w:val="none"/>
              </w:rPr>
            </w:pP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pPr>
              <w:spacing w:line="360" w:lineRule="auto"/>
              <w:jc w:val="center"/>
              <w:rPr>
                <w:kern w:val="2"/>
                <w:sz w:val="21"/>
                <w:szCs w:val="21"/>
                <w:highlight w:val="none"/>
              </w:rPr>
            </w:pP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vAlign w:val="center"/>
          </w:tcPr>
          <w:p>
            <w:pPr>
              <w:keepNext/>
              <w:spacing w:line="360" w:lineRule="auto"/>
              <w:jc w:val="center"/>
              <w:rPr>
                <w:kern w:val="2"/>
                <w:sz w:val="21"/>
                <w:szCs w:val="21"/>
                <w:highlight w:val="none"/>
              </w:rPr>
            </w:pPr>
            <w:r>
              <w:rPr>
                <w:rFonts w:hint="eastAsia"/>
                <w:kern w:val="2"/>
                <w:sz w:val="21"/>
                <w:szCs w:val="21"/>
                <w:highlight w:val="none"/>
              </w:rPr>
              <w:t>二、现场人员</w:t>
            </w: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项目经理</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项目副经理</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项目技术负责人</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施工员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质检员（质量员）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安全员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kern w:val="2"/>
                <w:sz w:val="21"/>
                <w:szCs w:val="21"/>
                <w:highlight w:val="none"/>
              </w:rPr>
            </w:pPr>
            <w:r>
              <w:rPr>
                <w:rFonts w:hint="eastAsia"/>
                <w:kern w:val="2"/>
                <w:sz w:val="21"/>
                <w:szCs w:val="21"/>
                <w:highlight w:val="none"/>
              </w:rPr>
              <w:t>资料员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pPr>
              <w:spacing w:line="360" w:lineRule="auto"/>
              <w:jc w:val="center"/>
              <w:rPr>
                <w:kern w:val="2"/>
                <w:sz w:val="21"/>
                <w:szCs w:val="21"/>
                <w:highlight w:val="none"/>
              </w:rPr>
            </w:pPr>
            <w:r>
              <w:rPr>
                <w:rFonts w:hint="eastAsia"/>
                <w:kern w:val="2"/>
                <w:sz w:val="21"/>
                <w:szCs w:val="21"/>
                <w:highlight w:val="none"/>
              </w:rPr>
              <w:t>其他人员</w:t>
            </w: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Merge w:val="continue"/>
            <w:vAlign w:val="center"/>
          </w:tcPr>
          <w:p>
            <w:pPr>
              <w:keepNext/>
              <w:spacing w:line="360" w:lineRule="auto"/>
              <w:jc w:val="center"/>
              <w:rPr>
                <w:kern w:val="2"/>
                <w:sz w:val="21"/>
                <w:szCs w:val="21"/>
                <w:highlight w:val="none"/>
              </w:rPr>
            </w:pPr>
          </w:p>
        </w:tc>
        <w:tc>
          <w:tcPr>
            <w:tcW w:w="626" w:type="pct"/>
            <w:tcBorders>
              <w:bottom w:val="nil"/>
            </w:tcBorders>
            <w:vAlign w:val="center"/>
          </w:tcPr>
          <w:p>
            <w:pPr>
              <w:keepNext/>
              <w:spacing w:line="360" w:lineRule="auto"/>
              <w:jc w:val="center"/>
              <w:rPr>
                <w:kern w:val="2"/>
                <w:sz w:val="21"/>
                <w:szCs w:val="21"/>
                <w:highlight w:val="none"/>
              </w:rPr>
            </w:pPr>
          </w:p>
        </w:tc>
        <w:tc>
          <w:tcPr>
            <w:tcW w:w="502" w:type="pct"/>
            <w:tcBorders>
              <w:bottom w:val="nil"/>
            </w:tcBorders>
            <w:vAlign w:val="center"/>
          </w:tcPr>
          <w:p>
            <w:pPr>
              <w:keepNext/>
              <w:spacing w:line="360" w:lineRule="auto"/>
              <w:jc w:val="center"/>
              <w:rPr>
                <w:kern w:val="2"/>
                <w:sz w:val="21"/>
                <w:szCs w:val="21"/>
                <w:highlight w:val="none"/>
              </w:rPr>
            </w:pPr>
          </w:p>
        </w:tc>
        <w:tc>
          <w:tcPr>
            <w:tcW w:w="502" w:type="pct"/>
            <w:tcBorders>
              <w:bottom w:val="nil"/>
            </w:tcBorders>
            <w:vAlign w:val="center"/>
          </w:tcPr>
          <w:p>
            <w:pPr>
              <w:keepNext/>
              <w:spacing w:line="360" w:lineRule="auto"/>
              <w:jc w:val="center"/>
              <w:rPr>
                <w:kern w:val="2"/>
                <w:sz w:val="21"/>
                <w:szCs w:val="21"/>
                <w:highlight w:val="none"/>
              </w:rPr>
            </w:pPr>
          </w:p>
        </w:tc>
        <w:tc>
          <w:tcPr>
            <w:tcW w:w="1279" w:type="pct"/>
            <w:tcBorders>
              <w:bottom w:val="nil"/>
            </w:tcBorders>
            <w:vAlign w:val="center"/>
          </w:tcPr>
          <w:p>
            <w:pPr>
              <w:keepNext/>
              <w:spacing w:line="360" w:lineRule="auto"/>
              <w:jc w:val="center"/>
              <w:rPr>
                <w:kern w:val="2"/>
                <w:sz w:val="21"/>
                <w:szCs w:val="21"/>
                <w:highlight w:val="none"/>
              </w:rPr>
            </w:pPr>
          </w:p>
        </w:tc>
        <w:tc>
          <w:tcPr>
            <w:tcW w:w="1152" w:type="pct"/>
            <w:tcBorders>
              <w:bottom w:val="nil"/>
            </w:tcBorders>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kern w:val="2"/>
                <w:sz w:val="21"/>
                <w:szCs w:val="21"/>
                <w:highlight w:val="none"/>
              </w:rPr>
            </w:pP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kern w:val="2"/>
                <w:sz w:val="21"/>
                <w:szCs w:val="21"/>
                <w:highlight w:val="none"/>
              </w:rPr>
            </w:pP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kern w:val="2"/>
                <w:sz w:val="21"/>
                <w:szCs w:val="21"/>
                <w:highlight w:val="none"/>
              </w:rPr>
            </w:pPr>
          </w:p>
        </w:tc>
        <w:tc>
          <w:tcPr>
            <w:tcW w:w="626"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502" w:type="pct"/>
            <w:vAlign w:val="center"/>
          </w:tcPr>
          <w:p>
            <w:pPr>
              <w:keepNext/>
              <w:spacing w:line="360" w:lineRule="auto"/>
              <w:jc w:val="center"/>
              <w:rPr>
                <w:kern w:val="2"/>
                <w:sz w:val="21"/>
                <w:szCs w:val="21"/>
                <w:highlight w:val="none"/>
              </w:rPr>
            </w:pPr>
          </w:p>
        </w:tc>
        <w:tc>
          <w:tcPr>
            <w:tcW w:w="1279" w:type="pct"/>
            <w:vAlign w:val="center"/>
          </w:tcPr>
          <w:p>
            <w:pPr>
              <w:keepNext/>
              <w:spacing w:line="360" w:lineRule="auto"/>
              <w:jc w:val="center"/>
              <w:rPr>
                <w:kern w:val="2"/>
                <w:sz w:val="21"/>
                <w:szCs w:val="21"/>
                <w:highlight w:val="none"/>
              </w:rPr>
            </w:pPr>
          </w:p>
        </w:tc>
        <w:tc>
          <w:tcPr>
            <w:tcW w:w="1152" w:type="pct"/>
          </w:tcPr>
          <w:p>
            <w:pPr>
              <w:keepNext/>
              <w:spacing w:line="360" w:lineRule="auto"/>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pPr>
              <w:keepNext/>
              <w:spacing w:line="360" w:lineRule="auto"/>
              <w:jc w:val="center"/>
              <w:rPr>
                <w:kern w:val="2"/>
                <w:sz w:val="21"/>
                <w:szCs w:val="21"/>
                <w:highlight w:val="none"/>
              </w:rPr>
            </w:pPr>
          </w:p>
        </w:tc>
        <w:tc>
          <w:tcPr>
            <w:tcW w:w="626" w:type="pct"/>
            <w:tcBorders>
              <w:bottom w:val="single" w:color="auto" w:sz="12" w:space="0"/>
            </w:tcBorders>
            <w:vAlign w:val="center"/>
          </w:tcPr>
          <w:p>
            <w:pPr>
              <w:keepNext/>
              <w:spacing w:line="360" w:lineRule="auto"/>
              <w:jc w:val="center"/>
              <w:rPr>
                <w:kern w:val="2"/>
                <w:sz w:val="21"/>
                <w:szCs w:val="21"/>
                <w:highlight w:val="none"/>
              </w:rPr>
            </w:pPr>
          </w:p>
        </w:tc>
        <w:tc>
          <w:tcPr>
            <w:tcW w:w="502" w:type="pct"/>
            <w:tcBorders>
              <w:bottom w:val="single" w:color="auto" w:sz="12" w:space="0"/>
            </w:tcBorders>
            <w:vAlign w:val="center"/>
          </w:tcPr>
          <w:p>
            <w:pPr>
              <w:keepNext/>
              <w:spacing w:line="360" w:lineRule="auto"/>
              <w:jc w:val="center"/>
              <w:rPr>
                <w:kern w:val="2"/>
                <w:sz w:val="21"/>
                <w:szCs w:val="21"/>
                <w:highlight w:val="none"/>
              </w:rPr>
            </w:pPr>
          </w:p>
        </w:tc>
        <w:tc>
          <w:tcPr>
            <w:tcW w:w="502" w:type="pct"/>
            <w:tcBorders>
              <w:bottom w:val="single" w:color="auto" w:sz="12" w:space="0"/>
            </w:tcBorders>
            <w:vAlign w:val="center"/>
          </w:tcPr>
          <w:p>
            <w:pPr>
              <w:keepNext/>
              <w:spacing w:line="360" w:lineRule="auto"/>
              <w:jc w:val="center"/>
              <w:rPr>
                <w:kern w:val="2"/>
                <w:sz w:val="21"/>
                <w:szCs w:val="21"/>
                <w:highlight w:val="none"/>
              </w:rPr>
            </w:pPr>
          </w:p>
        </w:tc>
        <w:tc>
          <w:tcPr>
            <w:tcW w:w="1279" w:type="pct"/>
            <w:tcBorders>
              <w:bottom w:val="single" w:color="auto" w:sz="12" w:space="0"/>
            </w:tcBorders>
            <w:vAlign w:val="center"/>
          </w:tcPr>
          <w:p>
            <w:pPr>
              <w:keepNext/>
              <w:spacing w:line="360" w:lineRule="auto"/>
              <w:jc w:val="center"/>
              <w:rPr>
                <w:kern w:val="2"/>
                <w:sz w:val="21"/>
                <w:szCs w:val="21"/>
                <w:highlight w:val="none"/>
              </w:rPr>
            </w:pPr>
          </w:p>
        </w:tc>
        <w:tc>
          <w:tcPr>
            <w:tcW w:w="1152" w:type="pct"/>
            <w:tcBorders>
              <w:bottom w:val="single" w:color="auto" w:sz="12" w:space="0"/>
            </w:tcBorders>
          </w:tcPr>
          <w:p>
            <w:pPr>
              <w:keepNext/>
              <w:spacing w:line="360" w:lineRule="auto"/>
              <w:jc w:val="center"/>
              <w:rPr>
                <w:kern w:val="2"/>
                <w:sz w:val="21"/>
                <w:szCs w:val="21"/>
                <w:highlight w:val="none"/>
              </w:rPr>
            </w:pPr>
          </w:p>
        </w:tc>
      </w:tr>
    </w:tbl>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br w:type="page"/>
      </w:r>
      <w:r>
        <w:rPr>
          <w:rFonts w:hint="eastAsia" w:ascii="黑体" w:hAnsi="黑体" w:eastAsia="黑体"/>
          <w:bCs/>
          <w:kern w:val="2"/>
          <w:sz w:val="24"/>
          <w:szCs w:val="24"/>
          <w:highlight w:val="none"/>
        </w:rPr>
        <w:t>附</w:t>
      </w:r>
      <w:bookmarkStart w:id="603" w:name="_Toc296891269"/>
      <w:bookmarkStart w:id="604" w:name="_Toc296944568"/>
      <w:bookmarkStart w:id="605" w:name="_Toc296891057"/>
      <w:bookmarkStart w:id="606" w:name="_Toc296347228"/>
      <w:bookmarkStart w:id="607" w:name="_Toc296346730"/>
      <w:bookmarkStart w:id="608" w:name="_Toc296503229"/>
      <w:r>
        <w:rPr>
          <w:rFonts w:hint="eastAsia" w:ascii="黑体" w:hAnsi="黑体" w:eastAsia="黑体"/>
          <w:bCs/>
          <w:kern w:val="2"/>
          <w:sz w:val="24"/>
          <w:szCs w:val="24"/>
          <w:highlight w:val="none"/>
        </w:rPr>
        <w:t>件</w:t>
      </w:r>
      <w:r>
        <w:rPr>
          <w:rFonts w:ascii="黑体" w:hAnsi="黑体" w:eastAsia="黑体"/>
          <w:bCs/>
          <w:kern w:val="2"/>
          <w:sz w:val="24"/>
          <w:szCs w:val="24"/>
          <w:highlight w:val="none"/>
        </w:rPr>
        <w:t>7</w:t>
      </w:r>
      <w:r>
        <w:rPr>
          <w:rFonts w:hint="eastAsia" w:ascii="黑体" w:hAnsi="黑体" w:eastAsia="黑体"/>
          <w:bCs/>
          <w:kern w:val="2"/>
          <w:sz w:val="24"/>
          <w:szCs w:val="24"/>
          <w:highlight w:val="none"/>
        </w:rPr>
        <w:t>：分包人主要施工管理人员表</w:t>
      </w:r>
    </w:p>
    <w:bookmarkEnd w:id="603"/>
    <w:bookmarkEnd w:id="604"/>
    <w:bookmarkEnd w:id="605"/>
    <w:bookmarkEnd w:id="606"/>
    <w:bookmarkEnd w:id="607"/>
    <w:bookmarkEnd w:id="608"/>
    <w:p>
      <w:pPr>
        <w:spacing w:before="156" w:beforeLines="50" w:after="156" w:afterLines="50" w:line="360" w:lineRule="auto"/>
        <w:jc w:val="center"/>
        <w:rPr>
          <w:b/>
          <w:kern w:val="2"/>
          <w:sz w:val="21"/>
          <w:szCs w:val="21"/>
          <w:highlight w:val="none"/>
        </w:rPr>
      </w:pPr>
      <w:r>
        <w:rPr>
          <w:rFonts w:hint="eastAsia"/>
          <w:b/>
          <w:kern w:val="2"/>
          <w:sz w:val="21"/>
          <w:szCs w:val="21"/>
          <w:highlight w:val="none"/>
        </w:rPr>
        <w:t>分包人主要施工管理人员表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7"/>
        <w:gridCol w:w="1072"/>
        <w:gridCol w:w="858"/>
        <w:gridCol w:w="625"/>
        <w:gridCol w:w="2893"/>
        <w:gridCol w:w="1497"/>
      </w:tblGrid>
      <w:tr>
        <w:tblPrEx>
          <w:tblCellMar>
            <w:top w:w="0" w:type="dxa"/>
            <w:left w:w="28" w:type="dxa"/>
            <w:bottom w:w="0" w:type="dxa"/>
            <w:right w:w="28" w:type="dxa"/>
          </w:tblCellMar>
        </w:tblPrEx>
        <w:trPr>
          <w:jc w:val="center"/>
        </w:trPr>
        <w:tc>
          <w:tcPr>
            <w:tcW w:w="847"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名</w:t>
            </w:r>
            <w:r>
              <w:rPr>
                <w:kern w:val="2"/>
                <w:sz w:val="21"/>
                <w:szCs w:val="21"/>
                <w:highlight w:val="none"/>
              </w:rPr>
              <w:t xml:space="preserve">    </w:t>
            </w:r>
            <w:r>
              <w:rPr>
                <w:rFonts w:hint="eastAsia"/>
                <w:kern w:val="2"/>
                <w:sz w:val="21"/>
                <w:szCs w:val="21"/>
                <w:highlight w:val="none"/>
              </w:rPr>
              <w:t>称</w:t>
            </w:r>
          </w:p>
        </w:tc>
        <w:tc>
          <w:tcPr>
            <w:tcW w:w="641"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姓名</w:t>
            </w:r>
          </w:p>
        </w:tc>
        <w:tc>
          <w:tcPr>
            <w:tcW w:w="513"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职务</w:t>
            </w:r>
          </w:p>
        </w:tc>
        <w:tc>
          <w:tcPr>
            <w:tcW w:w="374"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职称</w:t>
            </w:r>
          </w:p>
        </w:tc>
        <w:tc>
          <w:tcPr>
            <w:tcW w:w="1730"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主要资历、经验及承担过的项目</w:t>
            </w:r>
          </w:p>
        </w:tc>
        <w:tc>
          <w:tcPr>
            <w:tcW w:w="896" w:type="pct"/>
            <w:tcBorders>
              <w:top w:val="single" w:color="auto" w:sz="12" w:space="0"/>
              <w:bottom w:val="double" w:color="auto" w:sz="6" w:space="0"/>
            </w:tcBorders>
            <w:vAlign w:val="center"/>
          </w:tcPr>
          <w:p>
            <w:pPr>
              <w:keepNext/>
              <w:spacing w:line="360" w:lineRule="auto"/>
              <w:jc w:val="center"/>
              <w:rPr>
                <w:kern w:val="2"/>
                <w:sz w:val="21"/>
                <w:szCs w:val="21"/>
                <w:highlight w:val="none"/>
              </w:rPr>
            </w:pPr>
            <w:r>
              <w:rPr>
                <w:rFonts w:hint="eastAsia"/>
                <w:kern w:val="2"/>
                <w:sz w:val="21"/>
                <w:szCs w:val="21"/>
                <w:highlight w:val="none"/>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pPr>
              <w:keepNext/>
              <w:spacing w:line="360" w:lineRule="auto"/>
              <w:rPr>
                <w:kern w:val="2"/>
                <w:sz w:val="21"/>
                <w:szCs w:val="21"/>
                <w:highlight w:val="none"/>
              </w:rPr>
            </w:pPr>
            <w:r>
              <w:rPr>
                <w:rFonts w:hint="eastAsia"/>
                <w:kern w:val="2"/>
                <w:sz w:val="21"/>
                <w:szCs w:val="21"/>
                <w:highlight w:val="none"/>
              </w:rPr>
              <w:t>一、总部人员</w:t>
            </w:r>
          </w:p>
        </w:tc>
        <w:tc>
          <w:tcPr>
            <w:tcW w:w="896" w:type="pct"/>
            <w:tcBorders>
              <w:top w:val="double" w:color="auto" w:sz="6" w:space="0"/>
            </w:tcBorders>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kern w:val="2"/>
                <w:sz w:val="21"/>
                <w:szCs w:val="21"/>
                <w:highlight w:val="none"/>
              </w:rPr>
            </w:pPr>
            <w:r>
              <w:rPr>
                <w:rFonts w:hint="eastAsia"/>
                <w:kern w:val="2"/>
                <w:sz w:val="21"/>
                <w:szCs w:val="21"/>
                <w:highlight w:val="none"/>
              </w:rPr>
              <w:t>项目主管</w:t>
            </w:r>
          </w:p>
        </w:tc>
        <w:tc>
          <w:tcPr>
            <w:tcW w:w="641" w:type="pct"/>
            <w:tcBorders>
              <w:top w:val="nil"/>
            </w:tcBorders>
            <w:vAlign w:val="center"/>
          </w:tcPr>
          <w:p>
            <w:pPr>
              <w:keepNext/>
              <w:spacing w:line="360" w:lineRule="auto"/>
              <w:rPr>
                <w:kern w:val="2"/>
                <w:sz w:val="21"/>
                <w:szCs w:val="21"/>
                <w:highlight w:val="none"/>
              </w:rPr>
            </w:pPr>
          </w:p>
        </w:tc>
        <w:tc>
          <w:tcPr>
            <w:tcW w:w="513" w:type="pct"/>
            <w:tcBorders>
              <w:top w:val="nil"/>
            </w:tcBorders>
            <w:vAlign w:val="center"/>
          </w:tcPr>
          <w:p>
            <w:pPr>
              <w:keepNext/>
              <w:spacing w:line="360" w:lineRule="auto"/>
              <w:rPr>
                <w:kern w:val="2"/>
                <w:sz w:val="21"/>
                <w:szCs w:val="21"/>
                <w:highlight w:val="none"/>
              </w:rPr>
            </w:pPr>
          </w:p>
        </w:tc>
        <w:tc>
          <w:tcPr>
            <w:tcW w:w="374" w:type="pct"/>
            <w:tcBorders>
              <w:top w:val="nil"/>
            </w:tcBorders>
            <w:vAlign w:val="center"/>
          </w:tcPr>
          <w:p>
            <w:pPr>
              <w:keepNext/>
              <w:spacing w:line="360" w:lineRule="auto"/>
              <w:rPr>
                <w:kern w:val="2"/>
                <w:sz w:val="21"/>
                <w:szCs w:val="21"/>
                <w:highlight w:val="none"/>
              </w:rPr>
            </w:pPr>
          </w:p>
        </w:tc>
        <w:tc>
          <w:tcPr>
            <w:tcW w:w="1730" w:type="pct"/>
            <w:tcBorders>
              <w:top w:val="nil"/>
            </w:tcBorders>
            <w:vAlign w:val="center"/>
          </w:tcPr>
          <w:p>
            <w:pPr>
              <w:keepNext/>
              <w:spacing w:line="360" w:lineRule="auto"/>
              <w:rPr>
                <w:kern w:val="2"/>
                <w:sz w:val="21"/>
                <w:szCs w:val="21"/>
                <w:highlight w:val="none"/>
              </w:rPr>
            </w:pPr>
          </w:p>
        </w:tc>
        <w:tc>
          <w:tcPr>
            <w:tcW w:w="896" w:type="pct"/>
            <w:tcBorders>
              <w:top w:val="nil"/>
            </w:tcBorders>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bottom w:val="nil"/>
            </w:tcBorders>
            <w:vAlign w:val="center"/>
          </w:tcPr>
          <w:p>
            <w:pPr>
              <w:keepNext/>
              <w:spacing w:line="360" w:lineRule="auto"/>
              <w:rPr>
                <w:kern w:val="2"/>
                <w:sz w:val="21"/>
                <w:szCs w:val="21"/>
                <w:highlight w:val="none"/>
              </w:rPr>
            </w:pP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kern w:val="2"/>
                <w:sz w:val="21"/>
                <w:szCs w:val="21"/>
                <w:highlight w:val="none"/>
              </w:rPr>
            </w:pPr>
            <w:r>
              <w:rPr>
                <w:rFonts w:hint="eastAsia"/>
                <w:kern w:val="2"/>
                <w:sz w:val="21"/>
                <w:szCs w:val="21"/>
                <w:highlight w:val="none"/>
              </w:rPr>
              <w:t>其他人员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kern w:val="2"/>
                <w:sz w:val="21"/>
                <w:szCs w:val="21"/>
                <w:highlight w:val="none"/>
              </w:rPr>
            </w:pP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pPr>
              <w:keepNext/>
              <w:spacing w:line="360" w:lineRule="auto"/>
              <w:rPr>
                <w:kern w:val="2"/>
                <w:sz w:val="21"/>
                <w:szCs w:val="21"/>
                <w:highlight w:val="none"/>
              </w:rPr>
            </w:pPr>
            <w:r>
              <w:rPr>
                <w:rFonts w:hint="eastAsia"/>
                <w:kern w:val="2"/>
                <w:sz w:val="21"/>
                <w:szCs w:val="21"/>
                <w:highlight w:val="none"/>
              </w:rPr>
              <w:t>二、现场人员</w:t>
            </w: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项目经理</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项目副经理</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项目技术负责人</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施工员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质检员（质量员）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安全员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kern w:val="2"/>
                <w:sz w:val="21"/>
                <w:szCs w:val="22"/>
                <w:highlight w:val="none"/>
              </w:rPr>
            </w:pPr>
            <w:r>
              <w:rPr>
                <w:rFonts w:hint="eastAsia"/>
                <w:kern w:val="2"/>
                <w:sz w:val="21"/>
                <w:szCs w:val="22"/>
                <w:highlight w:val="none"/>
              </w:rPr>
              <w:t>资料员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restart"/>
            <w:vAlign w:val="center"/>
          </w:tcPr>
          <w:p>
            <w:pPr>
              <w:keepNext/>
              <w:spacing w:line="360" w:lineRule="auto"/>
              <w:rPr>
                <w:kern w:val="2"/>
                <w:sz w:val="21"/>
                <w:szCs w:val="21"/>
                <w:highlight w:val="none"/>
              </w:rPr>
            </w:pPr>
            <w:r>
              <w:rPr>
                <w:rFonts w:hint="eastAsia"/>
                <w:kern w:val="2"/>
                <w:sz w:val="21"/>
                <w:szCs w:val="21"/>
                <w:highlight w:val="none"/>
              </w:rPr>
              <w:t>其他人员</w:t>
            </w: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kern w:val="2"/>
                <w:sz w:val="21"/>
                <w:szCs w:val="21"/>
                <w:highlight w:val="none"/>
              </w:rPr>
            </w:pPr>
          </w:p>
        </w:tc>
        <w:tc>
          <w:tcPr>
            <w:tcW w:w="641" w:type="pct"/>
            <w:tcBorders>
              <w:bottom w:val="nil"/>
            </w:tcBorders>
            <w:vAlign w:val="center"/>
          </w:tcPr>
          <w:p>
            <w:pPr>
              <w:keepNext/>
              <w:spacing w:line="360" w:lineRule="auto"/>
              <w:rPr>
                <w:kern w:val="2"/>
                <w:sz w:val="21"/>
                <w:szCs w:val="21"/>
                <w:highlight w:val="none"/>
              </w:rPr>
            </w:pPr>
          </w:p>
        </w:tc>
        <w:tc>
          <w:tcPr>
            <w:tcW w:w="513" w:type="pct"/>
            <w:tcBorders>
              <w:bottom w:val="nil"/>
            </w:tcBorders>
            <w:vAlign w:val="center"/>
          </w:tcPr>
          <w:p>
            <w:pPr>
              <w:keepNext/>
              <w:spacing w:line="360" w:lineRule="auto"/>
              <w:rPr>
                <w:kern w:val="2"/>
                <w:sz w:val="21"/>
                <w:szCs w:val="21"/>
                <w:highlight w:val="none"/>
              </w:rPr>
            </w:pPr>
          </w:p>
        </w:tc>
        <w:tc>
          <w:tcPr>
            <w:tcW w:w="374" w:type="pct"/>
            <w:tcBorders>
              <w:bottom w:val="nil"/>
            </w:tcBorders>
            <w:vAlign w:val="center"/>
          </w:tcPr>
          <w:p>
            <w:pPr>
              <w:keepNext/>
              <w:spacing w:line="360" w:lineRule="auto"/>
              <w:rPr>
                <w:kern w:val="2"/>
                <w:sz w:val="21"/>
                <w:szCs w:val="21"/>
                <w:highlight w:val="none"/>
              </w:rPr>
            </w:pPr>
          </w:p>
        </w:tc>
        <w:tc>
          <w:tcPr>
            <w:tcW w:w="1730" w:type="pct"/>
            <w:tcBorders>
              <w:bottom w:val="nil"/>
            </w:tcBorders>
            <w:vAlign w:val="center"/>
          </w:tcPr>
          <w:p>
            <w:pPr>
              <w:keepNext/>
              <w:spacing w:line="360" w:lineRule="auto"/>
              <w:rPr>
                <w:kern w:val="2"/>
                <w:sz w:val="21"/>
                <w:szCs w:val="21"/>
                <w:highlight w:val="none"/>
              </w:rPr>
            </w:pPr>
          </w:p>
        </w:tc>
        <w:tc>
          <w:tcPr>
            <w:tcW w:w="896" w:type="pct"/>
            <w:tcBorders>
              <w:bottom w:val="nil"/>
            </w:tcBorders>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kern w:val="2"/>
                <w:sz w:val="21"/>
                <w:szCs w:val="21"/>
                <w:highlight w:val="none"/>
              </w:rPr>
            </w:pP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kern w:val="2"/>
                <w:sz w:val="21"/>
                <w:szCs w:val="21"/>
                <w:highlight w:val="none"/>
              </w:rPr>
            </w:pP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kern w:val="2"/>
                <w:sz w:val="21"/>
                <w:szCs w:val="21"/>
                <w:highlight w:val="none"/>
              </w:rPr>
            </w:pPr>
          </w:p>
        </w:tc>
        <w:tc>
          <w:tcPr>
            <w:tcW w:w="641" w:type="pct"/>
            <w:vAlign w:val="center"/>
          </w:tcPr>
          <w:p>
            <w:pPr>
              <w:keepNext/>
              <w:spacing w:line="360" w:lineRule="auto"/>
              <w:rPr>
                <w:kern w:val="2"/>
                <w:sz w:val="21"/>
                <w:szCs w:val="21"/>
                <w:highlight w:val="none"/>
              </w:rPr>
            </w:pPr>
          </w:p>
        </w:tc>
        <w:tc>
          <w:tcPr>
            <w:tcW w:w="513" w:type="pct"/>
            <w:vAlign w:val="center"/>
          </w:tcPr>
          <w:p>
            <w:pPr>
              <w:keepNext/>
              <w:spacing w:line="360" w:lineRule="auto"/>
              <w:rPr>
                <w:kern w:val="2"/>
                <w:sz w:val="21"/>
                <w:szCs w:val="21"/>
                <w:highlight w:val="none"/>
              </w:rPr>
            </w:pPr>
          </w:p>
        </w:tc>
        <w:tc>
          <w:tcPr>
            <w:tcW w:w="374" w:type="pct"/>
            <w:vAlign w:val="center"/>
          </w:tcPr>
          <w:p>
            <w:pPr>
              <w:keepNext/>
              <w:spacing w:line="360" w:lineRule="auto"/>
              <w:rPr>
                <w:kern w:val="2"/>
                <w:sz w:val="21"/>
                <w:szCs w:val="21"/>
                <w:highlight w:val="none"/>
              </w:rPr>
            </w:pPr>
          </w:p>
        </w:tc>
        <w:tc>
          <w:tcPr>
            <w:tcW w:w="1730" w:type="pct"/>
            <w:vAlign w:val="center"/>
          </w:tcPr>
          <w:p>
            <w:pPr>
              <w:keepNext/>
              <w:spacing w:line="360" w:lineRule="auto"/>
              <w:rPr>
                <w:kern w:val="2"/>
                <w:sz w:val="21"/>
                <w:szCs w:val="21"/>
                <w:highlight w:val="none"/>
              </w:rPr>
            </w:pPr>
          </w:p>
        </w:tc>
        <w:tc>
          <w:tcPr>
            <w:tcW w:w="896" w:type="pct"/>
          </w:tcPr>
          <w:p>
            <w:pPr>
              <w:keepNext/>
              <w:spacing w:line="360" w:lineRule="auto"/>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tcBorders>
              <w:bottom w:val="single" w:color="auto" w:sz="12" w:space="0"/>
            </w:tcBorders>
            <w:vAlign w:val="center"/>
          </w:tcPr>
          <w:p>
            <w:pPr>
              <w:keepNext/>
              <w:spacing w:line="360" w:lineRule="auto"/>
              <w:rPr>
                <w:kern w:val="2"/>
                <w:sz w:val="21"/>
                <w:szCs w:val="21"/>
                <w:highlight w:val="none"/>
              </w:rPr>
            </w:pPr>
          </w:p>
        </w:tc>
        <w:tc>
          <w:tcPr>
            <w:tcW w:w="641" w:type="pct"/>
            <w:tcBorders>
              <w:bottom w:val="single" w:color="auto" w:sz="12" w:space="0"/>
            </w:tcBorders>
            <w:vAlign w:val="center"/>
          </w:tcPr>
          <w:p>
            <w:pPr>
              <w:keepNext/>
              <w:spacing w:line="360" w:lineRule="auto"/>
              <w:rPr>
                <w:kern w:val="2"/>
                <w:sz w:val="21"/>
                <w:szCs w:val="21"/>
                <w:highlight w:val="none"/>
              </w:rPr>
            </w:pPr>
          </w:p>
        </w:tc>
        <w:tc>
          <w:tcPr>
            <w:tcW w:w="513" w:type="pct"/>
            <w:tcBorders>
              <w:bottom w:val="single" w:color="auto" w:sz="12" w:space="0"/>
            </w:tcBorders>
            <w:vAlign w:val="center"/>
          </w:tcPr>
          <w:p>
            <w:pPr>
              <w:keepNext/>
              <w:spacing w:line="360" w:lineRule="auto"/>
              <w:rPr>
                <w:kern w:val="2"/>
                <w:sz w:val="21"/>
                <w:szCs w:val="21"/>
                <w:highlight w:val="none"/>
              </w:rPr>
            </w:pPr>
          </w:p>
        </w:tc>
        <w:tc>
          <w:tcPr>
            <w:tcW w:w="374" w:type="pct"/>
            <w:tcBorders>
              <w:bottom w:val="single" w:color="auto" w:sz="12" w:space="0"/>
            </w:tcBorders>
            <w:vAlign w:val="center"/>
          </w:tcPr>
          <w:p>
            <w:pPr>
              <w:keepNext/>
              <w:spacing w:line="360" w:lineRule="auto"/>
              <w:rPr>
                <w:kern w:val="2"/>
                <w:sz w:val="21"/>
                <w:szCs w:val="21"/>
                <w:highlight w:val="none"/>
              </w:rPr>
            </w:pPr>
          </w:p>
        </w:tc>
        <w:tc>
          <w:tcPr>
            <w:tcW w:w="1730" w:type="pct"/>
            <w:tcBorders>
              <w:bottom w:val="single" w:color="auto" w:sz="12" w:space="0"/>
            </w:tcBorders>
            <w:vAlign w:val="center"/>
          </w:tcPr>
          <w:p>
            <w:pPr>
              <w:keepNext/>
              <w:spacing w:line="360" w:lineRule="auto"/>
              <w:rPr>
                <w:kern w:val="2"/>
                <w:sz w:val="21"/>
                <w:szCs w:val="21"/>
                <w:highlight w:val="none"/>
              </w:rPr>
            </w:pPr>
          </w:p>
        </w:tc>
        <w:tc>
          <w:tcPr>
            <w:tcW w:w="896" w:type="pct"/>
            <w:tcBorders>
              <w:bottom w:val="single" w:color="auto" w:sz="12" w:space="0"/>
            </w:tcBorders>
          </w:tcPr>
          <w:p>
            <w:pPr>
              <w:keepNext/>
              <w:spacing w:line="360" w:lineRule="auto"/>
              <w:rPr>
                <w:kern w:val="2"/>
                <w:sz w:val="21"/>
                <w:szCs w:val="21"/>
                <w:highlight w:val="none"/>
              </w:rPr>
            </w:pPr>
          </w:p>
        </w:tc>
      </w:tr>
    </w:tbl>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br w:type="page"/>
      </w:r>
      <w:r>
        <w:rPr>
          <w:rFonts w:hint="eastAsia" w:ascii="黑体" w:hAnsi="黑体" w:eastAsia="黑体"/>
          <w:bCs/>
          <w:kern w:val="2"/>
          <w:sz w:val="24"/>
          <w:szCs w:val="24"/>
          <w:highlight w:val="none"/>
        </w:rPr>
        <w:t>附</w:t>
      </w:r>
      <w:bookmarkStart w:id="609" w:name="_Toc296503231"/>
      <w:bookmarkStart w:id="610" w:name="_Toc296347230"/>
      <w:bookmarkStart w:id="611" w:name="_Toc296891271"/>
      <w:bookmarkStart w:id="612" w:name="_Toc296891059"/>
      <w:bookmarkStart w:id="613" w:name="_Toc296944570"/>
      <w:bookmarkStart w:id="614" w:name="_Toc296346732"/>
      <w:r>
        <w:rPr>
          <w:rFonts w:hint="eastAsia" w:ascii="黑体" w:hAnsi="黑体" w:eastAsia="黑体"/>
          <w:bCs/>
          <w:kern w:val="2"/>
          <w:sz w:val="24"/>
          <w:szCs w:val="24"/>
          <w:highlight w:val="none"/>
        </w:rPr>
        <w:t>件</w:t>
      </w:r>
      <w:r>
        <w:rPr>
          <w:rFonts w:ascii="黑体" w:hAnsi="黑体" w:eastAsia="黑体"/>
          <w:bCs/>
          <w:kern w:val="2"/>
          <w:sz w:val="24"/>
          <w:szCs w:val="24"/>
          <w:highlight w:val="none"/>
        </w:rPr>
        <w:t>8</w:t>
      </w:r>
      <w:r>
        <w:rPr>
          <w:rFonts w:hint="eastAsia" w:ascii="黑体" w:hAnsi="黑体" w:eastAsia="黑体"/>
          <w:bCs/>
          <w:kern w:val="2"/>
          <w:sz w:val="24"/>
          <w:szCs w:val="24"/>
          <w:highlight w:val="none"/>
        </w:rPr>
        <w:t>：廉政协议</w:t>
      </w:r>
    </w:p>
    <w:bookmarkEnd w:id="609"/>
    <w:bookmarkEnd w:id="610"/>
    <w:bookmarkEnd w:id="611"/>
    <w:bookmarkEnd w:id="612"/>
    <w:bookmarkEnd w:id="613"/>
    <w:bookmarkEnd w:id="614"/>
    <w:p>
      <w:pPr>
        <w:widowControl/>
        <w:spacing w:line="360" w:lineRule="auto"/>
        <w:ind w:firstLine="643"/>
        <w:jc w:val="center"/>
        <w:rPr>
          <w:b/>
          <w:bCs/>
          <w:sz w:val="32"/>
          <w:szCs w:val="32"/>
          <w:highlight w:val="none"/>
        </w:rPr>
      </w:pPr>
      <w:r>
        <w:rPr>
          <w:rFonts w:hint="eastAsia"/>
          <w:b/>
          <w:bCs/>
          <w:sz w:val="32"/>
          <w:szCs w:val="32"/>
          <w:highlight w:val="none"/>
        </w:rPr>
        <w:t>廉 政 协 议</w:t>
      </w:r>
    </w:p>
    <w:p>
      <w:pPr>
        <w:widowControl/>
        <w:spacing w:line="360" w:lineRule="auto"/>
        <w:ind w:firstLine="420" w:firstLineChars="200"/>
        <w:jc w:val="left"/>
        <w:rPr>
          <w:sz w:val="21"/>
          <w:szCs w:val="21"/>
          <w:highlight w:val="none"/>
        </w:rPr>
      </w:pPr>
      <w:r>
        <w:rPr>
          <w:rFonts w:hint="eastAsia"/>
          <w:sz w:val="21"/>
          <w:szCs w:val="21"/>
          <w:highlight w:val="none"/>
        </w:rPr>
        <w:t>为促进双方诚信经营、廉洁从业，防范商业贿赂，保护国家、集体和当事人的合法权益，根据国家有关法律法规和安徽省、合肥市廉政建设的规定，</w:t>
      </w:r>
      <w:r>
        <w:rPr>
          <w:rFonts w:hint="eastAsia"/>
          <w:sz w:val="21"/>
          <w:szCs w:val="21"/>
          <w:highlight w:val="none"/>
          <w:u w:val="single"/>
        </w:rPr>
        <w:t xml:space="preserve"> </w:t>
      </w:r>
      <w:r>
        <w:rPr>
          <w:rFonts w:hint="eastAsia"/>
          <w:sz w:val="21"/>
          <w:szCs w:val="21"/>
          <w:highlight w:val="none"/>
          <w:u w:val="single"/>
          <w:lang w:eastAsia="zh-CN"/>
        </w:rPr>
        <w:t>肥西综合能源服务有限公司</w:t>
      </w:r>
      <w:r>
        <w:rPr>
          <w:rFonts w:hint="eastAsia"/>
          <w:sz w:val="21"/>
          <w:szCs w:val="21"/>
          <w:highlight w:val="none"/>
          <w:u w:val="single"/>
        </w:rPr>
        <w:t xml:space="preserve"> </w:t>
      </w:r>
      <w:r>
        <w:rPr>
          <w:rFonts w:hint="eastAsia"/>
          <w:sz w:val="21"/>
          <w:szCs w:val="21"/>
          <w:highlight w:val="none"/>
          <w:u w:val="single"/>
          <w:lang w:eastAsia="zh-CN"/>
        </w:rPr>
        <w:t>（</w:t>
      </w:r>
      <w:r>
        <w:rPr>
          <w:rFonts w:hint="eastAsia"/>
          <w:sz w:val="21"/>
          <w:szCs w:val="21"/>
          <w:highlight w:val="none"/>
        </w:rPr>
        <w:t>以下称甲方</w:t>
      </w:r>
      <w:r>
        <w:rPr>
          <w:rFonts w:hint="eastAsia"/>
          <w:sz w:val="21"/>
          <w:szCs w:val="21"/>
          <w:highlight w:val="none"/>
          <w:lang w:eastAsia="zh-CN"/>
        </w:rPr>
        <w:t>）</w:t>
      </w:r>
      <w:r>
        <w:rPr>
          <w:rFonts w:hint="eastAsia"/>
          <w:sz w:val="21"/>
          <w:szCs w:val="21"/>
          <w:highlight w:val="none"/>
        </w:rPr>
        <w:t>与</w:t>
      </w:r>
      <w:r>
        <w:rPr>
          <w:rFonts w:hint="eastAsia"/>
          <w:sz w:val="21"/>
          <w:szCs w:val="21"/>
          <w:highlight w:val="none"/>
          <w:u w:val="single"/>
        </w:rPr>
        <w:t xml:space="preserve">                     </w:t>
      </w:r>
      <w:r>
        <w:rPr>
          <w:rFonts w:hint="eastAsia"/>
          <w:sz w:val="21"/>
          <w:szCs w:val="21"/>
          <w:highlight w:val="none"/>
          <w:u w:val="single"/>
          <w:lang w:eastAsia="zh-CN"/>
        </w:rPr>
        <w:t>（</w:t>
      </w:r>
      <w:r>
        <w:rPr>
          <w:rFonts w:hint="eastAsia"/>
          <w:sz w:val="21"/>
          <w:szCs w:val="21"/>
          <w:highlight w:val="none"/>
        </w:rPr>
        <w:t>以下称乙方</w:t>
      </w:r>
      <w:r>
        <w:rPr>
          <w:rFonts w:hint="eastAsia"/>
          <w:sz w:val="21"/>
          <w:szCs w:val="21"/>
          <w:highlight w:val="none"/>
          <w:lang w:eastAsia="zh-CN"/>
        </w:rPr>
        <w:t>）</w:t>
      </w:r>
      <w:r>
        <w:rPr>
          <w:rFonts w:hint="eastAsia"/>
          <w:sz w:val="21"/>
          <w:szCs w:val="21"/>
          <w:highlight w:val="none"/>
        </w:rPr>
        <w:t>，特此订立本协议共同遵照执行。</w:t>
      </w:r>
    </w:p>
    <w:p>
      <w:pPr>
        <w:widowControl/>
        <w:spacing w:line="360" w:lineRule="auto"/>
        <w:ind w:firstLine="420" w:firstLineChars="200"/>
        <w:jc w:val="left"/>
        <w:rPr>
          <w:sz w:val="21"/>
          <w:szCs w:val="21"/>
          <w:highlight w:val="none"/>
        </w:rPr>
      </w:pPr>
      <w:r>
        <w:rPr>
          <w:rFonts w:hint="eastAsia"/>
          <w:sz w:val="21"/>
          <w:szCs w:val="21"/>
          <w:highlight w:val="none"/>
        </w:rPr>
        <w:t>第一条 甲乙双方的权利和义务</w:t>
      </w:r>
    </w:p>
    <w:p>
      <w:pPr>
        <w:widowControl/>
        <w:spacing w:line="360" w:lineRule="auto"/>
        <w:ind w:firstLine="420" w:firstLineChars="200"/>
        <w:jc w:val="left"/>
        <w:rPr>
          <w:sz w:val="21"/>
          <w:szCs w:val="21"/>
          <w:highlight w:val="none"/>
        </w:rPr>
      </w:pPr>
      <w:r>
        <w:rPr>
          <w:rFonts w:hint="eastAsia"/>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sz w:val="21"/>
          <w:szCs w:val="21"/>
          <w:highlight w:val="none"/>
        </w:rPr>
      </w:pPr>
      <w:r>
        <w:rPr>
          <w:rFonts w:hint="eastAsia"/>
          <w:sz w:val="21"/>
          <w:szCs w:val="21"/>
          <w:highlight w:val="none"/>
        </w:rPr>
        <w:t>（二）严格执行</w:t>
      </w:r>
      <w:r>
        <w:rPr>
          <w:rFonts w:hint="eastAsia"/>
          <w:sz w:val="21"/>
          <w:szCs w:val="21"/>
          <w:highlight w:val="none"/>
          <w:u w:val="single"/>
        </w:rPr>
        <w:t xml:space="preserve">                                </w:t>
      </w:r>
      <w:r>
        <w:rPr>
          <w:rFonts w:hint="eastAsia"/>
          <w:sz w:val="21"/>
          <w:szCs w:val="21"/>
          <w:highlight w:val="none"/>
        </w:rPr>
        <w:t>的合同要求，自觉履行合同约定的相关义务。</w:t>
      </w:r>
    </w:p>
    <w:p>
      <w:pPr>
        <w:widowControl/>
        <w:spacing w:line="360" w:lineRule="auto"/>
        <w:ind w:firstLine="420" w:firstLineChars="200"/>
        <w:jc w:val="left"/>
        <w:rPr>
          <w:sz w:val="21"/>
          <w:szCs w:val="21"/>
          <w:highlight w:val="none"/>
        </w:rPr>
      </w:pPr>
      <w:r>
        <w:rPr>
          <w:rFonts w:hint="eastAsia"/>
          <w:sz w:val="21"/>
          <w:szCs w:val="21"/>
          <w:highlight w:val="none"/>
        </w:rPr>
        <w:t>（三）在业务活动中坚持公开、公正、诚信、透明的原则，不得损害国家、集体利益。</w:t>
      </w:r>
    </w:p>
    <w:p>
      <w:pPr>
        <w:widowControl/>
        <w:spacing w:line="360" w:lineRule="auto"/>
        <w:ind w:firstLine="420" w:firstLineChars="200"/>
        <w:jc w:val="left"/>
        <w:rPr>
          <w:sz w:val="21"/>
          <w:szCs w:val="21"/>
          <w:highlight w:val="none"/>
        </w:rPr>
      </w:pPr>
      <w:r>
        <w:rPr>
          <w:rFonts w:hint="eastAsia"/>
          <w:sz w:val="21"/>
          <w:szCs w:val="21"/>
          <w:highlight w:val="none"/>
        </w:rPr>
        <w:t>（四）建立健全廉政制度，开展廉政教育，公布举报电话，监督并认真查处违法违纪行为。</w:t>
      </w:r>
    </w:p>
    <w:p>
      <w:pPr>
        <w:widowControl/>
        <w:spacing w:line="360" w:lineRule="auto"/>
        <w:ind w:firstLine="420" w:firstLineChars="200"/>
        <w:jc w:val="left"/>
        <w:rPr>
          <w:sz w:val="21"/>
          <w:szCs w:val="21"/>
          <w:highlight w:val="none"/>
        </w:rPr>
      </w:pPr>
      <w:r>
        <w:rPr>
          <w:rFonts w:hint="eastAsia"/>
          <w:sz w:val="21"/>
          <w:szCs w:val="21"/>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sz w:val="21"/>
          <w:szCs w:val="21"/>
          <w:highlight w:val="none"/>
        </w:rPr>
      </w:pPr>
      <w:r>
        <w:rPr>
          <w:rFonts w:hint="eastAsia"/>
          <w:sz w:val="21"/>
          <w:szCs w:val="21"/>
          <w:highlight w:val="none"/>
        </w:rPr>
        <w:t>第二条 甲方的义务</w:t>
      </w:r>
    </w:p>
    <w:p>
      <w:pPr>
        <w:widowControl/>
        <w:spacing w:line="360" w:lineRule="auto"/>
        <w:ind w:firstLine="525" w:firstLineChars="250"/>
        <w:jc w:val="left"/>
        <w:rPr>
          <w:sz w:val="21"/>
          <w:szCs w:val="21"/>
          <w:highlight w:val="none"/>
        </w:rPr>
      </w:pPr>
      <w:r>
        <w:rPr>
          <w:rFonts w:hint="eastAsia"/>
          <w:sz w:val="21"/>
          <w:szCs w:val="21"/>
          <w:highlight w:val="none"/>
          <w:lang w:eastAsia="zh-CN"/>
        </w:rPr>
        <w:t>（</w:t>
      </w:r>
      <w:r>
        <w:rPr>
          <w:rFonts w:hint="eastAsia"/>
          <w:sz w:val="21"/>
          <w:szCs w:val="21"/>
          <w:highlight w:val="none"/>
        </w:rPr>
        <w:t>一</w:t>
      </w:r>
      <w:r>
        <w:rPr>
          <w:rFonts w:hint="eastAsia"/>
          <w:sz w:val="21"/>
          <w:szCs w:val="21"/>
          <w:highlight w:val="none"/>
          <w:lang w:eastAsia="zh-CN"/>
        </w:rPr>
        <w:t>）</w:t>
      </w:r>
      <w:r>
        <w:rPr>
          <w:rFonts w:hint="eastAsia"/>
          <w:sz w:val="21"/>
          <w:szCs w:val="21"/>
          <w:highlight w:val="none"/>
        </w:rPr>
        <w:t>甲方及其工作人员不得索要或接受乙方的礼金、有价证券和贵重物品，不得在乙方报销任何应由甲方单位或个人支付的费用等。</w:t>
      </w:r>
    </w:p>
    <w:p>
      <w:pPr>
        <w:widowControl/>
        <w:spacing w:line="360" w:lineRule="auto"/>
        <w:ind w:firstLine="420" w:firstLineChars="200"/>
        <w:jc w:val="left"/>
        <w:rPr>
          <w:sz w:val="21"/>
          <w:szCs w:val="21"/>
          <w:highlight w:val="none"/>
        </w:rPr>
      </w:pPr>
      <w:r>
        <w:rPr>
          <w:rFonts w:hint="eastAsia"/>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sz w:val="21"/>
          <w:szCs w:val="21"/>
          <w:highlight w:val="none"/>
        </w:rPr>
      </w:pPr>
      <w:r>
        <w:rPr>
          <w:rFonts w:hint="eastAsia"/>
          <w:sz w:val="21"/>
          <w:szCs w:val="21"/>
          <w:highlight w:val="none"/>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sz w:val="21"/>
          <w:szCs w:val="21"/>
          <w:highlight w:val="none"/>
        </w:rPr>
      </w:pPr>
      <w:r>
        <w:rPr>
          <w:rFonts w:hint="eastAsia"/>
          <w:sz w:val="21"/>
          <w:szCs w:val="21"/>
          <w:highlight w:val="none"/>
        </w:rPr>
        <w:t>（四） 甲方工作人员不得在乙方有股权关联的企业兼职，不得向乙方介绍家属或者亲友从事与甲方业务有关的经济活动。</w:t>
      </w:r>
    </w:p>
    <w:p>
      <w:pPr>
        <w:widowControl/>
        <w:spacing w:line="360" w:lineRule="auto"/>
        <w:ind w:firstLine="420" w:firstLineChars="200"/>
        <w:jc w:val="left"/>
        <w:rPr>
          <w:sz w:val="21"/>
          <w:szCs w:val="21"/>
          <w:highlight w:val="none"/>
        </w:rPr>
      </w:pPr>
      <w:r>
        <w:rPr>
          <w:rFonts w:hint="eastAsia"/>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sz w:val="21"/>
          <w:szCs w:val="21"/>
          <w:highlight w:val="none"/>
        </w:rPr>
      </w:pPr>
      <w:r>
        <w:rPr>
          <w:rFonts w:hint="eastAsia"/>
          <w:sz w:val="21"/>
          <w:szCs w:val="21"/>
          <w:highlight w:val="none"/>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sz w:val="21"/>
          <w:szCs w:val="21"/>
          <w:highlight w:val="none"/>
        </w:rPr>
      </w:pPr>
      <w:r>
        <w:rPr>
          <w:rFonts w:hint="eastAsia"/>
          <w:sz w:val="21"/>
          <w:szCs w:val="21"/>
          <w:highlight w:val="none"/>
        </w:rPr>
        <w:t>（七）甲方工作人员不得接受乙方给予或赠送的干股或红利。</w:t>
      </w:r>
    </w:p>
    <w:p>
      <w:pPr>
        <w:widowControl/>
        <w:spacing w:line="360" w:lineRule="auto"/>
        <w:ind w:firstLine="420" w:firstLineChars="200"/>
        <w:jc w:val="left"/>
        <w:rPr>
          <w:sz w:val="21"/>
          <w:szCs w:val="21"/>
          <w:highlight w:val="none"/>
        </w:rPr>
      </w:pPr>
      <w:r>
        <w:rPr>
          <w:rFonts w:hint="eastAsia"/>
          <w:sz w:val="21"/>
          <w:szCs w:val="21"/>
          <w:highlight w:val="none"/>
        </w:rPr>
        <w:t>（八）甲方任何人不得以个人的名义向乙方推荐设备、部件等供货商以及其它合作单位。</w:t>
      </w:r>
    </w:p>
    <w:p>
      <w:pPr>
        <w:widowControl/>
        <w:spacing w:line="360" w:lineRule="auto"/>
        <w:ind w:firstLine="420" w:firstLineChars="200"/>
        <w:jc w:val="left"/>
        <w:rPr>
          <w:sz w:val="21"/>
          <w:szCs w:val="21"/>
          <w:highlight w:val="none"/>
        </w:rPr>
      </w:pPr>
      <w:r>
        <w:rPr>
          <w:rFonts w:hint="eastAsia"/>
          <w:sz w:val="21"/>
          <w:szCs w:val="21"/>
          <w:highlight w:val="none"/>
        </w:rPr>
        <w:t>第三条 乙方的义务</w:t>
      </w:r>
    </w:p>
    <w:p>
      <w:pPr>
        <w:widowControl/>
        <w:spacing w:line="360" w:lineRule="auto"/>
        <w:ind w:firstLine="525" w:firstLineChars="250"/>
        <w:jc w:val="left"/>
        <w:rPr>
          <w:sz w:val="21"/>
          <w:szCs w:val="21"/>
          <w:highlight w:val="none"/>
        </w:rPr>
      </w:pPr>
      <w:r>
        <w:rPr>
          <w:rFonts w:hint="eastAsia"/>
          <w:sz w:val="21"/>
          <w:szCs w:val="21"/>
          <w:highlight w:val="none"/>
          <w:lang w:eastAsia="zh-CN"/>
        </w:rPr>
        <w:t>（</w:t>
      </w:r>
      <w:r>
        <w:rPr>
          <w:rFonts w:hint="eastAsia"/>
          <w:sz w:val="21"/>
          <w:szCs w:val="21"/>
          <w:highlight w:val="none"/>
        </w:rPr>
        <w:t>一</w:t>
      </w:r>
      <w:r>
        <w:rPr>
          <w:rFonts w:hint="eastAsia"/>
          <w:sz w:val="21"/>
          <w:szCs w:val="21"/>
          <w:highlight w:val="none"/>
          <w:lang w:eastAsia="zh-CN"/>
        </w:rPr>
        <w:t>）</w:t>
      </w:r>
      <w:r>
        <w:rPr>
          <w:rFonts w:hint="eastAsia"/>
          <w:sz w:val="21"/>
          <w:szCs w:val="21"/>
          <w:highlight w:val="none"/>
        </w:rPr>
        <w:t>乙方不得以任何理由向甲方及其工作人员行贿或馈赠礼金、有价证券、贵重礼品。</w:t>
      </w:r>
    </w:p>
    <w:p>
      <w:pPr>
        <w:widowControl/>
        <w:spacing w:line="360" w:lineRule="auto"/>
        <w:ind w:firstLine="420" w:firstLineChars="200"/>
        <w:jc w:val="left"/>
        <w:rPr>
          <w:sz w:val="21"/>
          <w:szCs w:val="21"/>
          <w:highlight w:val="none"/>
        </w:rPr>
      </w:pPr>
      <w:r>
        <w:rPr>
          <w:rFonts w:hint="eastAsia"/>
          <w:sz w:val="21"/>
          <w:szCs w:val="21"/>
          <w:highlight w:val="none"/>
        </w:rPr>
        <w:t>（二</w:t>
      </w:r>
      <w:r>
        <w:rPr>
          <w:rFonts w:hint="eastAsia"/>
          <w:sz w:val="21"/>
          <w:szCs w:val="21"/>
          <w:highlight w:val="none"/>
          <w:lang w:eastAsia="zh-CN"/>
        </w:rPr>
        <w:t>）</w:t>
      </w:r>
      <w:r>
        <w:rPr>
          <w:rFonts w:hint="eastAsia"/>
          <w:sz w:val="21"/>
          <w:szCs w:val="21"/>
          <w:highlight w:val="none"/>
        </w:rPr>
        <w:t>乙方不得以任何名义为甲方及其工作人员报销应由甲方单位或个人支付的任何费用。</w:t>
      </w:r>
    </w:p>
    <w:p>
      <w:pPr>
        <w:widowControl/>
        <w:spacing w:line="360" w:lineRule="auto"/>
        <w:ind w:firstLine="420" w:firstLineChars="200"/>
        <w:jc w:val="left"/>
        <w:rPr>
          <w:sz w:val="21"/>
          <w:szCs w:val="21"/>
          <w:highlight w:val="none"/>
        </w:rPr>
      </w:pPr>
      <w:r>
        <w:rPr>
          <w:rFonts w:hint="eastAsia"/>
          <w:sz w:val="21"/>
          <w:szCs w:val="21"/>
          <w:highlight w:val="none"/>
          <w:lang w:eastAsia="zh-CN"/>
        </w:rPr>
        <w:t>（</w:t>
      </w:r>
      <w:r>
        <w:rPr>
          <w:rFonts w:hint="eastAsia"/>
          <w:sz w:val="21"/>
          <w:szCs w:val="21"/>
          <w:highlight w:val="none"/>
        </w:rPr>
        <w:t>三</w:t>
      </w:r>
      <w:r>
        <w:rPr>
          <w:rFonts w:hint="eastAsia"/>
          <w:sz w:val="21"/>
          <w:szCs w:val="21"/>
          <w:highlight w:val="none"/>
          <w:lang w:eastAsia="zh-CN"/>
        </w:rPr>
        <w:t>）</w:t>
      </w:r>
      <w:r>
        <w:rPr>
          <w:rFonts w:hint="eastAsia"/>
          <w:sz w:val="21"/>
          <w:szCs w:val="21"/>
          <w:highlight w:val="none"/>
        </w:rPr>
        <w:t>乙方不得以任何理由安排甲方工作人员参加可能影响相关业务公开、公正、公平性的宴请及娱乐活动。</w:t>
      </w:r>
    </w:p>
    <w:p>
      <w:pPr>
        <w:widowControl/>
        <w:spacing w:line="360" w:lineRule="auto"/>
        <w:ind w:firstLine="420" w:firstLineChars="200"/>
        <w:jc w:val="left"/>
        <w:rPr>
          <w:sz w:val="21"/>
          <w:szCs w:val="21"/>
          <w:highlight w:val="none"/>
        </w:rPr>
      </w:pPr>
      <w:r>
        <w:rPr>
          <w:rFonts w:hint="eastAsia"/>
          <w:sz w:val="21"/>
          <w:szCs w:val="21"/>
          <w:highlight w:val="none"/>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sz w:val="21"/>
          <w:szCs w:val="21"/>
          <w:highlight w:val="none"/>
        </w:rPr>
      </w:pPr>
      <w:r>
        <w:rPr>
          <w:rFonts w:hint="eastAsia"/>
          <w:sz w:val="21"/>
          <w:szCs w:val="21"/>
          <w:highlight w:val="none"/>
        </w:rPr>
        <w:t>（五）乙方不得与甲方工作人员就合同中的质量、数量、价格、工程量、验收等条款进行私下商谈或者达成默契。</w:t>
      </w:r>
    </w:p>
    <w:p>
      <w:pPr>
        <w:widowControl/>
        <w:spacing w:line="360" w:lineRule="auto"/>
        <w:ind w:firstLine="420" w:firstLineChars="200"/>
        <w:jc w:val="left"/>
        <w:rPr>
          <w:sz w:val="21"/>
          <w:szCs w:val="21"/>
          <w:highlight w:val="none"/>
        </w:rPr>
      </w:pPr>
      <w:r>
        <w:rPr>
          <w:rFonts w:hint="eastAsia"/>
          <w:sz w:val="21"/>
          <w:szCs w:val="21"/>
          <w:highlight w:val="none"/>
        </w:rPr>
        <w:t>（六）乙方不得以回扣、手续费、加班费、咨询费、劳务费、协调费、辛苦费等各种名义向甲方工作人员给予或赠送钱物。</w:t>
      </w:r>
    </w:p>
    <w:p>
      <w:pPr>
        <w:widowControl/>
        <w:spacing w:line="360" w:lineRule="auto"/>
        <w:ind w:firstLine="420" w:firstLineChars="200"/>
        <w:jc w:val="left"/>
        <w:rPr>
          <w:sz w:val="21"/>
          <w:szCs w:val="21"/>
          <w:highlight w:val="none"/>
        </w:rPr>
      </w:pPr>
      <w:r>
        <w:rPr>
          <w:rFonts w:hint="eastAsia"/>
          <w:sz w:val="21"/>
          <w:szCs w:val="21"/>
          <w:highlight w:val="none"/>
        </w:rPr>
        <w:t>（七）乙方不得向甲方工作人员提供干股或红利。</w:t>
      </w:r>
    </w:p>
    <w:p>
      <w:pPr>
        <w:widowControl/>
        <w:spacing w:line="360" w:lineRule="auto"/>
        <w:ind w:firstLine="420" w:firstLineChars="200"/>
        <w:jc w:val="left"/>
        <w:rPr>
          <w:sz w:val="21"/>
          <w:szCs w:val="21"/>
          <w:highlight w:val="none"/>
        </w:rPr>
      </w:pPr>
      <w:r>
        <w:rPr>
          <w:rFonts w:hint="eastAsia"/>
          <w:sz w:val="21"/>
          <w:szCs w:val="21"/>
          <w:highlight w:val="none"/>
        </w:rPr>
        <w:t>（八）乙方须按</w:t>
      </w:r>
      <w:r>
        <w:rPr>
          <w:rFonts w:hint="eastAsia"/>
          <w:sz w:val="21"/>
          <w:szCs w:val="21"/>
          <w:highlight w:val="none"/>
          <w:u w:val="single"/>
        </w:rPr>
        <w:t xml:space="preserve">         </w:t>
      </w:r>
      <w:r>
        <w:rPr>
          <w:rFonts w:hint="eastAsia"/>
          <w:sz w:val="21"/>
          <w:szCs w:val="21"/>
          <w:highlight w:val="none"/>
        </w:rPr>
        <w:t>专项纪检监察工作组</w:t>
      </w:r>
      <w:r>
        <w:rPr>
          <w:rFonts w:hint="eastAsia"/>
          <w:sz w:val="21"/>
          <w:szCs w:val="21"/>
          <w:highlight w:val="none"/>
          <w:lang w:eastAsia="zh-CN"/>
        </w:rPr>
        <w:t>（</w:t>
      </w:r>
      <w:r>
        <w:rPr>
          <w:rFonts w:hint="eastAsia"/>
          <w:sz w:val="21"/>
          <w:szCs w:val="21"/>
          <w:highlight w:val="none"/>
        </w:rPr>
        <w:t>如有</w:t>
      </w:r>
      <w:r>
        <w:rPr>
          <w:rFonts w:hint="eastAsia"/>
          <w:sz w:val="21"/>
          <w:szCs w:val="21"/>
          <w:highlight w:val="none"/>
          <w:lang w:eastAsia="zh-CN"/>
        </w:rPr>
        <w:t>）</w:t>
      </w:r>
      <w:r>
        <w:rPr>
          <w:rFonts w:hint="eastAsia"/>
          <w:sz w:val="21"/>
          <w:szCs w:val="21"/>
          <w:highlight w:val="none"/>
        </w:rPr>
        <w:t>要求开展相关工作。</w:t>
      </w:r>
    </w:p>
    <w:p>
      <w:pPr>
        <w:widowControl/>
        <w:spacing w:line="360" w:lineRule="auto"/>
        <w:ind w:firstLine="420" w:firstLineChars="200"/>
        <w:jc w:val="left"/>
        <w:rPr>
          <w:sz w:val="21"/>
          <w:szCs w:val="21"/>
          <w:highlight w:val="none"/>
        </w:rPr>
      </w:pPr>
      <w:r>
        <w:rPr>
          <w:rFonts w:hint="eastAsia"/>
          <w:sz w:val="21"/>
          <w:szCs w:val="21"/>
          <w:highlight w:val="none"/>
        </w:rPr>
        <w:t>第四条 违约责任</w:t>
      </w:r>
    </w:p>
    <w:p>
      <w:pPr>
        <w:widowControl/>
        <w:spacing w:line="360" w:lineRule="auto"/>
        <w:ind w:firstLine="420" w:firstLineChars="200"/>
        <w:jc w:val="left"/>
        <w:rPr>
          <w:sz w:val="21"/>
          <w:szCs w:val="21"/>
          <w:highlight w:val="none"/>
        </w:rPr>
      </w:pPr>
      <w:r>
        <w:rPr>
          <w:rFonts w:hint="eastAsia"/>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sz w:val="21"/>
          <w:szCs w:val="21"/>
          <w:highlight w:val="none"/>
        </w:rPr>
      </w:pPr>
      <w:r>
        <w:rPr>
          <w:rFonts w:hint="eastAsia"/>
          <w:sz w:val="21"/>
          <w:szCs w:val="21"/>
          <w:highlight w:val="none"/>
        </w:rPr>
        <w:t>甲方投诉联系部门：</w:t>
      </w:r>
      <w:r>
        <w:rPr>
          <w:rFonts w:hint="eastAsia"/>
          <w:sz w:val="21"/>
          <w:szCs w:val="21"/>
          <w:highlight w:val="none"/>
          <w:u w:val="single"/>
        </w:rPr>
        <w:t xml:space="preserve">           </w:t>
      </w:r>
      <w:r>
        <w:rPr>
          <w:rFonts w:hint="eastAsia"/>
          <w:sz w:val="21"/>
          <w:szCs w:val="21"/>
          <w:highlight w:val="none"/>
        </w:rPr>
        <w:t>，联系电话：</w:t>
      </w:r>
      <w:r>
        <w:rPr>
          <w:rFonts w:hint="eastAsia"/>
          <w:sz w:val="21"/>
          <w:szCs w:val="21"/>
          <w:highlight w:val="none"/>
          <w:u w:val="single"/>
        </w:rPr>
        <w:t xml:space="preserve">           </w:t>
      </w:r>
      <w:r>
        <w:rPr>
          <w:rFonts w:hint="eastAsia"/>
          <w:sz w:val="21"/>
          <w:szCs w:val="21"/>
          <w:highlight w:val="none"/>
        </w:rPr>
        <w:t>。</w:t>
      </w:r>
    </w:p>
    <w:p>
      <w:pPr>
        <w:widowControl/>
        <w:spacing w:line="360" w:lineRule="auto"/>
        <w:ind w:firstLine="420" w:firstLineChars="200"/>
        <w:jc w:val="left"/>
        <w:rPr>
          <w:sz w:val="21"/>
          <w:szCs w:val="21"/>
          <w:highlight w:val="none"/>
        </w:rPr>
      </w:pPr>
      <w:r>
        <w:rPr>
          <w:rFonts w:hint="eastAsia"/>
          <w:sz w:val="21"/>
          <w:szCs w:val="21"/>
          <w:highlight w:val="none"/>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sz w:val="21"/>
          <w:szCs w:val="21"/>
          <w:highlight w:val="none"/>
        </w:rPr>
      </w:pPr>
      <w:r>
        <w:rPr>
          <w:rFonts w:hint="eastAsia"/>
          <w:sz w:val="21"/>
          <w:szCs w:val="21"/>
          <w:highlight w:val="none"/>
        </w:rPr>
        <w:t xml:space="preserve">1. 全额收取乙方合同履约保证金不予退还； </w:t>
      </w:r>
    </w:p>
    <w:p>
      <w:pPr>
        <w:widowControl/>
        <w:spacing w:line="360" w:lineRule="auto"/>
        <w:ind w:firstLine="420" w:firstLineChars="200"/>
        <w:jc w:val="left"/>
        <w:rPr>
          <w:sz w:val="21"/>
          <w:szCs w:val="21"/>
          <w:highlight w:val="none"/>
        </w:rPr>
      </w:pPr>
      <w:r>
        <w:rPr>
          <w:rFonts w:hint="eastAsia"/>
          <w:sz w:val="21"/>
          <w:szCs w:val="21"/>
          <w:highlight w:val="none"/>
        </w:rPr>
        <w:t>2. 追究乙方其他违约责任；</w:t>
      </w:r>
    </w:p>
    <w:p>
      <w:pPr>
        <w:widowControl/>
        <w:spacing w:line="360" w:lineRule="auto"/>
        <w:ind w:firstLine="420" w:firstLineChars="200"/>
        <w:jc w:val="left"/>
        <w:rPr>
          <w:sz w:val="21"/>
          <w:szCs w:val="21"/>
          <w:highlight w:val="none"/>
        </w:rPr>
      </w:pPr>
      <w:r>
        <w:rPr>
          <w:rFonts w:hint="eastAsia"/>
          <w:sz w:val="21"/>
          <w:szCs w:val="21"/>
          <w:highlight w:val="none"/>
        </w:rPr>
        <w:t>3. 终止或解除双方已签订的包括本合同在内的所有合同；</w:t>
      </w:r>
    </w:p>
    <w:p>
      <w:pPr>
        <w:widowControl/>
        <w:spacing w:line="360" w:lineRule="auto"/>
        <w:ind w:firstLine="420" w:firstLineChars="200"/>
        <w:jc w:val="left"/>
        <w:rPr>
          <w:sz w:val="21"/>
          <w:szCs w:val="21"/>
          <w:highlight w:val="none"/>
        </w:rPr>
      </w:pPr>
      <w:r>
        <w:rPr>
          <w:rFonts w:hint="eastAsia"/>
          <w:sz w:val="21"/>
          <w:szCs w:val="21"/>
          <w:highlight w:val="none"/>
        </w:rPr>
        <w:t>4. 乙方一定期限内（6个月至3年，具体由甲方根据情况而定）不得参与甲方作为发包人（业主）的工程项目投标。</w:t>
      </w:r>
    </w:p>
    <w:p>
      <w:pPr>
        <w:widowControl/>
        <w:spacing w:line="360" w:lineRule="auto"/>
        <w:ind w:firstLine="420" w:firstLineChars="200"/>
        <w:jc w:val="left"/>
        <w:rPr>
          <w:sz w:val="21"/>
          <w:szCs w:val="21"/>
          <w:highlight w:val="none"/>
        </w:rPr>
      </w:pPr>
      <w:r>
        <w:rPr>
          <w:rFonts w:hint="eastAsia"/>
          <w:sz w:val="21"/>
          <w:szCs w:val="21"/>
          <w:highlight w:val="none"/>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sz w:val="21"/>
          <w:szCs w:val="21"/>
          <w:highlight w:val="none"/>
        </w:rPr>
      </w:pPr>
      <w:r>
        <w:rPr>
          <w:rFonts w:hint="eastAsia"/>
          <w:sz w:val="21"/>
          <w:szCs w:val="21"/>
          <w:highlight w:val="none"/>
        </w:rPr>
        <w:t>第五条 双方约定</w:t>
      </w:r>
    </w:p>
    <w:p>
      <w:pPr>
        <w:widowControl/>
        <w:spacing w:line="360" w:lineRule="auto"/>
        <w:ind w:firstLine="420" w:firstLineChars="200"/>
        <w:jc w:val="left"/>
        <w:rPr>
          <w:sz w:val="21"/>
          <w:szCs w:val="21"/>
          <w:highlight w:val="none"/>
        </w:rPr>
      </w:pPr>
      <w:r>
        <w:rPr>
          <w:rFonts w:hint="eastAsia"/>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sz w:val="21"/>
          <w:szCs w:val="21"/>
          <w:highlight w:val="none"/>
        </w:rPr>
      </w:pPr>
      <w:r>
        <w:rPr>
          <w:rFonts w:hint="eastAsia"/>
          <w:sz w:val="21"/>
          <w:szCs w:val="21"/>
          <w:highlight w:val="none"/>
        </w:rPr>
        <w:t xml:space="preserve">第六条  本协议有效期为甲乙双方签署之日起至合同终止。  </w:t>
      </w:r>
    </w:p>
    <w:p>
      <w:pPr>
        <w:widowControl/>
        <w:spacing w:line="360" w:lineRule="auto"/>
        <w:ind w:firstLine="420" w:firstLineChars="200"/>
        <w:jc w:val="left"/>
        <w:rPr>
          <w:sz w:val="21"/>
          <w:szCs w:val="21"/>
          <w:highlight w:val="none"/>
        </w:rPr>
      </w:pPr>
      <w:r>
        <w:rPr>
          <w:rFonts w:hint="eastAsia"/>
          <w:sz w:val="21"/>
          <w:szCs w:val="21"/>
          <w:highlight w:val="none"/>
        </w:rPr>
        <w:t>第七条  本协议作为合同的附件，与本合同具有同等法律效力。</w:t>
      </w:r>
    </w:p>
    <w:p>
      <w:pPr>
        <w:widowControl/>
        <w:spacing w:line="360" w:lineRule="auto"/>
        <w:ind w:firstLine="420" w:firstLineChars="200"/>
        <w:jc w:val="left"/>
        <w:rPr>
          <w:sz w:val="21"/>
          <w:szCs w:val="21"/>
          <w:highlight w:val="none"/>
        </w:rPr>
      </w:pPr>
      <w:r>
        <w:rPr>
          <w:rFonts w:hint="eastAsia"/>
          <w:sz w:val="21"/>
          <w:szCs w:val="21"/>
          <w:highlight w:val="non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 xml:space="preserve">甲方（盖章）： </w:t>
      </w:r>
      <w:r>
        <w:rPr>
          <w:rFonts w:hint="eastAsia"/>
          <w:sz w:val="21"/>
          <w:szCs w:val="21"/>
          <w:highlight w:val="none"/>
          <w:u w:val="single"/>
        </w:rPr>
        <w:t xml:space="preserve">                      </w:t>
      </w:r>
      <w:r>
        <w:rPr>
          <w:rFonts w:hint="eastAsia"/>
          <w:sz w:val="21"/>
          <w:szCs w:val="21"/>
          <w:highlight w:val="none"/>
        </w:rPr>
        <w:t xml:space="preserve">       乙方（盖章）：</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p>
    <w:p>
      <w:pPr>
        <w:widowControl/>
        <w:spacing w:line="360" w:lineRule="auto"/>
        <w:ind w:firstLine="420" w:firstLineChars="200"/>
        <w:jc w:val="left"/>
        <w:rPr>
          <w:sz w:val="21"/>
          <w:szCs w:val="21"/>
          <w:highlight w:val="none"/>
        </w:rPr>
      </w:pPr>
      <w:r>
        <w:rPr>
          <w:rFonts w:hint="eastAsia"/>
          <w:sz w:val="21"/>
          <w:szCs w:val="21"/>
          <w:highlight w:val="none"/>
        </w:rPr>
        <w:t>法定代表人或                                法定代表人或</w:t>
      </w:r>
    </w:p>
    <w:p>
      <w:pPr>
        <w:widowControl/>
        <w:spacing w:line="360" w:lineRule="auto"/>
        <w:ind w:firstLine="420" w:firstLineChars="200"/>
        <w:jc w:val="left"/>
        <w:rPr>
          <w:sz w:val="21"/>
          <w:szCs w:val="21"/>
          <w:highlight w:val="none"/>
        </w:rPr>
      </w:pPr>
      <w:r>
        <w:rPr>
          <w:rFonts w:hint="eastAsia"/>
          <w:sz w:val="21"/>
          <w:szCs w:val="21"/>
          <w:highlight w:val="none"/>
        </w:rPr>
        <w:t>授权代表：</w:t>
      </w:r>
      <w:r>
        <w:rPr>
          <w:rFonts w:hint="eastAsia"/>
          <w:sz w:val="21"/>
          <w:szCs w:val="21"/>
          <w:highlight w:val="none"/>
          <w:u w:val="single"/>
        </w:rPr>
        <w:t xml:space="preserve">              </w:t>
      </w:r>
      <w:r>
        <w:rPr>
          <w:rFonts w:hint="eastAsia"/>
          <w:sz w:val="21"/>
          <w:szCs w:val="21"/>
          <w:highlight w:val="none"/>
          <w:u w:val="single"/>
          <w:lang w:eastAsia="zh-CN"/>
        </w:rPr>
        <w:t>（</w:t>
      </w:r>
      <w:r>
        <w:rPr>
          <w:rFonts w:hint="eastAsia"/>
          <w:sz w:val="21"/>
          <w:szCs w:val="21"/>
          <w:highlight w:val="none"/>
        </w:rPr>
        <w:t>职务</w:t>
      </w:r>
      <w:r>
        <w:rPr>
          <w:rFonts w:hint="eastAsia"/>
          <w:sz w:val="21"/>
          <w:szCs w:val="21"/>
          <w:highlight w:val="none"/>
          <w:lang w:eastAsia="zh-CN"/>
        </w:rPr>
        <w:t>）</w:t>
      </w:r>
      <w:r>
        <w:rPr>
          <w:rFonts w:hint="eastAsia"/>
          <w:sz w:val="21"/>
          <w:szCs w:val="21"/>
          <w:highlight w:val="none"/>
        </w:rPr>
        <w:t xml:space="preserve">            授权代表：</w:t>
      </w:r>
      <w:r>
        <w:rPr>
          <w:rFonts w:hint="eastAsia"/>
          <w:sz w:val="21"/>
          <w:szCs w:val="21"/>
          <w:highlight w:val="none"/>
          <w:u w:val="single"/>
        </w:rPr>
        <w:t xml:space="preserve">             </w:t>
      </w:r>
      <w:r>
        <w:rPr>
          <w:rFonts w:hint="eastAsia"/>
          <w:sz w:val="21"/>
          <w:szCs w:val="21"/>
          <w:highlight w:val="none"/>
          <w:u w:val="single"/>
          <w:lang w:eastAsia="zh-CN"/>
        </w:rPr>
        <w:t>（</w:t>
      </w:r>
      <w:r>
        <w:rPr>
          <w:rFonts w:hint="eastAsia"/>
          <w:sz w:val="21"/>
          <w:szCs w:val="21"/>
          <w:highlight w:val="none"/>
        </w:rPr>
        <w:t>职务</w:t>
      </w:r>
      <w:r>
        <w:rPr>
          <w:rFonts w:hint="eastAsia"/>
          <w:sz w:val="21"/>
          <w:szCs w:val="21"/>
          <w:highlight w:val="none"/>
          <w:lang w:eastAsia="zh-CN"/>
        </w:rPr>
        <w:t>）</w:t>
      </w:r>
    </w:p>
    <w:p>
      <w:pPr>
        <w:widowControl/>
        <w:spacing w:line="360" w:lineRule="auto"/>
        <w:ind w:firstLine="420" w:firstLineChars="200"/>
        <w:jc w:val="left"/>
        <w:rPr>
          <w:sz w:val="21"/>
          <w:szCs w:val="21"/>
          <w:highlight w:val="none"/>
        </w:rPr>
      </w:pPr>
      <w:r>
        <w:rPr>
          <w:rFonts w:hint="eastAsia"/>
          <w:sz w:val="21"/>
          <w:szCs w:val="21"/>
          <w:highlight w:val="none"/>
        </w:rPr>
        <w:t>姓名：</w:t>
      </w:r>
      <w:r>
        <w:rPr>
          <w:rFonts w:hint="eastAsia"/>
          <w:sz w:val="21"/>
          <w:szCs w:val="21"/>
          <w:highlight w:val="none"/>
          <w:u w:val="single"/>
        </w:rPr>
        <w:t xml:space="preserve">             </w:t>
      </w:r>
      <w:r>
        <w:rPr>
          <w:rFonts w:hint="eastAsia"/>
          <w:sz w:val="21"/>
          <w:szCs w:val="21"/>
          <w:highlight w:val="none"/>
        </w:rPr>
        <w:t xml:space="preserve">                         姓名：</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签字：</w:t>
      </w:r>
      <w:r>
        <w:rPr>
          <w:rFonts w:hint="eastAsia"/>
          <w:sz w:val="21"/>
          <w:szCs w:val="21"/>
          <w:highlight w:val="none"/>
          <w:u w:val="single"/>
        </w:rPr>
        <w:t xml:space="preserve">             </w:t>
      </w:r>
      <w:r>
        <w:rPr>
          <w:rFonts w:hint="eastAsia"/>
          <w:sz w:val="21"/>
          <w:szCs w:val="21"/>
          <w:highlight w:val="none"/>
        </w:rPr>
        <w:t xml:space="preserve">                         签字：</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p>
    <w:p>
      <w:pPr>
        <w:widowControl/>
        <w:spacing w:line="360" w:lineRule="auto"/>
        <w:ind w:firstLine="420" w:firstLineChars="200"/>
        <w:jc w:val="left"/>
        <w:rPr>
          <w:sz w:val="21"/>
          <w:szCs w:val="21"/>
          <w:highlight w:val="none"/>
        </w:rPr>
      </w:pPr>
      <w:r>
        <w:rPr>
          <w:rFonts w:hint="eastAsia"/>
          <w:sz w:val="21"/>
          <w:szCs w:val="21"/>
          <w:highlight w:val="none"/>
        </w:rPr>
        <w:t>廉政监督联系人                              廉政监督联系人</w:t>
      </w:r>
    </w:p>
    <w:p>
      <w:pPr>
        <w:widowControl/>
        <w:spacing w:line="360" w:lineRule="auto"/>
        <w:ind w:firstLine="420" w:firstLineChars="200"/>
        <w:jc w:val="left"/>
        <w:rPr>
          <w:sz w:val="21"/>
          <w:szCs w:val="21"/>
          <w:highlight w:val="none"/>
        </w:rPr>
      </w:pPr>
      <w:r>
        <w:rPr>
          <w:rFonts w:hint="eastAsia"/>
          <w:sz w:val="21"/>
          <w:szCs w:val="21"/>
          <w:highlight w:val="none"/>
        </w:rPr>
        <w:t>姓名：</w:t>
      </w:r>
      <w:r>
        <w:rPr>
          <w:rFonts w:hint="eastAsia"/>
          <w:sz w:val="21"/>
          <w:szCs w:val="21"/>
          <w:highlight w:val="none"/>
          <w:u w:val="single"/>
        </w:rPr>
        <w:t xml:space="preserve">                       </w:t>
      </w:r>
      <w:r>
        <w:rPr>
          <w:rFonts w:hint="eastAsia"/>
          <w:sz w:val="21"/>
          <w:szCs w:val="21"/>
          <w:highlight w:val="none"/>
        </w:rPr>
        <w:t xml:space="preserve">               姓名：</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签字：</w:t>
      </w:r>
      <w:r>
        <w:rPr>
          <w:rFonts w:hint="eastAsia"/>
          <w:sz w:val="21"/>
          <w:szCs w:val="21"/>
          <w:highlight w:val="none"/>
          <w:u w:val="single"/>
        </w:rPr>
        <w:t xml:space="preserve">                       </w:t>
      </w:r>
      <w:r>
        <w:rPr>
          <w:rFonts w:hint="eastAsia"/>
          <w:sz w:val="21"/>
          <w:szCs w:val="21"/>
          <w:highlight w:val="none"/>
        </w:rPr>
        <w:t xml:space="preserve">               签字：</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电话：</w:t>
      </w:r>
      <w:r>
        <w:rPr>
          <w:rFonts w:hint="eastAsia"/>
          <w:sz w:val="21"/>
          <w:szCs w:val="21"/>
          <w:highlight w:val="none"/>
          <w:u w:val="single"/>
        </w:rPr>
        <w:t xml:space="preserve">                       </w:t>
      </w:r>
      <w:r>
        <w:rPr>
          <w:rFonts w:hint="eastAsia"/>
          <w:sz w:val="21"/>
          <w:szCs w:val="21"/>
          <w:highlight w:val="none"/>
        </w:rPr>
        <w:t xml:space="preserve">               电话：</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地址：</w:t>
      </w:r>
      <w:r>
        <w:rPr>
          <w:rFonts w:hint="eastAsia"/>
          <w:sz w:val="21"/>
          <w:szCs w:val="21"/>
          <w:highlight w:val="none"/>
          <w:u w:val="single"/>
        </w:rPr>
        <w:t xml:space="preserve">                       </w:t>
      </w:r>
      <w:r>
        <w:rPr>
          <w:rFonts w:hint="eastAsia"/>
          <w:sz w:val="21"/>
          <w:szCs w:val="21"/>
          <w:highlight w:val="none"/>
        </w:rPr>
        <w:t xml:space="preserve">               地址：</w:t>
      </w:r>
      <w:r>
        <w:rPr>
          <w:rFonts w:hint="eastAsia"/>
          <w:sz w:val="21"/>
          <w:szCs w:val="21"/>
          <w:highlight w:val="none"/>
          <w:u w:val="single"/>
        </w:rPr>
        <w:t xml:space="preserve">                       </w:t>
      </w:r>
    </w:p>
    <w:p>
      <w:pPr>
        <w:widowControl/>
        <w:spacing w:line="360" w:lineRule="auto"/>
        <w:ind w:firstLine="420" w:firstLineChars="200"/>
        <w:jc w:val="left"/>
        <w:rPr>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 xml:space="preserve">               日期：</w:t>
      </w:r>
      <w:r>
        <w:rPr>
          <w:rFonts w:hint="eastAsia"/>
          <w:sz w:val="21"/>
          <w:szCs w:val="21"/>
          <w:highlight w:val="none"/>
          <w:u w:val="single"/>
        </w:rPr>
        <w:t xml:space="preserve">                       </w:t>
      </w:r>
    </w:p>
    <w:p>
      <w:pPr>
        <w:keepNext/>
        <w:keepLines/>
        <w:spacing w:before="120" w:after="120" w:line="360" w:lineRule="auto"/>
        <w:jc w:val="left"/>
        <w:outlineLvl w:val="9"/>
        <w:rPr>
          <w:rFonts w:ascii="黑体" w:hAnsi="黑体" w:eastAsia="黑体"/>
          <w:bCs/>
          <w:sz w:val="24"/>
          <w:highlight w:val="none"/>
        </w:rPr>
      </w:pPr>
      <w:r>
        <w:rPr>
          <w:rFonts w:hint="eastAsia" w:ascii="黑体" w:hAnsi="黑体" w:eastAsia="黑体"/>
          <w:bCs/>
          <w:sz w:val="24"/>
          <w:szCs w:val="21"/>
          <w:highlight w:val="none"/>
        </w:rPr>
        <w:br w:type="page"/>
      </w:r>
    </w:p>
    <w:p>
      <w:pPr>
        <w:keepNext/>
        <w:keepLines/>
        <w:spacing w:before="120" w:after="120" w:line="360" w:lineRule="auto"/>
        <w:jc w:val="left"/>
        <w:outlineLvl w:val="2"/>
        <w:rPr>
          <w:rFonts w:ascii="黑体" w:hAnsi="黑体" w:eastAsia="黑体"/>
          <w:bCs/>
          <w:sz w:val="24"/>
          <w:highlight w:val="none"/>
        </w:rPr>
      </w:pPr>
      <w:r>
        <w:rPr>
          <w:rFonts w:hint="eastAsia" w:ascii="黑体" w:hAnsi="黑体" w:eastAsia="黑体"/>
          <w:bCs/>
          <w:sz w:val="24"/>
          <w:highlight w:val="none"/>
        </w:rPr>
        <w:t>附件9：履约保证金</w:t>
      </w:r>
    </w:p>
    <w:p>
      <w:pP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rPr>
        <w:t>履约保函示范文本</w:t>
      </w:r>
    </w:p>
    <w:p>
      <w:pPr>
        <w:wordWrap w:val="0"/>
        <w:spacing w:line="360" w:lineRule="auto"/>
        <w:jc w:val="right"/>
        <w:rPr>
          <w:szCs w:val="21"/>
          <w:highlight w:val="none"/>
        </w:rPr>
      </w:pPr>
      <w:r>
        <w:rPr>
          <w:rFonts w:hint="eastAsia"/>
          <w:szCs w:val="21"/>
          <w:highlight w:val="none"/>
        </w:rPr>
        <w:t xml:space="preserve">编号： </w:t>
      </w:r>
      <w:r>
        <w:rPr>
          <w:szCs w:val="21"/>
          <w:highlight w:val="none"/>
        </w:rPr>
        <w:t xml:space="preserve">          </w:t>
      </w:r>
    </w:p>
    <w:p>
      <w:pPr>
        <w:spacing w:line="360" w:lineRule="auto"/>
        <w:jc w:val="center"/>
        <w:rPr>
          <w:szCs w:val="21"/>
          <w:highlight w:val="none"/>
        </w:rPr>
      </w:pPr>
    </w:p>
    <w:p>
      <w:pPr>
        <w:spacing w:line="360" w:lineRule="auto"/>
        <w:rPr>
          <w:szCs w:val="21"/>
          <w:highlight w:val="none"/>
        </w:rPr>
      </w:pPr>
      <w:r>
        <w:rPr>
          <w:szCs w:val="21"/>
          <w:highlight w:val="none"/>
          <w:u w:val="single"/>
        </w:rPr>
        <w:t xml:space="preserve">              </w:t>
      </w:r>
      <w:r>
        <w:rPr>
          <w:szCs w:val="21"/>
          <w:highlight w:val="none"/>
        </w:rPr>
        <w:t>（</w:t>
      </w:r>
      <w:r>
        <w:rPr>
          <w:rFonts w:hint="eastAsia"/>
          <w:szCs w:val="21"/>
          <w:highlight w:val="none"/>
        </w:rPr>
        <w:t>受益人</w:t>
      </w:r>
      <w:r>
        <w:rPr>
          <w:szCs w:val="21"/>
          <w:highlight w:val="none"/>
        </w:rPr>
        <w:t xml:space="preserve">名称）： </w:t>
      </w:r>
    </w:p>
    <w:p>
      <w:pPr>
        <w:spacing w:line="360" w:lineRule="auto"/>
        <w:ind w:firstLine="400" w:firstLineChars="200"/>
        <w:rPr>
          <w:szCs w:val="21"/>
          <w:highlight w:val="none"/>
        </w:rPr>
      </w:pPr>
      <w:r>
        <w:rPr>
          <w:rFonts w:hint="eastAsia"/>
          <w:szCs w:val="21"/>
          <w:highlight w:val="none"/>
        </w:rPr>
        <w:t>鉴于</w:t>
      </w:r>
      <w:r>
        <w:rPr>
          <w:szCs w:val="21"/>
          <w:highlight w:val="none"/>
          <w:u w:val="single"/>
        </w:rPr>
        <w:t xml:space="preserve">        </w:t>
      </w:r>
      <w:r>
        <w:rPr>
          <w:szCs w:val="21"/>
          <w:highlight w:val="none"/>
        </w:rPr>
        <w:t>（以下简称“</w:t>
      </w:r>
      <w:r>
        <w:rPr>
          <w:rFonts w:hint="eastAsia"/>
          <w:szCs w:val="21"/>
          <w:highlight w:val="none"/>
        </w:rPr>
        <w:t>受益人</w:t>
      </w:r>
      <w:r>
        <w:rPr>
          <w:szCs w:val="21"/>
          <w:highlight w:val="none"/>
        </w:rPr>
        <w:t>”）</w:t>
      </w:r>
      <w:r>
        <w:rPr>
          <w:rFonts w:hint="eastAsia"/>
          <w:szCs w:val="21"/>
          <w:highlight w:val="none"/>
        </w:rPr>
        <w:t>与</w:t>
      </w:r>
      <w:r>
        <w:rPr>
          <w:rFonts w:hint="eastAsia"/>
          <w:szCs w:val="21"/>
          <w:highlight w:val="none"/>
          <w:u w:val="single"/>
        </w:rPr>
        <w:t xml:space="preserve"> </w:t>
      </w:r>
      <w:r>
        <w:rPr>
          <w:szCs w:val="21"/>
          <w:highlight w:val="none"/>
          <w:u w:val="single"/>
        </w:rPr>
        <w:t xml:space="preserve">        </w:t>
      </w:r>
      <w:r>
        <w:rPr>
          <w:szCs w:val="21"/>
          <w:highlight w:val="none"/>
        </w:rPr>
        <w:t>（以下简称“</w:t>
      </w:r>
      <w:r>
        <w:rPr>
          <w:rFonts w:hint="eastAsia"/>
          <w:szCs w:val="21"/>
          <w:highlight w:val="none"/>
        </w:rPr>
        <w:t>申请人</w:t>
      </w:r>
      <w:r>
        <w:rPr>
          <w:szCs w:val="21"/>
          <w:highlight w:val="none"/>
        </w:rPr>
        <w:t>”）</w:t>
      </w:r>
      <w:r>
        <w:rPr>
          <w:rFonts w:hint="eastAsia"/>
          <w:szCs w:val="21"/>
          <w:highlight w:val="none"/>
        </w:rPr>
        <w:t>于</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日就</w:t>
      </w:r>
      <w:r>
        <w:rPr>
          <w:rFonts w:hint="eastAsia"/>
          <w:snapToGrid w:val="0"/>
          <w:szCs w:val="21"/>
          <w:highlight w:val="none"/>
          <w:u w:val="single"/>
        </w:rPr>
        <w:t xml:space="preserve">        </w:t>
      </w:r>
      <w:r>
        <w:rPr>
          <w:rFonts w:hint="eastAsia"/>
          <w:snapToGrid w:val="0"/>
          <w:szCs w:val="21"/>
          <w:highlight w:val="none"/>
        </w:rPr>
        <w:t>（标段编号）的</w:t>
      </w:r>
      <w:r>
        <w:rPr>
          <w:rFonts w:hint="eastAsia"/>
          <w:snapToGrid w:val="0"/>
          <w:szCs w:val="21"/>
          <w:highlight w:val="none"/>
          <w:u w:val="single"/>
        </w:rPr>
        <w:t xml:space="preserve">         </w:t>
      </w:r>
      <w:r>
        <w:rPr>
          <w:rFonts w:hint="eastAsia"/>
          <w:snapToGrid w:val="0"/>
          <w:szCs w:val="21"/>
          <w:highlight w:val="none"/>
        </w:rPr>
        <w:t>（标段名称）</w:t>
      </w:r>
      <w:r>
        <w:rPr>
          <w:rFonts w:hint="eastAsia"/>
          <w:szCs w:val="21"/>
          <w:highlight w:val="none"/>
        </w:rPr>
        <w:t>有关事项协商一致共同签订</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rFonts w:hint="eastAsia"/>
          <w:szCs w:val="21"/>
          <w:highlight w:val="none"/>
        </w:rPr>
        <w:t>（以下简称“基础合同”），开立人根据基础合同了解到申请人为基础合同项下之承包人，受益人为基础合同项下之发包人，基于申请人</w:t>
      </w:r>
      <w:r>
        <w:rPr>
          <w:szCs w:val="21"/>
          <w:highlight w:val="none"/>
        </w:rPr>
        <w:t>的请求，</w:t>
      </w:r>
      <w:r>
        <w:rPr>
          <w:rFonts w:hint="eastAsia"/>
          <w:szCs w:val="21"/>
          <w:highlight w:val="none"/>
        </w:rPr>
        <w:t>开立人</w:t>
      </w:r>
      <w:r>
        <w:rPr>
          <w:szCs w:val="21"/>
          <w:highlight w:val="none"/>
        </w:rPr>
        <w:t>同意就</w:t>
      </w:r>
      <w:r>
        <w:rPr>
          <w:rFonts w:hint="eastAsia"/>
          <w:szCs w:val="21"/>
          <w:highlight w:val="none"/>
        </w:rPr>
        <w:t>申请人</w:t>
      </w:r>
      <w:r>
        <w:rPr>
          <w:szCs w:val="21"/>
          <w:highlight w:val="none"/>
        </w:rPr>
        <w:t>履行</w:t>
      </w:r>
      <w:r>
        <w:rPr>
          <w:rFonts w:hint="eastAsia"/>
          <w:szCs w:val="21"/>
          <w:highlight w:val="none"/>
        </w:rPr>
        <w:t>与受益人签订的基础合同</w:t>
      </w:r>
      <w:r>
        <w:rPr>
          <w:szCs w:val="21"/>
          <w:highlight w:val="none"/>
        </w:rPr>
        <w:t>项下的义务</w:t>
      </w:r>
      <w:r>
        <w:rPr>
          <w:rFonts w:hint="eastAsia"/>
          <w:szCs w:val="21"/>
          <w:highlight w:val="none"/>
        </w:rPr>
        <w:t>，</w:t>
      </w:r>
      <w:r>
        <w:rPr>
          <w:szCs w:val="21"/>
          <w:highlight w:val="none"/>
        </w:rPr>
        <w:t>向</w:t>
      </w:r>
      <w:r>
        <w:rPr>
          <w:rFonts w:hint="eastAsia"/>
          <w:szCs w:val="21"/>
          <w:highlight w:val="none"/>
        </w:rPr>
        <w:t>受益人</w:t>
      </w:r>
      <w:r>
        <w:rPr>
          <w:szCs w:val="21"/>
          <w:highlight w:val="none"/>
        </w:rPr>
        <w:t>提供不可撤销、</w:t>
      </w:r>
      <w:r>
        <w:rPr>
          <w:rFonts w:hint="eastAsia"/>
          <w:szCs w:val="21"/>
          <w:highlight w:val="none"/>
        </w:rPr>
        <w:t>不可转让的见索即付</w:t>
      </w:r>
      <w:r>
        <w:rPr>
          <w:szCs w:val="21"/>
          <w:highlight w:val="none"/>
        </w:rPr>
        <w:t>独立</w:t>
      </w:r>
      <w:r>
        <w:rPr>
          <w:rFonts w:hint="eastAsia"/>
          <w:szCs w:val="21"/>
          <w:highlight w:val="none"/>
        </w:rPr>
        <w:t>保函（以下简称“本保函”）</w:t>
      </w:r>
      <w:r>
        <w:rPr>
          <w:szCs w:val="21"/>
          <w:highlight w:val="none"/>
        </w:rPr>
        <w:t xml:space="preserve">。 </w:t>
      </w:r>
    </w:p>
    <w:p>
      <w:pPr>
        <w:spacing w:line="360" w:lineRule="auto"/>
        <w:ind w:firstLine="400" w:firstLineChars="200"/>
        <w:rPr>
          <w:szCs w:val="21"/>
          <w:highlight w:val="none"/>
        </w:rPr>
      </w:pPr>
      <w:r>
        <w:rPr>
          <w:rFonts w:hint="eastAsia"/>
          <w:szCs w:val="21"/>
          <w:highlight w:val="none"/>
        </w:rPr>
        <w:t>一、本保函担保范围：承包人未按照基础合同的约定履行义务，应当向受益人承担的违约责任和赔偿因此造成的损失、利息、律师费、诉讼费用等实现债权的费用。</w:t>
      </w:r>
    </w:p>
    <w:p>
      <w:pPr>
        <w:spacing w:line="360" w:lineRule="auto"/>
        <w:ind w:firstLine="400" w:firstLineChars="200"/>
        <w:rPr>
          <w:szCs w:val="21"/>
          <w:highlight w:val="none"/>
        </w:rPr>
      </w:pPr>
      <w:r>
        <w:rPr>
          <w:rFonts w:hint="eastAsia"/>
          <w:szCs w:val="21"/>
          <w:highlight w:val="none"/>
        </w:rPr>
        <w:t>二、本保函担保金额最高不超过</w:t>
      </w:r>
      <w:r>
        <w:rPr>
          <w:szCs w:val="21"/>
          <w:highlight w:val="none"/>
        </w:rPr>
        <w:t>人民币（大写）</w:t>
      </w:r>
      <w:r>
        <w:rPr>
          <w:szCs w:val="21"/>
          <w:highlight w:val="none"/>
          <w:u w:val="single"/>
        </w:rPr>
        <w:t xml:space="preserve">          </w:t>
      </w:r>
      <w:r>
        <w:rPr>
          <w:szCs w:val="21"/>
          <w:highlight w:val="none"/>
        </w:rPr>
        <w:t>元（</w:t>
      </w:r>
      <w:r>
        <w:rPr>
          <w:rFonts w:hint="eastAsia" w:cs="宋体"/>
          <w:szCs w:val="21"/>
          <w:highlight w:val="none"/>
        </w:rPr>
        <w:t>¥</w:t>
      </w:r>
      <w:r>
        <w:rPr>
          <w:szCs w:val="21"/>
          <w:highlight w:val="none"/>
          <w:u w:val="single"/>
        </w:rPr>
        <w:t xml:space="preserve">       </w:t>
      </w:r>
      <w:r>
        <w:rPr>
          <w:szCs w:val="21"/>
          <w:highlight w:val="none"/>
        </w:rPr>
        <w:t xml:space="preserve">）。 </w:t>
      </w:r>
    </w:p>
    <w:p>
      <w:pPr>
        <w:spacing w:line="360" w:lineRule="auto"/>
        <w:ind w:firstLine="400" w:firstLineChars="200"/>
        <w:rPr>
          <w:szCs w:val="21"/>
          <w:highlight w:val="none"/>
        </w:rPr>
      </w:pPr>
      <w:r>
        <w:rPr>
          <w:rFonts w:hint="eastAsia"/>
          <w:szCs w:val="21"/>
          <w:highlight w:val="none"/>
        </w:rPr>
        <w:t>三、本保函</w:t>
      </w:r>
      <w:r>
        <w:rPr>
          <w:szCs w:val="21"/>
          <w:highlight w:val="none"/>
        </w:rPr>
        <w:t>有效期自</w:t>
      </w:r>
      <w:r>
        <w:rPr>
          <w:rFonts w:hint="eastAsia"/>
          <w:szCs w:val="21"/>
          <w:highlight w:val="none"/>
        </w:rPr>
        <w:t>开立之日起</w:t>
      </w:r>
      <w:r>
        <w:rPr>
          <w:szCs w:val="21"/>
          <w:highlight w:val="none"/>
        </w:rPr>
        <w:t>至</w:t>
      </w:r>
      <w:r>
        <w:rPr>
          <w:rFonts w:hint="eastAsia"/>
          <w:szCs w:val="21"/>
          <w:highlight w:val="none"/>
        </w:rPr>
        <w:t>基础合同约定的缺陷责任期满之日止</w:t>
      </w:r>
      <w:r>
        <w:rPr>
          <w:szCs w:val="21"/>
          <w:highlight w:val="none"/>
        </w:rPr>
        <w:t xml:space="preserve">。 </w:t>
      </w:r>
    </w:p>
    <w:p>
      <w:pPr>
        <w:spacing w:line="400" w:lineRule="exact"/>
        <w:ind w:firstLine="480"/>
        <w:rPr>
          <w:szCs w:val="21"/>
          <w:highlight w:val="none"/>
        </w:rPr>
      </w:pPr>
      <w:bookmarkStart w:id="615" w:name="_Hlk40302764"/>
      <w:r>
        <w:rPr>
          <w:rFonts w:hint="eastAsia"/>
          <w:szCs w:val="21"/>
          <w:highlight w:val="none"/>
        </w:rPr>
        <w:t>四、开立人承诺，在收到受益人发来的书面付款通知后的七日内无条件支付，前述书面付款通知即为付款要求之单据，且应满足以下要求：</w:t>
      </w:r>
    </w:p>
    <w:bookmarkEnd w:id="615"/>
    <w:p>
      <w:pPr>
        <w:spacing w:line="360" w:lineRule="auto"/>
        <w:ind w:firstLine="400" w:firstLineChars="200"/>
        <w:rPr>
          <w:szCs w:val="21"/>
          <w:highlight w:val="none"/>
        </w:rPr>
      </w:pPr>
      <w:r>
        <w:rPr>
          <w:rFonts w:hint="eastAsia"/>
          <w:szCs w:val="21"/>
          <w:highlight w:val="none"/>
        </w:rPr>
        <w:t>（1）付款通知到达的日期在本保函的有效期内；</w:t>
      </w:r>
    </w:p>
    <w:p>
      <w:pPr>
        <w:spacing w:line="360" w:lineRule="auto"/>
        <w:ind w:firstLine="400" w:firstLineChars="200"/>
        <w:rPr>
          <w:szCs w:val="21"/>
          <w:highlight w:val="none"/>
        </w:rPr>
      </w:pPr>
      <w:r>
        <w:rPr>
          <w:rFonts w:hint="eastAsia"/>
          <w:szCs w:val="21"/>
          <w:highlight w:val="none"/>
        </w:rPr>
        <w:t>（2）载明要求支付的金额；</w:t>
      </w:r>
    </w:p>
    <w:p>
      <w:pPr>
        <w:spacing w:line="360" w:lineRule="auto"/>
        <w:ind w:firstLine="400" w:firstLineChars="200"/>
        <w:rPr>
          <w:szCs w:val="21"/>
          <w:highlight w:val="none"/>
        </w:rPr>
      </w:pPr>
      <w:r>
        <w:rPr>
          <w:rFonts w:hint="eastAsia"/>
          <w:szCs w:val="21"/>
          <w:highlight w:val="none"/>
        </w:rPr>
        <w:t>（3）载明申请人违反合同义务的条款和内容；</w:t>
      </w:r>
    </w:p>
    <w:p>
      <w:pPr>
        <w:spacing w:line="360" w:lineRule="auto"/>
        <w:ind w:firstLine="400" w:firstLineChars="200"/>
        <w:rPr>
          <w:szCs w:val="21"/>
          <w:highlight w:val="none"/>
        </w:rPr>
      </w:pPr>
      <w:r>
        <w:rPr>
          <w:rFonts w:hint="eastAsia"/>
          <w:szCs w:val="21"/>
          <w:highlight w:val="none"/>
        </w:rPr>
        <w:t>（4）声明不存在合同文件约定或我国法律规定免除申请人或开立人支付责任的情形；</w:t>
      </w:r>
    </w:p>
    <w:p>
      <w:pPr>
        <w:spacing w:line="360" w:lineRule="auto"/>
        <w:ind w:firstLine="400" w:firstLineChars="200"/>
        <w:rPr>
          <w:szCs w:val="21"/>
          <w:highlight w:val="none"/>
        </w:rPr>
      </w:pPr>
      <w:r>
        <w:rPr>
          <w:rFonts w:hint="eastAsia"/>
          <w:szCs w:val="21"/>
          <w:highlight w:val="none"/>
        </w:rPr>
        <w:t>（5）付款通知应在本保函有效期内到达的地址是：</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pacing w:line="400" w:lineRule="exact"/>
        <w:rPr>
          <w:szCs w:val="21"/>
          <w:highlight w:val="none"/>
        </w:rPr>
      </w:pPr>
      <w:r>
        <w:rPr>
          <w:rFonts w:hint="eastAsia"/>
          <w:szCs w:val="21"/>
          <w:highlight w:val="none"/>
        </w:rPr>
        <w:t xml:space="preserve">    </w:t>
      </w:r>
      <w:bookmarkStart w:id="616" w:name="_Hlk40303486"/>
      <w:r>
        <w:rPr>
          <w:rFonts w:hint="eastAsia"/>
          <w:szCs w:val="21"/>
          <w:highlight w:val="none"/>
        </w:rPr>
        <w:t>受益人发出的书面付款通知应由其法定代表人（负责人）或授权代理人签字并加盖公章。</w:t>
      </w:r>
      <w:bookmarkEnd w:id="616"/>
    </w:p>
    <w:p>
      <w:pPr>
        <w:spacing w:line="360" w:lineRule="auto"/>
        <w:ind w:firstLine="400" w:firstLineChars="200"/>
        <w:rPr>
          <w:szCs w:val="21"/>
          <w:highlight w:val="none"/>
        </w:rPr>
      </w:pPr>
      <w:r>
        <w:rPr>
          <w:rFonts w:hint="eastAsia"/>
          <w:szCs w:val="21"/>
          <w:highlight w:val="none"/>
        </w:rPr>
        <w:t>五、</w:t>
      </w:r>
      <w:r>
        <w:rPr>
          <w:szCs w:val="21"/>
          <w:highlight w:val="none"/>
        </w:rPr>
        <w:t>本保函项下的权利不得转让，不得设定担保。</w:t>
      </w:r>
      <w:r>
        <w:rPr>
          <w:rFonts w:hint="eastAsia"/>
          <w:szCs w:val="21"/>
          <w:highlight w:val="none"/>
        </w:rPr>
        <w:t>受益人</w:t>
      </w:r>
      <w:r>
        <w:rPr>
          <w:szCs w:val="21"/>
          <w:highlight w:val="none"/>
        </w:rPr>
        <w:t>未经我方书面同意转 让本保函或其项下任何权利，</w:t>
      </w:r>
      <w:r>
        <w:rPr>
          <w:rFonts w:hint="eastAsia"/>
          <w:szCs w:val="21"/>
          <w:highlight w:val="none"/>
        </w:rPr>
        <w:t>对我方不发生法律效力</w:t>
      </w:r>
      <w:r>
        <w:rPr>
          <w:szCs w:val="21"/>
          <w:highlight w:val="none"/>
        </w:rPr>
        <w:t xml:space="preserve">。 </w:t>
      </w:r>
    </w:p>
    <w:p>
      <w:pPr>
        <w:spacing w:line="360" w:lineRule="auto"/>
        <w:ind w:firstLine="400" w:firstLineChars="200"/>
        <w:rPr>
          <w:szCs w:val="21"/>
          <w:highlight w:val="none"/>
        </w:rPr>
      </w:pPr>
      <w:r>
        <w:rPr>
          <w:rFonts w:hint="eastAsia"/>
          <w:szCs w:val="21"/>
          <w:highlight w:val="none"/>
        </w:rPr>
        <w:t>六、与</w:t>
      </w:r>
      <w:r>
        <w:rPr>
          <w:szCs w:val="21"/>
          <w:highlight w:val="none"/>
        </w:rPr>
        <w:t>本保函</w:t>
      </w:r>
      <w:r>
        <w:rPr>
          <w:rFonts w:hint="eastAsia"/>
          <w:szCs w:val="21"/>
          <w:highlight w:val="none"/>
        </w:rPr>
        <w:t>有关</w:t>
      </w:r>
      <w:r>
        <w:rPr>
          <w:szCs w:val="21"/>
          <w:highlight w:val="none"/>
        </w:rPr>
        <w:t>的</w:t>
      </w:r>
      <w:r>
        <w:rPr>
          <w:rFonts w:hint="eastAsia"/>
          <w:szCs w:val="21"/>
          <w:highlight w:val="none"/>
        </w:rPr>
        <w:t>基础</w:t>
      </w:r>
      <w:r>
        <w:rPr>
          <w:szCs w:val="21"/>
          <w:highlight w:val="none"/>
        </w:rPr>
        <w:t xml:space="preserve">合同不成立、不生效、无效、被撤销、被解除，不影响本保函的独立有效。 </w:t>
      </w:r>
    </w:p>
    <w:p>
      <w:pPr>
        <w:spacing w:line="400" w:lineRule="exact"/>
        <w:ind w:firstLine="400" w:firstLineChars="200"/>
        <w:rPr>
          <w:szCs w:val="21"/>
          <w:highlight w:val="none"/>
        </w:rPr>
      </w:pPr>
      <w:bookmarkStart w:id="617" w:name="_Hlk40303383"/>
      <w:bookmarkStart w:id="618" w:name="_Hlk40354981"/>
      <w:r>
        <w:rPr>
          <w:rFonts w:hint="eastAsia"/>
          <w:szCs w:val="21"/>
          <w:highlight w:val="none"/>
        </w:rPr>
        <w:t>七、</w:t>
      </w:r>
      <w:r>
        <w:rPr>
          <w:szCs w:val="21"/>
          <w:highlight w:val="none"/>
        </w:rPr>
        <w:t>本保函项下的义务和责任均在保函</w:t>
      </w:r>
      <w:r>
        <w:rPr>
          <w:rFonts w:hint="eastAsia"/>
          <w:szCs w:val="21"/>
          <w:highlight w:val="none"/>
        </w:rPr>
        <w:t>有效期</w:t>
      </w:r>
      <w:r>
        <w:rPr>
          <w:szCs w:val="21"/>
          <w:highlight w:val="none"/>
        </w:rPr>
        <w:t xml:space="preserve">到期后自动消灭。 </w:t>
      </w:r>
    </w:p>
    <w:p>
      <w:pPr>
        <w:spacing w:line="400" w:lineRule="exact"/>
        <w:ind w:firstLine="400" w:firstLineChars="200"/>
        <w:rPr>
          <w:szCs w:val="21"/>
          <w:highlight w:val="none"/>
        </w:rPr>
      </w:pPr>
      <w:r>
        <w:rPr>
          <w:rFonts w:hint="eastAsia"/>
          <w:szCs w:val="21"/>
          <w:highlight w:val="none"/>
        </w:rPr>
        <w:t>八、</w:t>
      </w:r>
      <w:r>
        <w:rPr>
          <w:szCs w:val="21"/>
          <w:highlight w:val="none"/>
        </w:rPr>
        <w:t>本保函</w:t>
      </w:r>
      <w:r>
        <w:rPr>
          <w:rFonts w:hint="eastAsia"/>
          <w:szCs w:val="21"/>
          <w:highlight w:val="none"/>
        </w:rPr>
        <w:t>适用的法律为中华人民共和国法律，因本保函产生的纠纷案件，</w:t>
      </w:r>
      <w:bookmarkEnd w:id="617"/>
      <w:r>
        <w:rPr>
          <w:rFonts w:hint="eastAsia"/>
          <w:szCs w:val="21"/>
          <w:highlight w:val="none"/>
        </w:rPr>
        <w:t>由受益人所在地人民法院管辖。</w:t>
      </w:r>
      <w:r>
        <w:rPr>
          <w:szCs w:val="21"/>
          <w:highlight w:val="none"/>
        </w:rPr>
        <w:t xml:space="preserve"> </w:t>
      </w:r>
    </w:p>
    <w:bookmarkEnd w:id="618"/>
    <w:p>
      <w:pPr>
        <w:spacing w:line="360" w:lineRule="auto"/>
        <w:ind w:firstLine="400" w:firstLineChars="200"/>
        <w:rPr>
          <w:szCs w:val="21"/>
          <w:highlight w:val="none"/>
        </w:rPr>
      </w:pPr>
      <w:r>
        <w:rPr>
          <w:rFonts w:hint="eastAsia"/>
          <w:szCs w:val="21"/>
          <w:highlight w:val="none"/>
        </w:rPr>
        <w:t>九、</w:t>
      </w:r>
      <w:r>
        <w:rPr>
          <w:szCs w:val="21"/>
          <w:highlight w:val="none"/>
        </w:rPr>
        <w:t>本保函自我方法定代表人</w:t>
      </w:r>
      <w:r>
        <w:rPr>
          <w:rFonts w:hint="eastAsia"/>
          <w:szCs w:val="21"/>
          <w:highlight w:val="none"/>
        </w:rPr>
        <w:t>或授权代表</w:t>
      </w:r>
      <w:r>
        <w:rPr>
          <w:szCs w:val="21"/>
          <w:highlight w:val="none"/>
        </w:rPr>
        <w:t>签字</w:t>
      </w:r>
      <w:r>
        <w:rPr>
          <w:rFonts w:hint="eastAsia"/>
          <w:szCs w:val="21"/>
          <w:highlight w:val="none"/>
        </w:rPr>
        <w:t>并</w:t>
      </w:r>
      <w:r>
        <w:rPr>
          <w:szCs w:val="21"/>
          <w:highlight w:val="none"/>
        </w:rPr>
        <w:t xml:space="preserve">加盖公章之日起生效。 </w:t>
      </w:r>
    </w:p>
    <w:p>
      <w:pPr>
        <w:spacing w:line="360" w:lineRule="auto"/>
        <w:ind w:firstLine="400" w:firstLineChars="200"/>
        <w:jc w:val="center"/>
        <w:rPr>
          <w:szCs w:val="21"/>
          <w:highlight w:val="none"/>
        </w:rPr>
      </w:pPr>
    </w:p>
    <w:p>
      <w:pPr>
        <w:spacing w:line="360" w:lineRule="auto"/>
        <w:ind w:firstLine="400" w:firstLineChars="200"/>
        <w:jc w:val="center"/>
        <w:rPr>
          <w:szCs w:val="21"/>
          <w:highlight w:val="none"/>
        </w:rPr>
      </w:pPr>
    </w:p>
    <w:p>
      <w:pPr>
        <w:spacing w:line="360" w:lineRule="auto"/>
        <w:ind w:firstLine="400" w:firstLineChars="200"/>
        <w:jc w:val="center"/>
        <w:rPr>
          <w:szCs w:val="21"/>
          <w:highlight w:val="none"/>
        </w:rPr>
      </w:pPr>
    </w:p>
    <w:p>
      <w:pPr>
        <w:spacing w:line="360" w:lineRule="auto"/>
        <w:ind w:firstLine="3200" w:firstLineChars="1600"/>
        <w:rPr>
          <w:szCs w:val="21"/>
          <w:highlight w:val="none"/>
        </w:rPr>
      </w:pPr>
      <w:r>
        <w:rPr>
          <w:rFonts w:hint="eastAsia"/>
          <w:szCs w:val="21"/>
          <w:highlight w:val="none"/>
        </w:rPr>
        <w:t>开 立 人</w:t>
      </w:r>
      <w:r>
        <w:rPr>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公</w:t>
      </w:r>
      <w:r>
        <w:rPr>
          <w:szCs w:val="21"/>
          <w:highlight w:val="none"/>
        </w:rPr>
        <w:t xml:space="preserve">章） </w:t>
      </w:r>
    </w:p>
    <w:p>
      <w:pPr>
        <w:spacing w:line="360" w:lineRule="auto"/>
        <w:ind w:firstLine="3200" w:firstLineChars="1600"/>
        <w:rPr>
          <w:szCs w:val="21"/>
          <w:highlight w:val="none"/>
        </w:rPr>
      </w:pPr>
      <w:r>
        <w:rPr>
          <w:rFonts w:hint="eastAsia"/>
          <w:szCs w:val="21"/>
          <w:highlight w:val="none"/>
        </w:rPr>
        <w:t>法定代表人（或授权代表）：</w:t>
      </w:r>
      <w:r>
        <w:rPr>
          <w:szCs w:val="21"/>
          <w:highlight w:val="none"/>
          <w:u w:val="single"/>
        </w:rPr>
        <w:t xml:space="preserve">               </w:t>
      </w:r>
      <w:r>
        <w:rPr>
          <w:szCs w:val="21"/>
          <w:highlight w:val="none"/>
        </w:rPr>
        <w:t>（签字）</w:t>
      </w:r>
    </w:p>
    <w:p>
      <w:pPr>
        <w:spacing w:line="360" w:lineRule="auto"/>
        <w:ind w:firstLine="3200" w:firstLineChars="1600"/>
        <w:rPr>
          <w:szCs w:val="21"/>
          <w:highlight w:val="none"/>
          <w:u w:val="single"/>
        </w:rPr>
      </w:pPr>
      <w:r>
        <w:rPr>
          <w:rFonts w:hint="eastAsia"/>
          <w:szCs w:val="21"/>
          <w:highlight w:val="none"/>
        </w:rPr>
        <w:t>地</w:t>
      </w:r>
      <w:r>
        <w:rPr>
          <w:szCs w:val="21"/>
          <w:highlight w:val="none"/>
        </w:rPr>
        <w:t xml:space="preserve">    址：</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邮政编码：</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电</w:t>
      </w:r>
      <w:r>
        <w:rPr>
          <w:szCs w:val="21"/>
          <w:highlight w:val="none"/>
        </w:rPr>
        <w:t xml:space="preserve">    话：</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传</w:t>
      </w:r>
      <w:r>
        <w:rPr>
          <w:szCs w:val="21"/>
          <w:highlight w:val="none"/>
        </w:rPr>
        <w:t xml:space="preserve">    真：</w:t>
      </w:r>
      <w:r>
        <w:rPr>
          <w:szCs w:val="21"/>
          <w:highlight w:val="none"/>
          <w:u w:val="single"/>
        </w:rPr>
        <w:t xml:space="preserve">                                       </w:t>
      </w:r>
    </w:p>
    <w:p>
      <w:pPr>
        <w:spacing w:line="360" w:lineRule="auto"/>
        <w:ind w:firstLine="3200" w:firstLineChars="1600"/>
        <w:rPr>
          <w:szCs w:val="21"/>
          <w:highlight w:val="none"/>
        </w:rPr>
      </w:pPr>
      <w:r>
        <w:rPr>
          <w:rFonts w:hint="eastAsia"/>
          <w:szCs w:val="21"/>
          <w:highlight w:val="none"/>
        </w:rPr>
        <w:t>开立时间：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rPr>
        <w:t>日</w:t>
      </w:r>
    </w:p>
    <w:p>
      <w:pPr>
        <w:keepNext/>
        <w:keepLines/>
        <w:spacing w:before="120" w:after="120" w:line="360" w:lineRule="auto"/>
        <w:jc w:val="left"/>
        <w:outlineLvl w:val="9"/>
        <w:rPr>
          <w:rFonts w:ascii="黑体" w:hAnsi="黑体" w:eastAsia="黑体"/>
          <w:bCs/>
          <w:sz w:val="24"/>
          <w:highlight w:val="none"/>
        </w:rPr>
      </w:pPr>
      <w:r>
        <w:rPr>
          <w:rFonts w:ascii="黑体" w:hAnsi="黑体" w:eastAsia="黑体"/>
          <w:bCs/>
          <w:kern w:val="2"/>
          <w:sz w:val="24"/>
          <w:szCs w:val="24"/>
          <w:highlight w:val="none"/>
        </w:rPr>
        <w:br w:type="page"/>
      </w:r>
    </w:p>
    <w:p>
      <w:pPr>
        <w:keepNext/>
        <w:keepLines/>
        <w:spacing w:before="120" w:after="120" w:line="360" w:lineRule="auto"/>
        <w:jc w:val="left"/>
        <w:outlineLvl w:val="2"/>
        <w:rPr>
          <w:rFonts w:ascii="黑体" w:hAnsi="黑体" w:eastAsia="黑体"/>
          <w:bCs/>
          <w:sz w:val="24"/>
          <w:highlight w:val="none"/>
        </w:rPr>
      </w:pPr>
      <w:r>
        <w:rPr>
          <w:rFonts w:hint="eastAsia" w:ascii="黑体" w:hAnsi="黑体" w:eastAsia="黑体"/>
          <w:bCs/>
          <w:sz w:val="24"/>
          <w:highlight w:val="none"/>
        </w:rPr>
        <w:t>附件10：预付款担保</w:t>
      </w:r>
    </w:p>
    <w:p>
      <w:pPr>
        <w:spacing w:line="360" w:lineRule="auto"/>
        <w:jc w:val="center"/>
        <w:rPr>
          <w:b/>
          <w:bCs/>
          <w:sz w:val="32"/>
          <w:szCs w:val="32"/>
          <w:highlight w:val="none"/>
        </w:rPr>
      </w:pPr>
      <w:r>
        <w:rPr>
          <w:rFonts w:hint="eastAsia"/>
          <w:b/>
          <w:bCs/>
          <w:sz w:val="32"/>
          <w:szCs w:val="32"/>
          <w:highlight w:val="none"/>
        </w:rPr>
        <w:t>预付款保函示范文本</w:t>
      </w:r>
    </w:p>
    <w:p>
      <w:pPr>
        <w:wordWrap w:val="0"/>
        <w:spacing w:line="360" w:lineRule="auto"/>
        <w:jc w:val="right"/>
        <w:rPr>
          <w:szCs w:val="21"/>
          <w:highlight w:val="none"/>
        </w:rPr>
      </w:pPr>
      <w:r>
        <w:rPr>
          <w:rFonts w:hint="eastAsia"/>
          <w:szCs w:val="21"/>
          <w:highlight w:val="none"/>
        </w:rPr>
        <w:t xml:space="preserve">编号： </w:t>
      </w:r>
      <w:r>
        <w:rPr>
          <w:szCs w:val="21"/>
          <w:highlight w:val="none"/>
        </w:rPr>
        <w:t xml:space="preserve">          </w:t>
      </w:r>
    </w:p>
    <w:p>
      <w:pPr>
        <w:spacing w:line="360" w:lineRule="auto"/>
        <w:jc w:val="center"/>
        <w:rPr>
          <w:szCs w:val="21"/>
          <w:highlight w:val="none"/>
        </w:rPr>
      </w:pPr>
    </w:p>
    <w:p>
      <w:pPr>
        <w:spacing w:line="360" w:lineRule="auto"/>
        <w:rPr>
          <w:szCs w:val="21"/>
          <w:highlight w:val="none"/>
        </w:rPr>
      </w:pPr>
      <w:r>
        <w:rPr>
          <w:szCs w:val="21"/>
          <w:highlight w:val="none"/>
          <w:u w:val="single"/>
        </w:rPr>
        <w:t xml:space="preserve">              </w:t>
      </w:r>
      <w:r>
        <w:rPr>
          <w:szCs w:val="21"/>
          <w:highlight w:val="none"/>
        </w:rPr>
        <w:t>（</w:t>
      </w:r>
      <w:r>
        <w:rPr>
          <w:rFonts w:hint="eastAsia"/>
          <w:szCs w:val="21"/>
          <w:highlight w:val="none"/>
        </w:rPr>
        <w:t>受益人</w:t>
      </w:r>
      <w:r>
        <w:rPr>
          <w:szCs w:val="21"/>
          <w:highlight w:val="none"/>
        </w:rPr>
        <w:t xml:space="preserve">名称）： </w:t>
      </w:r>
    </w:p>
    <w:p>
      <w:pPr>
        <w:spacing w:line="360" w:lineRule="auto"/>
        <w:ind w:firstLine="400" w:firstLineChars="200"/>
        <w:rPr>
          <w:szCs w:val="21"/>
          <w:highlight w:val="none"/>
        </w:rPr>
      </w:pPr>
      <w:r>
        <w:rPr>
          <w:rFonts w:hint="eastAsia"/>
          <w:szCs w:val="21"/>
          <w:highlight w:val="none"/>
        </w:rPr>
        <w:t>鉴于</w:t>
      </w:r>
      <w:r>
        <w:rPr>
          <w:szCs w:val="21"/>
          <w:highlight w:val="none"/>
          <w:u w:val="single"/>
        </w:rPr>
        <w:t xml:space="preserve">        </w:t>
      </w:r>
      <w:r>
        <w:rPr>
          <w:szCs w:val="21"/>
          <w:highlight w:val="none"/>
        </w:rPr>
        <w:t>（以下简称“</w:t>
      </w:r>
      <w:r>
        <w:rPr>
          <w:rFonts w:hint="eastAsia"/>
          <w:szCs w:val="21"/>
          <w:highlight w:val="none"/>
        </w:rPr>
        <w:t>受益人</w:t>
      </w:r>
      <w:r>
        <w:rPr>
          <w:szCs w:val="21"/>
          <w:highlight w:val="none"/>
        </w:rPr>
        <w:t>”）</w:t>
      </w:r>
      <w:r>
        <w:rPr>
          <w:rFonts w:hint="eastAsia"/>
          <w:szCs w:val="21"/>
          <w:highlight w:val="none"/>
        </w:rPr>
        <w:t>与</w:t>
      </w:r>
      <w:r>
        <w:rPr>
          <w:rFonts w:hint="eastAsia"/>
          <w:szCs w:val="21"/>
          <w:highlight w:val="none"/>
          <w:u w:val="single"/>
        </w:rPr>
        <w:t xml:space="preserve"> </w:t>
      </w:r>
      <w:r>
        <w:rPr>
          <w:szCs w:val="21"/>
          <w:highlight w:val="none"/>
          <w:u w:val="single"/>
        </w:rPr>
        <w:t xml:space="preserve">        </w:t>
      </w:r>
      <w:r>
        <w:rPr>
          <w:szCs w:val="21"/>
          <w:highlight w:val="none"/>
        </w:rPr>
        <w:t>（以下简称“</w:t>
      </w:r>
      <w:r>
        <w:rPr>
          <w:rFonts w:hint="eastAsia"/>
          <w:szCs w:val="21"/>
          <w:highlight w:val="none"/>
        </w:rPr>
        <w:t>申请人</w:t>
      </w:r>
      <w:r>
        <w:rPr>
          <w:szCs w:val="21"/>
          <w:highlight w:val="none"/>
        </w:rPr>
        <w:t>”）</w:t>
      </w:r>
      <w:r>
        <w:rPr>
          <w:rFonts w:hint="eastAsia"/>
          <w:szCs w:val="21"/>
          <w:highlight w:val="none"/>
        </w:rPr>
        <w:t>于</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日就</w:t>
      </w:r>
      <w:r>
        <w:rPr>
          <w:rFonts w:hint="eastAsia"/>
          <w:snapToGrid w:val="0"/>
          <w:szCs w:val="21"/>
          <w:highlight w:val="none"/>
          <w:u w:val="single"/>
        </w:rPr>
        <w:t xml:space="preserve">        </w:t>
      </w:r>
      <w:r>
        <w:rPr>
          <w:rFonts w:hint="eastAsia"/>
          <w:snapToGrid w:val="0"/>
          <w:szCs w:val="21"/>
          <w:highlight w:val="none"/>
        </w:rPr>
        <w:t>（标段编号）的</w:t>
      </w:r>
      <w:r>
        <w:rPr>
          <w:rFonts w:hint="eastAsia"/>
          <w:snapToGrid w:val="0"/>
          <w:szCs w:val="21"/>
          <w:highlight w:val="none"/>
          <w:u w:val="single"/>
        </w:rPr>
        <w:t xml:space="preserve">         </w:t>
      </w:r>
      <w:r>
        <w:rPr>
          <w:rFonts w:hint="eastAsia"/>
          <w:snapToGrid w:val="0"/>
          <w:szCs w:val="21"/>
          <w:highlight w:val="none"/>
        </w:rPr>
        <w:t>（标段名称）</w:t>
      </w:r>
      <w:r>
        <w:rPr>
          <w:rFonts w:hint="eastAsia"/>
          <w:szCs w:val="21"/>
          <w:highlight w:val="none"/>
        </w:rPr>
        <w:t>有关事项协商一致共同签订</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rFonts w:hint="eastAsia"/>
          <w:szCs w:val="21"/>
          <w:highlight w:val="none"/>
        </w:rPr>
        <w:t>（以下简称“基础合同”），开立人根据主合同了解到申请人为主合同项下之承包人，受益人为主合同项下之发包人，基于申请人</w:t>
      </w:r>
      <w:r>
        <w:rPr>
          <w:szCs w:val="21"/>
          <w:highlight w:val="none"/>
        </w:rPr>
        <w:t>的请求，</w:t>
      </w:r>
      <w:r>
        <w:rPr>
          <w:rFonts w:hint="eastAsia"/>
          <w:szCs w:val="21"/>
          <w:highlight w:val="none"/>
        </w:rPr>
        <w:t>开立人</w:t>
      </w:r>
      <w:r>
        <w:rPr>
          <w:szCs w:val="21"/>
          <w:highlight w:val="none"/>
        </w:rPr>
        <w:t>同意就</w:t>
      </w:r>
      <w:r>
        <w:rPr>
          <w:rFonts w:hint="eastAsia"/>
          <w:szCs w:val="21"/>
          <w:highlight w:val="none"/>
        </w:rPr>
        <w:t>申请人按照合同约定正确和合理地为合同目的使用预付款，</w:t>
      </w:r>
      <w:r>
        <w:rPr>
          <w:szCs w:val="21"/>
          <w:highlight w:val="none"/>
        </w:rPr>
        <w:t>向受益人提供不可撤销、</w:t>
      </w:r>
      <w:r>
        <w:rPr>
          <w:rFonts w:hint="eastAsia"/>
          <w:szCs w:val="21"/>
          <w:highlight w:val="none"/>
        </w:rPr>
        <w:t>不可转让的见索即付</w:t>
      </w:r>
      <w:r>
        <w:rPr>
          <w:szCs w:val="21"/>
          <w:highlight w:val="none"/>
        </w:rPr>
        <w:t>独立</w:t>
      </w:r>
      <w:r>
        <w:rPr>
          <w:rFonts w:hint="eastAsia"/>
          <w:szCs w:val="21"/>
          <w:highlight w:val="none"/>
        </w:rPr>
        <w:t>保函（以下简称“本保函”）</w:t>
      </w:r>
      <w:r>
        <w:rPr>
          <w:szCs w:val="21"/>
          <w:highlight w:val="none"/>
        </w:rPr>
        <w:t xml:space="preserve">。 </w:t>
      </w:r>
    </w:p>
    <w:p>
      <w:pPr>
        <w:spacing w:line="360" w:lineRule="auto"/>
        <w:ind w:firstLine="400" w:firstLineChars="200"/>
        <w:rPr>
          <w:szCs w:val="21"/>
          <w:highlight w:val="none"/>
        </w:rPr>
      </w:pPr>
      <w:r>
        <w:rPr>
          <w:rFonts w:hint="eastAsia"/>
          <w:szCs w:val="21"/>
          <w:highlight w:val="none"/>
        </w:rPr>
        <w:t>一、本保函担保范围：申请人未按照合同约定正确和合理地为合同目的使用预付款，应当向受益人承担的违约责任和赔偿因此造成的损失、利息、律师费、诉讼费用等实现债权的费用。</w:t>
      </w:r>
    </w:p>
    <w:p>
      <w:pPr>
        <w:spacing w:line="360" w:lineRule="auto"/>
        <w:ind w:firstLine="400" w:firstLineChars="200"/>
        <w:rPr>
          <w:szCs w:val="21"/>
          <w:highlight w:val="none"/>
        </w:rPr>
      </w:pPr>
      <w:r>
        <w:rPr>
          <w:rFonts w:hint="eastAsia"/>
          <w:szCs w:val="21"/>
          <w:highlight w:val="none"/>
        </w:rPr>
        <w:t>二、本保函担保金额最高不超过</w:t>
      </w:r>
      <w:r>
        <w:rPr>
          <w:szCs w:val="21"/>
          <w:highlight w:val="none"/>
        </w:rPr>
        <w:t>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 xml:space="preserve">）。 </w:t>
      </w:r>
    </w:p>
    <w:p>
      <w:pPr>
        <w:spacing w:line="360" w:lineRule="auto"/>
        <w:ind w:firstLine="400" w:firstLineChars="200"/>
        <w:rPr>
          <w:szCs w:val="21"/>
          <w:highlight w:val="none"/>
        </w:rPr>
      </w:pPr>
      <w:r>
        <w:rPr>
          <w:rFonts w:hint="eastAsia"/>
          <w:szCs w:val="21"/>
          <w:highlight w:val="none"/>
        </w:rPr>
        <w:t>三、本保函</w:t>
      </w:r>
      <w:r>
        <w:rPr>
          <w:szCs w:val="21"/>
          <w:highlight w:val="none"/>
        </w:rPr>
        <w:t>有效期自</w:t>
      </w:r>
      <w:r>
        <w:rPr>
          <w:rFonts w:hint="eastAsia"/>
          <w:szCs w:val="21"/>
          <w:highlight w:val="none"/>
        </w:rPr>
        <w:t>开立之日起</w:t>
      </w:r>
      <w:r>
        <w:rPr>
          <w:szCs w:val="21"/>
          <w:highlight w:val="none"/>
        </w:rPr>
        <w:t>至</w:t>
      </w:r>
      <w:r>
        <w:rPr>
          <w:rFonts w:hint="eastAsia"/>
          <w:szCs w:val="21"/>
          <w:highlight w:val="none"/>
        </w:rPr>
        <w:t>发包人全额扣回预付款之日止。</w:t>
      </w:r>
    </w:p>
    <w:p>
      <w:pPr>
        <w:spacing w:line="400" w:lineRule="exact"/>
        <w:ind w:firstLine="480"/>
        <w:rPr>
          <w:szCs w:val="21"/>
          <w:highlight w:val="none"/>
        </w:rPr>
      </w:pPr>
      <w:r>
        <w:rPr>
          <w:rFonts w:hint="eastAsia"/>
          <w:szCs w:val="21"/>
          <w:highlight w:val="none"/>
        </w:rPr>
        <w:t>四、开立人承诺，在收到受益人发来的书面付款通知后的七日内无条件支付，前述书面付款通知即为付款要求之单据，且应满足以下要求：</w:t>
      </w:r>
    </w:p>
    <w:p>
      <w:pPr>
        <w:spacing w:line="360" w:lineRule="auto"/>
        <w:ind w:firstLine="400" w:firstLineChars="200"/>
        <w:rPr>
          <w:szCs w:val="21"/>
          <w:highlight w:val="none"/>
        </w:rPr>
      </w:pPr>
      <w:r>
        <w:rPr>
          <w:rFonts w:hint="eastAsia"/>
          <w:szCs w:val="21"/>
          <w:highlight w:val="none"/>
        </w:rPr>
        <w:t>（1）付款通知到达的日期在本保函的有效期内；</w:t>
      </w:r>
    </w:p>
    <w:p>
      <w:pPr>
        <w:spacing w:line="360" w:lineRule="auto"/>
        <w:ind w:firstLine="400" w:firstLineChars="200"/>
        <w:rPr>
          <w:szCs w:val="21"/>
          <w:highlight w:val="none"/>
        </w:rPr>
      </w:pPr>
      <w:r>
        <w:rPr>
          <w:rFonts w:hint="eastAsia"/>
          <w:szCs w:val="21"/>
          <w:highlight w:val="none"/>
        </w:rPr>
        <w:t>（2）载明要求支付的金额；</w:t>
      </w:r>
    </w:p>
    <w:p>
      <w:pPr>
        <w:spacing w:line="360" w:lineRule="auto"/>
        <w:ind w:firstLine="400" w:firstLineChars="200"/>
        <w:rPr>
          <w:szCs w:val="21"/>
          <w:highlight w:val="none"/>
        </w:rPr>
      </w:pPr>
      <w:r>
        <w:rPr>
          <w:rFonts w:hint="eastAsia"/>
          <w:szCs w:val="21"/>
          <w:highlight w:val="none"/>
        </w:rPr>
        <w:t>（3）载明申请人违反合同义务的条款和内容；</w:t>
      </w:r>
    </w:p>
    <w:p>
      <w:pPr>
        <w:spacing w:line="360" w:lineRule="auto"/>
        <w:ind w:firstLine="400" w:firstLineChars="200"/>
        <w:rPr>
          <w:szCs w:val="21"/>
          <w:highlight w:val="none"/>
        </w:rPr>
      </w:pPr>
      <w:r>
        <w:rPr>
          <w:rFonts w:hint="eastAsia"/>
          <w:szCs w:val="21"/>
          <w:highlight w:val="none"/>
        </w:rPr>
        <w:t>（4）声明不存在合同文件约定或我国法律规定免除申请人或开立人支付责任的情形；</w:t>
      </w:r>
    </w:p>
    <w:p>
      <w:pPr>
        <w:spacing w:line="360" w:lineRule="auto"/>
        <w:ind w:firstLine="400" w:firstLineChars="200"/>
        <w:rPr>
          <w:szCs w:val="21"/>
          <w:highlight w:val="none"/>
        </w:rPr>
      </w:pPr>
      <w:r>
        <w:rPr>
          <w:rFonts w:hint="eastAsia"/>
          <w:szCs w:val="21"/>
          <w:highlight w:val="none"/>
        </w:rPr>
        <w:t>（5）付款通知应在本保函有效期内到达的地址是：</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pacing w:line="400" w:lineRule="exact"/>
        <w:rPr>
          <w:szCs w:val="21"/>
          <w:highlight w:val="none"/>
        </w:rPr>
      </w:pPr>
      <w:r>
        <w:rPr>
          <w:rFonts w:hint="eastAsia"/>
          <w:szCs w:val="21"/>
          <w:highlight w:val="none"/>
        </w:rPr>
        <w:t xml:space="preserve">    受益人发出的书面付款通知应由其法定代表人（负责人）或授权代理人签字并加盖公章。</w:t>
      </w:r>
    </w:p>
    <w:p>
      <w:pPr>
        <w:spacing w:line="400" w:lineRule="exact"/>
        <w:ind w:firstLine="400" w:firstLineChars="200"/>
        <w:rPr>
          <w:szCs w:val="21"/>
          <w:highlight w:val="none"/>
        </w:rPr>
      </w:pPr>
      <w:r>
        <w:rPr>
          <w:rFonts w:hint="eastAsia"/>
          <w:szCs w:val="21"/>
          <w:highlight w:val="none"/>
        </w:rPr>
        <w:t>五、</w:t>
      </w:r>
      <w:r>
        <w:rPr>
          <w:szCs w:val="21"/>
          <w:highlight w:val="none"/>
        </w:rPr>
        <w:t>本保函项下的权利不得转让，不得设定担保。</w:t>
      </w:r>
      <w:r>
        <w:rPr>
          <w:rFonts w:hint="eastAsia"/>
          <w:szCs w:val="21"/>
          <w:highlight w:val="none"/>
        </w:rPr>
        <w:t>受益人</w:t>
      </w:r>
      <w:r>
        <w:rPr>
          <w:szCs w:val="21"/>
          <w:highlight w:val="none"/>
        </w:rPr>
        <w:t>未经开立人书面同意转让本保函或其项下任何权利，</w:t>
      </w:r>
      <w:r>
        <w:rPr>
          <w:rFonts w:hint="eastAsia"/>
          <w:szCs w:val="21"/>
          <w:highlight w:val="none"/>
        </w:rPr>
        <w:t>对开立人不发生法律效力</w:t>
      </w:r>
      <w:r>
        <w:rPr>
          <w:szCs w:val="21"/>
          <w:highlight w:val="none"/>
        </w:rPr>
        <w:t xml:space="preserve">。 </w:t>
      </w:r>
    </w:p>
    <w:p>
      <w:pPr>
        <w:spacing w:line="400" w:lineRule="exact"/>
        <w:ind w:firstLine="400" w:firstLineChars="200"/>
        <w:rPr>
          <w:rStyle w:val="32"/>
          <w:highlight w:val="none"/>
        </w:rPr>
      </w:pPr>
      <w:r>
        <w:rPr>
          <w:rFonts w:hint="eastAsia"/>
          <w:szCs w:val="21"/>
          <w:highlight w:val="none"/>
        </w:rPr>
        <w:t>六、</w:t>
      </w:r>
      <w:r>
        <w:rPr>
          <w:szCs w:val="21"/>
          <w:highlight w:val="none"/>
        </w:rPr>
        <w:t>本保函项下的基础交易不成立、不生效、无效、被撤销、被解除，不影响本保函的独立有效。</w:t>
      </w:r>
    </w:p>
    <w:p>
      <w:pPr>
        <w:spacing w:line="400" w:lineRule="exact"/>
        <w:ind w:firstLine="400" w:firstLineChars="200"/>
        <w:rPr>
          <w:szCs w:val="21"/>
          <w:highlight w:val="none"/>
        </w:rPr>
      </w:pPr>
      <w:r>
        <w:rPr>
          <w:rFonts w:hint="eastAsia"/>
          <w:szCs w:val="21"/>
          <w:highlight w:val="none"/>
        </w:rPr>
        <w:t>七、</w:t>
      </w:r>
      <w:r>
        <w:rPr>
          <w:szCs w:val="21"/>
          <w:highlight w:val="none"/>
        </w:rPr>
        <w:t>本保函项下的义务和责任均在保函</w:t>
      </w:r>
      <w:r>
        <w:rPr>
          <w:rFonts w:hint="eastAsia"/>
          <w:szCs w:val="21"/>
          <w:highlight w:val="none"/>
        </w:rPr>
        <w:t>有效期</w:t>
      </w:r>
      <w:r>
        <w:rPr>
          <w:szCs w:val="21"/>
          <w:highlight w:val="none"/>
        </w:rPr>
        <w:t xml:space="preserve">到期后自动消灭。 </w:t>
      </w:r>
    </w:p>
    <w:p>
      <w:pPr>
        <w:spacing w:line="400" w:lineRule="exact"/>
        <w:ind w:firstLine="400" w:firstLineChars="200"/>
        <w:rPr>
          <w:szCs w:val="21"/>
          <w:highlight w:val="none"/>
        </w:rPr>
      </w:pPr>
      <w:r>
        <w:rPr>
          <w:rFonts w:hint="eastAsia"/>
          <w:szCs w:val="21"/>
          <w:highlight w:val="none"/>
        </w:rPr>
        <w:t>八、</w:t>
      </w:r>
      <w:r>
        <w:rPr>
          <w:szCs w:val="21"/>
          <w:highlight w:val="none"/>
        </w:rPr>
        <w:t>本保函</w:t>
      </w:r>
      <w:r>
        <w:rPr>
          <w:rFonts w:hint="eastAsia"/>
          <w:szCs w:val="21"/>
          <w:highlight w:val="none"/>
        </w:rPr>
        <w:t>适用的法律为中华人民共和国法律，因本保函产生的纠纷案件，由受益人所在地人民法院管辖。</w:t>
      </w:r>
      <w:r>
        <w:rPr>
          <w:szCs w:val="21"/>
          <w:highlight w:val="none"/>
        </w:rPr>
        <w:t xml:space="preserve"> </w:t>
      </w:r>
    </w:p>
    <w:p>
      <w:pPr>
        <w:spacing w:line="360" w:lineRule="auto"/>
        <w:ind w:firstLine="400" w:firstLineChars="200"/>
        <w:rPr>
          <w:szCs w:val="21"/>
          <w:highlight w:val="none"/>
        </w:rPr>
      </w:pPr>
      <w:r>
        <w:rPr>
          <w:rFonts w:hint="eastAsia"/>
          <w:szCs w:val="21"/>
          <w:highlight w:val="none"/>
        </w:rPr>
        <w:t>九、</w:t>
      </w:r>
      <w:r>
        <w:rPr>
          <w:szCs w:val="21"/>
          <w:highlight w:val="none"/>
        </w:rPr>
        <w:t>本保函自我方法定代表人</w:t>
      </w:r>
      <w:r>
        <w:rPr>
          <w:rFonts w:hint="eastAsia"/>
          <w:szCs w:val="21"/>
          <w:highlight w:val="none"/>
        </w:rPr>
        <w:t>或授权代表</w:t>
      </w:r>
      <w:r>
        <w:rPr>
          <w:szCs w:val="21"/>
          <w:highlight w:val="none"/>
        </w:rPr>
        <w:t>签字</w:t>
      </w:r>
      <w:r>
        <w:rPr>
          <w:rFonts w:hint="eastAsia"/>
          <w:szCs w:val="21"/>
          <w:highlight w:val="none"/>
        </w:rPr>
        <w:t>并</w:t>
      </w:r>
      <w:r>
        <w:rPr>
          <w:szCs w:val="21"/>
          <w:highlight w:val="none"/>
        </w:rPr>
        <w:t xml:space="preserve">加盖公章之日起生效。 </w:t>
      </w:r>
    </w:p>
    <w:p>
      <w:pPr>
        <w:spacing w:line="360" w:lineRule="auto"/>
        <w:ind w:firstLine="400" w:firstLineChars="200"/>
        <w:jc w:val="center"/>
        <w:rPr>
          <w:szCs w:val="21"/>
          <w:highlight w:val="none"/>
        </w:rPr>
      </w:pPr>
    </w:p>
    <w:p>
      <w:pPr>
        <w:spacing w:line="360" w:lineRule="auto"/>
        <w:ind w:firstLine="400" w:firstLineChars="200"/>
        <w:jc w:val="center"/>
        <w:rPr>
          <w:szCs w:val="21"/>
          <w:highlight w:val="none"/>
        </w:rPr>
      </w:pPr>
    </w:p>
    <w:p>
      <w:pPr>
        <w:spacing w:line="360" w:lineRule="auto"/>
        <w:ind w:firstLine="400" w:firstLineChars="200"/>
        <w:jc w:val="center"/>
        <w:rPr>
          <w:szCs w:val="21"/>
          <w:highlight w:val="none"/>
        </w:rPr>
      </w:pPr>
    </w:p>
    <w:p>
      <w:pPr>
        <w:spacing w:line="360" w:lineRule="auto"/>
        <w:ind w:firstLine="3600" w:firstLineChars="1800"/>
        <w:rPr>
          <w:szCs w:val="21"/>
          <w:highlight w:val="none"/>
        </w:rPr>
      </w:pPr>
      <w:r>
        <w:rPr>
          <w:rFonts w:hint="eastAsia"/>
          <w:szCs w:val="21"/>
          <w:highlight w:val="none"/>
        </w:rPr>
        <w:t>开 立 人</w:t>
      </w:r>
      <w:r>
        <w:rPr>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公</w:t>
      </w:r>
      <w:r>
        <w:rPr>
          <w:szCs w:val="21"/>
          <w:highlight w:val="none"/>
        </w:rPr>
        <w:t xml:space="preserve">章） </w:t>
      </w:r>
    </w:p>
    <w:p>
      <w:pPr>
        <w:spacing w:line="360" w:lineRule="auto"/>
        <w:ind w:firstLine="3600" w:firstLineChars="1800"/>
        <w:rPr>
          <w:szCs w:val="21"/>
          <w:highlight w:val="none"/>
        </w:rPr>
      </w:pPr>
      <w:r>
        <w:rPr>
          <w:rFonts w:hint="eastAsia"/>
          <w:szCs w:val="21"/>
          <w:highlight w:val="none"/>
        </w:rPr>
        <w:t>法定代表人（或授权代表）：</w:t>
      </w:r>
      <w:r>
        <w:rPr>
          <w:szCs w:val="21"/>
          <w:highlight w:val="none"/>
          <w:u w:val="single"/>
        </w:rPr>
        <w:t xml:space="preserve">            </w:t>
      </w:r>
      <w:r>
        <w:rPr>
          <w:szCs w:val="21"/>
          <w:highlight w:val="none"/>
        </w:rPr>
        <w:t xml:space="preserve">（签字） </w:t>
      </w:r>
    </w:p>
    <w:p>
      <w:pPr>
        <w:spacing w:line="360" w:lineRule="auto"/>
        <w:ind w:firstLine="3600" w:firstLineChars="1800"/>
        <w:rPr>
          <w:szCs w:val="21"/>
          <w:highlight w:val="none"/>
          <w:u w:val="single"/>
        </w:rPr>
      </w:pPr>
      <w:r>
        <w:rPr>
          <w:rFonts w:hint="eastAsia"/>
          <w:szCs w:val="21"/>
          <w:highlight w:val="none"/>
        </w:rPr>
        <w:t>地</w:t>
      </w:r>
      <w:r>
        <w:rPr>
          <w:szCs w:val="21"/>
          <w:highlight w:val="none"/>
        </w:rPr>
        <w:t xml:space="preserve">    址：</w:t>
      </w:r>
      <w:r>
        <w:rPr>
          <w:szCs w:val="21"/>
          <w:highlight w:val="none"/>
          <w:u w:val="single"/>
        </w:rPr>
        <w:t xml:space="preserve">                                     </w:t>
      </w:r>
    </w:p>
    <w:p>
      <w:pPr>
        <w:spacing w:line="360" w:lineRule="auto"/>
        <w:ind w:firstLine="3600" w:firstLineChars="1800"/>
        <w:rPr>
          <w:szCs w:val="21"/>
          <w:highlight w:val="none"/>
          <w:u w:val="single"/>
        </w:rPr>
      </w:pPr>
      <w:r>
        <w:rPr>
          <w:rFonts w:hint="eastAsia"/>
          <w:szCs w:val="21"/>
          <w:highlight w:val="none"/>
        </w:rPr>
        <w:t>邮政编码：</w:t>
      </w:r>
      <w:r>
        <w:rPr>
          <w:szCs w:val="21"/>
          <w:highlight w:val="none"/>
          <w:u w:val="single"/>
        </w:rPr>
        <w:t xml:space="preserve">                                     </w:t>
      </w:r>
    </w:p>
    <w:p>
      <w:pPr>
        <w:spacing w:line="360" w:lineRule="auto"/>
        <w:ind w:firstLine="3600" w:firstLineChars="1800"/>
        <w:rPr>
          <w:szCs w:val="21"/>
          <w:highlight w:val="none"/>
          <w:u w:val="single"/>
        </w:rPr>
      </w:pPr>
      <w:r>
        <w:rPr>
          <w:rFonts w:hint="eastAsia"/>
          <w:szCs w:val="21"/>
          <w:highlight w:val="none"/>
        </w:rPr>
        <w:t>电</w:t>
      </w:r>
      <w:r>
        <w:rPr>
          <w:szCs w:val="21"/>
          <w:highlight w:val="none"/>
        </w:rPr>
        <w:t xml:space="preserve">    话：</w:t>
      </w:r>
      <w:r>
        <w:rPr>
          <w:szCs w:val="21"/>
          <w:highlight w:val="none"/>
          <w:u w:val="single"/>
        </w:rPr>
        <w:t xml:space="preserve">                                     </w:t>
      </w:r>
    </w:p>
    <w:p>
      <w:pPr>
        <w:spacing w:line="360" w:lineRule="auto"/>
        <w:ind w:firstLine="3600" w:firstLineChars="1800"/>
        <w:rPr>
          <w:szCs w:val="21"/>
          <w:highlight w:val="none"/>
          <w:u w:val="single"/>
        </w:rPr>
      </w:pPr>
      <w:r>
        <w:rPr>
          <w:rFonts w:hint="eastAsia"/>
          <w:szCs w:val="21"/>
          <w:highlight w:val="none"/>
        </w:rPr>
        <w:t>传</w:t>
      </w:r>
      <w:r>
        <w:rPr>
          <w:szCs w:val="21"/>
          <w:highlight w:val="none"/>
        </w:rPr>
        <w:t xml:space="preserve">    真：</w:t>
      </w:r>
      <w:r>
        <w:rPr>
          <w:szCs w:val="21"/>
          <w:highlight w:val="none"/>
          <w:u w:val="single"/>
        </w:rPr>
        <w:t xml:space="preserve">                                     </w:t>
      </w:r>
    </w:p>
    <w:p>
      <w:pPr>
        <w:spacing w:line="360" w:lineRule="auto"/>
        <w:ind w:firstLine="3600" w:firstLineChars="1800"/>
        <w:rPr>
          <w:szCs w:val="21"/>
          <w:highlight w:val="none"/>
        </w:rPr>
      </w:pPr>
      <w:r>
        <w:rPr>
          <w:rFonts w:hint="eastAsia"/>
          <w:szCs w:val="21"/>
          <w:highlight w:val="none"/>
        </w:rPr>
        <w:t>开立时间：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rPr>
        <w:t>日</w:t>
      </w:r>
    </w:p>
    <w:p>
      <w:pPr>
        <w:keepNext/>
        <w:keepLines/>
        <w:spacing w:before="120" w:after="120" w:line="360" w:lineRule="auto"/>
        <w:jc w:val="left"/>
        <w:outlineLvl w:val="9"/>
        <w:rPr>
          <w:rFonts w:ascii="黑体" w:hAnsi="黑体" w:eastAsia="黑体"/>
          <w:bCs/>
          <w:sz w:val="24"/>
          <w:highlight w:val="none"/>
        </w:rPr>
      </w:pPr>
      <w:r>
        <w:rPr>
          <w:rFonts w:ascii="黑体" w:hAnsi="黑体" w:eastAsia="黑体"/>
          <w:b/>
          <w:bCs/>
          <w:kern w:val="2"/>
          <w:sz w:val="24"/>
          <w:szCs w:val="24"/>
          <w:highlight w:val="none"/>
        </w:rPr>
        <w:br w:type="page"/>
      </w:r>
    </w:p>
    <w:p>
      <w:pPr>
        <w:keepNext/>
        <w:keepLines/>
        <w:spacing w:before="120" w:after="120" w:line="360" w:lineRule="auto"/>
        <w:jc w:val="left"/>
        <w:outlineLvl w:val="2"/>
        <w:rPr>
          <w:rFonts w:ascii="黑体" w:hAnsi="黑体" w:eastAsia="黑体"/>
          <w:bCs/>
          <w:sz w:val="24"/>
          <w:highlight w:val="none"/>
        </w:rPr>
      </w:pPr>
      <w:r>
        <w:rPr>
          <w:rFonts w:hint="eastAsia" w:ascii="黑体" w:hAnsi="黑体" w:eastAsia="黑体"/>
          <w:bCs/>
          <w:sz w:val="24"/>
          <w:highlight w:val="none"/>
        </w:rPr>
        <w:t>附件</w:t>
      </w:r>
      <w:r>
        <w:rPr>
          <w:rFonts w:ascii="黑体" w:hAnsi="黑体" w:eastAsia="黑体"/>
          <w:bCs/>
          <w:sz w:val="24"/>
          <w:highlight w:val="none"/>
        </w:rPr>
        <w:t>1</w:t>
      </w:r>
      <w:r>
        <w:rPr>
          <w:rFonts w:hint="eastAsia" w:ascii="黑体" w:hAnsi="黑体" w:eastAsia="黑体"/>
          <w:bCs/>
          <w:sz w:val="24"/>
          <w:highlight w:val="none"/>
        </w:rPr>
        <w:t>1：支付担保</w:t>
      </w:r>
    </w:p>
    <w:p>
      <w:pPr>
        <w:spacing w:line="360" w:lineRule="auto"/>
        <w:jc w:val="center"/>
        <w:rPr>
          <w:b/>
          <w:bCs/>
          <w:sz w:val="32"/>
          <w:szCs w:val="32"/>
          <w:highlight w:val="none"/>
        </w:rPr>
      </w:pPr>
      <w:r>
        <w:rPr>
          <w:rFonts w:hint="eastAsia"/>
          <w:b/>
          <w:bCs/>
          <w:sz w:val="32"/>
          <w:szCs w:val="32"/>
          <w:highlight w:val="none"/>
        </w:rPr>
        <w:t>支付保函示范文本</w:t>
      </w:r>
    </w:p>
    <w:p>
      <w:pPr>
        <w:wordWrap w:val="0"/>
        <w:spacing w:line="360" w:lineRule="auto"/>
        <w:jc w:val="right"/>
        <w:rPr>
          <w:szCs w:val="21"/>
          <w:highlight w:val="none"/>
        </w:rPr>
      </w:pPr>
      <w:r>
        <w:rPr>
          <w:rFonts w:hint="eastAsia"/>
          <w:szCs w:val="21"/>
          <w:highlight w:val="none"/>
        </w:rPr>
        <w:t xml:space="preserve">编号： </w:t>
      </w:r>
      <w:r>
        <w:rPr>
          <w:szCs w:val="21"/>
          <w:highlight w:val="none"/>
        </w:rPr>
        <w:t xml:space="preserve">          </w:t>
      </w:r>
    </w:p>
    <w:p>
      <w:pPr>
        <w:spacing w:line="360" w:lineRule="auto"/>
        <w:jc w:val="center"/>
        <w:rPr>
          <w:szCs w:val="21"/>
          <w:highlight w:val="none"/>
        </w:rPr>
      </w:pPr>
    </w:p>
    <w:p>
      <w:pPr>
        <w:spacing w:line="360" w:lineRule="auto"/>
        <w:rPr>
          <w:szCs w:val="21"/>
          <w:highlight w:val="none"/>
        </w:rPr>
      </w:pPr>
      <w:bookmarkStart w:id="619" w:name="_Hlk40355074"/>
      <w:r>
        <w:rPr>
          <w:szCs w:val="21"/>
          <w:highlight w:val="none"/>
          <w:u w:val="single"/>
        </w:rPr>
        <w:t xml:space="preserve">              </w:t>
      </w:r>
      <w:r>
        <w:rPr>
          <w:szCs w:val="21"/>
          <w:highlight w:val="none"/>
        </w:rPr>
        <w:t>（</w:t>
      </w:r>
      <w:r>
        <w:rPr>
          <w:rFonts w:hint="eastAsia"/>
          <w:szCs w:val="21"/>
          <w:highlight w:val="none"/>
        </w:rPr>
        <w:t>受益人</w:t>
      </w:r>
      <w:r>
        <w:rPr>
          <w:szCs w:val="21"/>
          <w:highlight w:val="none"/>
        </w:rPr>
        <w:t xml:space="preserve">名称）： </w:t>
      </w:r>
    </w:p>
    <w:bookmarkEnd w:id="619"/>
    <w:p>
      <w:pPr>
        <w:spacing w:line="360" w:lineRule="auto"/>
        <w:ind w:firstLine="400" w:firstLineChars="200"/>
        <w:rPr>
          <w:szCs w:val="21"/>
          <w:highlight w:val="none"/>
        </w:rPr>
      </w:pPr>
      <w:r>
        <w:rPr>
          <w:rFonts w:hint="eastAsia"/>
          <w:szCs w:val="21"/>
          <w:highlight w:val="none"/>
        </w:rPr>
        <w:t>鉴于</w:t>
      </w:r>
      <w:r>
        <w:rPr>
          <w:szCs w:val="21"/>
          <w:highlight w:val="none"/>
          <w:u w:val="single"/>
        </w:rPr>
        <w:t xml:space="preserve">        </w:t>
      </w:r>
      <w:r>
        <w:rPr>
          <w:szCs w:val="21"/>
          <w:highlight w:val="none"/>
        </w:rPr>
        <w:t>（以下简称“</w:t>
      </w:r>
      <w:r>
        <w:rPr>
          <w:rFonts w:hint="eastAsia"/>
          <w:szCs w:val="21"/>
          <w:highlight w:val="none"/>
        </w:rPr>
        <w:t>受益人</w:t>
      </w:r>
      <w:r>
        <w:rPr>
          <w:szCs w:val="21"/>
          <w:highlight w:val="none"/>
        </w:rPr>
        <w:t>”）</w:t>
      </w:r>
      <w:r>
        <w:rPr>
          <w:rFonts w:hint="eastAsia"/>
          <w:szCs w:val="21"/>
          <w:highlight w:val="none"/>
        </w:rPr>
        <w:t>与</w:t>
      </w:r>
      <w:r>
        <w:rPr>
          <w:rFonts w:hint="eastAsia"/>
          <w:szCs w:val="21"/>
          <w:highlight w:val="none"/>
          <w:u w:val="single"/>
        </w:rPr>
        <w:t xml:space="preserve"> </w:t>
      </w:r>
      <w:r>
        <w:rPr>
          <w:szCs w:val="21"/>
          <w:highlight w:val="none"/>
          <w:u w:val="single"/>
        </w:rPr>
        <w:t xml:space="preserve">        </w:t>
      </w:r>
      <w:r>
        <w:rPr>
          <w:szCs w:val="21"/>
          <w:highlight w:val="none"/>
        </w:rPr>
        <w:t>（以下简称“</w:t>
      </w:r>
      <w:r>
        <w:rPr>
          <w:rFonts w:hint="eastAsia"/>
          <w:szCs w:val="21"/>
          <w:highlight w:val="none"/>
        </w:rPr>
        <w:t>申请人</w:t>
      </w:r>
      <w:r>
        <w:rPr>
          <w:szCs w:val="21"/>
          <w:highlight w:val="none"/>
        </w:rPr>
        <w:t>”）</w:t>
      </w:r>
      <w:r>
        <w:rPr>
          <w:rFonts w:hint="eastAsia"/>
          <w:szCs w:val="21"/>
          <w:highlight w:val="none"/>
        </w:rPr>
        <w:t>于</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日就</w:t>
      </w:r>
      <w:r>
        <w:rPr>
          <w:rFonts w:hint="eastAsia"/>
          <w:snapToGrid w:val="0"/>
          <w:szCs w:val="21"/>
          <w:highlight w:val="none"/>
          <w:u w:val="single"/>
        </w:rPr>
        <w:t xml:space="preserve">        </w:t>
      </w:r>
      <w:r>
        <w:rPr>
          <w:rFonts w:hint="eastAsia"/>
          <w:snapToGrid w:val="0"/>
          <w:szCs w:val="21"/>
          <w:highlight w:val="none"/>
        </w:rPr>
        <w:t>（标段编号）的</w:t>
      </w:r>
      <w:r>
        <w:rPr>
          <w:rFonts w:hint="eastAsia"/>
          <w:snapToGrid w:val="0"/>
          <w:szCs w:val="21"/>
          <w:highlight w:val="none"/>
          <w:u w:val="single"/>
        </w:rPr>
        <w:t xml:space="preserve">         </w:t>
      </w:r>
      <w:r>
        <w:rPr>
          <w:rFonts w:hint="eastAsia"/>
          <w:snapToGrid w:val="0"/>
          <w:szCs w:val="21"/>
          <w:highlight w:val="none"/>
        </w:rPr>
        <w:t>（标段名称）</w:t>
      </w:r>
      <w:r>
        <w:rPr>
          <w:rFonts w:hint="eastAsia"/>
          <w:szCs w:val="21"/>
          <w:highlight w:val="none"/>
        </w:rPr>
        <w:t>有关事项协商一致共同签订</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rFonts w:hint="eastAsia"/>
          <w:szCs w:val="21"/>
          <w:highlight w:val="none"/>
        </w:rPr>
        <w:t>（以下简称基础合同”），开立人根据基础合同了解到申请人为基础合同项下之发包人，受益人为基础合同项下之承包人，基于申请人</w:t>
      </w:r>
      <w:r>
        <w:rPr>
          <w:szCs w:val="21"/>
          <w:highlight w:val="none"/>
        </w:rPr>
        <w:t>的请求，</w:t>
      </w:r>
      <w:r>
        <w:rPr>
          <w:rFonts w:hint="eastAsia"/>
          <w:szCs w:val="21"/>
          <w:highlight w:val="none"/>
        </w:rPr>
        <w:t>开立人</w:t>
      </w:r>
      <w:r>
        <w:rPr>
          <w:szCs w:val="21"/>
          <w:highlight w:val="none"/>
        </w:rPr>
        <w:t>同意就</w:t>
      </w:r>
      <w:r>
        <w:rPr>
          <w:rFonts w:hint="eastAsia"/>
          <w:szCs w:val="21"/>
          <w:highlight w:val="none"/>
        </w:rPr>
        <w:t>申请人</w:t>
      </w:r>
      <w:r>
        <w:rPr>
          <w:szCs w:val="21"/>
          <w:highlight w:val="none"/>
        </w:rPr>
        <w:t>履行</w:t>
      </w:r>
      <w:r>
        <w:rPr>
          <w:rFonts w:hint="eastAsia"/>
          <w:szCs w:val="21"/>
          <w:highlight w:val="none"/>
        </w:rPr>
        <w:t>与受益人签订的基础合同</w:t>
      </w:r>
      <w:r>
        <w:rPr>
          <w:szCs w:val="21"/>
          <w:highlight w:val="none"/>
        </w:rPr>
        <w:t>项下的</w:t>
      </w:r>
      <w:r>
        <w:rPr>
          <w:rFonts w:hint="eastAsia"/>
          <w:szCs w:val="21"/>
          <w:highlight w:val="none"/>
        </w:rPr>
        <w:t>工程款（指基础合同约定的除工程质量保修金以外的工程款）付款</w:t>
      </w:r>
      <w:r>
        <w:rPr>
          <w:szCs w:val="21"/>
          <w:highlight w:val="none"/>
        </w:rPr>
        <w:t>义务</w:t>
      </w:r>
      <w:r>
        <w:rPr>
          <w:rFonts w:hint="eastAsia"/>
          <w:szCs w:val="21"/>
          <w:highlight w:val="none"/>
        </w:rPr>
        <w:t>，</w:t>
      </w:r>
      <w:r>
        <w:rPr>
          <w:szCs w:val="21"/>
          <w:highlight w:val="none"/>
        </w:rPr>
        <w:t>向受益人提供不可撤销、</w:t>
      </w:r>
      <w:r>
        <w:rPr>
          <w:rFonts w:hint="eastAsia"/>
          <w:szCs w:val="21"/>
          <w:highlight w:val="none"/>
        </w:rPr>
        <w:t>不可转让的见索即付</w:t>
      </w:r>
      <w:r>
        <w:rPr>
          <w:szCs w:val="21"/>
          <w:highlight w:val="none"/>
        </w:rPr>
        <w:t>独立</w:t>
      </w:r>
      <w:r>
        <w:rPr>
          <w:rFonts w:hint="eastAsia"/>
          <w:szCs w:val="21"/>
          <w:highlight w:val="none"/>
        </w:rPr>
        <w:t>保函（以下简称“本保函”）</w:t>
      </w:r>
      <w:r>
        <w:rPr>
          <w:szCs w:val="21"/>
          <w:highlight w:val="none"/>
        </w:rPr>
        <w:t xml:space="preserve">。 </w:t>
      </w:r>
    </w:p>
    <w:p>
      <w:pPr>
        <w:spacing w:line="360" w:lineRule="auto"/>
        <w:ind w:firstLine="400" w:firstLineChars="200"/>
        <w:rPr>
          <w:szCs w:val="21"/>
          <w:highlight w:val="none"/>
        </w:rPr>
      </w:pPr>
      <w:r>
        <w:rPr>
          <w:rFonts w:hint="eastAsia"/>
          <w:szCs w:val="21"/>
          <w:highlight w:val="none"/>
        </w:rPr>
        <w:t>一、本保函担保范围：申请人未履行基础合同约定的工程款支付义务，应当向受益人承担的违约责任和赔偿因此造成的损失、利息、律师费、诉讼费用等实现债权的费用。</w:t>
      </w:r>
    </w:p>
    <w:p>
      <w:pPr>
        <w:spacing w:line="360" w:lineRule="auto"/>
        <w:ind w:firstLine="400" w:firstLineChars="200"/>
        <w:rPr>
          <w:szCs w:val="21"/>
          <w:highlight w:val="none"/>
        </w:rPr>
      </w:pPr>
      <w:r>
        <w:rPr>
          <w:rFonts w:hint="eastAsia"/>
          <w:szCs w:val="21"/>
          <w:highlight w:val="none"/>
        </w:rPr>
        <w:t>二、本保函担保金额最高不超过</w:t>
      </w:r>
      <w:r>
        <w:rPr>
          <w:szCs w:val="21"/>
          <w:highlight w:val="none"/>
        </w:rPr>
        <w:t>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 xml:space="preserve">）。 </w:t>
      </w:r>
    </w:p>
    <w:p>
      <w:pPr>
        <w:spacing w:line="360" w:lineRule="auto"/>
        <w:ind w:firstLine="400" w:firstLineChars="200"/>
        <w:rPr>
          <w:szCs w:val="21"/>
          <w:highlight w:val="none"/>
        </w:rPr>
      </w:pPr>
      <w:r>
        <w:rPr>
          <w:rFonts w:hint="eastAsia"/>
          <w:szCs w:val="21"/>
          <w:highlight w:val="none"/>
        </w:rPr>
        <w:t>三、本保函</w:t>
      </w:r>
      <w:r>
        <w:rPr>
          <w:szCs w:val="21"/>
          <w:highlight w:val="none"/>
        </w:rPr>
        <w:t>有效期自</w:t>
      </w:r>
      <w:r>
        <w:rPr>
          <w:rFonts w:hint="eastAsia"/>
          <w:szCs w:val="21"/>
          <w:highlight w:val="none"/>
        </w:rPr>
        <w:t>开立之日起</w:t>
      </w:r>
      <w:r>
        <w:rPr>
          <w:szCs w:val="21"/>
          <w:highlight w:val="none"/>
        </w:rPr>
        <w:t>至</w:t>
      </w:r>
      <w:r>
        <w:rPr>
          <w:rFonts w:hint="eastAsia"/>
          <w:szCs w:val="21"/>
          <w:highlight w:val="none"/>
        </w:rPr>
        <w:t>基础合同约定的除工程质量保修金以外的全部工程结算款项支付之日后</w:t>
      </w:r>
      <w:r>
        <w:rPr>
          <w:rFonts w:hint="eastAsia"/>
          <w:szCs w:val="21"/>
          <w:highlight w:val="none"/>
          <w:u w:val="single"/>
        </w:rPr>
        <w:t xml:space="preserve">    </w:t>
      </w:r>
      <w:r>
        <w:rPr>
          <w:rFonts w:hint="eastAsia"/>
          <w:szCs w:val="21"/>
          <w:highlight w:val="none"/>
        </w:rPr>
        <w:t>日止</w:t>
      </w:r>
      <w:r>
        <w:rPr>
          <w:szCs w:val="21"/>
          <w:highlight w:val="none"/>
        </w:rPr>
        <w:t xml:space="preserve">。 </w:t>
      </w:r>
    </w:p>
    <w:p>
      <w:pPr>
        <w:spacing w:line="400" w:lineRule="exact"/>
        <w:ind w:firstLine="480"/>
        <w:rPr>
          <w:szCs w:val="21"/>
          <w:highlight w:val="none"/>
        </w:rPr>
      </w:pPr>
      <w:r>
        <w:rPr>
          <w:rFonts w:hint="eastAsia"/>
          <w:szCs w:val="21"/>
          <w:highlight w:val="none"/>
        </w:rPr>
        <w:t>四、开立人承诺，在收到受益人发来的书面付款通知后的七日内无条件支付，前述书面付款通知即为付款要求之单据，且应满足以下要求：</w:t>
      </w:r>
    </w:p>
    <w:p>
      <w:pPr>
        <w:spacing w:line="360" w:lineRule="auto"/>
        <w:ind w:firstLine="400" w:firstLineChars="200"/>
        <w:rPr>
          <w:szCs w:val="21"/>
          <w:highlight w:val="none"/>
        </w:rPr>
      </w:pPr>
      <w:r>
        <w:rPr>
          <w:rFonts w:hint="eastAsia"/>
          <w:szCs w:val="21"/>
          <w:highlight w:val="none"/>
        </w:rPr>
        <w:t>（1）付款通知到达的日期在本保函的有效期内；</w:t>
      </w:r>
    </w:p>
    <w:p>
      <w:pPr>
        <w:spacing w:line="360" w:lineRule="auto"/>
        <w:ind w:firstLine="400" w:firstLineChars="200"/>
        <w:rPr>
          <w:szCs w:val="21"/>
          <w:highlight w:val="none"/>
        </w:rPr>
      </w:pPr>
      <w:r>
        <w:rPr>
          <w:rFonts w:hint="eastAsia"/>
          <w:szCs w:val="21"/>
          <w:highlight w:val="none"/>
        </w:rPr>
        <w:t>（2）载明要求支付的金额；</w:t>
      </w:r>
    </w:p>
    <w:p>
      <w:pPr>
        <w:spacing w:line="360" w:lineRule="auto"/>
        <w:ind w:firstLine="400" w:firstLineChars="200"/>
        <w:rPr>
          <w:szCs w:val="21"/>
          <w:highlight w:val="none"/>
        </w:rPr>
      </w:pPr>
      <w:r>
        <w:rPr>
          <w:rFonts w:hint="eastAsia"/>
          <w:szCs w:val="21"/>
          <w:highlight w:val="none"/>
        </w:rPr>
        <w:t>（3）载明申请人违反合同义务的条款和内容；</w:t>
      </w:r>
    </w:p>
    <w:p>
      <w:pPr>
        <w:spacing w:line="360" w:lineRule="auto"/>
        <w:ind w:firstLine="400" w:firstLineChars="200"/>
        <w:rPr>
          <w:szCs w:val="21"/>
          <w:highlight w:val="none"/>
        </w:rPr>
      </w:pPr>
      <w:r>
        <w:rPr>
          <w:rFonts w:hint="eastAsia"/>
          <w:szCs w:val="21"/>
          <w:highlight w:val="none"/>
        </w:rPr>
        <w:t>（4）声明不存在合同文件约定或我国法律规定免除申请人或开立人支付责任的情形；</w:t>
      </w:r>
    </w:p>
    <w:p>
      <w:pPr>
        <w:spacing w:line="360" w:lineRule="auto"/>
        <w:ind w:firstLine="400" w:firstLineChars="200"/>
        <w:rPr>
          <w:szCs w:val="21"/>
          <w:highlight w:val="none"/>
        </w:rPr>
      </w:pPr>
      <w:r>
        <w:rPr>
          <w:rFonts w:hint="eastAsia"/>
          <w:szCs w:val="21"/>
          <w:highlight w:val="none"/>
        </w:rPr>
        <w:t>（5）付款通知应在本保函有效期内到达的地址是：</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pacing w:line="400" w:lineRule="exact"/>
        <w:rPr>
          <w:szCs w:val="21"/>
          <w:highlight w:val="none"/>
        </w:rPr>
      </w:pPr>
      <w:r>
        <w:rPr>
          <w:rFonts w:hint="eastAsia"/>
          <w:szCs w:val="21"/>
          <w:highlight w:val="none"/>
        </w:rPr>
        <w:t xml:space="preserve">    受益人发出的书面付款通知应由其法定代表人（负责人）或授权代理人签字并加盖公章。</w:t>
      </w:r>
    </w:p>
    <w:p>
      <w:pPr>
        <w:spacing w:line="400" w:lineRule="exact"/>
        <w:ind w:firstLine="400" w:firstLineChars="200"/>
        <w:rPr>
          <w:szCs w:val="21"/>
          <w:highlight w:val="none"/>
        </w:rPr>
      </w:pPr>
      <w:r>
        <w:rPr>
          <w:rFonts w:hint="eastAsia"/>
          <w:szCs w:val="21"/>
          <w:highlight w:val="none"/>
        </w:rPr>
        <w:t>五、</w:t>
      </w:r>
      <w:r>
        <w:rPr>
          <w:szCs w:val="21"/>
          <w:highlight w:val="none"/>
        </w:rPr>
        <w:t>本保函项下的权利不得转让，不得设定担保。</w:t>
      </w:r>
      <w:r>
        <w:rPr>
          <w:rFonts w:hint="eastAsia"/>
          <w:szCs w:val="21"/>
          <w:highlight w:val="none"/>
        </w:rPr>
        <w:t>受益人</w:t>
      </w:r>
      <w:r>
        <w:rPr>
          <w:szCs w:val="21"/>
          <w:highlight w:val="none"/>
        </w:rPr>
        <w:t>未经开立人书面同意转让本保函或其项下任何权利，</w:t>
      </w:r>
      <w:r>
        <w:rPr>
          <w:rFonts w:hint="eastAsia"/>
          <w:szCs w:val="21"/>
          <w:highlight w:val="none"/>
        </w:rPr>
        <w:t>对开立人不发生法律效力</w:t>
      </w:r>
      <w:r>
        <w:rPr>
          <w:szCs w:val="21"/>
          <w:highlight w:val="none"/>
        </w:rPr>
        <w:t xml:space="preserve">。 </w:t>
      </w:r>
    </w:p>
    <w:p>
      <w:pPr>
        <w:spacing w:line="400" w:lineRule="exact"/>
        <w:ind w:firstLine="400" w:firstLineChars="200"/>
        <w:rPr>
          <w:rStyle w:val="32"/>
          <w:highlight w:val="none"/>
        </w:rPr>
      </w:pPr>
      <w:r>
        <w:rPr>
          <w:rFonts w:hint="eastAsia"/>
          <w:szCs w:val="21"/>
          <w:highlight w:val="none"/>
        </w:rPr>
        <w:t>六、</w:t>
      </w:r>
      <w:r>
        <w:rPr>
          <w:szCs w:val="21"/>
          <w:highlight w:val="none"/>
        </w:rPr>
        <w:t>本保函项下的基础交易不成立、不生效、无效、被撤销、被解除，不影响本保函的独立有效。</w:t>
      </w:r>
    </w:p>
    <w:p>
      <w:pPr>
        <w:spacing w:line="400" w:lineRule="exact"/>
        <w:ind w:firstLine="400" w:firstLineChars="200"/>
        <w:rPr>
          <w:szCs w:val="21"/>
          <w:highlight w:val="none"/>
        </w:rPr>
      </w:pPr>
      <w:r>
        <w:rPr>
          <w:rFonts w:hint="eastAsia"/>
          <w:szCs w:val="21"/>
          <w:highlight w:val="none"/>
        </w:rPr>
        <w:t>七、</w:t>
      </w:r>
      <w:r>
        <w:rPr>
          <w:szCs w:val="21"/>
          <w:highlight w:val="none"/>
        </w:rPr>
        <w:t>本保函项下的义务和责任均在保函</w:t>
      </w:r>
      <w:r>
        <w:rPr>
          <w:rFonts w:hint="eastAsia"/>
          <w:szCs w:val="21"/>
          <w:highlight w:val="none"/>
        </w:rPr>
        <w:t>有效期</w:t>
      </w:r>
      <w:r>
        <w:rPr>
          <w:szCs w:val="21"/>
          <w:highlight w:val="none"/>
        </w:rPr>
        <w:t xml:space="preserve">到期后自动消灭。 </w:t>
      </w:r>
    </w:p>
    <w:p>
      <w:pPr>
        <w:spacing w:line="400" w:lineRule="exact"/>
        <w:ind w:firstLine="400" w:firstLineChars="200"/>
        <w:rPr>
          <w:szCs w:val="21"/>
          <w:highlight w:val="none"/>
        </w:rPr>
      </w:pPr>
      <w:r>
        <w:rPr>
          <w:rFonts w:hint="eastAsia"/>
          <w:szCs w:val="21"/>
          <w:highlight w:val="none"/>
        </w:rPr>
        <w:t>八、</w:t>
      </w:r>
      <w:r>
        <w:rPr>
          <w:szCs w:val="21"/>
          <w:highlight w:val="none"/>
        </w:rPr>
        <w:t>本保函</w:t>
      </w:r>
      <w:r>
        <w:rPr>
          <w:rFonts w:hint="eastAsia"/>
          <w:szCs w:val="21"/>
          <w:highlight w:val="none"/>
        </w:rPr>
        <w:t>适用的法律为中华人民共和国法律，因本保函产生的纠纷案件，由申请人所在地人民法院管辖。</w:t>
      </w:r>
      <w:r>
        <w:rPr>
          <w:szCs w:val="21"/>
          <w:highlight w:val="none"/>
        </w:rPr>
        <w:t xml:space="preserve"> </w:t>
      </w:r>
    </w:p>
    <w:p>
      <w:pPr>
        <w:spacing w:line="360" w:lineRule="auto"/>
        <w:ind w:firstLine="400" w:firstLineChars="200"/>
        <w:rPr>
          <w:szCs w:val="21"/>
          <w:highlight w:val="none"/>
        </w:rPr>
      </w:pPr>
      <w:r>
        <w:rPr>
          <w:rFonts w:hint="eastAsia"/>
          <w:szCs w:val="21"/>
          <w:highlight w:val="none"/>
        </w:rPr>
        <w:t>九、</w:t>
      </w:r>
      <w:r>
        <w:rPr>
          <w:szCs w:val="21"/>
          <w:highlight w:val="none"/>
        </w:rPr>
        <w:t>本保函自我方法定代表人</w:t>
      </w:r>
      <w:r>
        <w:rPr>
          <w:rFonts w:hint="eastAsia"/>
          <w:szCs w:val="21"/>
          <w:highlight w:val="none"/>
        </w:rPr>
        <w:t>或授权代表</w:t>
      </w:r>
      <w:r>
        <w:rPr>
          <w:szCs w:val="21"/>
          <w:highlight w:val="none"/>
        </w:rPr>
        <w:t>签字</w:t>
      </w:r>
      <w:r>
        <w:rPr>
          <w:rFonts w:hint="eastAsia"/>
          <w:szCs w:val="21"/>
          <w:highlight w:val="none"/>
        </w:rPr>
        <w:t>并</w:t>
      </w:r>
      <w:r>
        <w:rPr>
          <w:szCs w:val="21"/>
          <w:highlight w:val="none"/>
        </w:rPr>
        <w:t xml:space="preserve">加盖公章之日起生效。 </w:t>
      </w:r>
    </w:p>
    <w:p>
      <w:pPr>
        <w:spacing w:line="360" w:lineRule="auto"/>
        <w:ind w:firstLine="400" w:firstLineChars="200"/>
        <w:jc w:val="center"/>
        <w:rPr>
          <w:szCs w:val="21"/>
          <w:highlight w:val="none"/>
        </w:rPr>
      </w:pPr>
    </w:p>
    <w:p>
      <w:pPr>
        <w:spacing w:line="360" w:lineRule="auto"/>
        <w:ind w:firstLine="400" w:firstLineChars="200"/>
        <w:jc w:val="center"/>
        <w:rPr>
          <w:szCs w:val="21"/>
          <w:highlight w:val="none"/>
        </w:rPr>
      </w:pPr>
    </w:p>
    <w:p>
      <w:pPr>
        <w:spacing w:line="360" w:lineRule="auto"/>
        <w:ind w:firstLine="3200" w:firstLineChars="1600"/>
        <w:rPr>
          <w:szCs w:val="21"/>
          <w:highlight w:val="none"/>
        </w:rPr>
      </w:pPr>
      <w:r>
        <w:rPr>
          <w:rFonts w:hint="eastAsia"/>
          <w:szCs w:val="21"/>
          <w:highlight w:val="none"/>
        </w:rPr>
        <w:t>开 立 人</w:t>
      </w:r>
      <w:r>
        <w:rPr>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公</w:t>
      </w:r>
      <w:r>
        <w:rPr>
          <w:szCs w:val="21"/>
          <w:highlight w:val="none"/>
        </w:rPr>
        <w:t xml:space="preserve">章） </w:t>
      </w:r>
    </w:p>
    <w:p>
      <w:pPr>
        <w:spacing w:line="360" w:lineRule="auto"/>
        <w:ind w:firstLine="3200" w:firstLineChars="1600"/>
        <w:rPr>
          <w:szCs w:val="21"/>
          <w:highlight w:val="none"/>
        </w:rPr>
      </w:pPr>
      <w:r>
        <w:rPr>
          <w:rFonts w:hint="eastAsia"/>
          <w:szCs w:val="21"/>
          <w:highlight w:val="none"/>
        </w:rPr>
        <w:t>法定代表人（或授权代表）：</w:t>
      </w:r>
      <w:r>
        <w:rPr>
          <w:szCs w:val="21"/>
          <w:highlight w:val="none"/>
          <w:u w:val="single"/>
        </w:rPr>
        <w:t xml:space="preserve">               </w:t>
      </w:r>
      <w:r>
        <w:rPr>
          <w:szCs w:val="21"/>
          <w:highlight w:val="none"/>
        </w:rPr>
        <w:t>（签字）</w:t>
      </w:r>
    </w:p>
    <w:p>
      <w:pPr>
        <w:spacing w:line="360" w:lineRule="auto"/>
        <w:ind w:firstLine="3200" w:firstLineChars="1600"/>
        <w:rPr>
          <w:szCs w:val="21"/>
          <w:highlight w:val="none"/>
          <w:u w:val="single"/>
        </w:rPr>
      </w:pPr>
      <w:r>
        <w:rPr>
          <w:rFonts w:hint="eastAsia"/>
          <w:szCs w:val="21"/>
          <w:highlight w:val="none"/>
        </w:rPr>
        <w:t>地</w:t>
      </w:r>
      <w:r>
        <w:rPr>
          <w:szCs w:val="21"/>
          <w:highlight w:val="none"/>
        </w:rPr>
        <w:t xml:space="preserve">    址：</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邮政编码：</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电</w:t>
      </w:r>
      <w:r>
        <w:rPr>
          <w:szCs w:val="21"/>
          <w:highlight w:val="none"/>
        </w:rPr>
        <w:t xml:space="preserve">    话：</w:t>
      </w:r>
      <w:r>
        <w:rPr>
          <w:szCs w:val="21"/>
          <w:highlight w:val="none"/>
          <w:u w:val="single"/>
        </w:rPr>
        <w:t xml:space="preserve">                                       </w:t>
      </w:r>
    </w:p>
    <w:p>
      <w:pPr>
        <w:spacing w:line="360" w:lineRule="auto"/>
        <w:ind w:firstLine="3200" w:firstLineChars="1600"/>
        <w:rPr>
          <w:szCs w:val="21"/>
          <w:highlight w:val="none"/>
          <w:u w:val="single"/>
        </w:rPr>
      </w:pPr>
      <w:r>
        <w:rPr>
          <w:rFonts w:hint="eastAsia"/>
          <w:szCs w:val="21"/>
          <w:highlight w:val="none"/>
        </w:rPr>
        <w:t>传</w:t>
      </w:r>
      <w:r>
        <w:rPr>
          <w:szCs w:val="21"/>
          <w:highlight w:val="none"/>
        </w:rPr>
        <w:t xml:space="preserve">    真：</w:t>
      </w:r>
      <w:r>
        <w:rPr>
          <w:szCs w:val="21"/>
          <w:highlight w:val="none"/>
          <w:u w:val="single"/>
        </w:rPr>
        <w:t xml:space="preserve">                                       </w:t>
      </w:r>
    </w:p>
    <w:p>
      <w:pPr>
        <w:spacing w:line="360" w:lineRule="auto"/>
        <w:ind w:firstLine="3200" w:firstLineChars="1600"/>
        <w:rPr>
          <w:szCs w:val="21"/>
          <w:highlight w:val="none"/>
        </w:rPr>
      </w:pPr>
      <w:r>
        <w:rPr>
          <w:rFonts w:hint="eastAsia"/>
          <w:szCs w:val="21"/>
          <w:highlight w:val="none"/>
        </w:rPr>
        <w:t>开立时间：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rPr>
        <w:t>日</w:t>
      </w:r>
    </w:p>
    <w:p>
      <w:pPr>
        <w:pStyle w:val="19"/>
        <w:jc w:val="center"/>
        <w:rPr>
          <w:highlight w:val="none"/>
        </w:rPr>
      </w:pPr>
    </w:p>
    <w:p>
      <w:pPr>
        <w:keepNext/>
        <w:keepLines/>
        <w:spacing w:before="120" w:after="120" w:line="360" w:lineRule="auto"/>
        <w:jc w:val="left"/>
        <w:outlineLvl w:val="2"/>
        <w:rPr>
          <w:rFonts w:ascii="黑体" w:hAnsi="黑体" w:eastAsia="黑体"/>
          <w:bCs/>
          <w:kern w:val="2"/>
          <w:sz w:val="24"/>
          <w:szCs w:val="24"/>
          <w:highlight w:val="none"/>
        </w:rPr>
      </w:pPr>
      <w:r>
        <w:rPr>
          <w:rFonts w:ascii="黑体" w:hAnsi="黑体" w:eastAsia="黑体"/>
          <w:bCs/>
          <w:kern w:val="2"/>
          <w:sz w:val="24"/>
          <w:szCs w:val="24"/>
          <w:highlight w:val="none"/>
        </w:rPr>
        <w:br w:type="page"/>
      </w:r>
      <w:r>
        <w:rPr>
          <w:rFonts w:hint="eastAsia" w:ascii="黑体" w:hAnsi="黑体" w:eastAsia="黑体"/>
          <w:bCs/>
          <w:kern w:val="2"/>
          <w:sz w:val="24"/>
          <w:szCs w:val="24"/>
          <w:highlight w:val="none"/>
        </w:rPr>
        <w:t>附件</w:t>
      </w:r>
      <w:r>
        <w:rPr>
          <w:rFonts w:ascii="黑体" w:hAnsi="黑体" w:eastAsia="黑体"/>
          <w:bCs/>
          <w:kern w:val="2"/>
          <w:sz w:val="24"/>
          <w:szCs w:val="24"/>
          <w:highlight w:val="none"/>
        </w:rPr>
        <w:t>1</w:t>
      </w:r>
      <w:r>
        <w:rPr>
          <w:rFonts w:hint="eastAsia" w:ascii="黑体" w:hAnsi="黑体" w:eastAsia="黑体"/>
          <w:bCs/>
          <w:kern w:val="2"/>
          <w:sz w:val="24"/>
          <w:szCs w:val="24"/>
          <w:highlight w:val="none"/>
        </w:rPr>
        <w:t>2：暂估价一览表</w:t>
      </w:r>
    </w:p>
    <w:p>
      <w:pPr>
        <w:spacing w:before="156" w:beforeLines="50" w:after="156" w:afterLines="50" w:line="440" w:lineRule="exact"/>
        <w:jc w:val="center"/>
        <w:rPr>
          <w:kern w:val="2"/>
          <w:sz w:val="21"/>
          <w:szCs w:val="21"/>
          <w:highlight w:val="none"/>
        </w:rPr>
      </w:pPr>
      <w:r>
        <w:rPr>
          <w:kern w:val="2"/>
          <w:sz w:val="21"/>
          <w:szCs w:val="21"/>
          <w:highlight w:val="none"/>
        </w:rPr>
        <w:t>1</w:t>
      </w:r>
      <w:r>
        <w:rPr>
          <w:rFonts w:hint="eastAsia"/>
          <w:kern w:val="2"/>
          <w:sz w:val="21"/>
          <w:szCs w:val="21"/>
          <w:highlight w:val="none"/>
        </w:rPr>
        <w:t>2</w:t>
      </w:r>
      <w:r>
        <w:rPr>
          <w:kern w:val="2"/>
          <w:sz w:val="21"/>
          <w:szCs w:val="21"/>
          <w:highlight w:val="none"/>
        </w:rPr>
        <w:t>-1</w:t>
      </w:r>
      <w:r>
        <w:rPr>
          <w:rFonts w:hint="eastAsia"/>
          <w:kern w:val="2"/>
          <w:sz w:val="21"/>
          <w:szCs w:val="21"/>
          <w:highlight w:val="none"/>
        </w:rPr>
        <w:t>：材料暂估价表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序号</w:t>
            </w:r>
          </w:p>
        </w:tc>
        <w:tc>
          <w:tcPr>
            <w:tcW w:w="1093"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名称</w:t>
            </w:r>
          </w:p>
        </w:tc>
        <w:tc>
          <w:tcPr>
            <w:tcW w:w="469"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单位</w:t>
            </w:r>
          </w:p>
        </w:tc>
        <w:tc>
          <w:tcPr>
            <w:tcW w:w="42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数量</w:t>
            </w:r>
          </w:p>
        </w:tc>
        <w:tc>
          <w:tcPr>
            <w:tcW w:w="745"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单价（元）</w:t>
            </w:r>
          </w:p>
        </w:tc>
        <w:tc>
          <w:tcPr>
            <w:tcW w:w="781"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合价（元）</w:t>
            </w:r>
          </w:p>
        </w:tc>
        <w:tc>
          <w:tcPr>
            <w:tcW w:w="93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jc w:val="center"/>
              <w:rPr>
                <w:kern w:val="2"/>
                <w:sz w:val="21"/>
                <w:szCs w:val="21"/>
                <w:highlight w:val="none"/>
              </w:rPr>
            </w:pPr>
          </w:p>
        </w:tc>
        <w:tc>
          <w:tcPr>
            <w:tcW w:w="1093" w:type="pct"/>
            <w:tcBorders>
              <w:top w:val="double" w:color="auto" w:sz="6" w:space="0"/>
            </w:tcBorders>
          </w:tcPr>
          <w:p>
            <w:pPr>
              <w:keepNext/>
              <w:spacing w:line="440" w:lineRule="exact"/>
              <w:jc w:val="center"/>
              <w:rPr>
                <w:kern w:val="2"/>
                <w:sz w:val="21"/>
                <w:szCs w:val="21"/>
                <w:highlight w:val="none"/>
              </w:rPr>
            </w:pPr>
          </w:p>
        </w:tc>
        <w:tc>
          <w:tcPr>
            <w:tcW w:w="469" w:type="pct"/>
            <w:tcBorders>
              <w:top w:val="double" w:color="auto" w:sz="6" w:space="0"/>
            </w:tcBorders>
          </w:tcPr>
          <w:p>
            <w:pPr>
              <w:keepNext/>
              <w:spacing w:line="440" w:lineRule="exact"/>
              <w:jc w:val="center"/>
              <w:rPr>
                <w:kern w:val="2"/>
                <w:sz w:val="21"/>
                <w:szCs w:val="21"/>
                <w:highlight w:val="none"/>
              </w:rPr>
            </w:pPr>
          </w:p>
        </w:tc>
        <w:tc>
          <w:tcPr>
            <w:tcW w:w="427" w:type="pct"/>
            <w:tcBorders>
              <w:top w:val="double" w:color="auto" w:sz="6" w:space="0"/>
            </w:tcBorders>
          </w:tcPr>
          <w:p>
            <w:pPr>
              <w:keepNext/>
              <w:spacing w:line="440" w:lineRule="exact"/>
              <w:jc w:val="center"/>
              <w:rPr>
                <w:kern w:val="2"/>
                <w:sz w:val="21"/>
                <w:szCs w:val="21"/>
                <w:highlight w:val="none"/>
              </w:rPr>
            </w:pPr>
          </w:p>
        </w:tc>
        <w:tc>
          <w:tcPr>
            <w:tcW w:w="745" w:type="pct"/>
            <w:tcBorders>
              <w:top w:val="double" w:color="auto" w:sz="6" w:space="0"/>
            </w:tcBorders>
          </w:tcPr>
          <w:p>
            <w:pPr>
              <w:keepNext/>
              <w:spacing w:line="440" w:lineRule="exact"/>
              <w:jc w:val="center"/>
              <w:rPr>
                <w:kern w:val="2"/>
                <w:sz w:val="21"/>
                <w:szCs w:val="21"/>
                <w:highlight w:val="none"/>
              </w:rPr>
            </w:pPr>
          </w:p>
        </w:tc>
        <w:tc>
          <w:tcPr>
            <w:tcW w:w="781" w:type="pct"/>
            <w:tcBorders>
              <w:top w:val="double" w:color="auto" w:sz="6" w:space="0"/>
            </w:tcBorders>
          </w:tcPr>
          <w:p>
            <w:pPr>
              <w:keepNext/>
              <w:spacing w:line="440" w:lineRule="exact"/>
              <w:jc w:val="center"/>
              <w:rPr>
                <w:kern w:val="2"/>
                <w:sz w:val="21"/>
                <w:szCs w:val="21"/>
                <w:highlight w:val="none"/>
              </w:rPr>
            </w:pPr>
          </w:p>
        </w:tc>
        <w:tc>
          <w:tcPr>
            <w:tcW w:w="937" w:type="pct"/>
            <w:tcBorders>
              <w:top w:val="double" w:color="auto" w:sz="6" w:space="0"/>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jc w:val="center"/>
              <w:rPr>
                <w:kern w:val="2"/>
                <w:sz w:val="21"/>
                <w:szCs w:val="21"/>
                <w:highlight w:val="none"/>
              </w:rPr>
            </w:pPr>
          </w:p>
        </w:tc>
        <w:tc>
          <w:tcPr>
            <w:tcW w:w="1093" w:type="pct"/>
            <w:tcBorders>
              <w:top w:val="nil"/>
            </w:tcBorders>
          </w:tcPr>
          <w:p>
            <w:pPr>
              <w:keepNext/>
              <w:spacing w:line="440" w:lineRule="exact"/>
              <w:jc w:val="center"/>
              <w:rPr>
                <w:kern w:val="2"/>
                <w:sz w:val="21"/>
                <w:szCs w:val="21"/>
                <w:highlight w:val="none"/>
              </w:rPr>
            </w:pPr>
          </w:p>
        </w:tc>
        <w:tc>
          <w:tcPr>
            <w:tcW w:w="469" w:type="pct"/>
            <w:tcBorders>
              <w:top w:val="nil"/>
            </w:tcBorders>
          </w:tcPr>
          <w:p>
            <w:pPr>
              <w:keepNext/>
              <w:spacing w:line="440" w:lineRule="exact"/>
              <w:jc w:val="center"/>
              <w:rPr>
                <w:kern w:val="2"/>
                <w:sz w:val="21"/>
                <w:szCs w:val="21"/>
                <w:highlight w:val="none"/>
              </w:rPr>
            </w:pPr>
          </w:p>
        </w:tc>
        <w:tc>
          <w:tcPr>
            <w:tcW w:w="427" w:type="pct"/>
            <w:tcBorders>
              <w:top w:val="nil"/>
            </w:tcBorders>
          </w:tcPr>
          <w:p>
            <w:pPr>
              <w:keepNext/>
              <w:spacing w:line="440" w:lineRule="exact"/>
              <w:jc w:val="center"/>
              <w:rPr>
                <w:kern w:val="2"/>
                <w:sz w:val="21"/>
                <w:szCs w:val="21"/>
                <w:highlight w:val="none"/>
              </w:rPr>
            </w:pPr>
          </w:p>
        </w:tc>
        <w:tc>
          <w:tcPr>
            <w:tcW w:w="745" w:type="pct"/>
            <w:tcBorders>
              <w:top w:val="nil"/>
            </w:tcBorders>
          </w:tcPr>
          <w:p>
            <w:pPr>
              <w:keepNext/>
              <w:spacing w:line="440" w:lineRule="exact"/>
              <w:jc w:val="center"/>
              <w:rPr>
                <w:kern w:val="2"/>
                <w:sz w:val="21"/>
                <w:szCs w:val="21"/>
                <w:highlight w:val="none"/>
              </w:rPr>
            </w:pPr>
          </w:p>
        </w:tc>
        <w:tc>
          <w:tcPr>
            <w:tcW w:w="781" w:type="pct"/>
            <w:tcBorders>
              <w:top w:val="nil"/>
            </w:tcBorders>
          </w:tcPr>
          <w:p>
            <w:pPr>
              <w:keepNext/>
              <w:spacing w:line="440" w:lineRule="exact"/>
              <w:jc w:val="center"/>
              <w:rPr>
                <w:kern w:val="2"/>
                <w:sz w:val="21"/>
                <w:szCs w:val="21"/>
                <w:highlight w:val="none"/>
              </w:rPr>
            </w:pPr>
          </w:p>
        </w:tc>
        <w:tc>
          <w:tcPr>
            <w:tcW w:w="937" w:type="pct"/>
            <w:tcBorders>
              <w:top w:val="nil"/>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jc w:val="center"/>
              <w:rPr>
                <w:kern w:val="2"/>
                <w:sz w:val="21"/>
                <w:szCs w:val="21"/>
                <w:highlight w:val="none"/>
              </w:rPr>
            </w:pPr>
          </w:p>
        </w:tc>
        <w:tc>
          <w:tcPr>
            <w:tcW w:w="1093" w:type="pct"/>
          </w:tcPr>
          <w:p>
            <w:pPr>
              <w:keepNext/>
              <w:spacing w:line="440" w:lineRule="exact"/>
              <w:jc w:val="center"/>
              <w:rPr>
                <w:kern w:val="2"/>
                <w:sz w:val="21"/>
                <w:szCs w:val="21"/>
                <w:highlight w:val="none"/>
              </w:rPr>
            </w:pPr>
          </w:p>
        </w:tc>
        <w:tc>
          <w:tcPr>
            <w:tcW w:w="469" w:type="pct"/>
          </w:tcPr>
          <w:p>
            <w:pPr>
              <w:keepNext/>
              <w:spacing w:line="440" w:lineRule="exact"/>
              <w:jc w:val="center"/>
              <w:rPr>
                <w:kern w:val="2"/>
                <w:sz w:val="21"/>
                <w:szCs w:val="21"/>
                <w:highlight w:val="none"/>
              </w:rPr>
            </w:pPr>
          </w:p>
        </w:tc>
        <w:tc>
          <w:tcPr>
            <w:tcW w:w="427" w:type="pct"/>
          </w:tcPr>
          <w:p>
            <w:pPr>
              <w:keepNext/>
              <w:spacing w:line="440" w:lineRule="exact"/>
              <w:jc w:val="center"/>
              <w:rPr>
                <w:kern w:val="2"/>
                <w:sz w:val="21"/>
                <w:szCs w:val="21"/>
                <w:highlight w:val="none"/>
              </w:rPr>
            </w:pPr>
          </w:p>
        </w:tc>
        <w:tc>
          <w:tcPr>
            <w:tcW w:w="745" w:type="pct"/>
          </w:tcPr>
          <w:p>
            <w:pPr>
              <w:keepNext/>
              <w:spacing w:line="440" w:lineRule="exact"/>
              <w:jc w:val="center"/>
              <w:rPr>
                <w:kern w:val="2"/>
                <w:sz w:val="21"/>
                <w:szCs w:val="21"/>
                <w:highlight w:val="none"/>
              </w:rPr>
            </w:pPr>
          </w:p>
        </w:tc>
        <w:tc>
          <w:tcPr>
            <w:tcW w:w="781" w:type="pct"/>
          </w:tcPr>
          <w:p>
            <w:pPr>
              <w:keepNext/>
              <w:spacing w:line="440" w:lineRule="exact"/>
              <w:jc w:val="center"/>
              <w:rPr>
                <w:kern w:val="2"/>
                <w:sz w:val="21"/>
                <w:szCs w:val="21"/>
                <w:highlight w:val="none"/>
              </w:rPr>
            </w:pPr>
          </w:p>
        </w:tc>
        <w:tc>
          <w:tcPr>
            <w:tcW w:w="937" w:type="pct"/>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jc w:val="center"/>
              <w:rPr>
                <w:kern w:val="2"/>
                <w:sz w:val="21"/>
                <w:szCs w:val="21"/>
                <w:highlight w:val="none"/>
              </w:rPr>
            </w:pPr>
          </w:p>
        </w:tc>
        <w:tc>
          <w:tcPr>
            <w:tcW w:w="1093" w:type="pct"/>
          </w:tcPr>
          <w:p>
            <w:pPr>
              <w:keepNext/>
              <w:spacing w:line="440" w:lineRule="exact"/>
              <w:jc w:val="center"/>
              <w:rPr>
                <w:kern w:val="2"/>
                <w:sz w:val="21"/>
                <w:szCs w:val="21"/>
                <w:highlight w:val="none"/>
              </w:rPr>
            </w:pPr>
          </w:p>
        </w:tc>
        <w:tc>
          <w:tcPr>
            <w:tcW w:w="469" w:type="pct"/>
          </w:tcPr>
          <w:p>
            <w:pPr>
              <w:keepNext/>
              <w:spacing w:line="440" w:lineRule="exact"/>
              <w:jc w:val="center"/>
              <w:rPr>
                <w:kern w:val="2"/>
                <w:sz w:val="21"/>
                <w:szCs w:val="21"/>
                <w:highlight w:val="none"/>
              </w:rPr>
            </w:pPr>
          </w:p>
        </w:tc>
        <w:tc>
          <w:tcPr>
            <w:tcW w:w="427" w:type="pct"/>
          </w:tcPr>
          <w:p>
            <w:pPr>
              <w:keepNext/>
              <w:spacing w:line="440" w:lineRule="exact"/>
              <w:jc w:val="center"/>
              <w:rPr>
                <w:kern w:val="2"/>
                <w:sz w:val="21"/>
                <w:szCs w:val="21"/>
                <w:highlight w:val="none"/>
              </w:rPr>
            </w:pPr>
          </w:p>
        </w:tc>
        <w:tc>
          <w:tcPr>
            <w:tcW w:w="745" w:type="pct"/>
          </w:tcPr>
          <w:p>
            <w:pPr>
              <w:keepNext/>
              <w:spacing w:line="440" w:lineRule="exact"/>
              <w:jc w:val="center"/>
              <w:rPr>
                <w:kern w:val="2"/>
                <w:sz w:val="21"/>
                <w:szCs w:val="21"/>
                <w:highlight w:val="none"/>
              </w:rPr>
            </w:pPr>
          </w:p>
        </w:tc>
        <w:tc>
          <w:tcPr>
            <w:tcW w:w="781" w:type="pct"/>
          </w:tcPr>
          <w:p>
            <w:pPr>
              <w:keepNext/>
              <w:spacing w:line="440" w:lineRule="exact"/>
              <w:jc w:val="center"/>
              <w:rPr>
                <w:kern w:val="2"/>
                <w:sz w:val="21"/>
                <w:szCs w:val="21"/>
                <w:highlight w:val="none"/>
              </w:rPr>
            </w:pPr>
          </w:p>
        </w:tc>
        <w:tc>
          <w:tcPr>
            <w:tcW w:w="937" w:type="pct"/>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jc w:val="center"/>
              <w:rPr>
                <w:kern w:val="2"/>
                <w:sz w:val="21"/>
                <w:szCs w:val="21"/>
                <w:highlight w:val="none"/>
              </w:rPr>
            </w:pPr>
          </w:p>
        </w:tc>
        <w:tc>
          <w:tcPr>
            <w:tcW w:w="1093" w:type="pct"/>
            <w:tcBorders>
              <w:bottom w:val="single" w:color="auto" w:sz="12" w:space="0"/>
            </w:tcBorders>
          </w:tcPr>
          <w:p>
            <w:pPr>
              <w:keepNext/>
              <w:spacing w:line="440" w:lineRule="exact"/>
              <w:jc w:val="center"/>
              <w:rPr>
                <w:kern w:val="2"/>
                <w:sz w:val="21"/>
                <w:szCs w:val="21"/>
                <w:highlight w:val="none"/>
              </w:rPr>
            </w:pPr>
          </w:p>
        </w:tc>
        <w:tc>
          <w:tcPr>
            <w:tcW w:w="469" w:type="pct"/>
            <w:tcBorders>
              <w:bottom w:val="single" w:color="auto" w:sz="12" w:space="0"/>
            </w:tcBorders>
          </w:tcPr>
          <w:p>
            <w:pPr>
              <w:keepNext/>
              <w:spacing w:line="440" w:lineRule="exact"/>
              <w:jc w:val="center"/>
              <w:rPr>
                <w:kern w:val="2"/>
                <w:sz w:val="21"/>
                <w:szCs w:val="21"/>
                <w:highlight w:val="none"/>
              </w:rPr>
            </w:pPr>
          </w:p>
        </w:tc>
        <w:tc>
          <w:tcPr>
            <w:tcW w:w="427" w:type="pct"/>
            <w:tcBorders>
              <w:bottom w:val="single" w:color="auto" w:sz="12" w:space="0"/>
            </w:tcBorders>
          </w:tcPr>
          <w:p>
            <w:pPr>
              <w:keepNext/>
              <w:spacing w:line="440" w:lineRule="exact"/>
              <w:jc w:val="center"/>
              <w:rPr>
                <w:kern w:val="2"/>
                <w:sz w:val="21"/>
                <w:szCs w:val="21"/>
                <w:highlight w:val="none"/>
              </w:rPr>
            </w:pPr>
          </w:p>
        </w:tc>
        <w:tc>
          <w:tcPr>
            <w:tcW w:w="745" w:type="pct"/>
            <w:tcBorders>
              <w:bottom w:val="single" w:color="auto" w:sz="12" w:space="0"/>
            </w:tcBorders>
          </w:tcPr>
          <w:p>
            <w:pPr>
              <w:keepNext/>
              <w:spacing w:line="440" w:lineRule="exact"/>
              <w:jc w:val="center"/>
              <w:rPr>
                <w:kern w:val="2"/>
                <w:sz w:val="21"/>
                <w:szCs w:val="21"/>
                <w:highlight w:val="none"/>
              </w:rPr>
            </w:pPr>
          </w:p>
        </w:tc>
        <w:tc>
          <w:tcPr>
            <w:tcW w:w="781" w:type="pct"/>
            <w:tcBorders>
              <w:bottom w:val="single" w:color="auto" w:sz="12" w:space="0"/>
            </w:tcBorders>
          </w:tcPr>
          <w:p>
            <w:pPr>
              <w:keepNext/>
              <w:spacing w:line="440" w:lineRule="exact"/>
              <w:jc w:val="center"/>
              <w:rPr>
                <w:kern w:val="2"/>
                <w:sz w:val="21"/>
                <w:szCs w:val="21"/>
                <w:highlight w:val="none"/>
              </w:rPr>
            </w:pPr>
          </w:p>
        </w:tc>
        <w:tc>
          <w:tcPr>
            <w:tcW w:w="937" w:type="pct"/>
            <w:tcBorders>
              <w:bottom w:val="single" w:color="auto" w:sz="12" w:space="0"/>
            </w:tcBorders>
          </w:tcPr>
          <w:p>
            <w:pPr>
              <w:keepNext/>
              <w:spacing w:line="440" w:lineRule="exact"/>
              <w:jc w:val="center"/>
              <w:rPr>
                <w:kern w:val="2"/>
                <w:sz w:val="21"/>
                <w:szCs w:val="21"/>
                <w:highlight w:val="none"/>
              </w:rPr>
            </w:pPr>
          </w:p>
        </w:tc>
      </w:tr>
    </w:tbl>
    <w:p>
      <w:pPr>
        <w:spacing w:before="156" w:beforeLines="50" w:after="156" w:afterLines="50" w:line="440" w:lineRule="exact"/>
        <w:rPr>
          <w:kern w:val="2"/>
          <w:sz w:val="21"/>
          <w:szCs w:val="21"/>
          <w:highlight w:val="none"/>
        </w:rPr>
      </w:pPr>
    </w:p>
    <w:p>
      <w:pPr>
        <w:spacing w:before="156" w:beforeLines="50" w:after="156" w:afterLines="50" w:line="440" w:lineRule="exact"/>
        <w:jc w:val="center"/>
        <w:rPr>
          <w:kern w:val="2"/>
          <w:sz w:val="21"/>
          <w:szCs w:val="21"/>
          <w:highlight w:val="none"/>
        </w:rPr>
      </w:pPr>
      <w:r>
        <w:rPr>
          <w:kern w:val="2"/>
          <w:sz w:val="21"/>
          <w:szCs w:val="21"/>
          <w:highlight w:val="none"/>
        </w:rPr>
        <w:t>1</w:t>
      </w:r>
      <w:r>
        <w:rPr>
          <w:rFonts w:hint="eastAsia"/>
          <w:kern w:val="2"/>
          <w:sz w:val="21"/>
          <w:szCs w:val="21"/>
          <w:highlight w:val="none"/>
        </w:rPr>
        <w:t>2</w:t>
      </w:r>
      <w:r>
        <w:rPr>
          <w:kern w:val="2"/>
          <w:sz w:val="21"/>
          <w:szCs w:val="21"/>
          <w:highlight w:val="none"/>
        </w:rPr>
        <w:t>-2</w:t>
      </w:r>
      <w:r>
        <w:rPr>
          <w:rFonts w:hint="eastAsia"/>
          <w:kern w:val="2"/>
          <w:sz w:val="21"/>
          <w:szCs w:val="21"/>
          <w:highlight w:val="none"/>
        </w:rPr>
        <w:t>：工程设备暂估价表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序号</w:t>
            </w:r>
          </w:p>
        </w:tc>
        <w:tc>
          <w:tcPr>
            <w:tcW w:w="1093"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名称</w:t>
            </w:r>
          </w:p>
        </w:tc>
        <w:tc>
          <w:tcPr>
            <w:tcW w:w="469"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单位</w:t>
            </w:r>
          </w:p>
        </w:tc>
        <w:tc>
          <w:tcPr>
            <w:tcW w:w="42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数量</w:t>
            </w:r>
          </w:p>
        </w:tc>
        <w:tc>
          <w:tcPr>
            <w:tcW w:w="745"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单价（元）</w:t>
            </w:r>
          </w:p>
        </w:tc>
        <w:tc>
          <w:tcPr>
            <w:tcW w:w="781"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合价（元）</w:t>
            </w:r>
          </w:p>
        </w:tc>
        <w:tc>
          <w:tcPr>
            <w:tcW w:w="93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jc w:val="center"/>
              <w:rPr>
                <w:kern w:val="2"/>
                <w:sz w:val="21"/>
                <w:szCs w:val="21"/>
                <w:highlight w:val="none"/>
              </w:rPr>
            </w:pPr>
          </w:p>
        </w:tc>
        <w:tc>
          <w:tcPr>
            <w:tcW w:w="1093" w:type="pct"/>
            <w:tcBorders>
              <w:top w:val="double" w:color="auto" w:sz="6" w:space="0"/>
            </w:tcBorders>
          </w:tcPr>
          <w:p>
            <w:pPr>
              <w:keepNext/>
              <w:spacing w:line="440" w:lineRule="exact"/>
              <w:jc w:val="center"/>
              <w:rPr>
                <w:kern w:val="2"/>
                <w:sz w:val="21"/>
                <w:szCs w:val="21"/>
                <w:highlight w:val="none"/>
              </w:rPr>
            </w:pPr>
          </w:p>
        </w:tc>
        <w:tc>
          <w:tcPr>
            <w:tcW w:w="469" w:type="pct"/>
            <w:tcBorders>
              <w:top w:val="double" w:color="auto" w:sz="6" w:space="0"/>
            </w:tcBorders>
          </w:tcPr>
          <w:p>
            <w:pPr>
              <w:keepNext/>
              <w:spacing w:line="440" w:lineRule="exact"/>
              <w:jc w:val="center"/>
              <w:rPr>
                <w:kern w:val="2"/>
                <w:sz w:val="21"/>
                <w:szCs w:val="21"/>
                <w:highlight w:val="none"/>
              </w:rPr>
            </w:pPr>
          </w:p>
        </w:tc>
        <w:tc>
          <w:tcPr>
            <w:tcW w:w="427" w:type="pct"/>
            <w:tcBorders>
              <w:top w:val="double" w:color="auto" w:sz="6" w:space="0"/>
            </w:tcBorders>
          </w:tcPr>
          <w:p>
            <w:pPr>
              <w:keepNext/>
              <w:spacing w:line="440" w:lineRule="exact"/>
              <w:jc w:val="center"/>
              <w:rPr>
                <w:kern w:val="2"/>
                <w:sz w:val="21"/>
                <w:szCs w:val="21"/>
                <w:highlight w:val="none"/>
              </w:rPr>
            </w:pPr>
          </w:p>
        </w:tc>
        <w:tc>
          <w:tcPr>
            <w:tcW w:w="745" w:type="pct"/>
            <w:tcBorders>
              <w:top w:val="double" w:color="auto" w:sz="6" w:space="0"/>
            </w:tcBorders>
          </w:tcPr>
          <w:p>
            <w:pPr>
              <w:keepNext/>
              <w:spacing w:line="440" w:lineRule="exact"/>
              <w:jc w:val="center"/>
              <w:rPr>
                <w:kern w:val="2"/>
                <w:sz w:val="21"/>
                <w:szCs w:val="21"/>
                <w:highlight w:val="none"/>
              </w:rPr>
            </w:pPr>
          </w:p>
        </w:tc>
        <w:tc>
          <w:tcPr>
            <w:tcW w:w="781" w:type="pct"/>
            <w:tcBorders>
              <w:top w:val="double" w:color="auto" w:sz="6" w:space="0"/>
            </w:tcBorders>
          </w:tcPr>
          <w:p>
            <w:pPr>
              <w:keepNext/>
              <w:spacing w:line="440" w:lineRule="exact"/>
              <w:jc w:val="center"/>
              <w:rPr>
                <w:kern w:val="2"/>
                <w:sz w:val="21"/>
                <w:szCs w:val="21"/>
                <w:highlight w:val="none"/>
              </w:rPr>
            </w:pPr>
          </w:p>
        </w:tc>
        <w:tc>
          <w:tcPr>
            <w:tcW w:w="937" w:type="pct"/>
            <w:tcBorders>
              <w:top w:val="double" w:color="auto" w:sz="6" w:space="0"/>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jc w:val="center"/>
              <w:rPr>
                <w:kern w:val="2"/>
                <w:sz w:val="21"/>
                <w:szCs w:val="21"/>
                <w:highlight w:val="none"/>
              </w:rPr>
            </w:pPr>
          </w:p>
        </w:tc>
        <w:tc>
          <w:tcPr>
            <w:tcW w:w="1093" w:type="pct"/>
            <w:tcBorders>
              <w:top w:val="nil"/>
            </w:tcBorders>
          </w:tcPr>
          <w:p>
            <w:pPr>
              <w:keepNext/>
              <w:spacing w:line="440" w:lineRule="exact"/>
              <w:jc w:val="center"/>
              <w:rPr>
                <w:kern w:val="2"/>
                <w:sz w:val="21"/>
                <w:szCs w:val="21"/>
                <w:highlight w:val="none"/>
              </w:rPr>
            </w:pPr>
          </w:p>
        </w:tc>
        <w:tc>
          <w:tcPr>
            <w:tcW w:w="469" w:type="pct"/>
            <w:tcBorders>
              <w:top w:val="nil"/>
            </w:tcBorders>
          </w:tcPr>
          <w:p>
            <w:pPr>
              <w:keepNext/>
              <w:spacing w:line="440" w:lineRule="exact"/>
              <w:jc w:val="center"/>
              <w:rPr>
                <w:kern w:val="2"/>
                <w:sz w:val="21"/>
                <w:szCs w:val="21"/>
                <w:highlight w:val="none"/>
              </w:rPr>
            </w:pPr>
          </w:p>
        </w:tc>
        <w:tc>
          <w:tcPr>
            <w:tcW w:w="427" w:type="pct"/>
            <w:tcBorders>
              <w:top w:val="nil"/>
            </w:tcBorders>
          </w:tcPr>
          <w:p>
            <w:pPr>
              <w:keepNext/>
              <w:spacing w:line="440" w:lineRule="exact"/>
              <w:jc w:val="center"/>
              <w:rPr>
                <w:kern w:val="2"/>
                <w:sz w:val="21"/>
                <w:szCs w:val="21"/>
                <w:highlight w:val="none"/>
              </w:rPr>
            </w:pPr>
          </w:p>
        </w:tc>
        <w:tc>
          <w:tcPr>
            <w:tcW w:w="745" w:type="pct"/>
            <w:tcBorders>
              <w:top w:val="nil"/>
            </w:tcBorders>
          </w:tcPr>
          <w:p>
            <w:pPr>
              <w:keepNext/>
              <w:spacing w:line="440" w:lineRule="exact"/>
              <w:jc w:val="center"/>
              <w:rPr>
                <w:kern w:val="2"/>
                <w:sz w:val="21"/>
                <w:szCs w:val="21"/>
                <w:highlight w:val="none"/>
              </w:rPr>
            </w:pPr>
          </w:p>
        </w:tc>
        <w:tc>
          <w:tcPr>
            <w:tcW w:w="781" w:type="pct"/>
            <w:tcBorders>
              <w:top w:val="nil"/>
            </w:tcBorders>
          </w:tcPr>
          <w:p>
            <w:pPr>
              <w:keepNext/>
              <w:spacing w:line="440" w:lineRule="exact"/>
              <w:jc w:val="center"/>
              <w:rPr>
                <w:kern w:val="2"/>
                <w:sz w:val="21"/>
                <w:szCs w:val="21"/>
                <w:highlight w:val="none"/>
              </w:rPr>
            </w:pPr>
          </w:p>
        </w:tc>
        <w:tc>
          <w:tcPr>
            <w:tcW w:w="937" w:type="pct"/>
            <w:tcBorders>
              <w:top w:val="nil"/>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jc w:val="center"/>
              <w:rPr>
                <w:kern w:val="2"/>
                <w:sz w:val="21"/>
                <w:szCs w:val="21"/>
                <w:highlight w:val="none"/>
              </w:rPr>
            </w:pPr>
          </w:p>
        </w:tc>
        <w:tc>
          <w:tcPr>
            <w:tcW w:w="1093" w:type="pct"/>
          </w:tcPr>
          <w:p>
            <w:pPr>
              <w:keepNext/>
              <w:spacing w:line="440" w:lineRule="exact"/>
              <w:jc w:val="center"/>
              <w:rPr>
                <w:kern w:val="2"/>
                <w:sz w:val="21"/>
                <w:szCs w:val="21"/>
                <w:highlight w:val="none"/>
              </w:rPr>
            </w:pPr>
          </w:p>
        </w:tc>
        <w:tc>
          <w:tcPr>
            <w:tcW w:w="469" w:type="pct"/>
          </w:tcPr>
          <w:p>
            <w:pPr>
              <w:keepNext/>
              <w:spacing w:line="440" w:lineRule="exact"/>
              <w:jc w:val="center"/>
              <w:rPr>
                <w:kern w:val="2"/>
                <w:sz w:val="21"/>
                <w:szCs w:val="21"/>
                <w:highlight w:val="none"/>
              </w:rPr>
            </w:pPr>
          </w:p>
        </w:tc>
        <w:tc>
          <w:tcPr>
            <w:tcW w:w="427" w:type="pct"/>
          </w:tcPr>
          <w:p>
            <w:pPr>
              <w:keepNext/>
              <w:spacing w:line="440" w:lineRule="exact"/>
              <w:jc w:val="center"/>
              <w:rPr>
                <w:kern w:val="2"/>
                <w:sz w:val="21"/>
                <w:szCs w:val="21"/>
                <w:highlight w:val="none"/>
              </w:rPr>
            </w:pPr>
          </w:p>
        </w:tc>
        <w:tc>
          <w:tcPr>
            <w:tcW w:w="745" w:type="pct"/>
          </w:tcPr>
          <w:p>
            <w:pPr>
              <w:keepNext/>
              <w:spacing w:line="440" w:lineRule="exact"/>
              <w:jc w:val="center"/>
              <w:rPr>
                <w:kern w:val="2"/>
                <w:sz w:val="21"/>
                <w:szCs w:val="21"/>
                <w:highlight w:val="none"/>
              </w:rPr>
            </w:pPr>
          </w:p>
        </w:tc>
        <w:tc>
          <w:tcPr>
            <w:tcW w:w="781" w:type="pct"/>
          </w:tcPr>
          <w:p>
            <w:pPr>
              <w:keepNext/>
              <w:spacing w:line="440" w:lineRule="exact"/>
              <w:jc w:val="center"/>
              <w:rPr>
                <w:kern w:val="2"/>
                <w:sz w:val="21"/>
                <w:szCs w:val="21"/>
                <w:highlight w:val="none"/>
              </w:rPr>
            </w:pPr>
          </w:p>
        </w:tc>
        <w:tc>
          <w:tcPr>
            <w:tcW w:w="937" w:type="pct"/>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jc w:val="center"/>
              <w:rPr>
                <w:kern w:val="2"/>
                <w:sz w:val="21"/>
                <w:szCs w:val="21"/>
                <w:highlight w:val="none"/>
              </w:rPr>
            </w:pPr>
          </w:p>
        </w:tc>
        <w:tc>
          <w:tcPr>
            <w:tcW w:w="1093" w:type="pct"/>
            <w:tcBorders>
              <w:bottom w:val="single" w:color="auto" w:sz="12" w:space="0"/>
            </w:tcBorders>
          </w:tcPr>
          <w:p>
            <w:pPr>
              <w:keepNext/>
              <w:spacing w:line="440" w:lineRule="exact"/>
              <w:jc w:val="center"/>
              <w:rPr>
                <w:kern w:val="2"/>
                <w:sz w:val="21"/>
                <w:szCs w:val="21"/>
                <w:highlight w:val="none"/>
              </w:rPr>
            </w:pPr>
          </w:p>
        </w:tc>
        <w:tc>
          <w:tcPr>
            <w:tcW w:w="469" w:type="pct"/>
            <w:tcBorders>
              <w:bottom w:val="single" w:color="auto" w:sz="12" w:space="0"/>
            </w:tcBorders>
          </w:tcPr>
          <w:p>
            <w:pPr>
              <w:keepNext/>
              <w:spacing w:line="440" w:lineRule="exact"/>
              <w:jc w:val="center"/>
              <w:rPr>
                <w:kern w:val="2"/>
                <w:sz w:val="21"/>
                <w:szCs w:val="21"/>
                <w:highlight w:val="none"/>
              </w:rPr>
            </w:pPr>
          </w:p>
        </w:tc>
        <w:tc>
          <w:tcPr>
            <w:tcW w:w="427" w:type="pct"/>
            <w:tcBorders>
              <w:bottom w:val="single" w:color="auto" w:sz="12" w:space="0"/>
            </w:tcBorders>
          </w:tcPr>
          <w:p>
            <w:pPr>
              <w:keepNext/>
              <w:spacing w:line="440" w:lineRule="exact"/>
              <w:jc w:val="center"/>
              <w:rPr>
                <w:kern w:val="2"/>
                <w:sz w:val="21"/>
                <w:szCs w:val="21"/>
                <w:highlight w:val="none"/>
              </w:rPr>
            </w:pPr>
          </w:p>
        </w:tc>
        <w:tc>
          <w:tcPr>
            <w:tcW w:w="745" w:type="pct"/>
            <w:tcBorders>
              <w:bottom w:val="single" w:color="auto" w:sz="12" w:space="0"/>
            </w:tcBorders>
          </w:tcPr>
          <w:p>
            <w:pPr>
              <w:keepNext/>
              <w:spacing w:line="440" w:lineRule="exact"/>
              <w:jc w:val="center"/>
              <w:rPr>
                <w:kern w:val="2"/>
                <w:sz w:val="21"/>
                <w:szCs w:val="21"/>
                <w:highlight w:val="none"/>
              </w:rPr>
            </w:pPr>
          </w:p>
        </w:tc>
        <w:tc>
          <w:tcPr>
            <w:tcW w:w="781" w:type="pct"/>
            <w:tcBorders>
              <w:bottom w:val="single" w:color="auto" w:sz="12" w:space="0"/>
            </w:tcBorders>
          </w:tcPr>
          <w:p>
            <w:pPr>
              <w:keepNext/>
              <w:spacing w:line="440" w:lineRule="exact"/>
              <w:jc w:val="center"/>
              <w:rPr>
                <w:kern w:val="2"/>
                <w:sz w:val="21"/>
                <w:szCs w:val="21"/>
                <w:highlight w:val="none"/>
              </w:rPr>
            </w:pPr>
          </w:p>
        </w:tc>
        <w:tc>
          <w:tcPr>
            <w:tcW w:w="937" w:type="pct"/>
            <w:tcBorders>
              <w:bottom w:val="single" w:color="auto" w:sz="12" w:space="0"/>
            </w:tcBorders>
          </w:tcPr>
          <w:p>
            <w:pPr>
              <w:keepNext/>
              <w:spacing w:line="440" w:lineRule="exact"/>
              <w:jc w:val="center"/>
              <w:rPr>
                <w:kern w:val="2"/>
                <w:sz w:val="21"/>
                <w:szCs w:val="21"/>
                <w:highlight w:val="none"/>
              </w:rPr>
            </w:pPr>
          </w:p>
        </w:tc>
      </w:tr>
    </w:tbl>
    <w:p>
      <w:pPr>
        <w:spacing w:line="440" w:lineRule="exact"/>
        <w:rPr>
          <w:kern w:val="2"/>
          <w:sz w:val="21"/>
          <w:szCs w:val="21"/>
          <w:highlight w:val="none"/>
        </w:rPr>
      </w:pPr>
    </w:p>
    <w:p>
      <w:pPr>
        <w:spacing w:before="156" w:beforeLines="50" w:after="156" w:afterLines="50" w:line="440" w:lineRule="exact"/>
        <w:jc w:val="center"/>
        <w:rPr>
          <w:kern w:val="2"/>
          <w:sz w:val="21"/>
          <w:szCs w:val="21"/>
          <w:highlight w:val="none"/>
        </w:rPr>
      </w:pPr>
      <w:r>
        <w:rPr>
          <w:kern w:val="2"/>
          <w:sz w:val="21"/>
          <w:szCs w:val="21"/>
          <w:highlight w:val="none"/>
        </w:rPr>
        <w:t>1</w:t>
      </w:r>
      <w:r>
        <w:rPr>
          <w:rFonts w:hint="eastAsia"/>
          <w:kern w:val="2"/>
          <w:sz w:val="21"/>
          <w:szCs w:val="21"/>
          <w:highlight w:val="none"/>
        </w:rPr>
        <w:t>2</w:t>
      </w:r>
      <w:r>
        <w:rPr>
          <w:kern w:val="2"/>
          <w:sz w:val="21"/>
          <w:szCs w:val="21"/>
          <w:highlight w:val="none"/>
        </w:rPr>
        <w:t>-3</w:t>
      </w:r>
      <w:r>
        <w:rPr>
          <w:rFonts w:hint="eastAsia"/>
          <w:kern w:val="2"/>
          <w:sz w:val="21"/>
          <w:szCs w:val="21"/>
          <w:highlight w:val="none"/>
        </w:rPr>
        <w:t>：专业工程暂估价表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序号</w:t>
            </w:r>
          </w:p>
        </w:tc>
        <w:tc>
          <w:tcPr>
            <w:tcW w:w="1093"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名称</w:t>
            </w:r>
          </w:p>
        </w:tc>
        <w:tc>
          <w:tcPr>
            <w:tcW w:w="469"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单位</w:t>
            </w:r>
          </w:p>
        </w:tc>
        <w:tc>
          <w:tcPr>
            <w:tcW w:w="42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数量</w:t>
            </w:r>
          </w:p>
        </w:tc>
        <w:tc>
          <w:tcPr>
            <w:tcW w:w="745"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单价（元）</w:t>
            </w:r>
          </w:p>
        </w:tc>
        <w:tc>
          <w:tcPr>
            <w:tcW w:w="781"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合价（元）</w:t>
            </w:r>
          </w:p>
        </w:tc>
        <w:tc>
          <w:tcPr>
            <w:tcW w:w="937" w:type="pct"/>
            <w:tcBorders>
              <w:top w:val="single" w:color="auto" w:sz="12" w:space="0"/>
              <w:bottom w:val="double" w:color="auto" w:sz="6" w:space="0"/>
            </w:tcBorders>
          </w:tcPr>
          <w:p>
            <w:pPr>
              <w:keepNext/>
              <w:spacing w:line="440" w:lineRule="exact"/>
              <w:jc w:val="center"/>
              <w:rPr>
                <w:kern w:val="2"/>
                <w:sz w:val="21"/>
                <w:szCs w:val="21"/>
                <w:highlight w:val="none"/>
              </w:rPr>
            </w:pPr>
            <w:r>
              <w:rPr>
                <w:rFonts w:hint="eastAsia"/>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jc w:val="center"/>
              <w:rPr>
                <w:kern w:val="2"/>
                <w:sz w:val="21"/>
                <w:szCs w:val="21"/>
                <w:highlight w:val="none"/>
              </w:rPr>
            </w:pPr>
          </w:p>
        </w:tc>
        <w:tc>
          <w:tcPr>
            <w:tcW w:w="1093" w:type="pct"/>
            <w:tcBorders>
              <w:top w:val="double" w:color="auto" w:sz="6" w:space="0"/>
            </w:tcBorders>
          </w:tcPr>
          <w:p>
            <w:pPr>
              <w:keepNext/>
              <w:spacing w:line="440" w:lineRule="exact"/>
              <w:jc w:val="center"/>
              <w:rPr>
                <w:kern w:val="2"/>
                <w:sz w:val="21"/>
                <w:szCs w:val="21"/>
                <w:highlight w:val="none"/>
              </w:rPr>
            </w:pPr>
          </w:p>
        </w:tc>
        <w:tc>
          <w:tcPr>
            <w:tcW w:w="469" w:type="pct"/>
            <w:tcBorders>
              <w:top w:val="double" w:color="auto" w:sz="6" w:space="0"/>
            </w:tcBorders>
          </w:tcPr>
          <w:p>
            <w:pPr>
              <w:keepNext/>
              <w:spacing w:line="440" w:lineRule="exact"/>
              <w:jc w:val="center"/>
              <w:rPr>
                <w:kern w:val="2"/>
                <w:sz w:val="21"/>
                <w:szCs w:val="21"/>
                <w:highlight w:val="none"/>
              </w:rPr>
            </w:pPr>
          </w:p>
        </w:tc>
        <w:tc>
          <w:tcPr>
            <w:tcW w:w="427" w:type="pct"/>
            <w:tcBorders>
              <w:top w:val="double" w:color="auto" w:sz="6" w:space="0"/>
            </w:tcBorders>
          </w:tcPr>
          <w:p>
            <w:pPr>
              <w:keepNext/>
              <w:spacing w:line="440" w:lineRule="exact"/>
              <w:jc w:val="center"/>
              <w:rPr>
                <w:kern w:val="2"/>
                <w:sz w:val="21"/>
                <w:szCs w:val="21"/>
                <w:highlight w:val="none"/>
              </w:rPr>
            </w:pPr>
          </w:p>
        </w:tc>
        <w:tc>
          <w:tcPr>
            <w:tcW w:w="745" w:type="pct"/>
            <w:tcBorders>
              <w:top w:val="double" w:color="auto" w:sz="6" w:space="0"/>
            </w:tcBorders>
          </w:tcPr>
          <w:p>
            <w:pPr>
              <w:keepNext/>
              <w:spacing w:line="440" w:lineRule="exact"/>
              <w:jc w:val="center"/>
              <w:rPr>
                <w:kern w:val="2"/>
                <w:sz w:val="21"/>
                <w:szCs w:val="21"/>
                <w:highlight w:val="none"/>
              </w:rPr>
            </w:pPr>
          </w:p>
        </w:tc>
        <w:tc>
          <w:tcPr>
            <w:tcW w:w="781" w:type="pct"/>
            <w:tcBorders>
              <w:top w:val="double" w:color="auto" w:sz="6" w:space="0"/>
            </w:tcBorders>
          </w:tcPr>
          <w:p>
            <w:pPr>
              <w:keepNext/>
              <w:spacing w:line="440" w:lineRule="exact"/>
              <w:jc w:val="center"/>
              <w:rPr>
                <w:kern w:val="2"/>
                <w:sz w:val="21"/>
                <w:szCs w:val="21"/>
                <w:highlight w:val="none"/>
              </w:rPr>
            </w:pPr>
          </w:p>
        </w:tc>
        <w:tc>
          <w:tcPr>
            <w:tcW w:w="937" w:type="pct"/>
            <w:tcBorders>
              <w:top w:val="double" w:color="auto" w:sz="6" w:space="0"/>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jc w:val="center"/>
              <w:rPr>
                <w:kern w:val="2"/>
                <w:sz w:val="21"/>
                <w:szCs w:val="21"/>
                <w:highlight w:val="none"/>
              </w:rPr>
            </w:pPr>
          </w:p>
        </w:tc>
        <w:tc>
          <w:tcPr>
            <w:tcW w:w="1093" w:type="pct"/>
            <w:tcBorders>
              <w:top w:val="nil"/>
            </w:tcBorders>
          </w:tcPr>
          <w:p>
            <w:pPr>
              <w:keepNext/>
              <w:spacing w:line="440" w:lineRule="exact"/>
              <w:jc w:val="center"/>
              <w:rPr>
                <w:kern w:val="2"/>
                <w:sz w:val="21"/>
                <w:szCs w:val="21"/>
                <w:highlight w:val="none"/>
              </w:rPr>
            </w:pPr>
          </w:p>
        </w:tc>
        <w:tc>
          <w:tcPr>
            <w:tcW w:w="469" w:type="pct"/>
            <w:tcBorders>
              <w:top w:val="nil"/>
            </w:tcBorders>
          </w:tcPr>
          <w:p>
            <w:pPr>
              <w:keepNext/>
              <w:spacing w:line="440" w:lineRule="exact"/>
              <w:jc w:val="center"/>
              <w:rPr>
                <w:kern w:val="2"/>
                <w:sz w:val="21"/>
                <w:szCs w:val="21"/>
                <w:highlight w:val="none"/>
              </w:rPr>
            </w:pPr>
          </w:p>
        </w:tc>
        <w:tc>
          <w:tcPr>
            <w:tcW w:w="427" w:type="pct"/>
            <w:tcBorders>
              <w:top w:val="nil"/>
            </w:tcBorders>
          </w:tcPr>
          <w:p>
            <w:pPr>
              <w:keepNext/>
              <w:spacing w:line="440" w:lineRule="exact"/>
              <w:jc w:val="center"/>
              <w:rPr>
                <w:kern w:val="2"/>
                <w:sz w:val="21"/>
                <w:szCs w:val="21"/>
                <w:highlight w:val="none"/>
              </w:rPr>
            </w:pPr>
          </w:p>
        </w:tc>
        <w:tc>
          <w:tcPr>
            <w:tcW w:w="745" w:type="pct"/>
            <w:tcBorders>
              <w:top w:val="nil"/>
            </w:tcBorders>
          </w:tcPr>
          <w:p>
            <w:pPr>
              <w:keepNext/>
              <w:spacing w:line="440" w:lineRule="exact"/>
              <w:jc w:val="center"/>
              <w:rPr>
                <w:kern w:val="2"/>
                <w:sz w:val="21"/>
                <w:szCs w:val="21"/>
                <w:highlight w:val="none"/>
              </w:rPr>
            </w:pPr>
          </w:p>
        </w:tc>
        <w:tc>
          <w:tcPr>
            <w:tcW w:w="781" w:type="pct"/>
            <w:tcBorders>
              <w:top w:val="nil"/>
            </w:tcBorders>
          </w:tcPr>
          <w:p>
            <w:pPr>
              <w:keepNext/>
              <w:spacing w:line="440" w:lineRule="exact"/>
              <w:jc w:val="center"/>
              <w:rPr>
                <w:kern w:val="2"/>
                <w:sz w:val="21"/>
                <w:szCs w:val="21"/>
                <w:highlight w:val="none"/>
              </w:rPr>
            </w:pPr>
          </w:p>
        </w:tc>
        <w:tc>
          <w:tcPr>
            <w:tcW w:w="937" w:type="pct"/>
            <w:tcBorders>
              <w:top w:val="nil"/>
            </w:tcBorders>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jc w:val="center"/>
              <w:rPr>
                <w:kern w:val="2"/>
                <w:sz w:val="21"/>
                <w:szCs w:val="21"/>
                <w:highlight w:val="none"/>
              </w:rPr>
            </w:pPr>
          </w:p>
        </w:tc>
        <w:tc>
          <w:tcPr>
            <w:tcW w:w="1093" w:type="pct"/>
          </w:tcPr>
          <w:p>
            <w:pPr>
              <w:keepNext/>
              <w:spacing w:line="440" w:lineRule="exact"/>
              <w:jc w:val="center"/>
              <w:rPr>
                <w:kern w:val="2"/>
                <w:sz w:val="21"/>
                <w:szCs w:val="21"/>
                <w:highlight w:val="none"/>
              </w:rPr>
            </w:pPr>
          </w:p>
        </w:tc>
        <w:tc>
          <w:tcPr>
            <w:tcW w:w="469" w:type="pct"/>
          </w:tcPr>
          <w:p>
            <w:pPr>
              <w:keepNext/>
              <w:spacing w:line="440" w:lineRule="exact"/>
              <w:jc w:val="center"/>
              <w:rPr>
                <w:kern w:val="2"/>
                <w:sz w:val="21"/>
                <w:szCs w:val="21"/>
                <w:highlight w:val="none"/>
              </w:rPr>
            </w:pPr>
          </w:p>
        </w:tc>
        <w:tc>
          <w:tcPr>
            <w:tcW w:w="427" w:type="pct"/>
          </w:tcPr>
          <w:p>
            <w:pPr>
              <w:keepNext/>
              <w:spacing w:line="440" w:lineRule="exact"/>
              <w:jc w:val="center"/>
              <w:rPr>
                <w:kern w:val="2"/>
                <w:sz w:val="21"/>
                <w:szCs w:val="21"/>
                <w:highlight w:val="none"/>
              </w:rPr>
            </w:pPr>
          </w:p>
        </w:tc>
        <w:tc>
          <w:tcPr>
            <w:tcW w:w="745" w:type="pct"/>
          </w:tcPr>
          <w:p>
            <w:pPr>
              <w:keepNext/>
              <w:spacing w:line="440" w:lineRule="exact"/>
              <w:jc w:val="center"/>
              <w:rPr>
                <w:kern w:val="2"/>
                <w:sz w:val="21"/>
                <w:szCs w:val="21"/>
                <w:highlight w:val="none"/>
              </w:rPr>
            </w:pPr>
          </w:p>
        </w:tc>
        <w:tc>
          <w:tcPr>
            <w:tcW w:w="781" w:type="pct"/>
          </w:tcPr>
          <w:p>
            <w:pPr>
              <w:keepNext/>
              <w:spacing w:line="440" w:lineRule="exact"/>
              <w:jc w:val="center"/>
              <w:rPr>
                <w:kern w:val="2"/>
                <w:sz w:val="21"/>
                <w:szCs w:val="21"/>
                <w:highlight w:val="none"/>
              </w:rPr>
            </w:pPr>
          </w:p>
        </w:tc>
        <w:tc>
          <w:tcPr>
            <w:tcW w:w="937" w:type="pct"/>
          </w:tcPr>
          <w:p>
            <w:pPr>
              <w:keepNext/>
              <w:spacing w:line="440" w:lineRule="exact"/>
              <w:jc w:val="center"/>
              <w:rPr>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jc w:val="center"/>
              <w:rPr>
                <w:kern w:val="2"/>
                <w:sz w:val="21"/>
                <w:szCs w:val="21"/>
                <w:highlight w:val="none"/>
              </w:rPr>
            </w:pPr>
          </w:p>
        </w:tc>
        <w:tc>
          <w:tcPr>
            <w:tcW w:w="1093" w:type="pct"/>
            <w:tcBorders>
              <w:bottom w:val="single" w:color="auto" w:sz="12" w:space="0"/>
            </w:tcBorders>
          </w:tcPr>
          <w:p>
            <w:pPr>
              <w:keepNext/>
              <w:spacing w:line="440" w:lineRule="exact"/>
              <w:jc w:val="center"/>
              <w:rPr>
                <w:kern w:val="2"/>
                <w:sz w:val="21"/>
                <w:szCs w:val="21"/>
                <w:highlight w:val="none"/>
              </w:rPr>
            </w:pPr>
          </w:p>
        </w:tc>
        <w:tc>
          <w:tcPr>
            <w:tcW w:w="469" w:type="pct"/>
            <w:tcBorders>
              <w:bottom w:val="single" w:color="auto" w:sz="12" w:space="0"/>
            </w:tcBorders>
          </w:tcPr>
          <w:p>
            <w:pPr>
              <w:keepNext/>
              <w:spacing w:line="440" w:lineRule="exact"/>
              <w:jc w:val="center"/>
              <w:rPr>
                <w:kern w:val="2"/>
                <w:sz w:val="21"/>
                <w:szCs w:val="21"/>
                <w:highlight w:val="none"/>
              </w:rPr>
            </w:pPr>
          </w:p>
        </w:tc>
        <w:tc>
          <w:tcPr>
            <w:tcW w:w="427" w:type="pct"/>
            <w:tcBorders>
              <w:bottom w:val="single" w:color="auto" w:sz="12" w:space="0"/>
            </w:tcBorders>
          </w:tcPr>
          <w:p>
            <w:pPr>
              <w:keepNext/>
              <w:spacing w:line="440" w:lineRule="exact"/>
              <w:jc w:val="center"/>
              <w:rPr>
                <w:kern w:val="2"/>
                <w:sz w:val="21"/>
                <w:szCs w:val="21"/>
                <w:highlight w:val="none"/>
              </w:rPr>
            </w:pPr>
          </w:p>
        </w:tc>
        <w:tc>
          <w:tcPr>
            <w:tcW w:w="745" w:type="pct"/>
            <w:tcBorders>
              <w:bottom w:val="single" w:color="auto" w:sz="12" w:space="0"/>
            </w:tcBorders>
          </w:tcPr>
          <w:p>
            <w:pPr>
              <w:keepNext/>
              <w:spacing w:line="440" w:lineRule="exact"/>
              <w:jc w:val="center"/>
              <w:rPr>
                <w:kern w:val="2"/>
                <w:sz w:val="21"/>
                <w:szCs w:val="21"/>
                <w:highlight w:val="none"/>
              </w:rPr>
            </w:pPr>
          </w:p>
        </w:tc>
        <w:tc>
          <w:tcPr>
            <w:tcW w:w="781" w:type="pct"/>
            <w:tcBorders>
              <w:bottom w:val="single" w:color="auto" w:sz="12" w:space="0"/>
            </w:tcBorders>
          </w:tcPr>
          <w:p>
            <w:pPr>
              <w:keepNext/>
              <w:spacing w:line="440" w:lineRule="exact"/>
              <w:jc w:val="center"/>
              <w:rPr>
                <w:kern w:val="2"/>
                <w:sz w:val="21"/>
                <w:szCs w:val="21"/>
                <w:highlight w:val="none"/>
              </w:rPr>
            </w:pPr>
          </w:p>
        </w:tc>
        <w:tc>
          <w:tcPr>
            <w:tcW w:w="937" w:type="pct"/>
            <w:tcBorders>
              <w:bottom w:val="single" w:color="auto" w:sz="12" w:space="0"/>
            </w:tcBorders>
          </w:tcPr>
          <w:p>
            <w:pPr>
              <w:keepNext/>
              <w:spacing w:line="440" w:lineRule="exact"/>
              <w:jc w:val="center"/>
              <w:rPr>
                <w:kern w:val="2"/>
                <w:sz w:val="21"/>
                <w:szCs w:val="21"/>
                <w:highlight w:val="none"/>
              </w:rPr>
            </w:pPr>
          </w:p>
        </w:tc>
      </w:tr>
    </w:tbl>
    <w:p>
      <w:pPr>
        <w:widowControl/>
        <w:jc w:val="center"/>
        <w:rPr>
          <w:b/>
          <w:sz w:val="24"/>
          <w:highlight w:val="none"/>
        </w:rPr>
      </w:pPr>
    </w:p>
    <w:p>
      <w:pPr>
        <w:widowControl/>
        <w:jc w:val="center"/>
        <w:rPr>
          <w:b/>
          <w:sz w:val="24"/>
          <w:highlight w:val="none"/>
        </w:rPr>
      </w:pPr>
    </w:p>
    <w:p>
      <w:pPr>
        <w:widowControl/>
        <w:jc w:val="center"/>
        <w:rPr>
          <w:b/>
          <w:sz w:val="24"/>
          <w:highlight w:val="none"/>
        </w:rPr>
      </w:pPr>
    </w:p>
    <w:p>
      <w:pPr>
        <w:widowControl/>
        <w:jc w:val="center"/>
        <w:rPr>
          <w:b/>
          <w:sz w:val="24"/>
          <w:highlight w:val="none"/>
        </w:rPr>
      </w:pPr>
    </w:p>
    <w:p>
      <w:pPr>
        <w:widowControl/>
        <w:jc w:val="center"/>
        <w:rPr>
          <w:b/>
          <w:sz w:val="24"/>
          <w:highlight w:val="none"/>
        </w:rPr>
      </w:pPr>
    </w:p>
    <w:p>
      <w:pPr>
        <w:widowControl/>
        <w:jc w:val="center"/>
        <w:rPr>
          <w:b/>
          <w:sz w:val="24"/>
          <w:highlight w:val="none"/>
        </w:rPr>
      </w:pPr>
    </w:p>
    <w:p>
      <w:pPr>
        <w:widowControl/>
        <w:jc w:val="center"/>
        <w:rPr>
          <w:b/>
          <w:sz w:val="24"/>
          <w:highlight w:val="none"/>
        </w:rPr>
      </w:pPr>
    </w:p>
    <w:p>
      <w:pPr>
        <w:widowControl/>
        <w:jc w:val="center"/>
        <w:rPr>
          <w:b/>
          <w:sz w:val="24"/>
          <w:highlight w:val="none"/>
        </w:rPr>
      </w:pPr>
    </w:p>
    <w:p>
      <w:pPr>
        <w:keepNext/>
        <w:keepLines/>
        <w:spacing w:before="120" w:after="120" w:line="360" w:lineRule="auto"/>
        <w:jc w:val="left"/>
        <w:outlineLvl w:val="2"/>
        <w:rPr>
          <w:rFonts w:hint="eastAsia" w:ascii="黑体" w:hAnsi="黑体" w:eastAsia="黑体"/>
          <w:bCs/>
          <w:kern w:val="2"/>
          <w:sz w:val="24"/>
          <w:szCs w:val="24"/>
          <w:highlight w:val="none"/>
          <w:lang w:val="en-US" w:eastAsia="zh-CN"/>
        </w:rPr>
      </w:pPr>
      <w:r>
        <w:rPr>
          <w:rFonts w:hint="eastAsia" w:ascii="黑体" w:hAnsi="黑体" w:eastAsia="黑体"/>
          <w:bCs/>
          <w:kern w:val="2"/>
          <w:sz w:val="24"/>
          <w:szCs w:val="24"/>
          <w:highlight w:val="none"/>
          <w:lang w:val="en-US" w:eastAsia="zh-CN"/>
        </w:rPr>
        <w:t>附件13：发包人要求</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参审单位要充分考虑由于安全文明所需要而产生的一切费用，参审单位需自行考虑临时设施搭设场地，费用自行考虑，不予增加。</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1、总包配合协调费（包含总包协调管理、临时道路使用、硬化后的加工场地使用、安全管理、资料收集管理、水电费用等）为合同价（不含预留金）的1%，施工单位在现场接受总承包单位的安全管理。</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业主单位提供方案和图纸。参审单位在参与磋商前应认真查看图纸并充分踏勘现场及供配电线路等，参审时结合图纸编制科学、合理、规范、有针对性的现场平面布置图，且必须与现场实际地形地貌相符，并考虑交叉作业、施工阻挠等一切可能延误工期的情况发生，合理报价。成交后不得以任何理由要求增加费用，因事先不勘察现场造成的一切损失，由参审单位自行承担。如有疑问在磋商文件规定的时间前提出答疑，报价时须谨慎报价，除业主提出的设计变更外，后期的图纸会审和其它因图纸不明确造成的漏项、节点不明等（由原设计单位完善图纸设计），其费用一律不予办理经济签证，均视为成交优惠或列入其它组价中。</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3、参审单位需充分考虑电线电缆、供电元器件及设备等材料市场价格波动较大因素，结合本工程实际工期，综合报价，成交后材料差价不予调整。</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4、本次磋商参审单位报价时应充分考虑因进度需要可能发生的如夜间加班、人员及机械投入、恶劣气候下施工等一切费用的产生，文明施工等费用投入以及维稳协调等产生的费用，后期不得以任何名义要求增加工程造价。</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5、承包范围内的所有工程在竣工验收前由成交单位自行负责看护，费用自理。</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6、项目现场不具备临时设施及办公条件，报价应考虑临时用水、临时用电、办公用房及生活区由参审单位自行考虑，费用由成交人自行承担，成交后不予调整。报价除考虑以上的临时设施费用外，还应做到工程完工时“工完、料尽、场地清”。</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7、参审单位承诺的工期应理解为业主单位或第三方监理下发的开工证明（或施工许可证）至合同范围内所有工程最终验收合格且取得质监站竣工验收备案表的所有时间，但应扣除建设单位原因造成的延误工期。</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8、参审单位报价应考虑所建工程的检测、验收等相关的一切费用。成交单位负责验收一次性通过。</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9、承担自磋商前考察到竣工移交各项工作的相关费用已考虑在内，承担至竣工移交的所发生的一切费用；特别是以下内容：</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1）参审单位应自行组织现场考察，特别是电缆施工条件核实（尤其市政占管）、配电房土建施工条件等。</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2）为满足安全运行管理条件，应配备合格的安全工器具并制定运行管理及安全作业规程。</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3）成交人应按照合肥供电公司的现行验收程序及现行合肥市供电验收相关规定，负责牵头协调组织办理工程施工全过程各个环节的工程质量检测、验收事宜及相关手续。</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4）与业主单位一起将工程移交给使用单位，办理对使用单位物业的培训和移交手续。　</w:t>
      </w:r>
    </w:p>
    <w:p>
      <w:pPr>
        <w:spacing w:line="400" w:lineRule="exact"/>
        <w:ind w:firstLine="400" w:firstLineChars="200"/>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10、成交人需要协调周边相关单位配合电缆的安装，并承担电缆安装施工的一切工程费用，上述费用包含在成交人报价内，不再单独考虑。工程工期自成交公示结束期开始</w:t>
      </w:r>
      <w:r>
        <w:rPr>
          <w:rFonts w:hint="eastAsia"/>
          <w:szCs w:val="21"/>
          <w:highlight w:val="none"/>
          <w:lang w:val="en-US" w:eastAsia="zh-CN"/>
        </w:rPr>
        <w:t>60</w:t>
      </w:r>
      <w:r>
        <w:rPr>
          <w:rFonts w:hint="eastAsia" w:ascii="宋体" w:hAnsi="宋体" w:eastAsia="宋体"/>
          <w:szCs w:val="21"/>
          <w:highlight w:val="none"/>
          <w:lang w:val="en-US" w:eastAsia="zh-CN"/>
        </w:rPr>
        <w:t>日历天内完成施工并验收合格。</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11、严格执行业主单位的管理制度和相关规定。本工程接受业主单位安排的第三方巡查及第三方检测的配合工作，若发现问题，按违约处理。</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12、各种管道（线）井（人行道和绿化带上除外）的井圈加固必须按《合肥市市政道路施工指南（部分）》【合重建管（2006）35号】实施；施工期间检查井的安全防护必须按《关于施工期间检查井安全防护方案的通知》【合重建管（2007）379号】实施，如有更新文件，按新文件执行，确保施工期间标段内所有窨井（含各种管线井）符合业主要求的覆盖状态，费用列入清单报价，一次性包死。</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13、配合业主单位完成各项竣工验收工作，提供后勤保障。</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14、因农民工工资或材料商经济纠纷引起的法律诉讼，把业主单位列为被告，业主单位已按合同履约而引起的所有诉讼费将由施工方承担。 </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15、项目因违法发包转包被监管部门查处的，业主单位有权解除合同。施工单位慎重组建项目管理班子，不得随意更换。否则按违约条款进行相应处理。 </w:t>
      </w:r>
    </w:p>
    <w:p>
      <w:pPr>
        <w:spacing w:line="400" w:lineRule="exact"/>
        <w:ind w:firstLine="40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16、严格执行业主单位的管理制度和相关规定。本工程接受业主单位安排的第三方巡查及第三方检测的配合工作，配合过程发生费用自理，若发现问题，接受业主单位的相关处理。</w:t>
      </w:r>
    </w:p>
    <w:p>
      <w:pPr>
        <w:rPr>
          <w:rFonts w:hint="eastAsia"/>
          <w:b/>
          <w:sz w:val="28"/>
          <w:highlight w:val="none"/>
        </w:rPr>
      </w:pPr>
      <w:bookmarkStart w:id="620" w:name="_Toc20939"/>
      <w:r>
        <w:rPr>
          <w:rFonts w:hint="eastAsia"/>
          <w:b/>
          <w:sz w:val="28"/>
          <w:highlight w:val="none"/>
        </w:rPr>
        <w:br w:type="page"/>
      </w:r>
    </w:p>
    <w:p>
      <w:pPr>
        <w:widowControl/>
        <w:jc w:val="center"/>
        <w:rPr>
          <w:b/>
          <w:sz w:val="28"/>
          <w:highlight w:val="none"/>
        </w:rPr>
      </w:pPr>
      <w:r>
        <w:rPr>
          <w:rFonts w:hint="eastAsia"/>
          <w:b/>
          <w:sz w:val="28"/>
          <w:highlight w:val="none"/>
        </w:rPr>
        <w:t>第</w:t>
      </w:r>
      <w:r>
        <w:rPr>
          <w:rFonts w:hint="eastAsia"/>
          <w:b/>
          <w:sz w:val="28"/>
          <w:highlight w:val="none"/>
          <w:lang w:val="en-US" w:eastAsia="zh-CN"/>
        </w:rPr>
        <w:t>六</w:t>
      </w:r>
      <w:r>
        <w:rPr>
          <w:rFonts w:hint="eastAsia"/>
          <w:b/>
          <w:sz w:val="28"/>
          <w:highlight w:val="none"/>
        </w:rPr>
        <w:t>章  响应文件格式</w:t>
      </w:r>
      <w:bookmarkEnd w:id="620"/>
    </w:p>
    <w:p>
      <w:pPr>
        <w:spacing w:line="900" w:lineRule="exact"/>
        <w:jc w:val="center"/>
        <w:outlineLvl w:val="2"/>
        <w:rPr>
          <w:rFonts w:hint="eastAsia" w:eastAsia="宋体"/>
          <w:b/>
          <w:sz w:val="32"/>
          <w:highlight w:val="none"/>
          <w:lang w:eastAsia="zh-CN"/>
        </w:rPr>
      </w:pPr>
      <w:r>
        <w:rPr>
          <w:rFonts w:hint="eastAsia"/>
          <w:b/>
          <w:sz w:val="32"/>
          <w:highlight w:val="none"/>
          <w:lang w:eastAsia="zh-CN"/>
        </w:rPr>
        <w:t>肥西县上派镇光明府光储充放一体化充电站项目</w:t>
      </w:r>
    </w:p>
    <w:p>
      <w:pPr>
        <w:spacing w:line="900" w:lineRule="exact"/>
        <w:jc w:val="center"/>
        <w:outlineLvl w:val="2"/>
        <w:rPr>
          <w:b/>
          <w:sz w:val="72"/>
          <w:highlight w:val="none"/>
        </w:rPr>
      </w:pPr>
      <w:r>
        <w:rPr>
          <w:rFonts w:hint="eastAsia"/>
          <w:b/>
          <w:sz w:val="72"/>
          <w:highlight w:val="none"/>
        </w:rPr>
        <w:t>响</w:t>
      </w:r>
    </w:p>
    <w:p>
      <w:pPr>
        <w:spacing w:line="900" w:lineRule="exact"/>
        <w:jc w:val="center"/>
        <w:rPr>
          <w:b/>
          <w:sz w:val="72"/>
          <w:highlight w:val="none"/>
        </w:rPr>
      </w:pPr>
    </w:p>
    <w:p>
      <w:pPr>
        <w:spacing w:line="900" w:lineRule="exact"/>
        <w:jc w:val="center"/>
        <w:outlineLvl w:val="2"/>
        <w:rPr>
          <w:b/>
          <w:sz w:val="72"/>
          <w:highlight w:val="none"/>
        </w:rPr>
      </w:pPr>
      <w:r>
        <w:rPr>
          <w:rFonts w:hint="eastAsia"/>
          <w:b/>
          <w:sz w:val="72"/>
          <w:highlight w:val="none"/>
        </w:rPr>
        <w:t>应</w:t>
      </w:r>
    </w:p>
    <w:p>
      <w:pPr>
        <w:spacing w:line="900" w:lineRule="exact"/>
        <w:jc w:val="center"/>
        <w:rPr>
          <w:b/>
          <w:sz w:val="72"/>
          <w:highlight w:val="none"/>
        </w:rPr>
      </w:pPr>
    </w:p>
    <w:p>
      <w:pPr>
        <w:spacing w:line="900" w:lineRule="exact"/>
        <w:jc w:val="center"/>
        <w:outlineLvl w:val="2"/>
        <w:rPr>
          <w:b/>
          <w:sz w:val="72"/>
          <w:highlight w:val="none"/>
        </w:rPr>
      </w:pPr>
      <w:r>
        <w:rPr>
          <w:rFonts w:hint="eastAsia"/>
          <w:b/>
          <w:sz w:val="72"/>
          <w:highlight w:val="none"/>
        </w:rPr>
        <w:t>文</w:t>
      </w:r>
    </w:p>
    <w:p>
      <w:pPr>
        <w:spacing w:line="900" w:lineRule="exact"/>
        <w:jc w:val="center"/>
        <w:rPr>
          <w:b/>
          <w:sz w:val="72"/>
          <w:highlight w:val="none"/>
        </w:rPr>
      </w:pPr>
    </w:p>
    <w:p>
      <w:pPr>
        <w:jc w:val="center"/>
        <w:outlineLvl w:val="2"/>
        <w:rPr>
          <w:b/>
          <w:sz w:val="72"/>
          <w:highlight w:val="none"/>
        </w:rPr>
      </w:pPr>
      <w:r>
        <w:rPr>
          <w:rFonts w:hint="eastAsia"/>
          <w:b/>
          <w:sz w:val="72"/>
          <w:highlight w:val="none"/>
        </w:rPr>
        <w:t>件</w:t>
      </w:r>
    </w:p>
    <w:p>
      <w:pPr>
        <w:spacing w:after="156" w:afterLines="50"/>
        <w:jc w:val="center"/>
        <w:rPr>
          <w:b/>
          <w:sz w:val="72"/>
          <w:highlight w:val="none"/>
        </w:rPr>
      </w:pPr>
    </w:p>
    <w:p>
      <w:pPr>
        <w:spacing w:after="156" w:afterLines="50" w:line="500" w:lineRule="exact"/>
        <w:jc w:val="center"/>
        <w:rPr>
          <w:b/>
          <w:sz w:val="28"/>
          <w:szCs w:val="28"/>
          <w:highlight w:val="none"/>
        </w:rPr>
      </w:pPr>
    </w:p>
    <w:p>
      <w:pPr>
        <w:spacing w:after="156" w:afterLines="50" w:line="500" w:lineRule="exact"/>
        <w:jc w:val="center"/>
        <w:rPr>
          <w:b/>
          <w:sz w:val="72"/>
          <w:highlight w:val="none"/>
        </w:rPr>
      </w:pPr>
    </w:p>
    <w:p>
      <w:pPr>
        <w:spacing w:after="156" w:afterLines="50" w:line="500" w:lineRule="exact"/>
        <w:ind w:firstLine="2522" w:firstLineChars="785"/>
        <w:rPr>
          <w:b/>
          <w:sz w:val="32"/>
          <w:highlight w:val="none"/>
          <w:u w:val="single"/>
        </w:rPr>
      </w:pPr>
      <w:r>
        <w:rPr>
          <w:rFonts w:hint="eastAsia"/>
          <w:b/>
          <w:sz w:val="32"/>
          <w:highlight w:val="none"/>
        </w:rPr>
        <w:t>参审单位：</w:t>
      </w:r>
      <w:r>
        <w:rPr>
          <w:rFonts w:hint="eastAsia"/>
          <w:b/>
          <w:sz w:val="32"/>
          <w:highlight w:val="none"/>
          <w:u w:val="single"/>
        </w:rPr>
        <w:t xml:space="preserve">               </w:t>
      </w:r>
    </w:p>
    <w:p>
      <w:pPr>
        <w:spacing w:after="156" w:afterLines="50" w:line="500" w:lineRule="exact"/>
        <w:jc w:val="center"/>
        <w:outlineLvl w:val="1"/>
        <w:rPr>
          <w:b/>
          <w:sz w:val="32"/>
          <w:highlight w:val="none"/>
        </w:rPr>
      </w:pPr>
      <w:r>
        <w:rPr>
          <w:rFonts w:hint="eastAsia"/>
          <w:b/>
          <w:sz w:val="32"/>
          <w:highlight w:val="none"/>
          <w:u w:val="single"/>
        </w:rPr>
        <w:t xml:space="preserve">    </w:t>
      </w:r>
      <w:bookmarkStart w:id="621" w:name="_Toc328"/>
      <w:r>
        <w:rPr>
          <w:rFonts w:hint="eastAsia"/>
          <w:b/>
          <w:sz w:val="32"/>
          <w:highlight w:val="none"/>
        </w:rPr>
        <w:t>年</w:t>
      </w:r>
      <w:r>
        <w:rPr>
          <w:rFonts w:hint="eastAsia"/>
          <w:b/>
          <w:sz w:val="32"/>
          <w:highlight w:val="none"/>
          <w:u w:val="single"/>
        </w:rPr>
        <w:t xml:space="preserve"> </w:t>
      </w:r>
      <w:r>
        <w:rPr>
          <w:rFonts w:hint="eastAsia"/>
          <w:b/>
          <w:sz w:val="32"/>
          <w:highlight w:val="none"/>
          <w:u w:val="single"/>
          <w:lang w:val="en-US" w:eastAsia="zh-CN"/>
        </w:rPr>
        <w:t xml:space="preserve">  </w:t>
      </w:r>
      <w:r>
        <w:rPr>
          <w:rFonts w:hint="eastAsia"/>
          <w:b/>
          <w:sz w:val="32"/>
          <w:highlight w:val="none"/>
          <w:u w:val="single"/>
        </w:rPr>
        <w:t xml:space="preserve"> </w:t>
      </w:r>
      <w:r>
        <w:rPr>
          <w:rFonts w:hint="eastAsia"/>
          <w:b/>
          <w:sz w:val="32"/>
          <w:highlight w:val="none"/>
        </w:rPr>
        <w:t>月</w:t>
      </w:r>
      <w:r>
        <w:rPr>
          <w:rFonts w:hint="eastAsia"/>
          <w:b/>
          <w:sz w:val="32"/>
          <w:highlight w:val="none"/>
          <w:u w:val="single"/>
        </w:rPr>
        <w:t xml:space="preserve"> </w:t>
      </w:r>
      <w:r>
        <w:rPr>
          <w:rFonts w:hint="eastAsia"/>
          <w:b/>
          <w:sz w:val="32"/>
          <w:highlight w:val="none"/>
          <w:u w:val="single"/>
          <w:lang w:val="en-US" w:eastAsia="zh-CN"/>
        </w:rPr>
        <w:t xml:space="preserve">  </w:t>
      </w:r>
      <w:r>
        <w:rPr>
          <w:rFonts w:hint="eastAsia"/>
          <w:b/>
          <w:sz w:val="32"/>
          <w:highlight w:val="none"/>
          <w:u w:val="single"/>
        </w:rPr>
        <w:t xml:space="preserve"> </w:t>
      </w:r>
      <w:r>
        <w:rPr>
          <w:rFonts w:hint="eastAsia"/>
          <w:b/>
          <w:sz w:val="32"/>
          <w:highlight w:val="none"/>
        </w:rPr>
        <w:t>日</w:t>
      </w:r>
      <w:bookmarkEnd w:id="621"/>
    </w:p>
    <w:p>
      <w:pPr>
        <w:widowControl/>
        <w:jc w:val="center"/>
        <w:rPr>
          <w:b/>
          <w:sz w:val="24"/>
          <w:highlight w:val="none"/>
        </w:rPr>
      </w:pPr>
      <w:r>
        <w:rPr>
          <w:b/>
          <w:sz w:val="28"/>
          <w:highlight w:val="none"/>
        </w:rPr>
        <w:br w:type="page"/>
      </w:r>
      <w:bookmarkStart w:id="622" w:name="_Toc461056631"/>
      <w:bookmarkStart w:id="623" w:name="_Toc461053086"/>
      <w:bookmarkStart w:id="624" w:name="_Toc520983587"/>
      <w:r>
        <w:rPr>
          <w:rFonts w:hint="eastAsia"/>
          <w:b/>
          <w:sz w:val="24"/>
          <w:highlight w:val="none"/>
        </w:rPr>
        <w:t>一</w:t>
      </w:r>
      <w:bookmarkEnd w:id="622"/>
      <w:bookmarkEnd w:id="623"/>
      <w:r>
        <w:rPr>
          <w:rFonts w:hint="eastAsia"/>
          <w:b/>
          <w:sz w:val="24"/>
          <w:highlight w:val="none"/>
        </w:rPr>
        <w:t>、报价表格式</w:t>
      </w:r>
      <w:bookmarkEnd w:id="624"/>
    </w:p>
    <w:p>
      <w:pPr>
        <w:spacing w:before="156" w:beforeLines="50" w:after="156" w:afterLines="50" w:line="360" w:lineRule="auto"/>
        <w:jc w:val="left"/>
        <w:outlineLvl w:val="2"/>
        <w:rPr>
          <w:rFonts w:cs="@仿宋_GB2312"/>
          <w:b/>
          <w:kern w:val="2"/>
          <w:sz w:val="24"/>
          <w:szCs w:val="24"/>
          <w:highlight w:val="none"/>
        </w:rPr>
      </w:pPr>
      <w:r>
        <w:rPr>
          <w:rFonts w:hint="eastAsia" w:cs="@仿宋_GB2312"/>
          <w:b/>
          <w:kern w:val="2"/>
          <w:sz w:val="24"/>
          <w:szCs w:val="24"/>
          <w:highlight w:val="none"/>
        </w:rPr>
        <w:t>1-1 报价表</w:t>
      </w:r>
    </w:p>
    <w:p>
      <w:pPr>
        <w:snapToGrid w:val="0"/>
        <w:spacing w:line="360" w:lineRule="auto"/>
        <w:jc w:val="left"/>
        <w:rPr>
          <w:rFonts w:hint="eastAsia" w:eastAsia="宋体" w:cs="宋体"/>
          <w:b/>
          <w:kern w:val="2"/>
          <w:sz w:val="24"/>
          <w:szCs w:val="24"/>
          <w:highlight w:val="none"/>
          <w:lang w:eastAsia="zh-CN"/>
        </w:rPr>
      </w:pPr>
      <w:r>
        <w:rPr>
          <w:rFonts w:hint="eastAsia" w:cs="宋体"/>
          <w:b/>
          <w:kern w:val="2"/>
          <w:sz w:val="24"/>
          <w:szCs w:val="24"/>
          <w:highlight w:val="none"/>
        </w:rPr>
        <w:t>项目名称：</w:t>
      </w:r>
      <w:r>
        <w:rPr>
          <w:rFonts w:hint="eastAsia" w:cs="宋体"/>
          <w:b/>
          <w:kern w:val="2"/>
          <w:sz w:val="24"/>
          <w:szCs w:val="24"/>
          <w:highlight w:val="none"/>
          <w:u w:val="single"/>
          <w:lang w:eastAsia="zh-CN"/>
        </w:rPr>
        <w:t>肥西县上派镇光明府光储充放一体化充电站项目</w:t>
      </w:r>
    </w:p>
    <w:p>
      <w:pPr>
        <w:snapToGrid w:val="0"/>
        <w:spacing w:after="156" w:afterLines="50" w:line="360" w:lineRule="auto"/>
        <w:jc w:val="left"/>
        <w:rPr>
          <w:rFonts w:hint="eastAsia" w:eastAsia="宋体" w:cs="宋体"/>
          <w:b/>
          <w:bCs/>
          <w:kern w:val="2"/>
          <w:sz w:val="24"/>
          <w:szCs w:val="24"/>
          <w:highlight w:val="none"/>
          <w:u w:val="single"/>
          <w:lang w:eastAsia="zh-CN"/>
        </w:rPr>
      </w:pPr>
      <w:r>
        <w:rPr>
          <w:rFonts w:hint="eastAsia" w:cs="宋体"/>
          <w:b/>
          <w:kern w:val="2"/>
          <w:sz w:val="24"/>
          <w:szCs w:val="24"/>
          <w:highlight w:val="none"/>
        </w:rPr>
        <w:t>项目编号：</w:t>
      </w:r>
      <w:r>
        <w:rPr>
          <w:rFonts w:hint="eastAsia" w:cs="宋体"/>
          <w:b/>
          <w:kern w:val="2"/>
          <w:sz w:val="24"/>
          <w:szCs w:val="24"/>
          <w:highlight w:val="none"/>
          <w:u w:val="single"/>
          <w:lang w:eastAsia="zh-CN"/>
        </w:rPr>
        <w:t>2025PHGN0020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highlight w:val="none"/>
              </w:rPr>
            </w:pPr>
            <w:r>
              <w:rPr>
                <w:rFonts w:hint="eastAsia"/>
                <w:b/>
                <w:sz w:val="24"/>
                <w:szCs w:val="18"/>
                <w:highlight w:val="none"/>
              </w:rPr>
              <w:t>参审单位</w:t>
            </w:r>
            <w:r>
              <w:rPr>
                <w:rFonts w:hint="eastAsia" w:cs="宋体"/>
                <w:b/>
                <w:kern w:val="2"/>
                <w:sz w:val="24"/>
                <w:szCs w:val="24"/>
                <w:highlight w:val="none"/>
              </w:rPr>
              <w:t>名称</w:t>
            </w:r>
          </w:p>
        </w:tc>
        <w:tc>
          <w:tcPr>
            <w:tcW w:w="6063" w:type="dxa"/>
            <w:tcBorders>
              <w:left w:val="single" w:color="auto" w:sz="4" w:space="0"/>
            </w:tcBorders>
          </w:tcPr>
          <w:p>
            <w:pP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highlight w:val="none"/>
              </w:rPr>
            </w:pPr>
            <w:r>
              <w:rPr>
                <w:rFonts w:hint="eastAsia" w:cs="宋体"/>
                <w:b/>
                <w:bCs/>
                <w:kern w:val="2"/>
                <w:sz w:val="24"/>
                <w:szCs w:val="24"/>
                <w:highlight w:val="none"/>
              </w:rPr>
              <w:t>磋商</w:t>
            </w:r>
            <w:r>
              <w:rPr>
                <w:rFonts w:hint="eastAsia" w:cs="宋体"/>
                <w:b/>
                <w:kern w:val="2"/>
                <w:sz w:val="24"/>
                <w:szCs w:val="24"/>
                <w:highlight w:val="none"/>
              </w:rPr>
              <w:t>范围</w:t>
            </w:r>
          </w:p>
        </w:tc>
        <w:tc>
          <w:tcPr>
            <w:tcW w:w="6063" w:type="dxa"/>
            <w:tcBorders>
              <w:left w:val="single" w:color="auto" w:sz="4" w:space="0"/>
            </w:tcBorders>
            <w:vAlign w:val="center"/>
          </w:tcPr>
          <w:p>
            <w:pPr>
              <w:widowControl/>
              <w:rPr>
                <w:rFonts w:cs="宋体"/>
                <w:b/>
                <w:kern w:val="2"/>
                <w:sz w:val="24"/>
                <w:szCs w:val="24"/>
                <w:highlight w:val="none"/>
              </w:rPr>
            </w:pPr>
            <w:r>
              <w:rPr>
                <w:rFonts w:hint="eastAsia" w:cs="@仿宋_GB2312"/>
                <w:kern w:val="2"/>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cs="@仿宋_GB2312"/>
                <w:b/>
                <w:kern w:val="2"/>
                <w:sz w:val="24"/>
                <w:highlight w:val="none"/>
              </w:rPr>
            </w:pPr>
            <w:r>
              <w:rPr>
                <w:rFonts w:hint="eastAsia" w:cs="@仿宋_GB2312"/>
                <w:b/>
                <w:kern w:val="2"/>
                <w:sz w:val="24"/>
                <w:highlight w:val="none"/>
              </w:rPr>
              <w:t>报价</w:t>
            </w:r>
          </w:p>
          <w:p>
            <w:pPr>
              <w:jc w:val="center"/>
              <w:rPr>
                <w:rFonts w:cs="宋体"/>
                <w:b/>
                <w:kern w:val="2"/>
                <w:sz w:val="24"/>
                <w:szCs w:val="24"/>
                <w:highlight w:val="none"/>
              </w:rPr>
            </w:pPr>
            <w:r>
              <w:rPr>
                <w:rFonts w:hint="eastAsia" w:cs="宋体"/>
                <w:b/>
                <w:kern w:val="2"/>
                <w:sz w:val="24"/>
                <w:szCs w:val="24"/>
                <w:highlight w:val="none"/>
              </w:rPr>
              <w:t>（详见备注说明）</w:t>
            </w:r>
          </w:p>
        </w:tc>
        <w:tc>
          <w:tcPr>
            <w:tcW w:w="6063" w:type="dxa"/>
            <w:vAlign w:val="center"/>
          </w:tcPr>
          <w:p>
            <w:pPr>
              <w:snapToGrid w:val="0"/>
              <w:spacing w:line="360" w:lineRule="auto"/>
              <w:rPr>
                <w:rFonts w:hint="eastAsia" w:cs="宋体"/>
                <w:bCs/>
                <w:kern w:val="2"/>
                <w:sz w:val="24"/>
                <w:szCs w:val="24"/>
                <w:highlight w:val="none"/>
                <w:u w:val="single"/>
              </w:rPr>
            </w:pPr>
            <w:r>
              <w:rPr>
                <w:rFonts w:hint="eastAsia" w:cs="宋体"/>
                <w:bCs/>
                <w:kern w:val="2"/>
                <w:sz w:val="24"/>
                <w:szCs w:val="24"/>
                <w:highlight w:val="none"/>
              </w:rPr>
              <w:t>人民币</w:t>
            </w:r>
            <w:r>
              <w:rPr>
                <w:rFonts w:hint="eastAsia" w:cs="宋体"/>
                <w:bCs/>
                <w:kern w:val="2"/>
                <w:sz w:val="24"/>
                <w:szCs w:val="24"/>
                <w:highlight w:val="none"/>
                <w:lang w:val="en-US" w:eastAsia="zh-CN"/>
              </w:rPr>
              <w:t xml:space="preserve"> </w:t>
            </w:r>
            <w:r>
              <w:rPr>
                <w:rFonts w:hint="eastAsia" w:cs="宋体"/>
                <w:bCs/>
                <w:kern w:val="2"/>
                <w:sz w:val="24"/>
                <w:szCs w:val="24"/>
                <w:highlight w:val="none"/>
              </w:rPr>
              <w:t>大写：</w:t>
            </w:r>
            <w:r>
              <w:rPr>
                <w:rFonts w:hint="eastAsia" w:cs="宋体"/>
                <w:bCs/>
                <w:kern w:val="2"/>
                <w:sz w:val="24"/>
                <w:szCs w:val="24"/>
                <w:highlight w:val="none"/>
                <w:u w:val="single"/>
              </w:rPr>
              <w:t xml:space="preserve">                        </w:t>
            </w:r>
          </w:p>
          <w:p>
            <w:pPr>
              <w:snapToGrid w:val="0"/>
              <w:spacing w:line="360" w:lineRule="auto"/>
              <w:rPr>
                <w:rFonts w:hint="default" w:eastAsia="宋体" w:cs="宋体"/>
                <w:bCs/>
                <w:kern w:val="2"/>
                <w:sz w:val="24"/>
                <w:szCs w:val="24"/>
                <w:highlight w:val="none"/>
                <w:u w:val="single"/>
                <w:lang w:val="en-US" w:eastAsia="zh-CN"/>
              </w:rPr>
            </w:pPr>
            <w:r>
              <w:rPr>
                <w:rFonts w:hint="eastAsia" w:cs="宋体"/>
                <w:bCs/>
                <w:kern w:val="2"/>
                <w:sz w:val="24"/>
                <w:szCs w:val="24"/>
                <w:highlight w:val="none"/>
                <w:u w:val="none"/>
                <w:lang w:val="en-US" w:eastAsia="zh-CN"/>
              </w:rPr>
              <w:t xml:space="preserve">       小写：</w:t>
            </w:r>
            <w:r>
              <w:rPr>
                <w:rFonts w:hint="eastAsia" w:cs="宋体"/>
                <w:bCs/>
                <w:kern w:val="2"/>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highlight w:val="none"/>
              </w:rPr>
            </w:pPr>
            <w:r>
              <w:rPr>
                <w:rFonts w:hint="eastAsia" w:cs="宋体"/>
                <w:b/>
                <w:bCs/>
                <w:kern w:val="2"/>
                <w:sz w:val="24"/>
                <w:szCs w:val="24"/>
                <w:highlight w:val="none"/>
              </w:rPr>
              <w:t>质量标准</w:t>
            </w:r>
          </w:p>
        </w:tc>
        <w:tc>
          <w:tcPr>
            <w:tcW w:w="6063" w:type="dxa"/>
            <w:vAlign w:val="center"/>
          </w:tcPr>
          <w:p>
            <w:pPr>
              <w:snapToGrid w:val="0"/>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highlight w:val="none"/>
              </w:rPr>
            </w:pPr>
            <w:r>
              <w:rPr>
                <w:rFonts w:hint="eastAsia" w:cs="宋体"/>
                <w:b/>
                <w:bCs/>
                <w:kern w:val="2"/>
                <w:sz w:val="24"/>
                <w:szCs w:val="24"/>
                <w:highlight w:val="none"/>
              </w:rPr>
              <w:t>工    期</w:t>
            </w:r>
          </w:p>
        </w:tc>
        <w:tc>
          <w:tcPr>
            <w:tcW w:w="6063" w:type="dxa"/>
            <w:vAlign w:val="center"/>
          </w:tcPr>
          <w:p>
            <w:pPr>
              <w:snapToGrid w:val="0"/>
              <w:rPr>
                <w:rFonts w:cs="宋体"/>
                <w:b/>
                <w:kern w:val="2"/>
                <w:sz w:val="24"/>
                <w:szCs w:val="24"/>
                <w:highlight w:val="none"/>
              </w:rPr>
            </w:pPr>
            <w:r>
              <w:rPr>
                <w:rFonts w:hint="eastAsia" w:cs="宋体"/>
                <w:bCs/>
                <w:kern w:val="2"/>
                <w:sz w:val="24"/>
                <w:szCs w:val="24"/>
                <w:highlight w:val="none"/>
              </w:rPr>
              <w:t>接开工令后</w:t>
            </w:r>
            <w:r>
              <w:rPr>
                <w:rFonts w:hint="eastAsia" w:cs="宋体"/>
                <w:bCs/>
                <w:kern w:val="2"/>
                <w:sz w:val="24"/>
                <w:szCs w:val="24"/>
                <w:highlight w:val="none"/>
                <w:u w:val="single"/>
              </w:rPr>
              <w:t xml:space="preserve">        </w:t>
            </w:r>
            <w:r>
              <w:rPr>
                <w:rFonts w:hint="eastAsia" w:cs="宋体"/>
                <w:bCs/>
                <w:kern w:val="2"/>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bCs/>
                <w:kern w:val="2"/>
                <w:sz w:val="24"/>
                <w:szCs w:val="24"/>
                <w:highlight w:val="none"/>
              </w:rPr>
            </w:pPr>
            <w:r>
              <w:rPr>
                <w:rFonts w:hint="eastAsia" w:cs="宋体"/>
                <w:b/>
                <w:bCs/>
                <w:kern w:val="2"/>
                <w:sz w:val="24"/>
                <w:szCs w:val="24"/>
                <w:highlight w:val="none"/>
              </w:rPr>
              <w:t>是否响应付款方式</w:t>
            </w:r>
          </w:p>
        </w:tc>
        <w:tc>
          <w:tcPr>
            <w:tcW w:w="6063" w:type="dxa"/>
            <w:vAlign w:val="center"/>
          </w:tcPr>
          <w:p>
            <w:pPr>
              <w:snapToGrid w:val="0"/>
              <w:rPr>
                <w:rFonts w:cs="宋体"/>
                <w:bCs/>
                <w:kern w:val="2"/>
                <w:sz w:val="24"/>
                <w:szCs w:val="24"/>
                <w:highlight w:val="none"/>
              </w:rPr>
            </w:pPr>
            <w:r>
              <w:rPr>
                <w:rFonts w:hint="eastAsia" w:cs="宋体"/>
                <w:kern w:val="2"/>
                <w:sz w:val="24"/>
                <w:szCs w:val="24"/>
                <w:highlight w:val="none"/>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pPr>
              <w:jc w:val="center"/>
              <w:rPr>
                <w:rFonts w:cs="宋体"/>
                <w:b/>
                <w:kern w:val="2"/>
                <w:sz w:val="24"/>
                <w:szCs w:val="24"/>
                <w:highlight w:val="none"/>
              </w:rPr>
            </w:pPr>
            <w:r>
              <w:rPr>
                <w:rFonts w:hint="eastAsia" w:cs="宋体"/>
                <w:b/>
                <w:kern w:val="2"/>
                <w:sz w:val="24"/>
                <w:szCs w:val="24"/>
                <w:highlight w:val="none"/>
              </w:rPr>
              <w:t>备注说明</w:t>
            </w:r>
          </w:p>
        </w:tc>
        <w:tc>
          <w:tcPr>
            <w:tcW w:w="6063" w:type="dxa"/>
          </w:tcPr>
          <w:p>
            <w:pPr>
              <w:rPr>
                <w:rFonts w:cs="宋体"/>
                <w:b/>
                <w:kern w:val="2"/>
                <w:sz w:val="24"/>
                <w:szCs w:val="24"/>
                <w:highlight w:val="none"/>
              </w:rPr>
            </w:pPr>
          </w:p>
        </w:tc>
      </w:tr>
    </w:tbl>
    <w:p>
      <w:pPr>
        <w:spacing w:line="440" w:lineRule="exact"/>
        <w:ind w:firstLine="4800" w:firstLineChars="2000"/>
        <w:rPr>
          <w:rFonts w:cs="@仿宋_GB2312"/>
          <w:kern w:val="2"/>
          <w:sz w:val="24"/>
          <w:szCs w:val="24"/>
          <w:highlight w:val="none"/>
          <w:u w:val="single"/>
        </w:rPr>
      </w:pPr>
      <w:r>
        <w:rPr>
          <w:rFonts w:hint="eastAsia"/>
          <w:sz w:val="24"/>
          <w:szCs w:val="18"/>
          <w:highlight w:val="none"/>
        </w:rPr>
        <w:t>参审单位</w:t>
      </w:r>
      <w:r>
        <w:rPr>
          <w:rFonts w:hint="eastAsia" w:cs="@仿宋_GB2312"/>
          <w:kern w:val="2"/>
          <w:sz w:val="24"/>
          <w:szCs w:val="24"/>
          <w:highlight w:val="none"/>
        </w:rPr>
        <w:t>电子签章：</w:t>
      </w:r>
      <w:r>
        <w:rPr>
          <w:rFonts w:hint="eastAsia" w:cs="@仿宋_GB2312"/>
          <w:kern w:val="2"/>
          <w:sz w:val="24"/>
          <w:szCs w:val="24"/>
          <w:highlight w:val="none"/>
          <w:u w:val="single"/>
        </w:rPr>
        <w:t xml:space="preserve">     </w:t>
      </w:r>
      <w:r>
        <w:rPr>
          <w:rFonts w:cs="@仿宋_GB2312"/>
          <w:kern w:val="2"/>
          <w:sz w:val="24"/>
          <w:szCs w:val="24"/>
          <w:highlight w:val="none"/>
          <w:u w:val="single"/>
        </w:rPr>
        <w:t xml:space="preserve">    </w:t>
      </w:r>
      <w:r>
        <w:rPr>
          <w:rFonts w:hint="eastAsia" w:cs="@仿宋_GB2312"/>
          <w:kern w:val="2"/>
          <w:sz w:val="24"/>
          <w:szCs w:val="24"/>
          <w:highlight w:val="none"/>
          <w:u w:val="single"/>
        </w:rPr>
        <w:t xml:space="preserve">    </w:t>
      </w:r>
    </w:p>
    <w:p>
      <w:pPr>
        <w:spacing w:line="440" w:lineRule="exact"/>
        <w:ind w:firstLine="4800" w:firstLineChars="2000"/>
        <w:rPr>
          <w:rFonts w:cs="@仿宋_GB2312"/>
          <w:kern w:val="2"/>
          <w:sz w:val="24"/>
          <w:szCs w:val="24"/>
          <w:highlight w:val="none"/>
          <w:u w:val="single"/>
        </w:rPr>
      </w:pPr>
      <w:r>
        <w:rPr>
          <w:rFonts w:hint="eastAsia" w:cs="@仿宋_GB2312"/>
          <w:kern w:val="2"/>
          <w:sz w:val="24"/>
          <w:szCs w:val="24"/>
          <w:highlight w:val="none"/>
        </w:rPr>
        <w:t xml:space="preserve">日     </w:t>
      </w:r>
      <w:r>
        <w:rPr>
          <w:rFonts w:cs="@仿宋_GB2312"/>
          <w:kern w:val="2"/>
          <w:sz w:val="24"/>
          <w:szCs w:val="24"/>
          <w:highlight w:val="none"/>
        </w:rPr>
        <w:t xml:space="preserve">    </w:t>
      </w:r>
      <w:r>
        <w:rPr>
          <w:rFonts w:hint="eastAsia" w:cs="@仿宋_GB2312"/>
          <w:kern w:val="2"/>
          <w:sz w:val="24"/>
          <w:szCs w:val="24"/>
          <w:highlight w:val="none"/>
        </w:rPr>
        <w:t xml:space="preserve"> 期：</w:t>
      </w:r>
      <w:r>
        <w:rPr>
          <w:rFonts w:hint="eastAsia" w:cs="@仿宋_GB2312"/>
          <w:kern w:val="2"/>
          <w:sz w:val="24"/>
          <w:szCs w:val="24"/>
          <w:highlight w:val="none"/>
          <w:u w:val="single"/>
        </w:rPr>
        <w:t xml:space="preserve">             </w:t>
      </w:r>
    </w:p>
    <w:p>
      <w:pPr>
        <w:adjustRightInd w:val="0"/>
        <w:snapToGrid w:val="0"/>
        <w:spacing w:line="360" w:lineRule="auto"/>
        <w:rPr>
          <w:rFonts w:cs="宋体"/>
          <w:b/>
          <w:bCs/>
          <w:kern w:val="2"/>
          <w:sz w:val="24"/>
          <w:szCs w:val="24"/>
          <w:highlight w:val="none"/>
        </w:rPr>
      </w:pPr>
      <w:r>
        <w:rPr>
          <w:rFonts w:hint="eastAsia" w:cs="宋体"/>
          <w:b/>
          <w:bCs/>
          <w:kern w:val="2"/>
          <w:sz w:val="24"/>
          <w:szCs w:val="24"/>
          <w:highlight w:val="none"/>
        </w:rPr>
        <w:t>注：</w:t>
      </w:r>
    </w:p>
    <w:p>
      <w:pPr>
        <w:adjustRightInd w:val="0"/>
        <w:snapToGrid w:val="0"/>
        <w:spacing w:line="360" w:lineRule="auto"/>
        <w:ind w:firstLine="482" w:firstLineChars="200"/>
        <w:rPr>
          <w:rFonts w:cs="宋体"/>
          <w:kern w:val="2"/>
          <w:sz w:val="24"/>
          <w:szCs w:val="24"/>
          <w:highlight w:val="none"/>
        </w:rPr>
      </w:pPr>
      <w:r>
        <w:rPr>
          <w:rFonts w:hint="eastAsia" w:cs="宋体"/>
          <w:b/>
          <w:bCs/>
          <w:kern w:val="2"/>
          <w:sz w:val="24"/>
          <w:szCs w:val="24"/>
          <w:highlight w:val="none"/>
        </w:rPr>
        <w:t>1</w:t>
      </w:r>
      <w:r>
        <w:rPr>
          <w:rFonts w:hint="eastAsia" w:cs="宋体"/>
          <w:b/>
          <w:bCs/>
          <w:kern w:val="2"/>
          <w:sz w:val="24"/>
          <w:szCs w:val="24"/>
          <w:highlight w:val="none"/>
          <w:lang w:eastAsia="zh-CN"/>
        </w:rPr>
        <w:t>、</w:t>
      </w:r>
      <w:r>
        <w:rPr>
          <w:rFonts w:hint="eastAsia" w:cs="宋体"/>
          <w:b/>
          <w:bCs/>
          <w:kern w:val="2"/>
          <w:sz w:val="24"/>
          <w:szCs w:val="24"/>
          <w:highlight w:val="none"/>
        </w:rPr>
        <w:t>本表内容根据磋商文件要求包括了磋商文件要求提供的全部内容的所有费用。</w:t>
      </w:r>
    </w:p>
    <w:p>
      <w:pPr>
        <w:adjustRightInd w:val="0"/>
        <w:snapToGrid w:val="0"/>
        <w:spacing w:line="360" w:lineRule="auto"/>
        <w:ind w:firstLine="482" w:firstLineChars="200"/>
        <w:rPr>
          <w:rFonts w:cs="宋体"/>
          <w:b/>
          <w:bCs/>
          <w:kern w:val="2"/>
          <w:sz w:val="24"/>
          <w:szCs w:val="24"/>
          <w:highlight w:val="none"/>
        </w:rPr>
      </w:pPr>
      <w:r>
        <w:rPr>
          <w:rFonts w:hint="eastAsia" w:cs="宋体"/>
          <w:b/>
          <w:bCs/>
          <w:kern w:val="2"/>
          <w:sz w:val="24"/>
          <w:szCs w:val="24"/>
          <w:highlight w:val="none"/>
        </w:rPr>
        <w:t>2</w:t>
      </w:r>
      <w:r>
        <w:rPr>
          <w:rFonts w:hint="eastAsia" w:cs="宋体"/>
          <w:b/>
          <w:bCs/>
          <w:kern w:val="2"/>
          <w:sz w:val="24"/>
          <w:szCs w:val="24"/>
          <w:highlight w:val="none"/>
          <w:lang w:eastAsia="zh-CN"/>
        </w:rPr>
        <w:t>、</w:t>
      </w:r>
      <w:r>
        <w:rPr>
          <w:rFonts w:hint="eastAsia" w:cs="宋体"/>
          <w:b/>
          <w:bCs/>
          <w:kern w:val="2"/>
          <w:sz w:val="24"/>
          <w:szCs w:val="24"/>
          <w:highlight w:val="none"/>
        </w:rPr>
        <w:t>特殊事项在备注中注明。</w:t>
      </w:r>
    </w:p>
    <w:p>
      <w:pPr>
        <w:adjustRightInd w:val="0"/>
        <w:snapToGrid w:val="0"/>
        <w:spacing w:line="360" w:lineRule="auto"/>
        <w:ind w:firstLine="482" w:firstLineChars="200"/>
        <w:rPr>
          <w:rFonts w:cs="宋体"/>
          <w:b/>
          <w:bCs/>
          <w:kern w:val="2"/>
          <w:sz w:val="24"/>
          <w:szCs w:val="24"/>
          <w:highlight w:val="none"/>
        </w:rPr>
      </w:pPr>
      <w:r>
        <w:rPr>
          <w:rFonts w:hint="eastAsia" w:cs="@仿宋_GB2312"/>
          <w:b/>
          <w:bCs/>
          <w:kern w:val="2"/>
          <w:sz w:val="24"/>
          <w:szCs w:val="24"/>
          <w:highlight w:val="none"/>
        </w:rPr>
        <w:t>3</w:t>
      </w:r>
      <w:r>
        <w:rPr>
          <w:rFonts w:hint="eastAsia" w:cs="@仿宋_GB2312"/>
          <w:b/>
          <w:bCs/>
          <w:kern w:val="2"/>
          <w:sz w:val="24"/>
          <w:szCs w:val="24"/>
          <w:highlight w:val="none"/>
          <w:lang w:eastAsia="zh-CN"/>
        </w:rPr>
        <w:t>、</w:t>
      </w:r>
      <w:r>
        <w:rPr>
          <w:rFonts w:hint="eastAsia"/>
          <w:b/>
          <w:sz w:val="24"/>
          <w:szCs w:val="18"/>
          <w:highlight w:val="none"/>
        </w:rPr>
        <w:t>参审单位</w:t>
      </w:r>
      <w:r>
        <w:rPr>
          <w:rFonts w:hint="eastAsia"/>
          <w:b/>
          <w:bCs/>
          <w:sz w:val="24"/>
          <w:szCs w:val="24"/>
          <w:highlight w:val="none"/>
        </w:rPr>
        <w:t>填写的唱标信息不作为评审依据。</w:t>
      </w:r>
    </w:p>
    <w:p>
      <w:pPr>
        <w:adjustRightInd w:val="0"/>
        <w:snapToGrid w:val="0"/>
        <w:spacing w:line="360" w:lineRule="auto"/>
        <w:jc w:val="center"/>
        <w:rPr>
          <w:rFonts w:cs="宋体"/>
          <w:b/>
          <w:kern w:val="2"/>
          <w:sz w:val="24"/>
          <w:szCs w:val="24"/>
          <w:highlight w:val="none"/>
        </w:rPr>
      </w:pPr>
      <w:r>
        <w:rPr>
          <w:rFonts w:cs="宋体"/>
          <w:b/>
          <w:bCs/>
          <w:kern w:val="2"/>
          <w:sz w:val="24"/>
          <w:szCs w:val="24"/>
          <w:highlight w:val="none"/>
        </w:rPr>
        <w:br w:type="page"/>
      </w:r>
      <w:r>
        <w:rPr>
          <w:rFonts w:hint="eastAsia" w:cs="宋体"/>
          <w:b/>
          <w:kern w:val="2"/>
          <w:sz w:val="24"/>
          <w:szCs w:val="24"/>
          <w:highlight w:val="none"/>
        </w:rPr>
        <w:t>1-2 工程量清单报价书</w:t>
      </w:r>
    </w:p>
    <w:p>
      <w:pPr>
        <w:autoSpaceDE w:val="0"/>
        <w:autoSpaceDN w:val="0"/>
        <w:adjustRightInd w:val="0"/>
        <w:spacing w:before="20" w:after="20" w:line="360" w:lineRule="auto"/>
        <w:jc w:val="center"/>
        <w:rPr>
          <w:rFonts w:cs="宋体"/>
          <w:b/>
          <w:sz w:val="24"/>
          <w:szCs w:val="24"/>
          <w:highlight w:val="none"/>
        </w:rPr>
      </w:pPr>
    </w:p>
    <w:p>
      <w:pPr>
        <w:autoSpaceDE w:val="0"/>
        <w:autoSpaceDN w:val="0"/>
        <w:adjustRightInd w:val="0"/>
        <w:spacing w:before="20" w:after="20" w:line="360" w:lineRule="auto"/>
        <w:jc w:val="center"/>
        <w:outlineLvl w:val="1"/>
        <w:rPr>
          <w:rFonts w:cs="宋体"/>
          <w:b/>
          <w:sz w:val="24"/>
          <w:szCs w:val="24"/>
          <w:highlight w:val="none"/>
        </w:rPr>
      </w:pPr>
      <w:bookmarkStart w:id="625" w:name="_Toc22545"/>
      <w:r>
        <w:rPr>
          <w:rFonts w:hint="eastAsia" w:cs="宋体"/>
          <w:b/>
          <w:sz w:val="24"/>
          <w:szCs w:val="24"/>
          <w:highlight w:val="none"/>
        </w:rPr>
        <w:t>工程量清单报价书</w:t>
      </w:r>
      <w:bookmarkEnd w:id="625"/>
    </w:p>
    <w:p>
      <w:pPr>
        <w:adjustRightInd w:val="0"/>
        <w:snapToGrid w:val="0"/>
        <w:spacing w:line="360" w:lineRule="auto"/>
        <w:jc w:val="center"/>
        <w:rPr>
          <w:b/>
          <w:bCs/>
          <w:sz w:val="24"/>
          <w:szCs w:val="28"/>
          <w:highlight w:val="none"/>
        </w:rPr>
      </w:pPr>
      <w:r>
        <w:rPr>
          <w:rFonts w:hint="eastAsia" w:cs="宋体"/>
          <w:b/>
          <w:kern w:val="2"/>
          <w:sz w:val="21"/>
          <w:szCs w:val="24"/>
          <w:highlight w:val="none"/>
        </w:rPr>
        <w:t>（格式详见工程量清单）</w:t>
      </w:r>
    </w:p>
    <w:p>
      <w:pPr>
        <w:widowControl/>
        <w:spacing w:line="360" w:lineRule="auto"/>
        <w:ind w:firstLine="482" w:firstLineChars="200"/>
        <w:jc w:val="center"/>
        <w:rPr>
          <w:bCs/>
          <w:sz w:val="24"/>
          <w:highlight w:val="none"/>
        </w:rPr>
      </w:pPr>
      <w:r>
        <w:rPr>
          <w:b/>
          <w:bCs/>
          <w:sz w:val="24"/>
          <w:szCs w:val="28"/>
          <w:highlight w:val="none"/>
        </w:rPr>
        <w:br w:type="page"/>
      </w:r>
    </w:p>
    <w:p>
      <w:pPr>
        <w:widowControl/>
        <w:jc w:val="center"/>
        <w:rPr>
          <w:rFonts w:cs="@仿宋_GB2312"/>
          <w:b/>
          <w:bCs/>
          <w:kern w:val="2"/>
          <w:sz w:val="24"/>
          <w:szCs w:val="24"/>
          <w:highlight w:val="none"/>
        </w:rPr>
      </w:pPr>
      <w:bookmarkStart w:id="626" w:name="_Toc520983591"/>
      <w:r>
        <w:rPr>
          <w:rFonts w:hint="eastAsia"/>
          <w:b/>
          <w:sz w:val="24"/>
          <w:highlight w:val="none"/>
        </w:rPr>
        <w:t>二、</w:t>
      </w:r>
      <w:r>
        <w:rPr>
          <w:rFonts w:hint="eastAsia"/>
          <w:b/>
          <w:sz w:val="24"/>
          <w:szCs w:val="18"/>
          <w:highlight w:val="none"/>
        </w:rPr>
        <w:t>参审单位</w:t>
      </w:r>
      <w:r>
        <w:rPr>
          <w:rFonts w:hint="eastAsia"/>
          <w:b/>
          <w:sz w:val="24"/>
          <w:highlight w:val="none"/>
        </w:rPr>
        <w:t>综合情况简介</w:t>
      </w:r>
    </w:p>
    <w:p>
      <w:pPr>
        <w:spacing w:before="156" w:beforeLines="50" w:after="156" w:afterLines="50" w:line="360" w:lineRule="auto"/>
        <w:ind w:firstLine="235" w:firstLineChars="98"/>
        <w:jc w:val="center"/>
        <w:rPr>
          <w:sz w:val="24"/>
          <w:szCs w:val="28"/>
          <w:highlight w:val="none"/>
        </w:rPr>
      </w:pPr>
      <w:r>
        <w:rPr>
          <w:rFonts w:hint="eastAsia"/>
          <w:sz w:val="24"/>
          <w:szCs w:val="28"/>
          <w:highlight w:val="none"/>
        </w:rPr>
        <w:t>（</w:t>
      </w:r>
      <w:r>
        <w:rPr>
          <w:rFonts w:hint="eastAsia"/>
          <w:sz w:val="24"/>
          <w:szCs w:val="18"/>
          <w:highlight w:val="none"/>
        </w:rPr>
        <w:t>参审单位</w:t>
      </w:r>
      <w:r>
        <w:rPr>
          <w:rFonts w:hint="eastAsia"/>
          <w:sz w:val="24"/>
          <w:szCs w:val="28"/>
          <w:highlight w:val="none"/>
        </w:rPr>
        <w:t>可自行制作格式）</w:t>
      </w:r>
    </w:p>
    <w:p>
      <w:pPr>
        <w:widowControl/>
        <w:jc w:val="center"/>
        <w:rPr>
          <w:b/>
          <w:sz w:val="24"/>
          <w:highlight w:val="none"/>
        </w:rPr>
      </w:pPr>
      <w:r>
        <w:rPr>
          <w:b/>
          <w:sz w:val="24"/>
          <w:highlight w:val="none"/>
        </w:rPr>
        <w:br w:type="page"/>
      </w:r>
      <w:r>
        <w:rPr>
          <w:rFonts w:hint="eastAsia"/>
          <w:b/>
          <w:sz w:val="24"/>
          <w:highlight w:val="none"/>
        </w:rPr>
        <w:t>四、磋商响应函</w:t>
      </w:r>
      <w:bookmarkEnd w:id="626"/>
    </w:p>
    <w:p>
      <w:pPr>
        <w:spacing w:line="360" w:lineRule="auto"/>
        <w:rPr>
          <w:rFonts w:hint="eastAsia" w:eastAsia="宋体" w:cs="宋体"/>
          <w:b/>
          <w:kern w:val="2"/>
          <w:sz w:val="24"/>
          <w:szCs w:val="24"/>
          <w:highlight w:val="none"/>
          <w:u w:val="single"/>
          <w:lang w:eastAsia="zh-CN"/>
        </w:rPr>
      </w:pPr>
      <w:r>
        <w:rPr>
          <w:rFonts w:hint="eastAsia" w:cs="宋体"/>
          <w:b/>
          <w:kern w:val="2"/>
          <w:sz w:val="24"/>
          <w:szCs w:val="24"/>
          <w:highlight w:val="none"/>
        </w:rPr>
        <w:t>致：</w:t>
      </w:r>
      <w:r>
        <w:rPr>
          <w:rFonts w:hint="eastAsia" w:cs="宋体"/>
          <w:b/>
          <w:kern w:val="2"/>
          <w:sz w:val="24"/>
          <w:szCs w:val="24"/>
          <w:highlight w:val="none"/>
          <w:u w:val="single"/>
          <w:lang w:eastAsia="zh-CN"/>
        </w:rPr>
        <w:t>肥西综合能源服务有限公司</w:t>
      </w:r>
    </w:p>
    <w:p>
      <w:pPr>
        <w:spacing w:line="360" w:lineRule="auto"/>
        <w:ind w:firstLine="482" w:firstLineChars="200"/>
        <w:rPr>
          <w:rFonts w:hint="eastAsia" w:eastAsia="宋体" w:cs="宋体"/>
          <w:b/>
          <w:kern w:val="2"/>
          <w:sz w:val="24"/>
          <w:szCs w:val="24"/>
          <w:highlight w:val="none"/>
          <w:lang w:eastAsia="zh-CN"/>
        </w:rPr>
      </w:pPr>
      <w:r>
        <w:rPr>
          <w:rFonts w:hint="eastAsia" w:cs="宋体"/>
          <w:b/>
          <w:sz w:val="24"/>
          <w:szCs w:val="24"/>
          <w:highlight w:val="none"/>
          <w:u w:val="single"/>
          <w:lang w:eastAsia="zh-CN"/>
        </w:rPr>
        <w:t>肥西县派合商务服务有限公司</w:t>
      </w:r>
    </w:p>
    <w:p>
      <w:pPr>
        <w:spacing w:line="360" w:lineRule="auto"/>
        <w:ind w:firstLine="480" w:firstLineChars="200"/>
        <w:rPr>
          <w:rFonts w:cs="宋体"/>
          <w:kern w:val="2"/>
          <w:sz w:val="24"/>
          <w:szCs w:val="24"/>
          <w:highlight w:val="none"/>
        </w:rPr>
      </w:pPr>
      <w:r>
        <w:rPr>
          <w:rFonts w:hint="eastAsia" w:cs="宋体"/>
          <w:kern w:val="2"/>
          <w:sz w:val="24"/>
          <w:szCs w:val="24"/>
          <w:highlight w:val="none"/>
        </w:rPr>
        <w:t>根据贵方的磋商公告和磋商邀请，我方兹宣布同意如下：</w:t>
      </w:r>
    </w:p>
    <w:p>
      <w:pPr>
        <w:spacing w:line="360" w:lineRule="auto"/>
        <w:ind w:firstLine="480" w:firstLineChars="200"/>
        <w:rPr>
          <w:rFonts w:cs="宋体"/>
          <w:kern w:val="2"/>
          <w:sz w:val="24"/>
          <w:szCs w:val="24"/>
          <w:highlight w:val="none"/>
          <w:u w:val="single"/>
        </w:rPr>
      </w:pPr>
      <w:r>
        <w:rPr>
          <w:rFonts w:hint="eastAsia" w:cs="宋体"/>
          <w:kern w:val="2"/>
          <w:sz w:val="24"/>
          <w:szCs w:val="24"/>
          <w:highlight w:val="none"/>
        </w:rPr>
        <w:t>1．经踏勘项目现场和研究上述磋商文件的磋商须知、合同条款、图纸和工程建设技术标准及其他有关文件后，我方接受上述文件要求，并对工程量清单及最高限价（控制价）无异议。我方</w:t>
      </w:r>
      <w:r>
        <w:rPr>
          <w:rFonts w:hint="eastAsia" w:cs="宋体"/>
          <w:bCs/>
          <w:kern w:val="2"/>
          <w:sz w:val="24"/>
          <w:szCs w:val="24"/>
          <w:highlight w:val="none"/>
        </w:rPr>
        <w:t>承诺按本磋商文件、施工图纸、合同条款和工程建设技术标准的条件、</w:t>
      </w:r>
      <w:r>
        <w:rPr>
          <w:rFonts w:hint="eastAsia" w:cs="宋体"/>
          <w:kern w:val="2"/>
          <w:sz w:val="24"/>
          <w:szCs w:val="24"/>
          <w:highlight w:val="none"/>
        </w:rPr>
        <w:t>承担</w:t>
      </w:r>
      <w:r>
        <w:rPr>
          <w:rFonts w:hint="eastAsia" w:cs="宋体"/>
          <w:bCs/>
          <w:kern w:val="2"/>
          <w:sz w:val="24"/>
          <w:szCs w:val="24"/>
          <w:highlight w:val="none"/>
        </w:rPr>
        <w:t>上述工程的施工、竣工，并承担任何质量缺陷保修责任。</w:t>
      </w:r>
      <w:r>
        <w:rPr>
          <w:rFonts w:hint="eastAsia" w:cs="宋体"/>
          <w:sz w:val="24"/>
          <w:highlight w:val="none"/>
        </w:rPr>
        <w:t>如我方成交，我方承诺愿意按磋商文件规定缴纳履约保证金和代理费。【成交时间，以</w:t>
      </w:r>
      <w:r>
        <w:rPr>
          <w:rFonts w:hint="eastAsia" w:cs="宋体"/>
          <w:sz w:val="24"/>
          <w:highlight w:val="none"/>
          <w:lang w:eastAsia="zh-CN"/>
        </w:rPr>
        <w:t>肥西县派合商务服务有限公司</w:t>
      </w:r>
      <w:r>
        <w:rPr>
          <w:rFonts w:hint="eastAsia" w:cs="宋体"/>
          <w:sz w:val="24"/>
          <w:highlight w:val="none"/>
        </w:rPr>
        <w:t>发出网上</w:t>
      </w:r>
      <w:r>
        <w:rPr>
          <w:rFonts w:hint="eastAsia" w:cs="宋体"/>
          <w:sz w:val="24"/>
          <w:highlight w:val="none"/>
          <w:lang w:eastAsia="zh-CN"/>
        </w:rPr>
        <w:t>成交确认书</w:t>
      </w:r>
      <w:r>
        <w:rPr>
          <w:rFonts w:hint="eastAsia" w:cs="宋体"/>
          <w:sz w:val="24"/>
          <w:highlight w:val="none"/>
        </w:rPr>
        <w:t>之时为准，如不交纳代理费，我公司愿意承担违约责任。】</w:t>
      </w:r>
    </w:p>
    <w:p>
      <w:pPr>
        <w:spacing w:line="360" w:lineRule="auto"/>
        <w:ind w:firstLine="480" w:firstLineChars="200"/>
        <w:rPr>
          <w:rFonts w:cs="宋体"/>
          <w:kern w:val="2"/>
          <w:sz w:val="24"/>
          <w:szCs w:val="24"/>
          <w:highlight w:val="none"/>
        </w:rPr>
      </w:pPr>
      <w:r>
        <w:rPr>
          <w:rFonts w:hint="eastAsia" w:cs="宋体"/>
          <w:kern w:val="2"/>
          <w:sz w:val="24"/>
          <w:szCs w:val="24"/>
          <w:highlight w:val="none"/>
        </w:rPr>
        <w:t>2．我方已详细审核并确认全部磋商文件及有关附件，充分理解磋商价格不得低于企业个别成本有关规定。我方经成本核算，所填报的磋商报价不低于企业个别成本。</w:t>
      </w:r>
    </w:p>
    <w:p>
      <w:pPr>
        <w:spacing w:line="360" w:lineRule="auto"/>
        <w:ind w:firstLine="480" w:firstLineChars="200"/>
        <w:rPr>
          <w:rFonts w:cs="宋体"/>
          <w:kern w:val="2"/>
          <w:sz w:val="24"/>
          <w:szCs w:val="24"/>
          <w:highlight w:val="none"/>
        </w:rPr>
      </w:pPr>
      <w:r>
        <w:rPr>
          <w:rFonts w:hint="eastAsia" w:cs="宋体"/>
          <w:kern w:val="2"/>
          <w:sz w:val="24"/>
          <w:szCs w:val="24"/>
          <w:highlight w:val="none"/>
        </w:rPr>
        <w:t>3．一旦我方成交，我方保证按磋商文件约定的工期和磋商文件或业主开工令的要求如期开工、竣工并移交整个工程。</w:t>
      </w:r>
    </w:p>
    <w:p>
      <w:pPr>
        <w:spacing w:line="360" w:lineRule="auto"/>
        <w:ind w:firstLine="480" w:firstLineChars="200"/>
        <w:rPr>
          <w:rFonts w:cs="宋体"/>
          <w:kern w:val="2"/>
          <w:sz w:val="24"/>
          <w:szCs w:val="24"/>
          <w:highlight w:val="none"/>
        </w:rPr>
      </w:pPr>
      <w:r>
        <w:rPr>
          <w:rFonts w:hint="eastAsia" w:cs="宋体"/>
          <w:kern w:val="2"/>
          <w:sz w:val="24"/>
          <w:szCs w:val="24"/>
          <w:highlight w:val="none"/>
        </w:rPr>
        <w:t>4．一旦我方成交，我方保证工程质量达到合格标准。</w:t>
      </w:r>
    </w:p>
    <w:p>
      <w:pPr>
        <w:spacing w:line="360" w:lineRule="auto"/>
        <w:ind w:firstLine="480" w:firstLineChars="200"/>
        <w:rPr>
          <w:rFonts w:cs="宋体"/>
          <w:kern w:val="2"/>
          <w:sz w:val="24"/>
          <w:szCs w:val="24"/>
          <w:highlight w:val="none"/>
        </w:rPr>
      </w:pPr>
      <w:r>
        <w:rPr>
          <w:rFonts w:hint="eastAsia" w:cs="宋体"/>
          <w:kern w:val="2"/>
          <w:sz w:val="24"/>
          <w:szCs w:val="24"/>
          <w:highlight w:val="none"/>
        </w:rPr>
        <w:t>5．一旦我方成交，我方保证响应文件中承诺的项目管理班子及施工机械设备到位，并按响应文件中的施工组织设计组织施工。</w:t>
      </w:r>
    </w:p>
    <w:p>
      <w:pPr>
        <w:spacing w:line="360" w:lineRule="auto"/>
        <w:ind w:firstLine="480" w:firstLineChars="200"/>
        <w:rPr>
          <w:rFonts w:cs="宋体"/>
          <w:kern w:val="2"/>
          <w:sz w:val="24"/>
          <w:szCs w:val="24"/>
          <w:highlight w:val="none"/>
        </w:rPr>
      </w:pPr>
      <w:r>
        <w:rPr>
          <w:rFonts w:hint="eastAsia" w:cs="宋体"/>
          <w:kern w:val="2"/>
          <w:sz w:val="24"/>
          <w:szCs w:val="24"/>
          <w:highlight w:val="none"/>
        </w:rPr>
        <w:t>6．一旦我方成交，我方保证用于本工程的主要材料、设备，符合磋商文件规定和响应文件承诺，并在使用之前经建设、监理、设计单位确认后使用。</w:t>
      </w:r>
    </w:p>
    <w:p>
      <w:pPr>
        <w:spacing w:line="360" w:lineRule="auto"/>
        <w:ind w:firstLine="480" w:firstLineChars="200"/>
        <w:rPr>
          <w:rFonts w:cs="宋体"/>
          <w:kern w:val="2"/>
          <w:sz w:val="24"/>
          <w:szCs w:val="24"/>
          <w:highlight w:val="none"/>
        </w:rPr>
      </w:pPr>
      <w:r>
        <w:rPr>
          <w:rFonts w:hint="eastAsia" w:cs="宋体"/>
          <w:kern w:val="2"/>
          <w:sz w:val="24"/>
          <w:szCs w:val="24"/>
          <w:highlight w:val="none"/>
        </w:rPr>
        <w:t>7．一旦我方成交，我方保证在规定的时间内由我方法定代表人亲自签订合同以及及时进场施工，并认真履行合同和其它各项承诺。</w:t>
      </w:r>
    </w:p>
    <w:p>
      <w:pPr>
        <w:spacing w:line="360" w:lineRule="auto"/>
        <w:ind w:firstLine="480" w:firstLineChars="200"/>
        <w:rPr>
          <w:rFonts w:cs="宋体"/>
          <w:kern w:val="2"/>
          <w:sz w:val="24"/>
          <w:szCs w:val="24"/>
          <w:highlight w:val="none"/>
        </w:rPr>
      </w:pPr>
      <w:r>
        <w:rPr>
          <w:rFonts w:hint="eastAsia" w:cs="宋体"/>
          <w:kern w:val="2"/>
          <w:sz w:val="24"/>
          <w:szCs w:val="24"/>
          <w:highlight w:val="none"/>
        </w:rPr>
        <w:t>8．一旦我方成交，我方保证在规定的时间内按磋商文件规定的方式、金额向</w:t>
      </w:r>
      <w:r>
        <w:rPr>
          <w:rFonts w:hint="eastAsia"/>
          <w:sz w:val="24"/>
          <w:szCs w:val="18"/>
          <w:highlight w:val="none"/>
        </w:rPr>
        <w:t>业主单位</w:t>
      </w:r>
      <w:r>
        <w:rPr>
          <w:rFonts w:hint="eastAsia" w:cs="宋体"/>
          <w:kern w:val="2"/>
          <w:sz w:val="24"/>
          <w:szCs w:val="24"/>
          <w:highlight w:val="none"/>
        </w:rPr>
        <w:t>提交履约担保。</w:t>
      </w:r>
    </w:p>
    <w:p>
      <w:pPr>
        <w:spacing w:line="360" w:lineRule="auto"/>
        <w:ind w:firstLine="480" w:firstLineChars="200"/>
        <w:rPr>
          <w:rFonts w:cs="宋体"/>
          <w:kern w:val="2"/>
          <w:sz w:val="24"/>
          <w:szCs w:val="24"/>
          <w:highlight w:val="none"/>
        </w:rPr>
      </w:pPr>
      <w:r>
        <w:rPr>
          <w:rFonts w:hint="eastAsia" w:cs="宋体"/>
          <w:kern w:val="2"/>
          <w:sz w:val="24"/>
          <w:szCs w:val="24"/>
          <w:highlight w:val="none"/>
        </w:rPr>
        <w:t>9．我方同意所提交的响应文件在磋商文件规定的磋商有效期内有效，在此期间内如果成交，我方将受此约束。</w:t>
      </w:r>
    </w:p>
    <w:p>
      <w:pPr>
        <w:spacing w:line="360" w:lineRule="auto"/>
        <w:ind w:firstLine="480" w:firstLineChars="200"/>
        <w:rPr>
          <w:rFonts w:cs="宋体"/>
          <w:kern w:val="2"/>
          <w:sz w:val="24"/>
          <w:szCs w:val="24"/>
          <w:highlight w:val="none"/>
        </w:rPr>
      </w:pPr>
      <w:r>
        <w:rPr>
          <w:rFonts w:hint="eastAsia" w:cs="宋体"/>
          <w:kern w:val="2"/>
          <w:sz w:val="24"/>
          <w:szCs w:val="24"/>
          <w:highlight w:val="none"/>
        </w:rPr>
        <w:t>10．除非另外达成协议并生效，你方的</w:t>
      </w:r>
      <w:r>
        <w:rPr>
          <w:rFonts w:hint="eastAsia" w:cs="宋体"/>
          <w:kern w:val="2"/>
          <w:sz w:val="24"/>
          <w:szCs w:val="24"/>
          <w:highlight w:val="none"/>
          <w:lang w:eastAsia="zh-CN"/>
        </w:rPr>
        <w:t>成交确认书</w:t>
      </w:r>
      <w:r>
        <w:rPr>
          <w:rFonts w:hint="eastAsia" w:cs="宋体"/>
          <w:kern w:val="2"/>
          <w:sz w:val="24"/>
          <w:szCs w:val="24"/>
          <w:highlight w:val="none"/>
        </w:rPr>
        <w:t>和本响应文件以及磋商文件、磋商文件澄清、修改、补充将成为约束双方的合同文件的组成部分。</w:t>
      </w:r>
    </w:p>
    <w:p>
      <w:pPr>
        <w:spacing w:line="360" w:lineRule="auto"/>
        <w:ind w:firstLine="480" w:firstLineChars="200"/>
        <w:rPr>
          <w:rFonts w:cs="宋体"/>
          <w:kern w:val="2"/>
          <w:sz w:val="24"/>
          <w:szCs w:val="24"/>
          <w:highlight w:val="none"/>
        </w:rPr>
      </w:pPr>
      <w:r>
        <w:rPr>
          <w:rFonts w:hint="eastAsia" w:cs="宋体"/>
          <w:kern w:val="2"/>
          <w:sz w:val="24"/>
          <w:szCs w:val="24"/>
          <w:highlight w:val="none"/>
        </w:rPr>
        <w:t>1</w:t>
      </w:r>
      <w:r>
        <w:rPr>
          <w:rFonts w:cs="宋体"/>
          <w:kern w:val="2"/>
          <w:sz w:val="24"/>
          <w:szCs w:val="24"/>
          <w:highlight w:val="none"/>
        </w:rPr>
        <w:t>1</w:t>
      </w:r>
      <w:r>
        <w:rPr>
          <w:rFonts w:hint="eastAsia" w:cs="宋体"/>
          <w:kern w:val="2"/>
          <w:sz w:val="24"/>
          <w:szCs w:val="24"/>
          <w:highlight w:val="none"/>
        </w:rPr>
        <w:t>．我方承诺：</w:t>
      </w:r>
    </w:p>
    <w:p>
      <w:pPr>
        <w:spacing w:line="360" w:lineRule="auto"/>
        <w:ind w:firstLine="480" w:firstLineChars="200"/>
        <w:rPr>
          <w:rFonts w:cs="宋体"/>
          <w:kern w:val="2"/>
          <w:sz w:val="24"/>
          <w:szCs w:val="24"/>
          <w:highlight w:val="none"/>
        </w:rPr>
      </w:pPr>
      <w:r>
        <w:rPr>
          <w:rFonts w:hint="eastAsia" w:cs="宋体"/>
          <w:kern w:val="2"/>
          <w:sz w:val="24"/>
          <w:szCs w:val="24"/>
          <w:highlight w:val="none"/>
        </w:rPr>
        <w:t>（</w:t>
      </w:r>
      <w:r>
        <w:rPr>
          <w:rFonts w:cs="宋体"/>
          <w:kern w:val="2"/>
          <w:sz w:val="24"/>
          <w:szCs w:val="24"/>
          <w:highlight w:val="none"/>
        </w:rPr>
        <w:t>1</w:t>
      </w:r>
      <w:r>
        <w:rPr>
          <w:rFonts w:hint="eastAsia" w:cs="宋体"/>
          <w:kern w:val="2"/>
          <w:sz w:val="24"/>
          <w:szCs w:val="24"/>
          <w:highlight w:val="none"/>
        </w:rPr>
        <w:t>）我方已对</w:t>
      </w:r>
      <w:r>
        <w:rPr>
          <w:rFonts w:hint="eastAsia"/>
          <w:sz w:val="24"/>
          <w:szCs w:val="18"/>
          <w:highlight w:val="none"/>
        </w:rPr>
        <w:t>业主单位</w:t>
      </w:r>
      <w:r>
        <w:rPr>
          <w:rFonts w:hint="eastAsia" w:cs="宋体"/>
          <w:kern w:val="2"/>
          <w:sz w:val="24"/>
          <w:szCs w:val="24"/>
          <w:highlight w:val="none"/>
        </w:rPr>
        <w:t>提供的工程量清单和最高限价（控制价）进行认真复核，确认无误，成交后不再另行调整。</w:t>
      </w:r>
    </w:p>
    <w:p>
      <w:pPr>
        <w:spacing w:line="360" w:lineRule="auto"/>
        <w:ind w:firstLine="480" w:firstLineChars="200"/>
        <w:rPr>
          <w:rFonts w:cs="宋体"/>
          <w:kern w:val="2"/>
          <w:sz w:val="24"/>
          <w:szCs w:val="24"/>
          <w:highlight w:val="none"/>
        </w:rPr>
      </w:pPr>
      <w:r>
        <w:rPr>
          <w:rFonts w:hint="eastAsia" w:cs="宋体"/>
          <w:kern w:val="2"/>
          <w:sz w:val="24"/>
          <w:szCs w:val="24"/>
          <w:highlight w:val="none"/>
        </w:rPr>
        <w:t>（</w:t>
      </w:r>
      <w:r>
        <w:rPr>
          <w:rFonts w:cs="宋体"/>
          <w:kern w:val="2"/>
          <w:sz w:val="24"/>
          <w:szCs w:val="24"/>
          <w:highlight w:val="none"/>
        </w:rPr>
        <w:t>2</w:t>
      </w:r>
      <w:r>
        <w:rPr>
          <w:rFonts w:hint="eastAsia" w:cs="宋体"/>
          <w:kern w:val="2"/>
          <w:sz w:val="24"/>
          <w:szCs w:val="24"/>
          <w:highlight w:val="none"/>
        </w:rPr>
        <w:t>）本次磋商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sz w:val="24"/>
          <w:szCs w:val="18"/>
          <w:highlight w:val="none"/>
        </w:rPr>
        <w:t>业主单位</w:t>
      </w:r>
      <w:r>
        <w:rPr>
          <w:rFonts w:hint="eastAsia" w:cs="宋体"/>
          <w:kern w:val="2"/>
          <w:sz w:val="24"/>
          <w:szCs w:val="24"/>
          <w:highlight w:val="none"/>
        </w:rPr>
        <w:t>可取消我单位成交资格。</w:t>
      </w:r>
      <w:r>
        <w:rPr>
          <w:rFonts w:hint="eastAsia"/>
          <w:sz w:val="24"/>
          <w:szCs w:val="18"/>
          <w:highlight w:val="none"/>
        </w:rPr>
        <w:t>业主单位</w:t>
      </w:r>
      <w:r>
        <w:rPr>
          <w:rFonts w:hint="eastAsia" w:cs="宋体"/>
          <w:kern w:val="2"/>
          <w:sz w:val="24"/>
          <w:szCs w:val="24"/>
          <w:highlight w:val="none"/>
        </w:rPr>
        <w:t>因此原因取消我单位成交资格的，视为我单位无正当理由放弃成交资格，磋商保证金不予退还，同时贵单位可向我单位进一步追偿工期延误造成的一切损失。</w:t>
      </w:r>
    </w:p>
    <w:p>
      <w:pPr>
        <w:spacing w:line="360" w:lineRule="auto"/>
        <w:ind w:firstLine="480" w:firstLineChars="200"/>
        <w:rPr>
          <w:rFonts w:cs="宋体"/>
          <w:kern w:val="2"/>
          <w:sz w:val="24"/>
          <w:szCs w:val="24"/>
          <w:highlight w:val="none"/>
        </w:rPr>
      </w:pPr>
      <w:r>
        <w:rPr>
          <w:rFonts w:hint="eastAsia" w:cs="@仿宋_GB2312"/>
          <w:kern w:val="2"/>
          <w:sz w:val="24"/>
          <w:szCs w:val="24"/>
          <w:highlight w:val="none"/>
        </w:rPr>
        <w:t>（</w:t>
      </w:r>
      <w:r>
        <w:rPr>
          <w:rFonts w:cs="@仿宋_GB2312"/>
          <w:kern w:val="2"/>
          <w:sz w:val="24"/>
          <w:szCs w:val="24"/>
          <w:highlight w:val="none"/>
        </w:rPr>
        <w:t>3</w:t>
      </w:r>
      <w:r>
        <w:rPr>
          <w:rFonts w:hint="eastAsia" w:cs="@仿宋_GB2312"/>
          <w:kern w:val="2"/>
          <w:sz w:val="24"/>
          <w:szCs w:val="24"/>
          <w:highlight w:val="none"/>
        </w:rPr>
        <w:t>）我方报价中已考虑实行增值税计税模式带来的影响</w:t>
      </w:r>
      <w:r>
        <w:rPr>
          <w:rFonts w:hint="eastAsia" w:cs="@仿宋_GB2312"/>
          <w:i/>
          <w:kern w:val="2"/>
          <w:sz w:val="24"/>
          <w:szCs w:val="24"/>
          <w:highlight w:val="none"/>
        </w:rPr>
        <w:t>，</w:t>
      </w:r>
      <w:r>
        <w:rPr>
          <w:rFonts w:hint="eastAsia" w:cs="@仿宋_GB2312"/>
          <w:kern w:val="2"/>
          <w:sz w:val="24"/>
          <w:szCs w:val="24"/>
          <w:highlight w:val="none"/>
        </w:rPr>
        <w:t>报价中已包含磋商文件公布的施工扬尘污染防治措施费用，一旦我方成交，将严格遵守国家、省、市增值税相关规定的要求。我方将按照磋商文件的要求对农民工工资、扬尘污染防治进行办理专户设立、工资支付等事宜。</w:t>
      </w:r>
    </w:p>
    <w:p>
      <w:pPr>
        <w:spacing w:line="360" w:lineRule="auto"/>
        <w:ind w:firstLine="480" w:firstLineChars="200"/>
        <w:rPr>
          <w:rFonts w:hint="eastAsia" w:cs="宋体"/>
          <w:kern w:val="2"/>
          <w:sz w:val="24"/>
          <w:szCs w:val="24"/>
          <w:highlight w:val="none"/>
          <w:u w:val="single"/>
          <w:lang w:val="en-US" w:eastAsia="zh-CN"/>
        </w:rPr>
      </w:pPr>
      <w:r>
        <w:rPr>
          <w:rFonts w:cs="宋体"/>
          <w:kern w:val="2"/>
          <w:sz w:val="24"/>
          <w:szCs w:val="24"/>
          <w:highlight w:val="none"/>
        </w:rPr>
        <w:t>12</w:t>
      </w:r>
      <w:r>
        <w:rPr>
          <w:rFonts w:hint="eastAsia" w:cs="宋体"/>
          <w:kern w:val="2"/>
          <w:sz w:val="24"/>
          <w:szCs w:val="24"/>
          <w:highlight w:val="none"/>
        </w:rPr>
        <w:t>.其他补充说明：</w:t>
      </w:r>
      <w:r>
        <w:rPr>
          <w:rFonts w:hint="eastAsia" w:cs="宋体"/>
          <w:kern w:val="2"/>
          <w:sz w:val="24"/>
          <w:szCs w:val="24"/>
          <w:highlight w:val="none"/>
          <w:u w:val="single"/>
          <w:lang w:val="en-US" w:eastAsia="zh-CN"/>
        </w:rPr>
        <w:t xml:space="preserve"> </w:t>
      </w:r>
      <w:r>
        <w:rPr>
          <w:rFonts w:hint="eastAsia" w:cs="宋体"/>
          <w:kern w:val="2"/>
          <w:sz w:val="24"/>
          <w:szCs w:val="24"/>
          <w:highlight w:val="none"/>
          <w:u w:val="single"/>
        </w:rPr>
        <w:t>补充说明事项（如有）</w:t>
      </w:r>
      <w:r>
        <w:rPr>
          <w:rFonts w:hint="eastAsia" w:cs="宋体"/>
          <w:kern w:val="2"/>
          <w:sz w:val="24"/>
          <w:szCs w:val="24"/>
          <w:highlight w:val="none"/>
          <w:u w:val="single"/>
          <w:lang w:val="en-US" w:eastAsia="zh-CN"/>
        </w:rPr>
        <w:t xml:space="preserve"> </w:t>
      </w:r>
    </w:p>
    <w:p>
      <w:pPr>
        <w:spacing w:line="360" w:lineRule="auto"/>
        <w:rPr>
          <w:rFonts w:hint="eastAsia" w:cs="宋体"/>
          <w:kern w:val="2"/>
          <w:sz w:val="24"/>
          <w:szCs w:val="24"/>
          <w:highlight w:val="none"/>
          <w:u w:val="single"/>
          <w:lang w:val="en-US" w:eastAsia="zh-CN"/>
        </w:rPr>
      </w:pPr>
    </w:p>
    <w:p>
      <w:pPr>
        <w:spacing w:line="360" w:lineRule="auto"/>
        <w:rPr>
          <w:rFonts w:hint="eastAsia" w:cs="宋体"/>
          <w:kern w:val="2"/>
          <w:sz w:val="24"/>
          <w:szCs w:val="24"/>
          <w:highlight w:val="none"/>
          <w:u w:val="single"/>
          <w:lang w:val="en-US" w:eastAsia="zh-CN"/>
        </w:rPr>
      </w:pPr>
    </w:p>
    <w:p>
      <w:pPr>
        <w:spacing w:line="360" w:lineRule="auto"/>
        <w:ind w:right="480" w:firstLine="3120" w:firstLineChars="1300"/>
        <w:rPr>
          <w:rFonts w:cs="宋体"/>
          <w:kern w:val="2"/>
          <w:sz w:val="24"/>
          <w:szCs w:val="24"/>
          <w:highlight w:val="none"/>
        </w:rPr>
      </w:pPr>
      <w:r>
        <w:rPr>
          <w:rFonts w:hint="eastAsia"/>
          <w:sz w:val="24"/>
          <w:szCs w:val="18"/>
          <w:highlight w:val="none"/>
        </w:rPr>
        <w:t>参审单位</w:t>
      </w:r>
      <w:r>
        <w:rPr>
          <w:rFonts w:hint="eastAsia" w:cs="宋体"/>
          <w:kern w:val="2"/>
          <w:sz w:val="24"/>
          <w:szCs w:val="24"/>
          <w:highlight w:val="none"/>
        </w:rPr>
        <w:t>电子签章：</w:t>
      </w:r>
      <w:r>
        <w:rPr>
          <w:rFonts w:hint="eastAsia" w:cs="宋体"/>
          <w:kern w:val="2"/>
          <w:sz w:val="24"/>
          <w:szCs w:val="24"/>
          <w:highlight w:val="none"/>
          <w:u w:val="single"/>
        </w:rPr>
        <w:t xml:space="preserve">                   </w:t>
      </w:r>
    </w:p>
    <w:p>
      <w:pPr>
        <w:spacing w:line="360" w:lineRule="auto"/>
        <w:ind w:right="480" w:firstLine="3120" w:firstLineChars="1300"/>
        <w:rPr>
          <w:rFonts w:cs="宋体"/>
          <w:kern w:val="2"/>
          <w:sz w:val="24"/>
          <w:szCs w:val="24"/>
          <w:highlight w:val="none"/>
          <w:u w:val="single"/>
        </w:rPr>
      </w:pPr>
      <w:r>
        <w:rPr>
          <w:rFonts w:hint="eastAsia" w:cs="宋体"/>
          <w:kern w:val="2"/>
          <w:sz w:val="24"/>
          <w:szCs w:val="24"/>
          <w:highlight w:val="none"/>
        </w:rPr>
        <w:t xml:space="preserve">日          </w:t>
      </w:r>
      <w:r>
        <w:rPr>
          <w:rFonts w:hint="eastAsia" w:cs="宋体"/>
          <w:kern w:val="2"/>
          <w:sz w:val="24"/>
          <w:szCs w:val="24"/>
          <w:highlight w:val="none"/>
          <w:lang w:val="en-US" w:eastAsia="zh-CN"/>
        </w:rPr>
        <w:t xml:space="preserve">  </w:t>
      </w:r>
      <w:r>
        <w:rPr>
          <w:rFonts w:hint="eastAsia" w:cs="宋体"/>
          <w:kern w:val="2"/>
          <w:sz w:val="24"/>
          <w:szCs w:val="24"/>
          <w:highlight w:val="none"/>
        </w:rPr>
        <w:t>期：</w:t>
      </w:r>
      <w:r>
        <w:rPr>
          <w:rFonts w:hint="eastAsia" w:cs="宋体"/>
          <w:kern w:val="2"/>
          <w:sz w:val="24"/>
          <w:szCs w:val="24"/>
          <w:highlight w:val="none"/>
          <w:u w:val="single"/>
        </w:rPr>
        <w:t xml:space="preserve">                   </w:t>
      </w:r>
    </w:p>
    <w:p>
      <w:pPr>
        <w:widowControl/>
        <w:jc w:val="center"/>
        <w:rPr>
          <w:sz w:val="24"/>
          <w:szCs w:val="24"/>
          <w:highlight w:val="none"/>
        </w:rPr>
      </w:pPr>
      <w:r>
        <w:rPr>
          <w:sz w:val="24"/>
          <w:highlight w:val="none"/>
        </w:rPr>
        <w:br w:type="page"/>
      </w:r>
      <w:bookmarkStart w:id="627" w:name="_Toc520983592"/>
      <w:r>
        <w:rPr>
          <w:rFonts w:hint="eastAsia"/>
          <w:b/>
          <w:sz w:val="24"/>
          <w:highlight w:val="none"/>
        </w:rPr>
        <w:t>五、无不良信用记录声明函</w:t>
      </w:r>
      <w:bookmarkEnd w:id="627"/>
    </w:p>
    <w:p>
      <w:pPr>
        <w:spacing w:line="360" w:lineRule="auto"/>
        <w:jc w:val="center"/>
        <w:rPr>
          <w:i/>
          <w:sz w:val="24"/>
          <w:highlight w:val="none"/>
        </w:rPr>
      </w:pPr>
      <w:r>
        <w:rPr>
          <w:rFonts w:hint="eastAsia"/>
          <w:i/>
          <w:sz w:val="24"/>
          <w:highlight w:val="none"/>
          <w:lang w:eastAsia="zh-CN"/>
        </w:rPr>
        <w:t>（</w:t>
      </w:r>
      <w:r>
        <w:rPr>
          <w:rFonts w:hint="eastAsia"/>
          <w:i/>
          <w:sz w:val="24"/>
          <w:highlight w:val="none"/>
        </w:rPr>
        <w:t>联合体参加磋商的，联合体双方均须提供）</w:t>
      </w:r>
    </w:p>
    <w:p>
      <w:pPr>
        <w:spacing w:line="360" w:lineRule="auto"/>
        <w:ind w:firstLine="480" w:firstLineChars="200"/>
        <w:rPr>
          <w:rFonts w:cs="宋体"/>
          <w:sz w:val="24"/>
          <w:szCs w:val="24"/>
          <w:highlight w:val="none"/>
        </w:rPr>
      </w:pPr>
      <w:r>
        <w:rPr>
          <w:rFonts w:hint="eastAsia" w:cs="宋体"/>
          <w:sz w:val="24"/>
          <w:szCs w:val="24"/>
          <w:highlight w:val="none"/>
        </w:rPr>
        <w:t>1</w:t>
      </w:r>
      <w:r>
        <w:rPr>
          <w:rFonts w:hint="eastAsia" w:cs="宋体"/>
          <w:sz w:val="24"/>
          <w:szCs w:val="24"/>
          <w:highlight w:val="none"/>
          <w:lang w:eastAsia="zh-CN"/>
        </w:rPr>
        <w:t>、</w:t>
      </w:r>
      <w:r>
        <w:rPr>
          <w:rFonts w:hint="eastAsia" w:cs="宋体"/>
          <w:sz w:val="24"/>
          <w:szCs w:val="24"/>
          <w:highlight w:val="none"/>
        </w:rPr>
        <w:t>本单位郑重声明，我单位无以下不良信用记录情形：</w:t>
      </w:r>
    </w:p>
    <w:p>
      <w:pPr>
        <w:spacing w:line="360" w:lineRule="auto"/>
        <w:ind w:firstLine="480" w:firstLineChars="200"/>
        <w:rPr>
          <w:rFonts w:cs="宋体"/>
          <w:sz w:val="24"/>
          <w:szCs w:val="24"/>
          <w:highlight w:val="none"/>
        </w:rPr>
      </w:pPr>
      <w:r>
        <w:rPr>
          <w:rFonts w:hint="eastAsia" w:cs="宋体"/>
          <w:sz w:val="24"/>
          <w:szCs w:val="24"/>
          <w:highlight w:val="none"/>
        </w:rPr>
        <w:t>（1）在</w:t>
      </w:r>
      <w:r>
        <w:rPr>
          <w:rFonts w:hint="eastAsia" w:cs="宋体"/>
          <w:b/>
          <w:bCs/>
          <w:sz w:val="24"/>
          <w:szCs w:val="24"/>
          <w:highlight w:val="none"/>
        </w:rPr>
        <w:t>国家企业信用信息公示系统</w:t>
      </w:r>
      <w:r>
        <w:rPr>
          <w:rFonts w:hint="eastAsia" w:cs="宋体"/>
          <w:sz w:val="24"/>
          <w:szCs w:val="24"/>
          <w:highlight w:val="none"/>
        </w:rPr>
        <w:t>（http://www.gsxt.gov.cn/）中被列入</w:t>
      </w:r>
      <w:r>
        <w:rPr>
          <w:rFonts w:hint="eastAsia" w:cs="宋体"/>
          <w:b/>
          <w:bCs/>
          <w:sz w:val="24"/>
          <w:szCs w:val="24"/>
          <w:highlight w:val="none"/>
        </w:rPr>
        <w:t>严重违法失信企业</w:t>
      </w:r>
      <w:r>
        <w:rPr>
          <w:rFonts w:hint="eastAsia" w:cs="宋体"/>
          <w:sz w:val="24"/>
          <w:szCs w:val="24"/>
          <w:highlight w:val="none"/>
        </w:rPr>
        <w:t>名单；</w:t>
      </w:r>
    </w:p>
    <w:p>
      <w:pPr>
        <w:spacing w:line="360" w:lineRule="auto"/>
        <w:ind w:firstLine="480" w:firstLineChars="200"/>
        <w:rPr>
          <w:rFonts w:cs="宋体"/>
          <w:sz w:val="24"/>
          <w:szCs w:val="24"/>
          <w:highlight w:val="none"/>
        </w:rPr>
      </w:pPr>
      <w:r>
        <w:rPr>
          <w:rFonts w:hint="eastAsia" w:cs="宋体"/>
          <w:sz w:val="24"/>
          <w:szCs w:val="24"/>
          <w:highlight w:val="none"/>
        </w:rPr>
        <w:t>（2）在“</w:t>
      </w:r>
      <w:r>
        <w:rPr>
          <w:rFonts w:hint="eastAsia" w:cs="宋体"/>
          <w:b/>
          <w:bCs/>
          <w:sz w:val="24"/>
          <w:szCs w:val="24"/>
          <w:highlight w:val="none"/>
        </w:rPr>
        <w:t>信用中国</w:t>
      </w:r>
      <w:r>
        <w:rPr>
          <w:rFonts w:hint="eastAsia" w:cs="宋体"/>
          <w:sz w:val="24"/>
          <w:szCs w:val="24"/>
          <w:highlight w:val="none"/>
        </w:rPr>
        <w:t>”网站（http://www.creditchina.gov.cn/）中被列入</w:t>
      </w:r>
      <w:r>
        <w:rPr>
          <w:rFonts w:hint="eastAsia" w:cs="宋体"/>
          <w:b/>
          <w:bCs/>
          <w:sz w:val="24"/>
          <w:szCs w:val="24"/>
          <w:highlight w:val="none"/>
        </w:rPr>
        <w:t>失信被执行人</w:t>
      </w:r>
      <w:r>
        <w:rPr>
          <w:rFonts w:hint="eastAsia" w:cs="宋体"/>
          <w:sz w:val="24"/>
          <w:szCs w:val="24"/>
          <w:highlight w:val="none"/>
        </w:rPr>
        <w:t>名单；</w:t>
      </w:r>
    </w:p>
    <w:p>
      <w:pPr>
        <w:spacing w:line="360" w:lineRule="auto"/>
        <w:ind w:firstLine="480" w:firstLineChars="200"/>
        <w:rPr>
          <w:rFonts w:cs="宋体"/>
          <w:sz w:val="24"/>
          <w:szCs w:val="24"/>
          <w:highlight w:val="none"/>
        </w:rPr>
      </w:pPr>
      <w:r>
        <w:rPr>
          <w:rFonts w:hint="eastAsia" w:cs="宋体"/>
          <w:sz w:val="24"/>
          <w:szCs w:val="24"/>
          <w:highlight w:val="none"/>
        </w:rPr>
        <w:t>（3）在“</w:t>
      </w:r>
      <w:r>
        <w:rPr>
          <w:rFonts w:hint="eastAsia" w:cs="宋体"/>
          <w:b/>
          <w:bCs/>
          <w:sz w:val="24"/>
          <w:szCs w:val="24"/>
          <w:highlight w:val="none"/>
        </w:rPr>
        <w:t>信用中国</w:t>
      </w:r>
      <w:r>
        <w:rPr>
          <w:rFonts w:hint="eastAsia" w:cs="宋体"/>
          <w:sz w:val="24"/>
          <w:szCs w:val="24"/>
          <w:highlight w:val="none"/>
        </w:rPr>
        <w:t>”网站（http://www.creditchina.gov.cn/）中被列入</w:t>
      </w:r>
      <w:r>
        <w:rPr>
          <w:rFonts w:hint="eastAsia" w:cs="宋体"/>
          <w:b/>
          <w:bCs/>
          <w:sz w:val="24"/>
          <w:szCs w:val="24"/>
          <w:highlight w:val="none"/>
        </w:rPr>
        <w:t>重大税收违法案件当事人</w:t>
      </w:r>
      <w:r>
        <w:rPr>
          <w:rFonts w:hint="eastAsia" w:cs="宋体"/>
          <w:sz w:val="24"/>
          <w:szCs w:val="24"/>
          <w:highlight w:val="none"/>
        </w:rPr>
        <w:t>名单；</w:t>
      </w:r>
    </w:p>
    <w:p>
      <w:pPr>
        <w:spacing w:line="360" w:lineRule="auto"/>
        <w:ind w:firstLine="480" w:firstLineChars="200"/>
        <w:rPr>
          <w:rFonts w:hint="eastAsia" w:cs="宋体"/>
          <w:sz w:val="24"/>
          <w:szCs w:val="24"/>
          <w:highlight w:val="none"/>
        </w:rPr>
      </w:pPr>
      <w:r>
        <w:rPr>
          <w:rFonts w:hint="eastAsia" w:cs="宋体"/>
          <w:sz w:val="24"/>
          <w:szCs w:val="24"/>
          <w:highlight w:val="none"/>
        </w:rPr>
        <w:t>本单位对上述声明的真实性负责。如有虚假，将依法承担相应责任</w:t>
      </w:r>
    </w:p>
    <w:p>
      <w:pPr>
        <w:pStyle w:val="20"/>
        <w:rPr>
          <w:highlight w:val="none"/>
        </w:rPr>
      </w:pP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cs="宋体"/>
          <w:sz w:val="24"/>
          <w:szCs w:val="24"/>
          <w:highlight w:val="none"/>
        </w:rPr>
        <w:t>本单位郑重声明</w:t>
      </w:r>
      <w:r>
        <w:rPr>
          <w:rFonts w:hint="eastAsia" w:cs="宋体"/>
          <w:sz w:val="24"/>
          <w:szCs w:val="24"/>
          <w:highlight w:val="none"/>
          <w:lang w:eastAsia="zh-CN"/>
        </w:rPr>
        <w:t>。</w:t>
      </w:r>
      <w:r>
        <w:rPr>
          <w:rFonts w:hint="eastAsia" w:cs="宋体"/>
          <w:sz w:val="24"/>
          <w:szCs w:val="24"/>
          <w:highlight w:val="none"/>
        </w:rPr>
        <w:t>我单位</w:t>
      </w:r>
      <w:r>
        <w:rPr>
          <w:rFonts w:hint="eastAsia" w:cs="宋体"/>
          <w:sz w:val="24"/>
          <w:szCs w:val="24"/>
          <w:highlight w:val="none"/>
          <w:lang w:val="en-US" w:eastAsia="zh-CN"/>
        </w:rPr>
        <w:t>满足下列</w:t>
      </w:r>
      <w:r>
        <w:rPr>
          <w:rFonts w:hint="eastAsia" w:ascii="宋体" w:hAnsi="宋体" w:eastAsia="宋体" w:cs="宋体"/>
          <w:sz w:val="24"/>
          <w:szCs w:val="24"/>
          <w:highlight w:val="none"/>
          <w:lang w:eastAsia="zh-CN"/>
        </w:rPr>
        <w:t>信誉要求：未被合肥市及其所辖县（市）、区（开发区）公共资源交易监督管理部门记不良行为记录的；或被记不良行为记录（以公布日期为准），但同时符合下列情形的：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（1）开标日前（含当日）6个月内记分累计未满10分的；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（2）开标日前（含当日）12个月内记分累计未满15分的；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（3）开标日前（含当日）18个月内记分累计未满20分的；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（4）开标日前（含当日）24个月内记分累计未满25分的。</w:t>
      </w:r>
    </w:p>
    <w:p>
      <w:pPr>
        <w:spacing w:line="360" w:lineRule="auto"/>
        <w:ind w:firstLine="480" w:firstLineChars="200"/>
        <w:rPr>
          <w:rFonts w:cs="宋体"/>
          <w:sz w:val="24"/>
          <w:szCs w:val="24"/>
          <w:highlight w:val="none"/>
        </w:rPr>
      </w:pPr>
      <w:r>
        <w:rPr>
          <w:rFonts w:hint="eastAsia" w:cs="宋体"/>
          <w:sz w:val="24"/>
          <w:szCs w:val="24"/>
          <w:highlight w:val="none"/>
        </w:rPr>
        <w:t>本单位对上述声明的真实性负责。如有虚假，将依法承担相应责任</w:t>
      </w:r>
    </w:p>
    <w:p>
      <w:pPr>
        <w:spacing w:line="360" w:lineRule="auto"/>
        <w:jc w:val="center"/>
        <w:rPr>
          <w:rFonts w:cs="宋体"/>
          <w:sz w:val="24"/>
          <w:szCs w:val="24"/>
          <w:highlight w:val="none"/>
        </w:rPr>
      </w:pPr>
    </w:p>
    <w:p>
      <w:pPr>
        <w:spacing w:line="360" w:lineRule="auto"/>
        <w:jc w:val="center"/>
        <w:rPr>
          <w:rFonts w:cs="宋体"/>
          <w:sz w:val="24"/>
          <w:szCs w:val="24"/>
          <w:highlight w:val="none"/>
        </w:rPr>
      </w:pPr>
    </w:p>
    <w:p>
      <w:pPr>
        <w:spacing w:line="360" w:lineRule="auto"/>
        <w:jc w:val="center"/>
        <w:rPr>
          <w:rFonts w:cs="宋体"/>
          <w:sz w:val="24"/>
          <w:szCs w:val="24"/>
          <w:highlight w:val="none"/>
        </w:rPr>
      </w:pPr>
    </w:p>
    <w:p>
      <w:pPr>
        <w:spacing w:line="360" w:lineRule="auto"/>
        <w:ind w:firstLine="3840" w:firstLineChars="1600"/>
        <w:rPr>
          <w:rFonts w:cs="宋体"/>
          <w:sz w:val="24"/>
          <w:szCs w:val="24"/>
          <w:highlight w:val="none"/>
        </w:rPr>
      </w:pPr>
      <w:r>
        <w:rPr>
          <w:rFonts w:hint="eastAsia"/>
          <w:sz w:val="24"/>
          <w:szCs w:val="18"/>
          <w:highlight w:val="none"/>
        </w:rPr>
        <w:t>参审单位</w:t>
      </w:r>
      <w:r>
        <w:rPr>
          <w:rFonts w:hint="eastAsia" w:cs="宋体"/>
          <w:sz w:val="24"/>
          <w:szCs w:val="24"/>
          <w:highlight w:val="none"/>
        </w:rPr>
        <w:t>电子签章：</w:t>
      </w:r>
      <w:r>
        <w:rPr>
          <w:rFonts w:cs="宋体"/>
          <w:sz w:val="24"/>
          <w:szCs w:val="24"/>
          <w:highlight w:val="none"/>
          <w:u w:val="single"/>
        </w:rPr>
        <w:t xml:space="preserve">        </w:t>
      </w:r>
      <w:r>
        <w:rPr>
          <w:rFonts w:hint="eastAsia" w:cs="宋体"/>
          <w:sz w:val="24"/>
          <w:szCs w:val="24"/>
          <w:highlight w:val="none"/>
          <w:u w:val="single"/>
        </w:rPr>
        <w:t xml:space="preserve">      </w:t>
      </w:r>
      <w:r>
        <w:rPr>
          <w:rFonts w:cs="宋体"/>
          <w:sz w:val="24"/>
          <w:szCs w:val="24"/>
          <w:highlight w:val="none"/>
          <w:u w:val="single"/>
        </w:rPr>
        <w:t xml:space="preserve">       </w:t>
      </w:r>
    </w:p>
    <w:p>
      <w:pPr>
        <w:spacing w:line="360" w:lineRule="auto"/>
        <w:ind w:firstLine="3840" w:firstLineChars="1600"/>
        <w:rPr>
          <w:rFonts w:cs="宋体"/>
          <w:sz w:val="24"/>
          <w:szCs w:val="24"/>
          <w:highlight w:val="none"/>
        </w:rPr>
      </w:pPr>
      <w:r>
        <w:rPr>
          <w:rFonts w:hint="eastAsia" w:cs="宋体"/>
          <w:sz w:val="24"/>
          <w:szCs w:val="24"/>
          <w:highlight w:val="none"/>
        </w:rPr>
        <w:t>日</w:t>
      </w:r>
      <w:r>
        <w:rPr>
          <w:rFonts w:cs="宋体"/>
          <w:sz w:val="24"/>
          <w:szCs w:val="24"/>
          <w:highlight w:val="none"/>
        </w:rPr>
        <w:t xml:space="preserve">   </w:t>
      </w:r>
      <w:r>
        <w:rPr>
          <w:rFonts w:hint="eastAsia" w:cs="宋体"/>
          <w:sz w:val="24"/>
          <w:szCs w:val="24"/>
          <w:highlight w:val="none"/>
        </w:rPr>
        <w:t xml:space="preserve">    </w:t>
      </w:r>
      <w:r>
        <w:rPr>
          <w:rFonts w:hint="eastAsia" w:cs="宋体"/>
          <w:sz w:val="24"/>
          <w:szCs w:val="24"/>
          <w:highlight w:val="none"/>
          <w:lang w:val="en-US" w:eastAsia="zh-CN"/>
        </w:rPr>
        <w:t xml:space="preserve">  </w:t>
      </w:r>
      <w:r>
        <w:rPr>
          <w:rFonts w:cs="宋体"/>
          <w:sz w:val="24"/>
          <w:szCs w:val="24"/>
          <w:highlight w:val="none"/>
        </w:rPr>
        <w:t xml:space="preserve">   </w:t>
      </w:r>
      <w:r>
        <w:rPr>
          <w:rFonts w:hint="eastAsia" w:cs="宋体"/>
          <w:sz w:val="24"/>
          <w:szCs w:val="24"/>
          <w:highlight w:val="none"/>
        </w:rPr>
        <w:t>期：</w:t>
      </w:r>
      <w:r>
        <w:rPr>
          <w:rFonts w:cs="宋体"/>
          <w:sz w:val="24"/>
          <w:szCs w:val="24"/>
          <w:highlight w:val="none"/>
          <w:u w:val="single"/>
        </w:rPr>
        <w:t xml:space="preserve">           </w:t>
      </w:r>
      <w:r>
        <w:rPr>
          <w:rFonts w:hint="eastAsia" w:cs="宋体"/>
          <w:sz w:val="24"/>
          <w:szCs w:val="24"/>
          <w:highlight w:val="none"/>
          <w:u w:val="single"/>
        </w:rPr>
        <w:t xml:space="preserve"> </w:t>
      </w:r>
      <w:r>
        <w:rPr>
          <w:rFonts w:cs="宋体"/>
          <w:sz w:val="24"/>
          <w:szCs w:val="24"/>
          <w:highlight w:val="none"/>
          <w:u w:val="single"/>
        </w:rPr>
        <w:t xml:space="preserve">    </w:t>
      </w:r>
      <w:r>
        <w:rPr>
          <w:rFonts w:hint="eastAsia" w:cs="宋体"/>
          <w:sz w:val="24"/>
          <w:szCs w:val="24"/>
          <w:highlight w:val="none"/>
          <w:u w:val="single"/>
        </w:rPr>
        <w:t xml:space="preserve">  </w:t>
      </w:r>
      <w:r>
        <w:rPr>
          <w:rFonts w:cs="宋体"/>
          <w:sz w:val="24"/>
          <w:szCs w:val="24"/>
          <w:highlight w:val="none"/>
          <w:u w:val="single"/>
        </w:rPr>
        <w:t xml:space="preserve">   </w:t>
      </w:r>
    </w:p>
    <w:p>
      <w:pPr>
        <w:spacing w:line="440" w:lineRule="exact"/>
        <w:jc w:val="center"/>
        <w:rPr>
          <w:sz w:val="24"/>
          <w:szCs w:val="24"/>
          <w:highlight w:val="none"/>
          <w:u w:val="single"/>
        </w:rPr>
      </w:pPr>
    </w:p>
    <w:p>
      <w:pPr>
        <w:spacing w:line="440" w:lineRule="exact"/>
        <w:jc w:val="center"/>
        <w:rPr>
          <w:sz w:val="24"/>
          <w:szCs w:val="24"/>
          <w:highlight w:val="none"/>
          <w:u w:val="single"/>
        </w:rPr>
      </w:pPr>
    </w:p>
    <w:p>
      <w:pPr>
        <w:widowControl/>
        <w:jc w:val="center"/>
        <w:rPr>
          <w:b/>
          <w:sz w:val="24"/>
          <w:highlight w:val="none"/>
        </w:rPr>
      </w:pPr>
      <w:r>
        <w:rPr>
          <w:sz w:val="24"/>
          <w:highlight w:val="none"/>
        </w:rPr>
        <w:br w:type="page"/>
      </w:r>
      <w:bookmarkStart w:id="628" w:name="_Toc516969106"/>
      <w:bookmarkStart w:id="629" w:name="_Toc121626298"/>
      <w:bookmarkStart w:id="630" w:name="_Toc520983594"/>
      <w:bookmarkStart w:id="631" w:name="_Toc204594911"/>
      <w:r>
        <w:rPr>
          <w:rFonts w:hint="eastAsia"/>
          <w:b/>
          <w:sz w:val="24"/>
          <w:highlight w:val="none"/>
        </w:rPr>
        <w:t>六、授权书</w:t>
      </w:r>
      <w:bookmarkEnd w:id="628"/>
      <w:bookmarkEnd w:id="629"/>
      <w:bookmarkEnd w:id="630"/>
      <w:bookmarkEnd w:id="631"/>
    </w:p>
    <w:p>
      <w:pPr>
        <w:spacing w:line="360" w:lineRule="auto"/>
        <w:jc w:val="center"/>
        <w:rPr>
          <w:b/>
          <w:sz w:val="24"/>
          <w:highlight w:val="none"/>
        </w:rPr>
      </w:pPr>
    </w:p>
    <w:p>
      <w:pPr>
        <w:pStyle w:val="8"/>
        <w:snapToGrid w:val="0"/>
        <w:spacing w:line="360" w:lineRule="auto"/>
        <w:ind w:firstLine="480" w:firstLineChars="200"/>
        <w:jc w:val="left"/>
        <w:rPr>
          <w:rFonts w:hAnsi="宋体"/>
          <w:sz w:val="24"/>
          <w:szCs w:val="28"/>
          <w:highlight w:val="none"/>
        </w:rPr>
      </w:pPr>
      <w:r>
        <w:rPr>
          <w:rFonts w:hint="eastAsia" w:hAnsi="宋体"/>
          <w:sz w:val="24"/>
          <w:szCs w:val="28"/>
          <w:highlight w:val="none"/>
        </w:rPr>
        <w:t>本授权书声明：</w:t>
      </w:r>
      <w:r>
        <w:rPr>
          <w:rFonts w:hint="eastAsia" w:hAnsi="宋体"/>
          <w:sz w:val="24"/>
          <w:szCs w:val="28"/>
          <w:highlight w:val="none"/>
          <w:u w:val="single"/>
        </w:rPr>
        <w:t xml:space="preserve">           </w:t>
      </w:r>
      <w:r>
        <w:rPr>
          <w:rFonts w:hint="eastAsia" w:hAnsi="宋体"/>
          <w:sz w:val="24"/>
          <w:szCs w:val="28"/>
          <w:highlight w:val="none"/>
        </w:rPr>
        <w:t>（</w:t>
      </w:r>
      <w:r>
        <w:rPr>
          <w:rFonts w:hint="eastAsia"/>
          <w:sz w:val="24"/>
          <w:szCs w:val="18"/>
          <w:highlight w:val="none"/>
        </w:rPr>
        <w:t>参审单位</w:t>
      </w:r>
      <w:r>
        <w:rPr>
          <w:rFonts w:hint="eastAsia" w:hAnsi="宋体"/>
          <w:sz w:val="24"/>
          <w:szCs w:val="28"/>
          <w:highlight w:val="none"/>
        </w:rPr>
        <w:t>名称）授权</w:t>
      </w:r>
      <w:r>
        <w:rPr>
          <w:rFonts w:hint="eastAsia" w:hAnsi="宋体"/>
          <w:sz w:val="24"/>
          <w:szCs w:val="28"/>
          <w:highlight w:val="none"/>
          <w:u w:val="single"/>
        </w:rPr>
        <w:t xml:space="preserve">       </w:t>
      </w:r>
      <w:r>
        <w:rPr>
          <w:rFonts w:hint="eastAsia" w:hAnsi="宋体"/>
          <w:sz w:val="24"/>
          <w:szCs w:val="28"/>
          <w:highlight w:val="none"/>
        </w:rPr>
        <w:t>（</w:t>
      </w:r>
      <w:r>
        <w:rPr>
          <w:rFonts w:hint="eastAsia"/>
          <w:sz w:val="24"/>
          <w:szCs w:val="18"/>
          <w:highlight w:val="none"/>
        </w:rPr>
        <w:t>参审单位</w:t>
      </w:r>
      <w:r>
        <w:rPr>
          <w:rFonts w:hint="eastAsia" w:hAnsi="宋体"/>
          <w:sz w:val="24"/>
          <w:szCs w:val="28"/>
          <w:highlight w:val="none"/>
        </w:rPr>
        <w:t>授权代表姓名）代表我方参加本项目磋商</w:t>
      </w:r>
      <w:r>
        <w:rPr>
          <w:rFonts w:hint="eastAsia" w:hAnsi="宋体"/>
          <w:bCs/>
          <w:sz w:val="24"/>
          <w:szCs w:val="28"/>
          <w:highlight w:val="none"/>
        </w:rPr>
        <w:t>活动</w:t>
      </w:r>
      <w:r>
        <w:rPr>
          <w:rFonts w:hint="eastAsia" w:hAnsi="宋体"/>
          <w:sz w:val="24"/>
          <w:szCs w:val="28"/>
          <w:highlight w:val="none"/>
        </w:rPr>
        <w:t>，全权代表我方处理磋商过程的一切事宜，包括但不限于：提交响应文件、参与磋商、签约等。</w:t>
      </w:r>
      <w:r>
        <w:rPr>
          <w:rFonts w:hint="eastAsia"/>
          <w:sz w:val="24"/>
          <w:szCs w:val="18"/>
          <w:highlight w:val="none"/>
        </w:rPr>
        <w:t>参审单位</w:t>
      </w:r>
      <w:r>
        <w:rPr>
          <w:rFonts w:hint="eastAsia" w:hAnsi="宋体"/>
          <w:sz w:val="24"/>
          <w:szCs w:val="28"/>
          <w:highlight w:val="none"/>
        </w:rPr>
        <w:t>授权代表在磋商活动过程中所签署的一切文件和处理与之有关的一切事务，本公司均予以认可并对此承担责任。</w:t>
      </w:r>
      <w:r>
        <w:rPr>
          <w:rFonts w:hint="eastAsia"/>
          <w:sz w:val="24"/>
          <w:szCs w:val="18"/>
          <w:highlight w:val="none"/>
        </w:rPr>
        <w:t>参审单位</w:t>
      </w:r>
      <w:r>
        <w:rPr>
          <w:rFonts w:hint="eastAsia" w:hAnsi="宋体"/>
          <w:sz w:val="24"/>
          <w:szCs w:val="28"/>
          <w:highlight w:val="none"/>
        </w:rPr>
        <w:t>授权代表无转委托权。特此授权。</w:t>
      </w:r>
    </w:p>
    <w:p>
      <w:pPr>
        <w:pStyle w:val="8"/>
        <w:snapToGrid w:val="0"/>
        <w:spacing w:line="360" w:lineRule="auto"/>
        <w:ind w:firstLine="480" w:firstLineChars="200"/>
        <w:jc w:val="left"/>
        <w:rPr>
          <w:rFonts w:hAnsi="宋体"/>
          <w:sz w:val="24"/>
          <w:szCs w:val="28"/>
          <w:highlight w:val="none"/>
        </w:rPr>
      </w:pPr>
      <w:r>
        <w:rPr>
          <w:rFonts w:hint="eastAsia" w:hAnsi="宋体"/>
          <w:sz w:val="24"/>
          <w:szCs w:val="28"/>
          <w:highlight w:val="none"/>
        </w:rPr>
        <w:t>本授权书自出具之日起生效。</w:t>
      </w:r>
    </w:p>
    <w:p>
      <w:pPr>
        <w:pStyle w:val="8"/>
        <w:snapToGrid w:val="0"/>
        <w:spacing w:line="360" w:lineRule="auto"/>
        <w:ind w:firstLine="480" w:firstLineChars="200"/>
        <w:jc w:val="left"/>
        <w:rPr>
          <w:rFonts w:hAnsi="宋体"/>
          <w:sz w:val="24"/>
          <w:highlight w:val="none"/>
        </w:rPr>
      </w:pPr>
      <w:r>
        <w:rPr>
          <w:rFonts w:hint="eastAsia" w:hAnsi="宋体"/>
          <w:sz w:val="24"/>
          <w:szCs w:val="28"/>
          <w:highlight w:val="none"/>
        </w:rPr>
        <w:t>授权代表</w:t>
      </w:r>
      <w:r>
        <w:rPr>
          <w:rFonts w:hint="eastAsia" w:hAnsi="宋体"/>
          <w:sz w:val="24"/>
          <w:highlight w:val="none"/>
        </w:rPr>
        <w:t>身份证明扫描件或影印件：</w:t>
      </w:r>
    </w:p>
    <w:p>
      <w:pPr>
        <w:pStyle w:val="8"/>
        <w:snapToGrid w:val="0"/>
        <w:spacing w:line="360" w:lineRule="auto"/>
        <w:jc w:val="center"/>
        <w:rPr>
          <w:rFonts w:hAnsi="宋体"/>
          <w:sz w:val="24"/>
          <w:highlight w:val="none"/>
        </w:rPr>
      </w:pPr>
    </w:p>
    <w:p>
      <w:pPr>
        <w:pStyle w:val="8"/>
        <w:snapToGrid w:val="0"/>
        <w:spacing w:line="360" w:lineRule="auto"/>
        <w:jc w:val="center"/>
        <w:rPr>
          <w:rFonts w:hAnsi="宋体"/>
          <w:sz w:val="24"/>
          <w:highlight w:val="none"/>
        </w:rPr>
      </w:pPr>
    </w:p>
    <w:p>
      <w:pPr>
        <w:pStyle w:val="8"/>
        <w:snapToGrid w:val="0"/>
        <w:spacing w:line="360" w:lineRule="auto"/>
        <w:jc w:val="center"/>
        <w:rPr>
          <w:rFonts w:hAnsi="宋体"/>
          <w:sz w:val="24"/>
          <w:highlight w:val="none"/>
        </w:rPr>
      </w:pPr>
    </w:p>
    <w:p>
      <w:pPr>
        <w:pStyle w:val="8"/>
        <w:snapToGrid w:val="0"/>
        <w:spacing w:line="360" w:lineRule="auto"/>
        <w:jc w:val="center"/>
        <w:rPr>
          <w:rFonts w:hAnsi="宋体"/>
          <w:sz w:val="24"/>
          <w:highlight w:val="none"/>
        </w:rPr>
      </w:pPr>
    </w:p>
    <w:p>
      <w:pPr>
        <w:pStyle w:val="8"/>
        <w:snapToGrid w:val="0"/>
        <w:spacing w:line="360" w:lineRule="auto"/>
        <w:ind w:firstLine="480" w:firstLineChars="200"/>
        <w:jc w:val="left"/>
        <w:rPr>
          <w:rFonts w:hAnsi="宋体"/>
          <w:sz w:val="24"/>
          <w:szCs w:val="28"/>
          <w:highlight w:val="none"/>
          <w:u w:val="single"/>
        </w:rPr>
      </w:pPr>
      <w:r>
        <w:rPr>
          <w:rFonts w:hint="eastAsia" w:hAnsi="宋体"/>
          <w:sz w:val="24"/>
          <w:szCs w:val="28"/>
          <w:highlight w:val="none"/>
        </w:rPr>
        <w:t>授权代表联系方式：</w:t>
      </w:r>
      <w:r>
        <w:rPr>
          <w:rFonts w:hint="eastAsia" w:hAnsi="宋体"/>
          <w:sz w:val="24"/>
          <w:szCs w:val="28"/>
          <w:highlight w:val="none"/>
          <w:u w:val="single"/>
        </w:rPr>
        <w:t xml:space="preserve">          （请填写手机号码）</w:t>
      </w:r>
    </w:p>
    <w:p>
      <w:pPr>
        <w:pStyle w:val="8"/>
        <w:snapToGrid w:val="0"/>
        <w:spacing w:line="360" w:lineRule="auto"/>
        <w:jc w:val="center"/>
        <w:rPr>
          <w:rFonts w:hAnsi="宋体"/>
          <w:sz w:val="24"/>
          <w:szCs w:val="28"/>
          <w:highlight w:val="none"/>
        </w:rPr>
      </w:pPr>
    </w:p>
    <w:p>
      <w:pPr>
        <w:spacing w:line="360" w:lineRule="auto"/>
        <w:ind w:firstLine="360" w:firstLineChars="150"/>
        <w:rPr>
          <w:sz w:val="24"/>
          <w:szCs w:val="28"/>
          <w:highlight w:val="none"/>
        </w:rPr>
      </w:pPr>
      <w:r>
        <w:rPr>
          <w:rFonts w:hint="eastAsia"/>
          <w:sz w:val="24"/>
          <w:szCs w:val="28"/>
          <w:highlight w:val="none"/>
        </w:rPr>
        <w:t>特此声明。</w:t>
      </w:r>
    </w:p>
    <w:p>
      <w:pPr>
        <w:spacing w:line="360" w:lineRule="auto"/>
        <w:jc w:val="center"/>
        <w:rPr>
          <w:sz w:val="24"/>
          <w:szCs w:val="28"/>
          <w:highlight w:val="none"/>
        </w:rPr>
      </w:pPr>
    </w:p>
    <w:p>
      <w:pPr>
        <w:spacing w:line="360" w:lineRule="auto"/>
        <w:ind w:firstLine="2880" w:firstLineChars="1200"/>
        <w:rPr>
          <w:rFonts w:hint="eastAsia"/>
          <w:bCs/>
          <w:sz w:val="24"/>
          <w:szCs w:val="28"/>
          <w:highlight w:val="none"/>
          <w:u w:val="single"/>
        </w:rPr>
      </w:pPr>
      <w:r>
        <w:rPr>
          <w:rFonts w:hint="eastAsia"/>
          <w:sz w:val="24"/>
          <w:szCs w:val="18"/>
          <w:highlight w:val="none"/>
        </w:rPr>
        <w:t>参审单位</w:t>
      </w:r>
      <w:r>
        <w:rPr>
          <w:rFonts w:hint="eastAsia"/>
          <w:bCs/>
          <w:sz w:val="24"/>
          <w:szCs w:val="28"/>
          <w:highlight w:val="none"/>
        </w:rPr>
        <w:t>电子签章：</w:t>
      </w:r>
      <w:r>
        <w:rPr>
          <w:rFonts w:hint="eastAsia"/>
          <w:bCs/>
          <w:sz w:val="24"/>
          <w:szCs w:val="28"/>
          <w:highlight w:val="none"/>
          <w:u w:val="single"/>
        </w:rPr>
        <w:t xml:space="preserve">                    </w:t>
      </w:r>
    </w:p>
    <w:p>
      <w:pPr>
        <w:spacing w:line="360" w:lineRule="auto"/>
        <w:ind w:firstLine="2880" w:firstLineChars="1200"/>
        <w:rPr>
          <w:sz w:val="24"/>
          <w:szCs w:val="28"/>
          <w:highlight w:val="none"/>
        </w:rPr>
      </w:pPr>
      <w:r>
        <w:rPr>
          <w:rFonts w:hint="eastAsia"/>
          <w:sz w:val="24"/>
          <w:szCs w:val="28"/>
          <w:highlight w:val="none"/>
        </w:rPr>
        <w:t>日          期：</w:t>
      </w:r>
      <w:r>
        <w:rPr>
          <w:rFonts w:hint="eastAsia"/>
          <w:sz w:val="24"/>
          <w:szCs w:val="28"/>
          <w:highlight w:val="none"/>
          <w:u w:val="single"/>
        </w:rPr>
        <w:t xml:space="preserve">                    </w:t>
      </w:r>
    </w:p>
    <w:p>
      <w:pPr>
        <w:spacing w:line="360" w:lineRule="auto"/>
        <w:jc w:val="center"/>
        <w:rPr>
          <w:sz w:val="24"/>
          <w:szCs w:val="28"/>
          <w:highlight w:val="none"/>
        </w:rPr>
      </w:pPr>
    </w:p>
    <w:p>
      <w:pPr>
        <w:spacing w:line="360" w:lineRule="auto"/>
        <w:jc w:val="center"/>
        <w:rPr>
          <w:sz w:val="24"/>
          <w:szCs w:val="28"/>
          <w:highlight w:val="none"/>
        </w:rPr>
      </w:pPr>
    </w:p>
    <w:p>
      <w:pPr>
        <w:pStyle w:val="8"/>
        <w:snapToGrid w:val="0"/>
        <w:spacing w:line="360" w:lineRule="auto"/>
        <w:jc w:val="left"/>
        <w:rPr>
          <w:rFonts w:hAnsi="宋体"/>
          <w:sz w:val="24"/>
          <w:szCs w:val="28"/>
          <w:highlight w:val="none"/>
        </w:rPr>
      </w:pPr>
      <w:r>
        <w:rPr>
          <w:rFonts w:hint="eastAsia" w:hAnsi="宋体"/>
          <w:sz w:val="24"/>
          <w:szCs w:val="28"/>
          <w:highlight w:val="none"/>
        </w:rPr>
        <w:t>注：</w:t>
      </w:r>
    </w:p>
    <w:p>
      <w:pPr>
        <w:pStyle w:val="8"/>
        <w:snapToGrid w:val="0"/>
        <w:spacing w:line="360" w:lineRule="auto"/>
        <w:ind w:firstLine="480" w:firstLineChars="200"/>
        <w:jc w:val="left"/>
        <w:rPr>
          <w:rFonts w:hAnsi="宋体"/>
          <w:sz w:val="24"/>
          <w:szCs w:val="28"/>
          <w:highlight w:val="none"/>
        </w:rPr>
      </w:pPr>
      <w:r>
        <w:rPr>
          <w:rFonts w:hint="eastAsia" w:hAnsi="宋体"/>
          <w:sz w:val="24"/>
          <w:szCs w:val="28"/>
          <w:highlight w:val="none"/>
        </w:rPr>
        <w:t>1</w:t>
      </w:r>
      <w:r>
        <w:rPr>
          <w:rFonts w:hint="eastAsia" w:hAnsi="宋体"/>
          <w:sz w:val="24"/>
          <w:szCs w:val="28"/>
          <w:highlight w:val="none"/>
          <w:lang w:eastAsia="zh-CN"/>
        </w:rPr>
        <w:t>、</w:t>
      </w:r>
      <w:r>
        <w:rPr>
          <w:rFonts w:hint="eastAsia" w:hAnsi="宋体"/>
          <w:sz w:val="24"/>
          <w:szCs w:val="28"/>
          <w:highlight w:val="none"/>
        </w:rPr>
        <w:t>本项目只允许有唯一的</w:t>
      </w:r>
      <w:r>
        <w:rPr>
          <w:rFonts w:hint="eastAsia"/>
          <w:sz w:val="24"/>
          <w:szCs w:val="18"/>
          <w:highlight w:val="none"/>
        </w:rPr>
        <w:t>参审单位</w:t>
      </w:r>
      <w:r>
        <w:rPr>
          <w:rFonts w:hint="eastAsia" w:hAnsi="宋体"/>
          <w:sz w:val="24"/>
          <w:szCs w:val="28"/>
          <w:highlight w:val="none"/>
        </w:rPr>
        <w:t>授权代表，提供身份证明扫描件；</w:t>
      </w:r>
    </w:p>
    <w:p>
      <w:pPr>
        <w:spacing w:line="360" w:lineRule="auto"/>
        <w:ind w:firstLine="480" w:firstLineChars="200"/>
        <w:jc w:val="left"/>
        <w:rPr>
          <w:sz w:val="24"/>
          <w:highlight w:val="none"/>
        </w:rPr>
      </w:pPr>
      <w:r>
        <w:rPr>
          <w:rFonts w:hint="eastAsia"/>
          <w:sz w:val="24"/>
          <w:highlight w:val="none"/>
        </w:rPr>
        <w:t>2</w:t>
      </w:r>
      <w:r>
        <w:rPr>
          <w:rFonts w:hint="eastAsia"/>
          <w:sz w:val="24"/>
          <w:highlight w:val="none"/>
          <w:lang w:eastAsia="zh-CN"/>
        </w:rPr>
        <w:t>、</w:t>
      </w:r>
      <w:r>
        <w:rPr>
          <w:rFonts w:hint="eastAsia"/>
          <w:sz w:val="24"/>
          <w:highlight w:val="none"/>
        </w:rPr>
        <w:t>法定代表人参加磋商的无需提供授权书，仅提供身份证明扫描件。</w:t>
      </w:r>
    </w:p>
    <w:p>
      <w:pPr>
        <w:widowControl/>
        <w:jc w:val="center"/>
        <w:rPr>
          <w:rFonts w:cs="@仿宋_GB2312"/>
          <w:b/>
          <w:bCs/>
          <w:kern w:val="2"/>
          <w:sz w:val="24"/>
          <w:szCs w:val="24"/>
          <w:highlight w:val="none"/>
        </w:rPr>
      </w:pPr>
      <w:r>
        <w:rPr>
          <w:sz w:val="24"/>
          <w:highlight w:val="none"/>
        </w:rPr>
        <w:br w:type="page"/>
      </w:r>
      <w:r>
        <w:rPr>
          <w:rFonts w:hint="eastAsia" w:cs="@仿宋_GB2312"/>
          <w:b/>
          <w:bCs/>
          <w:kern w:val="2"/>
          <w:sz w:val="24"/>
          <w:szCs w:val="24"/>
          <w:highlight w:val="none"/>
        </w:rPr>
        <w:t>七、磋商保证金</w:t>
      </w:r>
    </w:p>
    <w:p>
      <w:pPr>
        <w:pStyle w:val="8"/>
        <w:snapToGrid w:val="0"/>
        <w:spacing w:line="360" w:lineRule="auto"/>
        <w:jc w:val="center"/>
        <w:rPr>
          <w:rFonts w:hAnsi="宋体"/>
          <w:sz w:val="24"/>
          <w:szCs w:val="28"/>
          <w:highlight w:val="none"/>
        </w:rPr>
      </w:pPr>
    </w:p>
    <w:p>
      <w:pPr>
        <w:pStyle w:val="8"/>
        <w:snapToGrid w:val="0"/>
        <w:spacing w:line="360" w:lineRule="auto"/>
        <w:jc w:val="center"/>
        <w:rPr>
          <w:rFonts w:hAnsi="宋体"/>
          <w:sz w:val="24"/>
          <w:szCs w:val="28"/>
          <w:highlight w:val="none"/>
        </w:rPr>
      </w:pPr>
      <w:r>
        <w:rPr>
          <w:rFonts w:hint="eastAsia" w:hAnsi="宋体"/>
          <w:sz w:val="24"/>
          <w:szCs w:val="28"/>
          <w:highlight w:val="none"/>
          <w:lang w:eastAsia="zh-CN"/>
        </w:rPr>
        <w:t>参审单位</w:t>
      </w:r>
      <w:r>
        <w:rPr>
          <w:rFonts w:hint="eastAsia" w:hAnsi="宋体"/>
          <w:sz w:val="24"/>
          <w:szCs w:val="28"/>
          <w:highlight w:val="none"/>
        </w:rPr>
        <w:t>应在此提供磋商保证金转账回单截图，需从</w:t>
      </w:r>
      <w:r>
        <w:rPr>
          <w:rFonts w:hint="eastAsia" w:hAnsi="宋体"/>
          <w:sz w:val="24"/>
          <w:szCs w:val="28"/>
          <w:highlight w:val="none"/>
          <w:lang w:eastAsia="zh-CN"/>
        </w:rPr>
        <w:t>参审单位</w:t>
      </w:r>
      <w:r>
        <w:rPr>
          <w:rFonts w:hint="eastAsia" w:hAnsi="宋体"/>
          <w:sz w:val="24"/>
          <w:szCs w:val="28"/>
          <w:highlight w:val="none"/>
        </w:rPr>
        <w:t>银行账户转出。</w:t>
      </w: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pStyle w:val="7"/>
        <w:rPr>
          <w:rFonts w:cs="@仿宋_GB2312"/>
          <w:b/>
          <w:bCs/>
          <w:kern w:val="2"/>
          <w:sz w:val="24"/>
          <w:szCs w:val="24"/>
          <w:highlight w:val="none"/>
        </w:rPr>
      </w:pPr>
    </w:p>
    <w:p>
      <w:pPr>
        <w:pStyle w:val="12"/>
        <w:rPr>
          <w:rFonts w:cs="@仿宋_GB2312"/>
          <w:b/>
          <w:bCs/>
          <w:kern w:val="2"/>
          <w:sz w:val="24"/>
          <w:szCs w:val="24"/>
          <w:highlight w:val="none"/>
        </w:rPr>
      </w:pPr>
    </w:p>
    <w:p>
      <w:pPr>
        <w:pStyle w:val="4"/>
        <w:rPr>
          <w:rFonts w:cs="@仿宋_GB2312"/>
          <w:b/>
          <w:bCs/>
          <w:kern w:val="2"/>
          <w:sz w:val="24"/>
          <w:szCs w:val="24"/>
          <w:highlight w:val="none"/>
        </w:rPr>
      </w:pPr>
    </w:p>
    <w:p>
      <w:pPr>
        <w:rPr>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pStyle w:val="7"/>
        <w:spacing w:line="360" w:lineRule="auto"/>
        <w:ind w:left="0" w:leftChars="0"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如需开具工本费发票请在本页附上开票信息，开票信息按照下列格式填写，发票开具后可在单位税务数字账户中查收，如未填写或填写不完整后期自行带转账回单至肥西县公共资源交易有限公司2楼大厅3号窗口开具。</w:t>
      </w:r>
    </w:p>
    <w:p>
      <w:pPr>
        <w:pStyle w:val="12"/>
        <w:jc w:val="center"/>
        <w:rPr>
          <w:highlight w:val="none"/>
        </w:rPr>
      </w:pP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jc w:val="center"/>
        <w:rPr>
          <w:rFonts w:hint="default"/>
          <w:sz w:val="24"/>
          <w:szCs w:val="24"/>
          <w:highlight w:val="none"/>
          <w:lang w:val="en-US"/>
        </w:rPr>
      </w:pPr>
      <w:r>
        <w:rPr>
          <w:rFonts w:hint="eastAsia" w:ascii="宋体" w:hAnsi="宋体" w:eastAsia="宋体" w:cs="宋体"/>
          <w:b/>
          <w:bCs/>
          <w:color w:val="000000"/>
          <w:kern w:val="0"/>
          <w:sz w:val="24"/>
          <w:szCs w:val="24"/>
          <w:highlight w:val="none"/>
          <w:lang w:val="en-US" w:eastAsia="zh-CN" w:bidi="ar"/>
        </w:rPr>
        <w:t>开票信息</w:t>
      </w: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firstLine="723" w:firstLineChars="300"/>
        <w:jc w:val="left"/>
        <w:rPr>
          <w:sz w:val="24"/>
          <w:szCs w:val="24"/>
          <w:highlight w:val="none"/>
        </w:rPr>
      </w:pPr>
      <w:r>
        <w:rPr>
          <w:rFonts w:hint="eastAsia" w:ascii="宋体" w:hAnsi="宋体" w:eastAsia="宋体" w:cs="宋体"/>
          <w:b/>
          <w:bCs/>
          <w:color w:val="000000"/>
          <w:kern w:val="0"/>
          <w:sz w:val="24"/>
          <w:szCs w:val="24"/>
          <w:highlight w:val="none"/>
          <w:lang w:val="en-US" w:eastAsia="zh-CN" w:bidi="ar"/>
        </w:rPr>
        <w:t>发</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票</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类</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型：</w:t>
      </w:r>
      <w:r>
        <w:rPr>
          <w:rFonts w:hint="eastAsia" w:cs="宋体"/>
          <w:b/>
          <w:bCs/>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lang w:val="en-US" w:eastAsia="zh-CN" w:bidi="ar"/>
        </w:rPr>
        <w:t>（专票或普票）</w:t>
      </w: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firstLine="723" w:firstLineChars="300"/>
        <w:jc w:val="left"/>
        <w:rPr>
          <w:rFonts w:hint="default"/>
          <w:sz w:val="24"/>
          <w:szCs w:val="24"/>
          <w:highlight w:val="none"/>
          <w:lang w:val="en-US"/>
        </w:rPr>
      </w:pPr>
      <w:r>
        <w:rPr>
          <w:rFonts w:hint="eastAsia" w:ascii="宋体" w:hAnsi="宋体" w:eastAsia="宋体" w:cs="宋体"/>
          <w:b/>
          <w:bCs/>
          <w:color w:val="000000"/>
          <w:kern w:val="0"/>
          <w:sz w:val="24"/>
          <w:szCs w:val="24"/>
          <w:highlight w:val="none"/>
          <w:lang w:val="en-US" w:eastAsia="zh-CN" w:bidi="ar"/>
        </w:rPr>
        <w:t>公</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司</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名</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称：</w:t>
      </w:r>
      <w:r>
        <w:rPr>
          <w:rFonts w:hint="eastAsia" w:cs="宋体"/>
          <w:b/>
          <w:bCs/>
          <w:color w:val="000000"/>
          <w:kern w:val="0"/>
          <w:sz w:val="24"/>
          <w:szCs w:val="24"/>
          <w:highlight w:val="none"/>
          <w:u w:val="single"/>
          <w:lang w:val="en-US" w:eastAsia="zh-CN" w:bidi="ar"/>
        </w:rPr>
        <w:t xml:space="preserve">                            </w:t>
      </w: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firstLine="723" w:firstLineChars="300"/>
        <w:jc w:val="left"/>
        <w:rPr>
          <w:sz w:val="24"/>
          <w:szCs w:val="24"/>
          <w:highlight w:val="none"/>
        </w:rPr>
      </w:pPr>
      <w:r>
        <w:rPr>
          <w:rFonts w:hint="eastAsia" w:ascii="宋体" w:hAnsi="宋体" w:eastAsia="宋体" w:cs="宋体"/>
          <w:b/>
          <w:bCs/>
          <w:color w:val="000000"/>
          <w:kern w:val="0"/>
          <w:sz w:val="24"/>
          <w:szCs w:val="24"/>
          <w:highlight w:val="none"/>
          <w:lang w:val="en-US" w:eastAsia="zh-CN" w:bidi="ar"/>
        </w:rPr>
        <w:t>纳</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税</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识</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别</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号：</w:t>
      </w:r>
      <w:r>
        <w:rPr>
          <w:rFonts w:hint="eastAsia" w:cs="宋体"/>
          <w:b/>
          <w:bCs/>
          <w:color w:val="000000"/>
          <w:kern w:val="0"/>
          <w:sz w:val="24"/>
          <w:szCs w:val="24"/>
          <w:highlight w:val="none"/>
          <w:u w:val="single"/>
          <w:lang w:val="en-US" w:eastAsia="zh-CN" w:bidi="ar"/>
        </w:rPr>
        <w:t xml:space="preserve">                            </w:t>
      </w: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firstLine="723" w:firstLineChars="300"/>
        <w:jc w:val="left"/>
        <w:rPr>
          <w:sz w:val="24"/>
          <w:szCs w:val="24"/>
          <w:highlight w:val="none"/>
        </w:rPr>
      </w:pPr>
      <w:r>
        <w:rPr>
          <w:rFonts w:hint="eastAsia" w:ascii="宋体" w:hAnsi="宋体" w:eastAsia="宋体" w:cs="宋体"/>
          <w:b/>
          <w:bCs/>
          <w:color w:val="000000"/>
          <w:kern w:val="0"/>
          <w:sz w:val="24"/>
          <w:szCs w:val="24"/>
          <w:highlight w:val="none"/>
          <w:lang w:val="en-US" w:eastAsia="zh-CN" w:bidi="ar"/>
        </w:rPr>
        <w:t>开</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户</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行</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名</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称：</w:t>
      </w:r>
      <w:r>
        <w:rPr>
          <w:rFonts w:hint="eastAsia" w:cs="宋体"/>
          <w:b/>
          <w:bCs/>
          <w:color w:val="000000"/>
          <w:kern w:val="0"/>
          <w:sz w:val="24"/>
          <w:szCs w:val="24"/>
          <w:highlight w:val="none"/>
          <w:u w:val="single"/>
          <w:lang w:val="en-US" w:eastAsia="zh-CN" w:bidi="ar"/>
        </w:rPr>
        <w:t xml:space="preserve">                            </w:t>
      </w:r>
    </w:p>
    <w:p>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firstLine="723" w:firstLineChars="300"/>
        <w:jc w:val="left"/>
        <w:rPr>
          <w:highlight w:val="none"/>
        </w:rPr>
      </w:pPr>
      <w:r>
        <w:rPr>
          <w:rFonts w:hint="eastAsia" w:ascii="宋体" w:hAnsi="宋体" w:eastAsia="宋体" w:cs="宋体"/>
          <w:b/>
          <w:bCs/>
          <w:color w:val="000000"/>
          <w:kern w:val="0"/>
          <w:sz w:val="24"/>
          <w:szCs w:val="24"/>
          <w:highlight w:val="none"/>
          <w:lang w:val="en-US" w:eastAsia="zh-CN" w:bidi="ar"/>
        </w:rPr>
        <w:t>开</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户</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行</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账</w:t>
      </w:r>
      <w:r>
        <w:rPr>
          <w:rFonts w:hint="eastAsia"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号：</w:t>
      </w:r>
      <w:r>
        <w:rPr>
          <w:rFonts w:hint="eastAsia" w:cs="宋体"/>
          <w:b/>
          <w:bCs/>
          <w:color w:val="000000"/>
          <w:kern w:val="0"/>
          <w:sz w:val="24"/>
          <w:szCs w:val="24"/>
          <w:highlight w:val="none"/>
          <w:u w:val="single"/>
          <w:lang w:val="en-US" w:eastAsia="zh-CN" w:bidi="ar"/>
        </w:rPr>
        <w:t xml:space="preserve">                            </w:t>
      </w: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spacing w:line="360" w:lineRule="auto"/>
        <w:jc w:val="center"/>
        <w:rPr>
          <w:rFonts w:cs="@仿宋_GB2312"/>
          <w:b/>
          <w:bCs/>
          <w:kern w:val="2"/>
          <w:sz w:val="24"/>
          <w:szCs w:val="24"/>
          <w:highlight w:val="none"/>
        </w:rPr>
      </w:pPr>
    </w:p>
    <w:p>
      <w:pPr>
        <w:widowControl/>
        <w:jc w:val="center"/>
        <w:rPr>
          <w:rFonts w:cs="@仿宋_GB2312"/>
          <w:b/>
          <w:bCs/>
          <w:kern w:val="2"/>
          <w:sz w:val="24"/>
          <w:szCs w:val="24"/>
          <w:highlight w:val="none"/>
        </w:rPr>
      </w:pPr>
      <w:r>
        <w:rPr>
          <w:rFonts w:hint="eastAsia" w:cs="@仿宋_GB2312"/>
          <w:b/>
          <w:bCs/>
          <w:kern w:val="2"/>
          <w:sz w:val="24"/>
          <w:szCs w:val="24"/>
          <w:highlight w:val="none"/>
        </w:rPr>
        <w:t>八、法定代表人身份证明书</w:t>
      </w:r>
    </w:p>
    <w:p>
      <w:pPr>
        <w:autoSpaceDE w:val="0"/>
        <w:autoSpaceDN w:val="0"/>
        <w:adjustRightInd w:val="0"/>
        <w:spacing w:line="360" w:lineRule="auto"/>
        <w:jc w:val="center"/>
        <w:rPr>
          <w:rFonts w:ascii="@仿宋_GB2312" w:eastAsia="@仿宋_GB2312" w:cs="宋体"/>
          <w:b/>
          <w:kern w:val="2"/>
          <w:sz w:val="21"/>
          <w:szCs w:val="24"/>
          <w:highlight w:val="none"/>
          <w:lang w:val="zh-CN"/>
        </w:rPr>
      </w:pPr>
    </w:p>
    <w:p>
      <w:pPr>
        <w:snapToGrid w:val="0"/>
        <w:spacing w:line="360" w:lineRule="auto"/>
        <w:ind w:firstLine="480" w:firstLineChars="200"/>
        <w:jc w:val="left"/>
        <w:rPr>
          <w:kern w:val="2"/>
          <w:sz w:val="24"/>
          <w:szCs w:val="28"/>
          <w:highlight w:val="none"/>
        </w:rPr>
      </w:pPr>
      <w:r>
        <w:rPr>
          <w:rFonts w:hint="eastAsia"/>
          <w:kern w:val="2"/>
          <w:sz w:val="24"/>
          <w:szCs w:val="28"/>
          <w:highlight w:val="none"/>
        </w:rPr>
        <w:t>单位名称：</w:t>
      </w:r>
      <w:r>
        <w:rPr>
          <w:rFonts w:hint="eastAsia"/>
          <w:kern w:val="2"/>
          <w:sz w:val="24"/>
          <w:szCs w:val="28"/>
          <w:highlight w:val="none"/>
          <w:u w:val="single"/>
        </w:rPr>
        <w:t xml:space="preserve">                            </w:t>
      </w:r>
      <w:r>
        <w:rPr>
          <w:kern w:val="2"/>
          <w:sz w:val="24"/>
          <w:szCs w:val="28"/>
          <w:highlight w:val="none"/>
          <w:u w:val="single"/>
        </w:rPr>
        <w:t xml:space="preserve">    </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单位性质：</w:t>
      </w:r>
      <w:r>
        <w:rPr>
          <w:rFonts w:hint="eastAsia"/>
          <w:kern w:val="2"/>
          <w:sz w:val="24"/>
          <w:szCs w:val="28"/>
          <w:highlight w:val="none"/>
          <w:u w:val="single"/>
        </w:rPr>
        <w:t xml:space="preserve">                             </w:t>
      </w:r>
      <w:r>
        <w:rPr>
          <w:kern w:val="2"/>
          <w:sz w:val="24"/>
          <w:szCs w:val="28"/>
          <w:highlight w:val="none"/>
          <w:u w:val="single"/>
        </w:rPr>
        <w:t xml:space="preserve">    </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地    址：</w:t>
      </w:r>
      <w:r>
        <w:rPr>
          <w:rFonts w:hint="eastAsia"/>
          <w:kern w:val="2"/>
          <w:sz w:val="24"/>
          <w:szCs w:val="28"/>
          <w:highlight w:val="none"/>
          <w:u w:val="single"/>
        </w:rPr>
        <w:t xml:space="preserve">                             </w:t>
      </w:r>
      <w:r>
        <w:rPr>
          <w:kern w:val="2"/>
          <w:sz w:val="24"/>
          <w:szCs w:val="28"/>
          <w:highlight w:val="none"/>
          <w:u w:val="single"/>
        </w:rPr>
        <w:t xml:space="preserve">    </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成立时间：</w:t>
      </w:r>
      <w:r>
        <w:rPr>
          <w:rFonts w:hint="eastAsia"/>
          <w:kern w:val="2"/>
          <w:sz w:val="24"/>
          <w:szCs w:val="28"/>
          <w:highlight w:val="none"/>
          <w:u w:val="single"/>
        </w:rPr>
        <w:t xml:space="preserve">              </w:t>
      </w:r>
      <w:r>
        <w:rPr>
          <w:rFonts w:hint="eastAsia"/>
          <w:kern w:val="2"/>
          <w:sz w:val="24"/>
          <w:szCs w:val="28"/>
          <w:highlight w:val="none"/>
        </w:rPr>
        <w:t>年</w:t>
      </w:r>
      <w:r>
        <w:rPr>
          <w:rFonts w:hint="eastAsia"/>
          <w:kern w:val="2"/>
          <w:sz w:val="24"/>
          <w:szCs w:val="28"/>
          <w:highlight w:val="none"/>
          <w:u w:val="single"/>
        </w:rPr>
        <w:t xml:space="preserve">         </w:t>
      </w:r>
      <w:r>
        <w:rPr>
          <w:rFonts w:hint="eastAsia"/>
          <w:kern w:val="2"/>
          <w:sz w:val="24"/>
          <w:szCs w:val="28"/>
          <w:highlight w:val="none"/>
        </w:rPr>
        <w:t>月</w:t>
      </w:r>
      <w:r>
        <w:rPr>
          <w:rFonts w:hint="eastAsia"/>
          <w:kern w:val="2"/>
          <w:sz w:val="24"/>
          <w:szCs w:val="28"/>
          <w:highlight w:val="none"/>
          <w:u w:val="single"/>
        </w:rPr>
        <w:t xml:space="preserve">        </w:t>
      </w:r>
      <w:r>
        <w:rPr>
          <w:rFonts w:hint="eastAsia"/>
          <w:kern w:val="2"/>
          <w:sz w:val="24"/>
          <w:szCs w:val="28"/>
          <w:highlight w:val="none"/>
        </w:rPr>
        <w:t>日</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经营期限：</w:t>
      </w:r>
      <w:r>
        <w:rPr>
          <w:rFonts w:hint="eastAsia"/>
          <w:kern w:val="2"/>
          <w:sz w:val="24"/>
          <w:szCs w:val="28"/>
          <w:highlight w:val="none"/>
          <w:u w:val="single"/>
        </w:rPr>
        <w:t xml:space="preserve">                               </w:t>
      </w:r>
      <w:r>
        <w:rPr>
          <w:kern w:val="2"/>
          <w:sz w:val="24"/>
          <w:szCs w:val="28"/>
          <w:highlight w:val="none"/>
          <w:u w:val="single"/>
        </w:rPr>
        <w:t xml:space="preserve">    </w:t>
      </w:r>
      <w:r>
        <w:rPr>
          <w:rFonts w:hint="eastAsia"/>
          <w:kern w:val="2"/>
          <w:sz w:val="24"/>
          <w:szCs w:val="28"/>
          <w:highlight w:val="none"/>
          <w:u w:val="single"/>
        </w:rPr>
        <w:t xml:space="preserve"> </w:t>
      </w:r>
      <w:r>
        <w:rPr>
          <w:kern w:val="2"/>
          <w:sz w:val="24"/>
          <w:szCs w:val="28"/>
          <w:highlight w:val="none"/>
          <w:u w:val="single"/>
        </w:rPr>
        <w:t xml:space="preserve"> </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姓    名：</w:t>
      </w:r>
      <w:r>
        <w:rPr>
          <w:rFonts w:hint="eastAsia"/>
          <w:kern w:val="2"/>
          <w:sz w:val="24"/>
          <w:szCs w:val="28"/>
          <w:highlight w:val="none"/>
          <w:u w:val="single"/>
        </w:rPr>
        <w:t xml:space="preserve">                  </w:t>
      </w:r>
      <w:r>
        <w:rPr>
          <w:rFonts w:hint="eastAsia"/>
          <w:kern w:val="2"/>
          <w:sz w:val="24"/>
          <w:szCs w:val="28"/>
          <w:highlight w:val="none"/>
        </w:rPr>
        <w:t xml:space="preserve"> 性 </w:t>
      </w:r>
      <w:r>
        <w:rPr>
          <w:kern w:val="2"/>
          <w:sz w:val="24"/>
          <w:szCs w:val="28"/>
          <w:highlight w:val="none"/>
        </w:rPr>
        <w:t xml:space="preserve">  </w:t>
      </w:r>
      <w:r>
        <w:rPr>
          <w:rFonts w:hint="eastAsia"/>
          <w:kern w:val="2"/>
          <w:sz w:val="24"/>
          <w:szCs w:val="28"/>
          <w:highlight w:val="none"/>
        </w:rPr>
        <w:t xml:space="preserve"> 别：</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u w:val="single"/>
        </w:rPr>
      </w:pPr>
      <w:r>
        <w:rPr>
          <w:rFonts w:hint="eastAsia"/>
          <w:kern w:val="2"/>
          <w:sz w:val="24"/>
          <w:szCs w:val="28"/>
          <w:highlight w:val="none"/>
        </w:rPr>
        <w:t>年    龄：</w:t>
      </w:r>
      <w:r>
        <w:rPr>
          <w:rFonts w:hint="eastAsia"/>
          <w:kern w:val="2"/>
          <w:sz w:val="24"/>
          <w:szCs w:val="28"/>
          <w:highlight w:val="none"/>
          <w:u w:val="single"/>
        </w:rPr>
        <w:t xml:space="preserve">                  </w:t>
      </w:r>
      <w:r>
        <w:rPr>
          <w:rFonts w:hint="eastAsia"/>
          <w:kern w:val="2"/>
          <w:sz w:val="24"/>
          <w:szCs w:val="28"/>
          <w:highlight w:val="none"/>
        </w:rPr>
        <w:t xml:space="preserve"> 职    务：</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rPr>
        <w:t>联系</w:t>
      </w:r>
      <w:r>
        <w:rPr>
          <w:kern w:val="2"/>
          <w:sz w:val="24"/>
          <w:szCs w:val="28"/>
          <w:highlight w:val="none"/>
        </w:rPr>
        <w:t>电话</w:t>
      </w:r>
      <w:r>
        <w:rPr>
          <w:rFonts w:hint="eastAsia"/>
          <w:kern w:val="2"/>
          <w:sz w:val="24"/>
          <w:szCs w:val="28"/>
          <w:highlight w:val="none"/>
        </w:rPr>
        <w:t>：</w:t>
      </w:r>
      <w:r>
        <w:rPr>
          <w:rFonts w:hint="eastAsia"/>
          <w:kern w:val="2"/>
          <w:sz w:val="24"/>
          <w:szCs w:val="28"/>
          <w:highlight w:val="none"/>
          <w:u w:val="single"/>
        </w:rPr>
        <w:t xml:space="preserve">                  </w:t>
      </w:r>
      <w:r>
        <w:rPr>
          <w:rFonts w:hint="eastAsia"/>
          <w:kern w:val="2"/>
          <w:sz w:val="24"/>
          <w:szCs w:val="28"/>
          <w:highlight w:val="none"/>
        </w:rPr>
        <w:t xml:space="preserve"> 手机号码：</w:t>
      </w:r>
      <w:r>
        <w:rPr>
          <w:rFonts w:hint="eastAsia"/>
          <w:kern w:val="2"/>
          <w:sz w:val="24"/>
          <w:szCs w:val="28"/>
          <w:highlight w:val="none"/>
          <w:u w:val="single"/>
        </w:rPr>
        <w:t xml:space="preserve">             </w:t>
      </w:r>
    </w:p>
    <w:p>
      <w:pPr>
        <w:snapToGrid w:val="0"/>
        <w:spacing w:line="360" w:lineRule="auto"/>
        <w:ind w:firstLine="480" w:firstLineChars="200"/>
        <w:jc w:val="left"/>
        <w:rPr>
          <w:kern w:val="2"/>
          <w:sz w:val="24"/>
          <w:szCs w:val="28"/>
          <w:highlight w:val="none"/>
        </w:rPr>
      </w:pPr>
      <w:r>
        <w:rPr>
          <w:rFonts w:hint="eastAsia"/>
          <w:kern w:val="2"/>
          <w:sz w:val="24"/>
          <w:szCs w:val="28"/>
          <w:highlight w:val="none"/>
          <w:u w:val="single"/>
        </w:rPr>
        <w:t xml:space="preserve">        </w:t>
      </w:r>
      <w:r>
        <w:rPr>
          <w:rFonts w:hint="eastAsia"/>
          <w:kern w:val="2"/>
          <w:sz w:val="24"/>
          <w:szCs w:val="28"/>
          <w:highlight w:val="none"/>
        </w:rPr>
        <w:t xml:space="preserve">系  </w:t>
      </w:r>
      <w:r>
        <w:rPr>
          <w:rFonts w:hint="eastAsia"/>
          <w:kern w:val="2"/>
          <w:sz w:val="24"/>
          <w:szCs w:val="28"/>
          <w:highlight w:val="none"/>
          <w:u w:val="single"/>
        </w:rPr>
        <w:t xml:space="preserve">   （</w:t>
      </w:r>
      <w:r>
        <w:rPr>
          <w:rFonts w:hint="eastAsia"/>
          <w:sz w:val="24"/>
          <w:szCs w:val="24"/>
          <w:highlight w:val="none"/>
          <w:u w:val="single"/>
        </w:rPr>
        <w:t>参审单位</w:t>
      </w:r>
      <w:r>
        <w:rPr>
          <w:rFonts w:hint="eastAsia"/>
          <w:kern w:val="2"/>
          <w:sz w:val="24"/>
          <w:szCs w:val="28"/>
          <w:highlight w:val="none"/>
          <w:u w:val="single"/>
        </w:rPr>
        <w:t xml:space="preserve">单位名称）       </w:t>
      </w:r>
      <w:r>
        <w:rPr>
          <w:rFonts w:hint="eastAsia"/>
          <w:kern w:val="2"/>
          <w:sz w:val="24"/>
          <w:szCs w:val="28"/>
          <w:highlight w:val="none"/>
        </w:rPr>
        <w:t>的法定代表人。</w:t>
      </w:r>
    </w:p>
    <w:p>
      <w:pPr>
        <w:spacing w:before="62" w:beforeLines="20" w:after="62" w:afterLines="20" w:line="540" w:lineRule="exact"/>
        <w:jc w:val="center"/>
        <w:rPr>
          <w:rFonts w:ascii="@仿宋_GB2312" w:eastAsia="@仿宋_GB2312" w:cs="宋体"/>
          <w:kern w:val="2"/>
          <w:sz w:val="24"/>
          <w:szCs w:val="24"/>
          <w:highlight w:val="none"/>
        </w:rPr>
      </w:pPr>
    </w:p>
    <w:p>
      <w:pPr>
        <w:spacing w:before="62" w:beforeLines="20" w:after="62" w:afterLines="20" w:line="540" w:lineRule="exact"/>
        <w:ind w:left="400" w:leftChars="200" w:firstLine="240" w:firstLineChars="100"/>
        <w:rPr>
          <w:rFonts w:cs="宋体"/>
          <w:kern w:val="2"/>
          <w:sz w:val="24"/>
          <w:szCs w:val="24"/>
          <w:highlight w:val="none"/>
        </w:rPr>
      </w:pPr>
      <w:r>
        <w:rPr>
          <w:rFonts w:hint="eastAsia" w:cs="宋体"/>
          <w:kern w:val="2"/>
          <w:sz w:val="24"/>
          <w:szCs w:val="24"/>
          <w:highlight w:val="none"/>
        </w:rPr>
        <w:t>特此证明。</w:t>
      </w:r>
    </w:p>
    <w:p>
      <w:pPr>
        <w:tabs>
          <w:tab w:val="left" w:pos="720"/>
          <w:tab w:val="left" w:pos="900"/>
        </w:tabs>
        <w:spacing w:before="62" w:beforeLines="20" w:after="62" w:afterLines="20" w:line="540" w:lineRule="exact"/>
        <w:ind w:firstLine="480" w:firstLineChars="200"/>
        <w:rPr>
          <w:rFonts w:cs="宋体"/>
          <w:kern w:val="2"/>
          <w:sz w:val="24"/>
          <w:szCs w:val="24"/>
          <w:highlight w:val="none"/>
        </w:rPr>
      </w:pPr>
      <w:r>
        <w:rPr>
          <w:rFonts w:hint="eastAsia" w:cs="宋体"/>
          <w:kern w:val="2"/>
          <w:sz w:val="24"/>
          <w:szCs w:val="24"/>
          <w:highlight w:val="none"/>
        </w:rPr>
        <w:t>附：法定代表人身份证扫描件</w:t>
      </w:r>
    </w:p>
    <w:p>
      <w:pPr>
        <w:tabs>
          <w:tab w:val="left" w:pos="720"/>
          <w:tab w:val="left" w:pos="900"/>
        </w:tabs>
        <w:spacing w:before="62" w:beforeLines="20" w:after="62" w:afterLines="20" w:line="540" w:lineRule="exact"/>
        <w:jc w:val="center"/>
        <w:rPr>
          <w:rFonts w:ascii="@仿宋_GB2312" w:eastAsia="@仿宋_GB2312" w:cs="宋体"/>
          <w:kern w:val="2"/>
          <w:sz w:val="24"/>
          <w:szCs w:val="24"/>
          <w:highlight w:val="none"/>
        </w:rPr>
      </w:pPr>
    </w:p>
    <w:p>
      <w:pPr>
        <w:tabs>
          <w:tab w:val="left" w:pos="720"/>
          <w:tab w:val="left" w:pos="900"/>
        </w:tabs>
        <w:spacing w:before="62" w:beforeLines="20" w:after="62" w:afterLines="20" w:line="540" w:lineRule="exact"/>
        <w:jc w:val="center"/>
        <w:rPr>
          <w:rFonts w:ascii="@仿宋_GB2312" w:eastAsia="@仿宋_GB2312" w:cs="宋体"/>
          <w:kern w:val="2"/>
          <w:sz w:val="24"/>
          <w:szCs w:val="24"/>
          <w:highlight w:val="none"/>
        </w:rPr>
      </w:pPr>
    </w:p>
    <w:p>
      <w:pPr>
        <w:spacing w:line="360" w:lineRule="auto"/>
        <w:ind w:firstLine="3840" w:firstLineChars="1600"/>
        <w:rPr>
          <w:rFonts w:cs="宋体"/>
          <w:kern w:val="2"/>
          <w:sz w:val="24"/>
          <w:szCs w:val="24"/>
          <w:highlight w:val="none"/>
        </w:rPr>
      </w:pPr>
      <w:r>
        <w:rPr>
          <w:rFonts w:hint="eastAsia"/>
          <w:sz w:val="24"/>
          <w:szCs w:val="18"/>
          <w:highlight w:val="none"/>
        </w:rPr>
        <w:t>参审单位</w:t>
      </w:r>
      <w:r>
        <w:rPr>
          <w:rFonts w:hint="eastAsia" w:cs="宋体"/>
          <w:kern w:val="2"/>
          <w:sz w:val="24"/>
          <w:szCs w:val="24"/>
          <w:highlight w:val="none"/>
        </w:rPr>
        <w:t>电子签章：</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pPr>
        <w:spacing w:line="360" w:lineRule="auto"/>
        <w:ind w:firstLine="3840" w:firstLineChars="1600"/>
        <w:rPr>
          <w:rFonts w:cs="宋体"/>
          <w:kern w:val="2"/>
          <w:sz w:val="24"/>
          <w:szCs w:val="24"/>
          <w:highlight w:val="none"/>
        </w:rPr>
      </w:pPr>
      <w:r>
        <w:rPr>
          <w:rFonts w:hint="eastAsia" w:cs="宋体"/>
          <w:kern w:val="2"/>
          <w:sz w:val="24"/>
          <w:szCs w:val="24"/>
          <w:highlight w:val="none"/>
        </w:rPr>
        <w:t>日</w:t>
      </w:r>
      <w:r>
        <w:rPr>
          <w:rFonts w:cs="宋体"/>
          <w:kern w:val="2"/>
          <w:sz w:val="24"/>
          <w:szCs w:val="24"/>
          <w:highlight w:val="none"/>
        </w:rPr>
        <w:t xml:space="preserve">   </w:t>
      </w:r>
      <w:r>
        <w:rPr>
          <w:rFonts w:hint="eastAsia" w:cs="宋体"/>
          <w:kern w:val="2"/>
          <w:sz w:val="24"/>
          <w:szCs w:val="24"/>
          <w:highlight w:val="none"/>
        </w:rPr>
        <w:t xml:space="preserve">    </w:t>
      </w:r>
      <w:r>
        <w:rPr>
          <w:rFonts w:cs="宋体"/>
          <w:kern w:val="2"/>
          <w:sz w:val="24"/>
          <w:szCs w:val="24"/>
          <w:highlight w:val="none"/>
        </w:rPr>
        <w:t xml:space="preserve">   </w:t>
      </w:r>
      <w:r>
        <w:rPr>
          <w:rFonts w:hint="eastAsia" w:cs="宋体"/>
          <w:kern w:val="2"/>
          <w:sz w:val="24"/>
          <w:szCs w:val="24"/>
          <w:highlight w:val="none"/>
        </w:rPr>
        <w:t>期：</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pPr>
        <w:widowControl/>
        <w:jc w:val="center"/>
        <w:rPr>
          <w:rFonts w:cs="@仿宋_GB2312"/>
          <w:b/>
          <w:bCs/>
          <w:kern w:val="2"/>
          <w:sz w:val="24"/>
          <w:szCs w:val="24"/>
          <w:highlight w:val="none"/>
        </w:rPr>
      </w:pPr>
      <w:r>
        <w:rPr>
          <w:rFonts w:cs="@仿宋_GB2312"/>
          <w:kern w:val="2"/>
          <w:sz w:val="24"/>
          <w:szCs w:val="24"/>
          <w:highlight w:val="none"/>
        </w:rPr>
        <w:br w:type="page"/>
      </w:r>
      <w:r>
        <w:rPr>
          <w:rFonts w:hint="eastAsia" w:cs="@仿宋_GB2312"/>
          <w:b/>
          <w:bCs/>
          <w:kern w:val="2"/>
          <w:sz w:val="24"/>
          <w:szCs w:val="24"/>
          <w:highlight w:val="none"/>
        </w:rPr>
        <w:t>九、承诺函</w:t>
      </w:r>
    </w:p>
    <w:p>
      <w:pPr>
        <w:spacing w:line="360" w:lineRule="auto"/>
        <w:rPr>
          <w:rFonts w:hint="eastAsia" w:eastAsia="宋体" w:cs="宋体"/>
          <w:b/>
          <w:kern w:val="2"/>
          <w:sz w:val="24"/>
          <w:szCs w:val="24"/>
          <w:highlight w:val="none"/>
          <w:lang w:eastAsia="zh-CN"/>
        </w:rPr>
      </w:pPr>
      <w:r>
        <w:rPr>
          <w:rFonts w:hint="eastAsia" w:cs="宋体"/>
          <w:b/>
          <w:kern w:val="2"/>
          <w:sz w:val="24"/>
          <w:szCs w:val="24"/>
          <w:highlight w:val="none"/>
        </w:rPr>
        <w:t>致：</w:t>
      </w:r>
      <w:r>
        <w:rPr>
          <w:rFonts w:hint="eastAsia" w:cs="宋体"/>
          <w:b/>
          <w:kern w:val="2"/>
          <w:sz w:val="24"/>
          <w:szCs w:val="24"/>
          <w:highlight w:val="none"/>
          <w:u w:val="single"/>
          <w:lang w:eastAsia="zh-CN"/>
        </w:rPr>
        <w:t>肥西综合能源服务有限公司</w:t>
      </w:r>
      <w:r>
        <w:rPr>
          <w:rFonts w:hint="eastAsia" w:cs="宋体"/>
          <w:b/>
          <w:kern w:val="2"/>
          <w:sz w:val="24"/>
          <w:szCs w:val="24"/>
          <w:highlight w:val="none"/>
          <w:u w:val="single"/>
        </w:rPr>
        <w:t>、</w:t>
      </w:r>
      <w:r>
        <w:rPr>
          <w:rFonts w:hint="eastAsia" w:cs="宋体"/>
          <w:b/>
          <w:kern w:val="2"/>
          <w:sz w:val="24"/>
          <w:szCs w:val="24"/>
          <w:highlight w:val="none"/>
          <w:u w:val="single"/>
          <w:lang w:eastAsia="zh-CN"/>
        </w:rPr>
        <w:t>肥西县派合商务服务有限公司</w:t>
      </w:r>
    </w:p>
    <w:p>
      <w:pPr>
        <w:spacing w:line="360" w:lineRule="auto"/>
        <w:ind w:firstLine="480" w:firstLineChars="200"/>
        <w:rPr>
          <w:rFonts w:cs="宋体"/>
          <w:kern w:val="2"/>
          <w:sz w:val="24"/>
          <w:szCs w:val="24"/>
          <w:highlight w:val="none"/>
        </w:rPr>
      </w:pPr>
      <w:r>
        <w:rPr>
          <w:rFonts w:hint="eastAsia" w:cs="宋体"/>
          <w:kern w:val="2"/>
          <w:sz w:val="24"/>
          <w:szCs w:val="24"/>
          <w:highlight w:val="none"/>
        </w:rPr>
        <w:t>我单位参与本项目磋商活动，现郑重承诺如下：</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一、我单位对正常运行及经营的合法性、真实性及有效性负完全责任，并随时无条件配合</w:t>
      </w:r>
      <w:r>
        <w:rPr>
          <w:rFonts w:hint="eastAsia"/>
          <w:sz w:val="24"/>
          <w:szCs w:val="18"/>
          <w:highlight w:val="none"/>
        </w:rPr>
        <w:t>业主单位</w:t>
      </w:r>
      <w:r>
        <w:rPr>
          <w:rFonts w:hint="eastAsia" w:cs="宋体"/>
          <w:kern w:val="2"/>
          <w:sz w:val="24"/>
          <w:szCs w:val="24"/>
          <w:highlight w:val="none"/>
        </w:rPr>
        <w:t>对我单位营业执照有效性进一步核查。</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二、若我单位成交，将严格按照国家及省市行业主管部门规定在项目所在地办理施工许可（如需），并在项目所在地交纳相关税费。</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三、我单位近三年内，未发生重大质量事故和重大安全事故；</w:t>
      </w:r>
    </w:p>
    <w:p>
      <w:pPr>
        <w:spacing w:line="360" w:lineRule="auto"/>
        <w:ind w:firstLine="480" w:firstLineChars="200"/>
        <w:rPr>
          <w:rFonts w:cs="宋体"/>
          <w:kern w:val="2"/>
          <w:sz w:val="24"/>
          <w:szCs w:val="24"/>
          <w:highlight w:val="none"/>
        </w:rPr>
      </w:pPr>
      <w:r>
        <w:rPr>
          <w:rFonts w:hint="eastAsia"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五、我单位近一年内，未发生因拖欠农民工工资被行业管理部门处罚情况；</w:t>
      </w:r>
    </w:p>
    <w:p>
      <w:pPr>
        <w:spacing w:line="360" w:lineRule="auto"/>
        <w:ind w:firstLine="480" w:firstLineChars="200"/>
        <w:rPr>
          <w:rFonts w:cs="宋体"/>
          <w:kern w:val="2"/>
          <w:sz w:val="24"/>
          <w:szCs w:val="24"/>
          <w:highlight w:val="none"/>
        </w:rPr>
      </w:pPr>
      <w:r>
        <w:rPr>
          <w:rFonts w:hint="eastAsia" w:cs="宋体"/>
          <w:kern w:val="2"/>
          <w:sz w:val="24"/>
          <w:szCs w:val="24"/>
          <w:highlight w:val="none"/>
        </w:rPr>
        <w:t>六、我单位近一年内，在项目所在地未出现被相关行业主管部门限制磋商资格情况。</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七、我单位近一年内，未受到在市场行为、施工质量、安全等方面被市级及以上行业管理部门处罚的情况。</w:t>
      </w:r>
    </w:p>
    <w:p>
      <w:pPr>
        <w:spacing w:line="360" w:lineRule="auto"/>
        <w:ind w:firstLine="480" w:firstLineChars="200"/>
        <w:rPr>
          <w:rFonts w:cs="宋体"/>
          <w:kern w:val="2"/>
          <w:sz w:val="24"/>
          <w:szCs w:val="24"/>
          <w:highlight w:val="none"/>
        </w:rPr>
      </w:pPr>
      <w:r>
        <w:rPr>
          <w:rFonts w:hint="eastAsia" w:cs="宋体"/>
          <w:kern w:val="2"/>
          <w:sz w:val="24"/>
          <w:szCs w:val="24"/>
          <w:highlight w:val="none"/>
        </w:rPr>
        <w:t>八、本项目授权委托人为我单位人员，不存在挂靠行为，否则承担相应法律责任，并随时无条件配合监管部门调查取证。</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九、我单位一旦成交，将在磋商文件规定时间内缴纳相关费用、领取</w:t>
      </w:r>
      <w:r>
        <w:rPr>
          <w:rFonts w:hint="eastAsia" w:cs="宋体"/>
          <w:kern w:val="2"/>
          <w:sz w:val="24"/>
          <w:szCs w:val="24"/>
          <w:highlight w:val="none"/>
          <w:lang w:eastAsia="zh-CN"/>
        </w:rPr>
        <w:t>成交确认书</w:t>
      </w:r>
      <w:r>
        <w:rPr>
          <w:rFonts w:hint="eastAsia" w:cs="宋体"/>
          <w:kern w:val="2"/>
          <w:sz w:val="24"/>
          <w:szCs w:val="24"/>
          <w:highlight w:val="none"/>
        </w:rPr>
        <w:t>，并与</w:t>
      </w:r>
      <w:r>
        <w:rPr>
          <w:rFonts w:hint="eastAsia"/>
          <w:sz w:val="24"/>
          <w:szCs w:val="18"/>
          <w:highlight w:val="none"/>
        </w:rPr>
        <w:t>业主单位</w:t>
      </w:r>
      <w:r>
        <w:rPr>
          <w:rFonts w:hint="eastAsia" w:cs="宋体"/>
          <w:kern w:val="2"/>
          <w:sz w:val="24"/>
          <w:szCs w:val="24"/>
          <w:highlight w:val="none"/>
        </w:rPr>
        <w:t>联系并签订合同，组织进场施工事宜，否则贵单位有权取消我单位成交资格。</w:t>
      </w:r>
    </w:p>
    <w:p>
      <w:pPr>
        <w:spacing w:line="360" w:lineRule="auto"/>
        <w:ind w:firstLine="480" w:firstLineChars="200"/>
        <w:rPr>
          <w:rFonts w:cs="宋体"/>
          <w:kern w:val="2"/>
          <w:sz w:val="24"/>
          <w:szCs w:val="24"/>
          <w:highlight w:val="none"/>
        </w:rPr>
      </w:pPr>
      <w:r>
        <w:rPr>
          <w:rFonts w:hint="eastAsia" w:cs="宋体"/>
          <w:kern w:val="2"/>
          <w:sz w:val="24"/>
          <w:szCs w:val="24"/>
          <w:highlight w:val="none"/>
        </w:rPr>
        <w:t>十、我单位在响应文件提交截止时间前已在安徽省按照主管部门相关要求办理信息登记手续，如未按此要求办理信息登记，</w:t>
      </w:r>
      <w:r>
        <w:rPr>
          <w:rFonts w:hint="eastAsia"/>
          <w:sz w:val="24"/>
          <w:szCs w:val="18"/>
          <w:highlight w:val="none"/>
        </w:rPr>
        <w:t>业主单位</w:t>
      </w:r>
      <w:r>
        <w:rPr>
          <w:rFonts w:hint="eastAsia" w:cs="宋体"/>
          <w:kern w:val="2"/>
          <w:sz w:val="24"/>
          <w:szCs w:val="24"/>
          <w:highlight w:val="none"/>
        </w:rPr>
        <w:t>可按照我单位弄虚作假取消我单位成交资格，</w:t>
      </w:r>
      <w:r>
        <w:rPr>
          <w:rFonts w:hint="eastAsia"/>
          <w:sz w:val="24"/>
          <w:szCs w:val="18"/>
          <w:highlight w:val="none"/>
        </w:rPr>
        <w:t>业主单位</w:t>
      </w:r>
      <w:r>
        <w:rPr>
          <w:rFonts w:hint="eastAsia" w:cs="宋体"/>
          <w:kern w:val="2"/>
          <w:sz w:val="24"/>
          <w:szCs w:val="24"/>
          <w:highlight w:val="none"/>
        </w:rPr>
        <w:t>因此原因取消我单位成交资格的，视为我单位无正当理由放弃成交资格，磋商保证金不予退还，同时贵单位可向我单位进一步追偿工期延误造成的一切损失。</w:t>
      </w:r>
      <w:r>
        <w:rPr>
          <w:rFonts w:hint="eastAsia" w:cs="宋体"/>
          <w:i/>
          <w:kern w:val="2"/>
          <w:sz w:val="24"/>
          <w:szCs w:val="24"/>
          <w:highlight w:val="none"/>
        </w:rPr>
        <w:t>（本条仅针对安徽省外建筑业企业，安徽省内建筑业企业此条不需要承诺）</w:t>
      </w:r>
    </w:p>
    <w:p>
      <w:pPr>
        <w:spacing w:line="360" w:lineRule="auto"/>
        <w:ind w:firstLine="4320" w:firstLineChars="1800"/>
        <w:rPr>
          <w:rFonts w:cs="宋体"/>
          <w:kern w:val="2"/>
          <w:sz w:val="24"/>
          <w:szCs w:val="24"/>
          <w:highlight w:val="none"/>
          <w:u w:val="single"/>
        </w:rPr>
      </w:pPr>
      <w:r>
        <w:rPr>
          <w:rFonts w:hint="eastAsia"/>
          <w:sz w:val="24"/>
          <w:szCs w:val="18"/>
          <w:highlight w:val="none"/>
        </w:rPr>
        <w:t>参审单位</w:t>
      </w:r>
      <w:r>
        <w:rPr>
          <w:rFonts w:cs="宋体"/>
          <w:kern w:val="2"/>
          <w:sz w:val="24"/>
          <w:szCs w:val="24"/>
          <w:highlight w:val="none"/>
        </w:rPr>
        <w:t>电子签章</w:t>
      </w:r>
      <w:r>
        <w:rPr>
          <w:rFonts w:hint="eastAsia" w:cs="宋体"/>
          <w:kern w:val="2"/>
          <w:sz w:val="24"/>
          <w:szCs w:val="24"/>
          <w:highlight w:val="none"/>
          <w:u w:val="none"/>
        </w:rPr>
        <w:t>：</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pPr>
        <w:spacing w:line="360" w:lineRule="auto"/>
        <w:ind w:firstLine="4320" w:firstLineChars="1800"/>
        <w:rPr>
          <w:rFonts w:cs="@仿宋_GB2312"/>
          <w:b/>
          <w:bCs/>
          <w:kern w:val="2"/>
          <w:sz w:val="24"/>
          <w:szCs w:val="24"/>
          <w:highlight w:val="none"/>
        </w:rPr>
      </w:pPr>
      <w:r>
        <w:rPr>
          <w:rFonts w:hint="eastAsia" w:cs="宋体"/>
          <w:kern w:val="2"/>
          <w:sz w:val="24"/>
          <w:szCs w:val="24"/>
          <w:highlight w:val="none"/>
        </w:rPr>
        <w:t>法</w:t>
      </w:r>
      <w:r>
        <w:rPr>
          <w:rFonts w:hint="eastAsia" w:cs="宋体"/>
          <w:kern w:val="2"/>
          <w:sz w:val="24"/>
          <w:szCs w:val="24"/>
          <w:highlight w:val="none"/>
          <w:lang w:val="en-US" w:eastAsia="zh-CN"/>
        </w:rPr>
        <w:t xml:space="preserve">  </w:t>
      </w:r>
      <w:r>
        <w:rPr>
          <w:rFonts w:hint="eastAsia" w:cs="宋体"/>
          <w:kern w:val="2"/>
          <w:sz w:val="24"/>
          <w:szCs w:val="24"/>
          <w:highlight w:val="none"/>
        </w:rPr>
        <w:t>定</w:t>
      </w:r>
      <w:r>
        <w:rPr>
          <w:rFonts w:hint="eastAsia" w:cs="宋体"/>
          <w:kern w:val="2"/>
          <w:sz w:val="24"/>
          <w:szCs w:val="24"/>
          <w:highlight w:val="none"/>
          <w:lang w:val="en-US" w:eastAsia="zh-CN"/>
        </w:rPr>
        <w:t xml:space="preserve"> </w:t>
      </w:r>
      <w:r>
        <w:rPr>
          <w:rFonts w:hint="eastAsia" w:cs="宋体"/>
          <w:kern w:val="2"/>
          <w:sz w:val="24"/>
          <w:szCs w:val="24"/>
          <w:highlight w:val="none"/>
        </w:rPr>
        <w:t>代</w:t>
      </w:r>
      <w:r>
        <w:rPr>
          <w:rFonts w:hint="eastAsia" w:cs="宋体"/>
          <w:kern w:val="2"/>
          <w:sz w:val="24"/>
          <w:szCs w:val="24"/>
          <w:highlight w:val="none"/>
          <w:lang w:val="en-US" w:eastAsia="zh-CN"/>
        </w:rPr>
        <w:t xml:space="preserve">  </w:t>
      </w:r>
      <w:r>
        <w:rPr>
          <w:rFonts w:hint="eastAsia" w:cs="宋体"/>
          <w:kern w:val="2"/>
          <w:sz w:val="24"/>
          <w:szCs w:val="24"/>
          <w:highlight w:val="none"/>
        </w:rPr>
        <w:t>表</w:t>
      </w:r>
      <w:r>
        <w:rPr>
          <w:rFonts w:hint="eastAsia" w:cs="宋体"/>
          <w:kern w:val="2"/>
          <w:sz w:val="24"/>
          <w:szCs w:val="24"/>
          <w:highlight w:val="none"/>
          <w:lang w:val="en-US" w:eastAsia="zh-CN"/>
        </w:rPr>
        <w:t xml:space="preserve"> </w:t>
      </w:r>
      <w:r>
        <w:rPr>
          <w:rFonts w:hint="eastAsia" w:cs="宋体"/>
          <w:kern w:val="2"/>
          <w:sz w:val="24"/>
          <w:szCs w:val="24"/>
          <w:highlight w:val="none"/>
        </w:rPr>
        <w:t>人：</w:t>
      </w:r>
      <w:r>
        <w:rPr>
          <w:rFonts w:hint="eastAsia" w:cs="宋体"/>
          <w:kern w:val="2"/>
          <w:sz w:val="24"/>
          <w:szCs w:val="24"/>
          <w:highlight w:val="none"/>
          <w:u w:val="single"/>
          <w:lang w:val="en-US" w:eastAsia="zh-CN"/>
        </w:rPr>
        <w:t xml:space="preserve">  </w:t>
      </w:r>
      <w:r>
        <w:rPr>
          <w:rFonts w:hint="eastAsia" w:cs="宋体"/>
          <w:kern w:val="2"/>
          <w:sz w:val="24"/>
          <w:szCs w:val="24"/>
          <w:highlight w:val="none"/>
          <w:u w:val="single"/>
        </w:rPr>
        <w:t>签字或盖章</w:t>
      </w:r>
      <w:r>
        <w:rPr>
          <w:rFonts w:hint="eastAsia" w:cs="宋体"/>
          <w:kern w:val="2"/>
          <w:sz w:val="24"/>
          <w:szCs w:val="24"/>
          <w:highlight w:val="none"/>
          <w:u w:val="single"/>
          <w:lang w:val="en-US" w:eastAsia="zh-CN"/>
        </w:rPr>
        <w:t xml:space="preserve">   </w:t>
      </w:r>
      <w:r>
        <w:rPr>
          <w:rFonts w:hint="eastAsia" w:ascii="@仿宋_GB2312" w:cs="@仿宋_GB2312"/>
          <w:kern w:val="2"/>
          <w:sz w:val="24"/>
          <w:szCs w:val="28"/>
          <w:highlight w:val="none"/>
        </w:rPr>
        <w:br w:type="page"/>
      </w:r>
      <w:bookmarkStart w:id="632" w:name="_Toc520986200"/>
      <w:r>
        <w:rPr>
          <w:rFonts w:hint="eastAsia" w:cs="@仿宋_GB2312"/>
          <w:b/>
          <w:bCs/>
          <w:kern w:val="2"/>
          <w:sz w:val="24"/>
          <w:szCs w:val="24"/>
          <w:highlight w:val="none"/>
        </w:rPr>
        <w:t>十</w:t>
      </w:r>
      <w:bookmarkEnd w:id="632"/>
      <w:r>
        <w:rPr>
          <w:rFonts w:hint="eastAsia" w:cs="@仿宋_GB2312"/>
          <w:b/>
          <w:bCs/>
          <w:kern w:val="2"/>
          <w:sz w:val="24"/>
          <w:szCs w:val="24"/>
          <w:highlight w:val="none"/>
        </w:rPr>
        <w:t>、项目经理承诺书</w:t>
      </w:r>
    </w:p>
    <w:p>
      <w:pPr>
        <w:spacing w:line="360" w:lineRule="auto"/>
        <w:rPr>
          <w:rFonts w:hint="eastAsia" w:eastAsia="宋体" w:cs="宋体"/>
          <w:kern w:val="2"/>
          <w:sz w:val="24"/>
          <w:szCs w:val="24"/>
          <w:highlight w:val="none"/>
          <w:lang w:eastAsia="zh-CN"/>
        </w:rPr>
      </w:pPr>
      <w:r>
        <w:rPr>
          <w:rFonts w:hint="eastAsia" w:cs="宋体"/>
          <w:b/>
          <w:kern w:val="2"/>
          <w:sz w:val="24"/>
          <w:szCs w:val="24"/>
          <w:highlight w:val="none"/>
        </w:rPr>
        <w:t>致：</w:t>
      </w:r>
      <w:r>
        <w:rPr>
          <w:rFonts w:hint="eastAsia" w:cs="宋体"/>
          <w:b/>
          <w:kern w:val="2"/>
          <w:sz w:val="24"/>
          <w:szCs w:val="24"/>
          <w:highlight w:val="none"/>
          <w:u w:val="single"/>
          <w:lang w:eastAsia="zh-CN"/>
        </w:rPr>
        <w:t>肥西综合能源服务有限公司</w:t>
      </w:r>
      <w:r>
        <w:rPr>
          <w:rFonts w:hint="eastAsia" w:cs="宋体"/>
          <w:b/>
          <w:kern w:val="2"/>
          <w:sz w:val="24"/>
          <w:szCs w:val="24"/>
          <w:highlight w:val="none"/>
          <w:u w:val="single"/>
        </w:rPr>
        <w:t>、</w:t>
      </w:r>
      <w:r>
        <w:rPr>
          <w:rFonts w:hint="eastAsia" w:cs="宋体"/>
          <w:b/>
          <w:kern w:val="2"/>
          <w:sz w:val="24"/>
          <w:szCs w:val="24"/>
          <w:highlight w:val="none"/>
          <w:u w:val="single"/>
          <w:lang w:eastAsia="zh-CN"/>
        </w:rPr>
        <w:t>肥西县派合商务服务有限公司</w:t>
      </w:r>
    </w:p>
    <w:p>
      <w:pPr>
        <w:spacing w:line="360" w:lineRule="auto"/>
        <w:ind w:firstLine="480" w:firstLineChars="200"/>
        <w:rPr>
          <w:rFonts w:cs="宋体"/>
          <w:kern w:val="2"/>
          <w:sz w:val="24"/>
          <w:szCs w:val="24"/>
          <w:highlight w:val="none"/>
        </w:rPr>
      </w:pPr>
      <w:r>
        <w:rPr>
          <w:rFonts w:hint="eastAsia" w:cs="宋体"/>
          <w:kern w:val="2"/>
          <w:sz w:val="24"/>
          <w:szCs w:val="24"/>
          <w:highlight w:val="none"/>
        </w:rPr>
        <w:t>本人作为我单位在本项目磋商担任的项目经理，郑重承诺：</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二</w:t>
      </w:r>
      <w:r>
        <w:rPr>
          <w:rFonts w:cs="宋体"/>
          <w:kern w:val="2"/>
          <w:sz w:val="24"/>
          <w:szCs w:val="24"/>
          <w:highlight w:val="none"/>
        </w:rPr>
        <w:t>、</w:t>
      </w:r>
      <w:r>
        <w:rPr>
          <w:rFonts w:hint="eastAsia"/>
          <w:bCs/>
          <w:sz w:val="24"/>
          <w:szCs w:val="21"/>
          <w:highlight w:val="none"/>
        </w:rPr>
        <w:t>目前无在岗项目或虽在其他项目上担任项目经理岗位，但承诺在本项目成交后合同签订前能够从其他项目变更至本项目并全面履约。</w:t>
      </w:r>
    </w:p>
    <w:p>
      <w:pPr>
        <w:spacing w:line="360" w:lineRule="auto"/>
        <w:ind w:firstLine="480" w:firstLineChars="200"/>
        <w:rPr>
          <w:rFonts w:cs="宋体"/>
          <w:kern w:val="2"/>
          <w:sz w:val="24"/>
          <w:szCs w:val="24"/>
          <w:highlight w:val="none"/>
        </w:rPr>
      </w:pPr>
      <w:r>
        <w:rPr>
          <w:rFonts w:hint="eastAsia" w:cs="宋体"/>
          <w:kern w:val="2"/>
          <w:sz w:val="24"/>
          <w:szCs w:val="24"/>
          <w:highlight w:val="none"/>
        </w:rPr>
        <w:t>三、本人承诺，一旦成交，将严格按照磋商文件规定履约。</w:t>
      </w:r>
    </w:p>
    <w:p>
      <w:pPr>
        <w:spacing w:line="360" w:lineRule="auto"/>
        <w:ind w:firstLine="480" w:firstLineChars="200"/>
        <w:rPr>
          <w:rFonts w:cs="宋体"/>
          <w:kern w:val="2"/>
          <w:sz w:val="24"/>
          <w:szCs w:val="24"/>
          <w:highlight w:val="none"/>
        </w:rPr>
      </w:pPr>
      <w:r>
        <w:rPr>
          <w:rFonts w:hint="eastAsia" w:cs="宋体"/>
          <w:kern w:val="2"/>
          <w:sz w:val="24"/>
          <w:szCs w:val="24"/>
          <w:highlight w:val="none"/>
        </w:rPr>
        <w:t>四、本人声明，对以上承诺，一旦发现虚假现象，本人愿意承担相应法律责任，并随时无条件配合监管部门调查取证。</w:t>
      </w:r>
    </w:p>
    <w:p>
      <w:pPr>
        <w:spacing w:line="360" w:lineRule="auto"/>
        <w:ind w:firstLine="480" w:firstLineChars="200"/>
        <w:rPr>
          <w:rFonts w:cs="宋体"/>
          <w:kern w:val="2"/>
          <w:sz w:val="24"/>
          <w:szCs w:val="24"/>
          <w:highlight w:val="none"/>
        </w:rPr>
      </w:pPr>
    </w:p>
    <w:p>
      <w:pPr>
        <w:spacing w:line="360" w:lineRule="auto"/>
        <w:ind w:firstLine="4200" w:firstLineChars="1750"/>
        <w:rPr>
          <w:rFonts w:cs="宋体"/>
          <w:kern w:val="2"/>
          <w:sz w:val="24"/>
          <w:szCs w:val="24"/>
          <w:highlight w:val="none"/>
        </w:rPr>
      </w:pPr>
      <w:r>
        <w:rPr>
          <w:rFonts w:hint="eastAsia" w:cs="宋体"/>
          <w:kern w:val="2"/>
          <w:sz w:val="24"/>
          <w:szCs w:val="24"/>
          <w:highlight w:val="none"/>
        </w:rPr>
        <w:t>项目经理签字：</w:t>
      </w:r>
      <w:r>
        <w:rPr>
          <w:rFonts w:hint="eastAsia" w:cs="宋体"/>
          <w:kern w:val="2"/>
          <w:sz w:val="24"/>
          <w:szCs w:val="24"/>
          <w:highlight w:val="none"/>
          <w:u w:val="single"/>
        </w:rPr>
        <w:t xml:space="preserve">                   </w:t>
      </w:r>
    </w:p>
    <w:p>
      <w:pPr>
        <w:spacing w:line="360" w:lineRule="auto"/>
        <w:ind w:firstLine="4200" w:firstLineChars="1750"/>
        <w:rPr>
          <w:rFonts w:cs="宋体"/>
          <w:kern w:val="2"/>
          <w:sz w:val="24"/>
          <w:szCs w:val="24"/>
          <w:highlight w:val="none"/>
        </w:rPr>
      </w:pPr>
      <w:r>
        <w:rPr>
          <w:rFonts w:hint="eastAsia" w:cs="宋体"/>
          <w:kern w:val="2"/>
          <w:sz w:val="24"/>
          <w:szCs w:val="24"/>
          <w:highlight w:val="none"/>
        </w:rPr>
        <w:t>身</w:t>
      </w:r>
      <w:r>
        <w:rPr>
          <w:rFonts w:hint="eastAsia" w:cs="宋体"/>
          <w:kern w:val="2"/>
          <w:sz w:val="24"/>
          <w:szCs w:val="24"/>
          <w:highlight w:val="none"/>
          <w:lang w:val="en-US" w:eastAsia="zh-CN"/>
        </w:rPr>
        <w:t xml:space="preserve"> </w:t>
      </w:r>
      <w:r>
        <w:rPr>
          <w:rFonts w:hint="eastAsia" w:cs="宋体"/>
          <w:kern w:val="2"/>
          <w:sz w:val="24"/>
          <w:szCs w:val="24"/>
          <w:highlight w:val="none"/>
        </w:rPr>
        <w:t>份</w:t>
      </w:r>
      <w:r>
        <w:rPr>
          <w:rFonts w:hint="eastAsia" w:cs="宋体"/>
          <w:kern w:val="2"/>
          <w:sz w:val="24"/>
          <w:szCs w:val="24"/>
          <w:highlight w:val="none"/>
          <w:lang w:val="en-US" w:eastAsia="zh-CN"/>
        </w:rPr>
        <w:t xml:space="preserve">  </w:t>
      </w:r>
      <w:r>
        <w:rPr>
          <w:rFonts w:hint="eastAsia" w:cs="宋体"/>
          <w:kern w:val="2"/>
          <w:sz w:val="24"/>
          <w:szCs w:val="24"/>
          <w:highlight w:val="none"/>
        </w:rPr>
        <w:t>证</w:t>
      </w:r>
      <w:r>
        <w:rPr>
          <w:rFonts w:hint="eastAsia" w:cs="宋体"/>
          <w:kern w:val="2"/>
          <w:sz w:val="24"/>
          <w:szCs w:val="24"/>
          <w:highlight w:val="none"/>
          <w:lang w:val="en-US" w:eastAsia="zh-CN"/>
        </w:rPr>
        <w:t xml:space="preserve"> </w:t>
      </w:r>
      <w:r>
        <w:rPr>
          <w:rFonts w:hint="eastAsia" w:cs="宋体"/>
          <w:kern w:val="2"/>
          <w:sz w:val="24"/>
          <w:szCs w:val="24"/>
          <w:highlight w:val="none"/>
        </w:rPr>
        <w:t>号：</w:t>
      </w:r>
      <w:r>
        <w:rPr>
          <w:rFonts w:hint="eastAsia" w:cs="宋体"/>
          <w:kern w:val="2"/>
          <w:sz w:val="24"/>
          <w:szCs w:val="24"/>
          <w:highlight w:val="none"/>
          <w:u w:val="single"/>
        </w:rPr>
        <w:t xml:space="preserve">                    </w:t>
      </w:r>
    </w:p>
    <w:p>
      <w:pPr>
        <w:spacing w:line="360" w:lineRule="auto"/>
        <w:ind w:firstLine="4200" w:firstLineChars="1750"/>
        <w:rPr>
          <w:rFonts w:cs="宋体"/>
          <w:kern w:val="2"/>
          <w:sz w:val="24"/>
          <w:szCs w:val="24"/>
          <w:highlight w:val="none"/>
        </w:rPr>
      </w:pPr>
      <w:r>
        <w:rPr>
          <w:rFonts w:hint="eastAsia" w:cs="宋体"/>
          <w:kern w:val="2"/>
          <w:sz w:val="24"/>
          <w:szCs w:val="24"/>
          <w:highlight w:val="none"/>
        </w:rPr>
        <w:t xml:space="preserve">日   </w:t>
      </w:r>
      <w:r>
        <w:rPr>
          <w:rFonts w:hint="eastAsia" w:cs="宋体"/>
          <w:kern w:val="2"/>
          <w:sz w:val="24"/>
          <w:szCs w:val="24"/>
          <w:highlight w:val="none"/>
          <w:lang w:val="en-US" w:eastAsia="zh-CN"/>
        </w:rPr>
        <w:t xml:space="preserve">    </w:t>
      </w:r>
      <w:r>
        <w:rPr>
          <w:rFonts w:hint="eastAsia" w:cs="宋体"/>
          <w:kern w:val="2"/>
          <w:sz w:val="24"/>
          <w:szCs w:val="24"/>
          <w:highlight w:val="none"/>
        </w:rPr>
        <w:t xml:space="preserve"> 期：</w:t>
      </w:r>
      <w:r>
        <w:rPr>
          <w:rFonts w:hint="eastAsia" w:cs="宋体"/>
          <w:kern w:val="2"/>
          <w:sz w:val="24"/>
          <w:szCs w:val="24"/>
          <w:highlight w:val="none"/>
          <w:u w:val="single"/>
        </w:rPr>
        <w:t xml:space="preserve"> </w:t>
      </w:r>
      <w:r>
        <w:rPr>
          <w:rFonts w:cs="宋体"/>
          <w:kern w:val="2"/>
          <w:sz w:val="24"/>
          <w:szCs w:val="24"/>
          <w:highlight w:val="none"/>
          <w:u w:val="single"/>
        </w:rPr>
        <w:t xml:space="preserve"> </w:t>
      </w:r>
      <w:r>
        <w:rPr>
          <w:rFonts w:hint="eastAsia" w:cs="宋体"/>
          <w:kern w:val="2"/>
          <w:sz w:val="24"/>
          <w:szCs w:val="24"/>
          <w:highlight w:val="none"/>
          <w:u w:val="single"/>
        </w:rPr>
        <w:t xml:space="preserve">                  </w:t>
      </w:r>
    </w:p>
    <w:p>
      <w:pPr>
        <w:spacing w:line="360" w:lineRule="auto"/>
        <w:ind w:firstLine="480" w:firstLineChars="200"/>
        <w:rPr>
          <w:rFonts w:cs="宋体"/>
          <w:kern w:val="2"/>
          <w:sz w:val="24"/>
          <w:szCs w:val="24"/>
          <w:highlight w:val="none"/>
        </w:rPr>
      </w:pPr>
    </w:p>
    <w:p>
      <w:pPr>
        <w:spacing w:line="360" w:lineRule="auto"/>
        <w:ind w:firstLine="480" w:firstLineChars="200"/>
        <w:rPr>
          <w:rFonts w:cs="宋体"/>
          <w:kern w:val="2"/>
          <w:sz w:val="24"/>
          <w:szCs w:val="24"/>
          <w:highlight w:val="none"/>
        </w:rPr>
      </w:pPr>
      <w:r>
        <w:rPr>
          <w:rFonts w:hint="eastAsia" w:cs="宋体"/>
          <w:kern w:val="2"/>
          <w:sz w:val="24"/>
          <w:szCs w:val="24"/>
          <w:highlight w:val="none"/>
        </w:rPr>
        <w:t>注：本页后附项目经理身份证明扫描件。</w:t>
      </w:r>
    </w:p>
    <w:p>
      <w:pPr>
        <w:spacing w:line="360" w:lineRule="auto"/>
        <w:jc w:val="center"/>
        <w:rPr>
          <w:rFonts w:cs="@仿宋_GB2312"/>
          <w:b/>
          <w:bCs/>
          <w:kern w:val="2"/>
          <w:sz w:val="24"/>
          <w:szCs w:val="24"/>
          <w:highlight w:val="none"/>
        </w:rPr>
      </w:pPr>
      <w:bookmarkStart w:id="633" w:name="_Toc438648628"/>
      <w:r>
        <w:rPr>
          <w:rFonts w:hint="eastAsia" w:ascii="@仿宋_GB2312" w:eastAsia="@仿宋_GB2312" w:cs="宋体"/>
          <w:b/>
          <w:kern w:val="2"/>
          <w:sz w:val="24"/>
          <w:szCs w:val="24"/>
          <w:highlight w:val="none"/>
        </w:rPr>
        <w:br w:type="page"/>
      </w:r>
      <w:bookmarkEnd w:id="633"/>
      <w:r>
        <w:rPr>
          <w:rFonts w:hint="eastAsia" w:cs="@仿宋_GB2312"/>
          <w:b/>
          <w:bCs/>
          <w:kern w:val="2"/>
          <w:sz w:val="24"/>
          <w:szCs w:val="24"/>
          <w:highlight w:val="none"/>
        </w:rPr>
        <w:t>十一、磋商业绩承诺函</w:t>
      </w:r>
    </w:p>
    <w:p>
      <w:pPr>
        <w:jc w:val="center"/>
        <w:rPr>
          <w:rFonts w:eastAsia="@仿宋_GB2312" w:cs="@仿宋_GB2312"/>
          <w:kern w:val="2"/>
          <w:sz w:val="21"/>
          <w:highlight w:val="none"/>
        </w:rPr>
      </w:pPr>
    </w:p>
    <w:p>
      <w:pPr>
        <w:spacing w:line="360" w:lineRule="auto"/>
        <w:ind w:firstLine="480" w:firstLineChars="200"/>
        <w:rPr>
          <w:rFonts w:cs="宋体"/>
          <w:kern w:val="2"/>
          <w:sz w:val="24"/>
          <w:szCs w:val="24"/>
          <w:highlight w:val="none"/>
        </w:rPr>
      </w:pPr>
      <w:r>
        <w:rPr>
          <w:rFonts w:hint="eastAsia" w:cs="宋体"/>
          <w:kern w:val="2"/>
          <w:sz w:val="24"/>
          <w:szCs w:val="24"/>
          <w:highlight w:val="none"/>
        </w:rPr>
        <w:t>我公司同意成交结果公告中公示以下业绩并承诺：响应文件中所提供的业绩均真实有效，若被发现存在任何虚假、隐瞒情况，我公司承担由此产生的一切后果。</w:t>
      </w:r>
    </w:p>
    <w:p>
      <w:pPr>
        <w:spacing w:line="360" w:lineRule="auto"/>
        <w:jc w:val="center"/>
        <w:rPr>
          <w:rFonts w:cs="宋体"/>
          <w:kern w:val="2"/>
          <w:sz w:val="24"/>
          <w:szCs w:val="24"/>
          <w:highlight w:val="none"/>
        </w:rPr>
      </w:pPr>
    </w:p>
    <w:p>
      <w:pPr>
        <w:spacing w:line="360" w:lineRule="auto"/>
        <w:ind w:firstLine="3840" w:firstLineChars="1600"/>
        <w:rPr>
          <w:rFonts w:cs="宋体"/>
          <w:kern w:val="2"/>
          <w:sz w:val="24"/>
          <w:szCs w:val="24"/>
          <w:highlight w:val="none"/>
        </w:rPr>
      </w:pPr>
      <w:r>
        <w:rPr>
          <w:rFonts w:hint="eastAsia"/>
          <w:sz w:val="24"/>
          <w:szCs w:val="18"/>
          <w:highlight w:val="none"/>
        </w:rPr>
        <w:t>参审单位</w:t>
      </w:r>
      <w:r>
        <w:rPr>
          <w:rFonts w:hint="eastAsia" w:cs="宋体"/>
          <w:kern w:val="2"/>
          <w:sz w:val="24"/>
          <w:szCs w:val="24"/>
          <w:highlight w:val="none"/>
        </w:rPr>
        <w:t>电子签章：</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pPr>
        <w:spacing w:line="360" w:lineRule="auto"/>
        <w:ind w:firstLine="3840" w:firstLineChars="1600"/>
        <w:rPr>
          <w:rFonts w:cs="宋体"/>
          <w:kern w:val="2"/>
          <w:sz w:val="24"/>
          <w:szCs w:val="24"/>
          <w:highlight w:val="none"/>
        </w:rPr>
      </w:pPr>
      <w:r>
        <w:rPr>
          <w:rFonts w:hint="eastAsia" w:cs="宋体"/>
          <w:kern w:val="2"/>
          <w:sz w:val="24"/>
          <w:szCs w:val="24"/>
          <w:highlight w:val="none"/>
        </w:rPr>
        <w:t>日</w:t>
      </w:r>
      <w:r>
        <w:rPr>
          <w:rFonts w:cs="宋体"/>
          <w:kern w:val="2"/>
          <w:sz w:val="24"/>
          <w:szCs w:val="24"/>
          <w:highlight w:val="none"/>
        </w:rPr>
        <w:t xml:space="preserve">   </w:t>
      </w:r>
      <w:r>
        <w:rPr>
          <w:rFonts w:hint="eastAsia" w:cs="宋体"/>
          <w:kern w:val="2"/>
          <w:sz w:val="24"/>
          <w:szCs w:val="24"/>
          <w:highlight w:val="none"/>
        </w:rPr>
        <w:t xml:space="preserve">    </w:t>
      </w:r>
      <w:r>
        <w:rPr>
          <w:rFonts w:cs="宋体"/>
          <w:kern w:val="2"/>
          <w:sz w:val="24"/>
          <w:szCs w:val="24"/>
          <w:highlight w:val="none"/>
        </w:rPr>
        <w:t xml:space="preserve">   </w:t>
      </w:r>
      <w:r>
        <w:rPr>
          <w:rFonts w:hint="eastAsia" w:cs="宋体"/>
          <w:kern w:val="2"/>
          <w:sz w:val="24"/>
          <w:szCs w:val="24"/>
          <w:highlight w:val="none"/>
          <w:lang w:val="en-US" w:eastAsia="zh-CN"/>
        </w:rPr>
        <w:t xml:space="preserve">  </w:t>
      </w:r>
      <w:r>
        <w:rPr>
          <w:rFonts w:hint="eastAsia" w:cs="宋体"/>
          <w:kern w:val="2"/>
          <w:sz w:val="24"/>
          <w:szCs w:val="24"/>
          <w:highlight w:val="none"/>
        </w:rPr>
        <w:t>期：</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pPr>
        <w:spacing w:line="360" w:lineRule="auto"/>
        <w:rPr>
          <w:rFonts w:eastAsia="@仿宋_GB2312" w:cs="@仿宋_GB2312"/>
          <w:kern w:val="2"/>
          <w:sz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pPr>
              <w:spacing w:line="360" w:lineRule="auto"/>
              <w:jc w:val="center"/>
              <w:rPr>
                <w:rFonts w:cs="宋体"/>
                <w:b/>
                <w:kern w:val="2"/>
                <w:sz w:val="24"/>
                <w:szCs w:val="24"/>
                <w:highlight w:val="none"/>
              </w:rPr>
            </w:pPr>
            <w:r>
              <w:rPr>
                <w:rFonts w:hint="eastAsia" w:cs="宋体"/>
                <w:b/>
                <w:kern w:val="2"/>
                <w:sz w:val="24"/>
                <w:szCs w:val="24"/>
                <w:highlight w:val="none"/>
              </w:rPr>
              <w:t>序号</w:t>
            </w:r>
          </w:p>
        </w:tc>
        <w:tc>
          <w:tcPr>
            <w:tcW w:w="4174" w:type="dxa"/>
            <w:vAlign w:val="center"/>
          </w:tcPr>
          <w:p>
            <w:pPr>
              <w:spacing w:line="360" w:lineRule="auto"/>
              <w:jc w:val="center"/>
              <w:rPr>
                <w:rFonts w:cs="宋体"/>
                <w:b/>
                <w:kern w:val="2"/>
                <w:sz w:val="24"/>
                <w:szCs w:val="24"/>
                <w:highlight w:val="none"/>
              </w:rPr>
            </w:pPr>
            <w:r>
              <w:rPr>
                <w:rFonts w:hint="eastAsia" w:cs="宋体"/>
                <w:b/>
                <w:kern w:val="2"/>
                <w:sz w:val="24"/>
                <w:szCs w:val="24"/>
                <w:highlight w:val="none"/>
              </w:rPr>
              <w:t>项目名称</w:t>
            </w:r>
          </w:p>
        </w:tc>
        <w:tc>
          <w:tcPr>
            <w:tcW w:w="2320" w:type="dxa"/>
            <w:vAlign w:val="center"/>
          </w:tcPr>
          <w:p>
            <w:pPr>
              <w:widowControl/>
              <w:spacing w:line="360" w:lineRule="auto"/>
              <w:jc w:val="center"/>
              <w:rPr>
                <w:rFonts w:cs="宋体"/>
                <w:b/>
                <w:kern w:val="2"/>
                <w:sz w:val="24"/>
                <w:szCs w:val="24"/>
                <w:highlight w:val="none"/>
              </w:rPr>
            </w:pPr>
            <w:r>
              <w:rPr>
                <w:rFonts w:hint="eastAsia" w:cs="宋体"/>
                <w:b/>
                <w:kern w:val="2"/>
                <w:sz w:val="24"/>
                <w:szCs w:val="24"/>
                <w:highlight w:val="none"/>
              </w:rPr>
              <w:t>工程内容</w:t>
            </w:r>
          </w:p>
        </w:tc>
        <w:tc>
          <w:tcPr>
            <w:tcW w:w="1069" w:type="dxa"/>
            <w:vAlign w:val="center"/>
          </w:tcPr>
          <w:p>
            <w:pPr>
              <w:spacing w:line="360" w:lineRule="auto"/>
              <w:jc w:val="center"/>
              <w:rPr>
                <w:rFonts w:cs="宋体"/>
                <w:b/>
                <w:kern w:val="2"/>
                <w:sz w:val="24"/>
                <w:szCs w:val="24"/>
                <w:highlight w:val="none"/>
              </w:rPr>
            </w:pPr>
            <w:r>
              <w:rPr>
                <w:rFonts w:hint="eastAsia" w:cs="宋体"/>
                <w:b/>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highlight w:val="none"/>
              </w:rPr>
            </w:pPr>
            <w:r>
              <w:rPr>
                <w:rFonts w:hint="eastAsia" w:cs="宋体"/>
                <w:bCs/>
                <w:kern w:val="2"/>
                <w:sz w:val="24"/>
                <w:szCs w:val="24"/>
                <w:highlight w:val="none"/>
              </w:rPr>
              <w:t>1</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highlight w:val="none"/>
              </w:rPr>
            </w:pPr>
            <w:r>
              <w:rPr>
                <w:rFonts w:hint="eastAsia" w:cs="宋体"/>
                <w:bCs/>
                <w:kern w:val="2"/>
                <w:sz w:val="24"/>
                <w:szCs w:val="24"/>
                <w:highlight w:val="none"/>
              </w:rPr>
              <w:t>2</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highlight w:val="none"/>
              </w:rPr>
            </w:pPr>
            <w:r>
              <w:rPr>
                <w:rFonts w:hint="eastAsia" w:cs="宋体"/>
                <w:bCs/>
                <w:kern w:val="2"/>
                <w:sz w:val="24"/>
                <w:szCs w:val="24"/>
                <w:highlight w:val="none"/>
              </w:rPr>
              <w:t>3</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highlight w:val="none"/>
              </w:rPr>
            </w:pPr>
            <w:r>
              <w:rPr>
                <w:rFonts w:hint="eastAsia" w:cs="宋体"/>
                <w:bCs/>
                <w:kern w:val="2"/>
                <w:sz w:val="24"/>
                <w:szCs w:val="24"/>
                <w:highlight w:val="none"/>
              </w:rPr>
              <w:t>4</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highlight w:val="none"/>
              </w:rPr>
            </w:pPr>
            <w:r>
              <w:rPr>
                <w:rFonts w:hint="eastAsia" w:cs="宋体"/>
                <w:bCs/>
                <w:kern w:val="2"/>
                <w:sz w:val="24"/>
                <w:szCs w:val="24"/>
                <w:highlight w:val="none"/>
              </w:rPr>
              <w:t>5</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
                <w:kern w:val="2"/>
                <w:sz w:val="24"/>
                <w:szCs w:val="24"/>
                <w:highlight w:val="none"/>
              </w:rPr>
            </w:pPr>
            <w:r>
              <w:rPr>
                <w:rFonts w:hint="eastAsia" w:cs="宋体"/>
                <w:b/>
                <w:kern w:val="2"/>
                <w:sz w:val="24"/>
                <w:szCs w:val="24"/>
                <w:highlight w:val="none"/>
              </w:rPr>
              <w:t>……</w:t>
            </w:r>
          </w:p>
        </w:tc>
        <w:tc>
          <w:tcPr>
            <w:tcW w:w="4174" w:type="dxa"/>
            <w:vAlign w:val="center"/>
          </w:tcPr>
          <w:p>
            <w:pPr>
              <w:spacing w:line="360" w:lineRule="auto"/>
              <w:jc w:val="center"/>
              <w:rPr>
                <w:rFonts w:cs="宋体"/>
                <w:b/>
                <w:kern w:val="2"/>
                <w:sz w:val="24"/>
                <w:szCs w:val="24"/>
                <w:highlight w:val="none"/>
              </w:rPr>
            </w:pPr>
          </w:p>
        </w:tc>
        <w:tc>
          <w:tcPr>
            <w:tcW w:w="2320" w:type="dxa"/>
            <w:vAlign w:val="center"/>
          </w:tcPr>
          <w:p>
            <w:pPr>
              <w:spacing w:line="360" w:lineRule="auto"/>
              <w:jc w:val="center"/>
              <w:rPr>
                <w:rFonts w:cs="宋体"/>
                <w:b/>
                <w:kern w:val="2"/>
                <w:sz w:val="24"/>
                <w:szCs w:val="24"/>
                <w:highlight w:val="none"/>
              </w:rPr>
            </w:pPr>
          </w:p>
        </w:tc>
        <w:tc>
          <w:tcPr>
            <w:tcW w:w="1069" w:type="dxa"/>
            <w:vAlign w:val="center"/>
          </w:tcPr>
          <w:p>
            <w:pPr>
              <w:spacing w:line="360" w:lineRule="auto"/>
              <w:jc w:val="center"/>
              <w:rPr>
                <w:rFonts w:cs="宋体"/>
                <w:b/>
                <w:kern w:val="2"/>
                <w:sz w:val="24"/>
                <w:szCs w:val="24"/>
                <w:highlight w:val="none"/>
              </w:rPr>
            </w:pPr>
          </w:p>
        </w:tc>
      </w:tr>
    </w:tbl>
    <w:p>
      <w:pPr>
        <w:spacing w:line="360" w:lineRule="auto"/>
        <w:ind w:firstLine="480" w:firstLineChars="200"/>
        <w:rPr>
          <w:rFonts w:cs="宋体"/>
          <w:kern w:val="2"/>
          <w:sz w:val="24"/>
          <w:szCs w:val="24"/>
          <w:highlight w:val="none"/>
        </w:rPr>
      </w:pPr>
      <w:r>
        <w:rPr>
          <w:rFonts w:hint="eastAsia" w:cs="宋体"/>
          <w:kern w:val="2"/>
          <w:sz w:val="24"/>
          <w:szCs w:val="24"/>
          <w:highlight w:val="none"/>
        </w:rPr>
        <w:t>备注：</w:t>
      </w:r>
    </w:p>
    <w:p>
      <w:pPr>
        <w:spacing w:line="360" w:lineRule="auto"/>
        <w:ind w:firstLine="480" w:firstLineChars="200"/>
        <w:rPr>
          <w:rFonts w:cs="宋体"/>
          <w:kern w:val="2"/>
          <w:sz w:val="24"/>
          <w:szCs w:val="24"/>
          <w:highlight w:val="none"/>
        </w:rPr>
      </w:pPr>
      <w:r>
        <w:rPr>
          <w:rFonts w:hint="eastAsia" w:cs="宋体"/>
          <w:kern w:val="2"/>
          <w:sz w:val="24"/>
          <w:szCs w:val="24"/>
          <w:highlight w:val="none"/>
        </w:rPr>
        <w:t>1</w:t>
      </w:r>
      <w:r>
        <w:rPr>
          <w:rFonts w:hint="eastAsia" w:cs="宋体"/>
          <w:kern w:val="2"/>
          <w:sz w:val="24"/>
          <w:szCs w:val="24"/>
          <w:highlight w:val="none"/>
          <w:lang w:eastAsia="zh-CN"/>
        </w:rPr>
        <w:t>、</w:t>
      </w:r>
      <w:r>
        <w:rPr>
          <w:rFonts w:hint="eastAsia" w:cs="宋体"/>
          <w:kern w:val="2"/>
          <w:sz w:val="24"/>
          <w:szCs w:val="24"/>
          <w:highlight w:val="none"/>
        </w:rPr>
        <w:t>表中所列业绩应为</w:t>
      </w:r>
      <w:r>
        <w:rPr>
          <w:rFonts w:hint="eastAsia"/>
          <w:sz w:val="24"/>
          <w:szCs w:val="18"/>
          <w:highlight w:val="none"/>
        </w:rPr>
        <w:t>参审单位</w:t>
      </w:r>
      <w:r>
        <w:rPr>
          <w:rFonts w:hint="eastAsia" w:cs="宋体"/>
          <w:kern w:val="2"/>
          <w:sz w:val="24"/>
          <w:szCs w:val="24"/>
          <w:highlight w:val="none"/>
        </w:rPr>
        <w:t xml:space="preserve">满足本磋商文件要求的业绩； </w:t>
      </w:r>
    </w:p>
    <w:p>
      <w:pPr>
        <w:spacing w:line="360" w:lineRule="auto"/>
        <w:ind w:firstLine="480" w:firstLineChars="200"/>
        <w:rPr>
          <w:rFonts w:cs="宋体"/>
          <w:kern w:val="2"/>
          <w:sz w:val="24"/>
          <w:szCs w:val="24"/>
          <w:highlight w:val="none"/>
        </w:rPr>
      </w:pPr>
      <w:r>
        <w:rPr>
          <w:rFonts w:hint="eastAsia" w:cs="宋体"/>
          <w:kern w:val="2"/>
          <w:sz w:val="24"/>
          <w:szCs w:val="24"/>
          <w:highlight w:val="none"/>
        </w:rPr>
        <w:t>2</w:t>
      </w:r>
      <w:r>
        <w:rPr>
          <w:rFonts w:hint="eastAsia" w:cs="宋体"/>
          <w:kern w:val="2"/>
          <w:sz w:val="24"/>
          <w:szCs w:val="24"/>
          <w:highlight w:val="none"/>
          <w:lang w:eastAsia="zh-CN"/>
        </w:rPr>
        <w:t>、</w:t>
      </w:r>
      <w:r>
        <w:rPr>
          <w:rFonts w:hint="eastAsia" w:cs="宋体"/>
          <w:kern w:val="2"/>
          <w:sz w:val="24"/>
          <w:szCs w:val="24"/>
          <w:highlight w:val="none"/>
        </w:rPr>
        <w:t>成交人提供的以上业绩情况，如磋商文件《</w:t>
      </w:r>
      <w:r>
        <w:rPr>
          <w:rFonts w:hint="eastAsia"/>
          <w:sz w:val="24"/>
          <w:szCs w:val="18"/>
          <w:highlight w:val="none"/>
        </w:rPr>
        <w:t>参审单位</w:t>
      </w:r>
      <w:r>
        <w:rPr>
          <w:rFonts w:hint="eastAsia" w:cs="宋体"/>
          <w:kern w:val="2"/>
          <w:sz w:val="24"/>
          <w:szCs w:val="24"/>
          <w:highlight w:val="none"/>
        </w:rPr>
        <w:t>须知前附表》有约定的，将按约定随成交结果公告同时公告。</w:t>
      </w:r>
    </w:p>
    <w:p>
      <w:pPr>
        <w:spacing w:line="360" w:lineRule="auto"/>
        <w:jc w:val="center"/>
        <w:rPr>
          <w:b/>
          <w:sz w:val="24"/>
          <w:highlight w:val="none"/>
        </w:rPr>
      </w:pPr>
      <w:r>
        <w:rPr>
          <w:sz w:val="24"/>
          <w:highlight w:val="none"/>
        </w:rPr>
        <w:br w:type="page"/>
      </w:r>
      <w:bookmarkStart w:id="634" w:name="_Hlk44283088"/>
      <w:r>
        <w:rPr>
          <w:rFonts w:hint="eastAsia"/>
          <w:b/>
          <w:sz w:val="24"/>
          <w:highlight w:val="none"/>
        </w:rPr>
        <w:t>十二、磋商保证金退还声明</w:t>
      </w:r>
    </w:p>
    <w:p>
      <w:pPr>
        <w:spacing w:before="156" w:beforeLines="50" w:after="156" w:afterLines="50" w:line="360" w:lineRule="auto"/>
        <w:ind w:firstLine="480" w:firstLineChars="200"/>
        <w:rPr>
          <w:rFonts w:hint="eastAsia" w:eastAsia="宋体"/>
          <w:sz w:val="24"/>
          <w:highlight w:val="none"/>
          <w:u w:val="single"/>
          <w:lang w:eastAsia="zh-CN"/>
        </w:rPr>
      </w:pPr>
      <w:r>
        <w:rPr>
          <w:rFonts w:hint="eastAsia"/>
          <w:sz w:val="24"/>
          <w:highlight w:val="none"/>
        </w:rPr>
        <w:t>项目名称：</w:t>
      </w:r>
      <w:r>
        <w:rPr>
          <w:rFonts w:hint="eastAsia"/>
          <w:sz w:val="24"/>
          <w:highlight w:val="none"/>
          <w:u w:val="single"/>
          <w:lang w:eastAsia="zh-CN"/>
        </w:rPr>
        <w:t>肥西县上派镇光明府光储充放一体化充电站项目</w:t>
      </w:r>
    </w:p>
    <w:p>
      <w:pPr>
        <w:spacing w:before="156" w:beforeLines="50" w:after="156" w:afterLines="50" w:line="360" w:lineRule="auto"/>
        <w:ind w:firstLine="480" w:firstLineChars="200"/>
        <w:rPr>
          <w:rFonts w:hint="eastAsia" w:eastAsia="宋体"/>
          <w:sz w:val="24"/>
          <w:highlight w:val="none"/>
          <w:lang w:eastAsia="zh-CN"/>
        </w:rPr>
      </w:pPr>
      <w:r>
        <w:rPr>
          <w:rFonts w:hint="eastAsia"/>
          <w:bCs/>
          <w:sz w:val="24"/>
          <w:highlight w:val="none"/>
        </w:rPr>
        <w:t>项目编号：</w:t>
      </w:r>
      <w:r>
        <w:rPr>
          <w:rFonts w:hint="eastAsia"/>
          <w:sz w:val="24"/>
          <w:highlight w:val="none"/>
          <w:u w:val="single"/>
          <w:lang w:eastAsia="zh-CN"/>
        </w:rPr>
        <w:t>2025PHGN0020</w:t>
      </w:r>
    </w:p>
    <w:p>
      <w:pPr>
        <w:spacing w:before="156" w:beforeLines="50" w:after="156" w:afterLines="50" w:line="360" w:lineRule="auto"/>
        <w:ind w:firstLine="480" w:firstLineChars="200"/>
        <w:rPr>
          <w:bCs/>
          <w:sz w:val="24"/>
          <w:szCs w:val="28"/>
          <w:highlight w:val="none"/>
          <w:u w:val="single"/>
        </w:rPr>
      </w:pPr>
      <w:r>
        <w:rPr>
          <w:rFonts w:hint="eastAsia"/>
          <w:bCs/>
          <w:sz w:val="24"/>
          <w:highlight w:val="none"/>
        </w:rPr>
        <w:t>磋商</w:t>
      </w:r>
      <w:r>
        <w:rPr>
          <w:rFonts w:hint="eastAsia"/>
          <w:sz w:val="24"/>
          <w:highlight w:val="none"/>
        </w:rPr>
        <w:t>保证金金额：</w:t>
      </w:r>
      <w:r>
        <w:rPr>
          <w:rFonts w:hint="eastAsia"/>
          <w:b/>
          <w:bCs/>
          <w:sz w:val="24"/>
          <w:szCs w:val="28"/>
          <w:highlight w:val="none"/>
          <w:u w:val="single"/>
        </w:rPr>
        <w:t xml:space="preserve">                      </w:t>
      </w:r>
    </w:p>
    <w:p>
      <w:pPr>
        <w:spacing w:line="360" w:lineRule="auto"/>
        <w:ind w:firstLine="480" w:firstLineChars="200"/>
        <w:rPr>
          <w:sz w:val="24"/>
          <w:highlight w:val="none"/>
        </w:rPr>
      </w:pPr>
      <w:r>
        <w:rPr>
          <w:rFonts w:hint="eastAsia"/>
          <w:sz w:val="24"/>
          <w:highlight w:val="none"/>
        </w:rPr>
        <w:t>我单位</w:t>
      </w:r>
      <w:r>
        <w:rPr>
          <w:rFonts w:hint="eastAsia"/>
          <w:bCs/>
          <w:sz w:val="24"/>
          <w:highlight w:val="none"/>
        </w:rPr>
        <w:t>磋商</w:t>
      </w:r>
      <w:r>
        <w:rPr>
          <w:rFonts w:hint="eastAsia"/>
          <w:sz w:val="24"/>
          <w:highlight w:val="none"/>
        </w:rPr>
        <w:t>保证金到期后请汇至如下账号（与</w:t>
      </w:r>
      <w:r>
        <w:rPr>
          <w:rFonts w:hint="eastAsia"/>
          <w:sz w:val="24"/>
          <w:szCs w:val="18"/>
          <w:highlight w:val="none"/>
        </w:rPr>
        <w:t>参审单位</w:t>
      </w:r>
      <w:r>
        <w:rPr>
          <w:rFonts w:hint="eastAsia"/>
          <w:sz w:val="24"/>
          <w:highlight w:val="none"/>
        </w:rPr>
        <w:t>名称一致）：</w:t>
      </w:r>
    </w:p>
    <w:p>
      <w:pPr>
        <w:spacing w:line="360" w:lineRule="auto"/>
        <w:ind w:firstLine="808" w:firstLineChars="337"/>
        <w:rPr>
          <w:sz w:val="24"/>
          <w:highlight w:val="none"/>
          <w:u w:val="single"/>
        </w:rPr>
      </w:pPr>
      <w:r>
        <w:rPr>
          <w:rFonts w:hint="eastAsia"/>
          <w:sz w:val="24"/>
          <w:highlight w:val="none"/>
        </w:rPr>
        <w:t>收款单位：</w:t>
      </w:r>
      <w:r>
        <w:rPr>
          <w:rFonts w:hint="eastAsia"/>
          <w:sz w:val="24"/>
          <w:highlight w:val="none"/>
          <w:u w:val="single"/>
        </w:rPr>
        <w:t xml:space="preserve">                       </w:t>
      </w:r>
    </w:p>
    <w:p>
      <w:pPr>
        <w:spacing w:line="360" w:lineRule="auto"/>
        <w:ind w:firstLine="808" w:firstLineChars="337"/>
        <w:rPr>
          <w:sz w:val="24"/>
          <w:highlight w:val="none"/>
          <w:u w:val="single"/>
        </w:rPr>
      </w:pPr>
      <w:r>
        <w:rPr>
          <w:rFonts w:hint="eastAsia"/>
          <w:sz w:val="24"/>
          <w:highlight w:val="none"/>
        </w:rPr>
        <w:t>开 户 行：</w:t>
      </w:r>
      <w:r>
        <w:rPr>
          <w:rFonts w:hint="eastAsia"/>
          <w:sz w:val="24"/>
          <w:highlight w:val="none"/>
          <w:u w:val="single"/>
        </w:rPr>
        <w:t xml:space="preserve">                       </w:t>
      </w:r>
    </w:p>
    <w:p>
      <w:pPr>
        <w:spacing w:line="360" w:lineRule="auto"/>
        <w:ind w:firstLine="808" w:firstLineChars="337"/>
        <w:rPr>
          <w:sz w:val="24"/>
          <w:highlight w:val="none"/>
          <w:u w:val="single"/>
        </w:rPr>
      </w:pPr>
      <w:r>
        <w:rPr>
          <w:rFonts w:hint="eastAsia"/>
          <w:sz w:val="24"/>
          <w:highlight w:val="none"/>
        </w:rPr>
        <w:t>银行账号：</w:t>
      </w:r>
      <w:r>
        <w:rPr>
          <w:rFonts w:hint="eastAsia"/>
          <w:sz w:val="24"/>
          <w:highlight w:val="none"/>
          <w:u w:val="single"/>
        </w:rPr>
        <w:t xml:space="preserve">                       </w:t>
      </w:r>
    </w:p>
    <w:p>
      <w:pPr>
        <w:spacing w:line="360" w:lineRule="auto"/>
        <w:ind w:firstLine="808" w:firstLineChars="337"/>
        <w:rPr>
          <w:sz w:val="24"/>
          <w:highlight w:val="none"/>
          <w:u w:val="single"/>
        </w:rPr>
      </w:pPr>
      <w:r>
        <w:rPr>
          <w:rFonts w:hint="eastAsia"/>
          <w:sz w:val="24"/>
          <w:highlight w:val="none"/>
        </w:rPr>
        <w:t>电    话：</w:t>
      </w:r>
      <w:r>
        <w:rPr>
          <w:rFonts w:hint="eastAsia"/>
          <w:sz w:val="24"/>
          <w:highlight w:val="none"/>
          <w:u w:val="single"/>
        </w:rPr>
        <w:t xml:space="preserve">                       </w:t>
      </w:r>
    </w:p>
    <w:p>
      <w:pPr>
        <w:spacing w:line="360" w:lineRule="auto"/>
        <w:ind w:firstLine="808" w:firstLineChars="337"/>
        <w:rPr>
          <w:sz w:val="24"/>
          <w:highlight w:val="none"/>
          <w:u w:val="single"/>
        </w:rPr>
      </w:pPr>
      <w:r>
        <w:rPr>
          <w:rFonts w:hint="eastAsia"/>
          <w:sz w:val="24"/>
          <w:highlight w:val="none"/>
        </w:rPr>
        <w:t>地    址：</w:t>
      </w:r>
      <w:r>
        <w:rPr>
          <w:rFonts w:hint="eastAsia"/>
          <w:sz w:val="24"/>
          <w:highlight w:val="none"/>
          <w:u w:val="single"/>
        </w:rPr>
        <w:t xml:space="preserve">                       </w:t>
      </w:r>
      <w:r>
        <w:rPr>
          <w:rFonts w:hint="eastAsia"/>
          <w:sz w:val="24"/>
          <w:highlight w:val="none"/>
        </w:rPr>
        <w:t xml:space="preserve">  </w:t>
      </w:r>
    </w:p>
    <w:p>
      <w:pPr>
        <w:spacing w:line="360" w:lineRule="auto"/>
        <w:ind w:firstLine="630"/>
        <w:rPr>
          <w:sz w:val="24"/>
          <w:highlight w:val="none"/>
        </w:rPr>
      </w:pPr>
    </w:p>
    <w:p>
      <w:pPr>
        <w:spacing w:line="360" w:lineRule="auto"/>
        <w:ind w:firstLine="630"/>
        <w:rPr>
          <w:sz w:val="24"/>
          <w:highlight w:val="none"/>
        </w:rPr>
      </w:pPr>
    </w:p>
    <w:p>
      <w:pPr>
        <w:spacing w:line="360" w:lineRule="auto"/>
        <w:ind w:firstLine="4228" w:firstLineChars="1762"/>
        <w:rPr>
          <w:sz w:val="24"/>
          <w:szCs w:val="24"/>
          <w:highlight w:val="none"/>
          <w:u w:val="single"/>
        </w:rPr>
      </w:pPr>
      <w:r>
        <w:rPr>
          <w:rFonts w:hint="eastAsia"/>
          <w:sz w:val="24"/>
          <w:highlight w:val="none"/>
        </w:rPr>
        <w:t xml:space="preserve">    </w:t>
      </w:r>
      <w:r>
        <w:rPr>
          <w:rFonts w:hint="eastAsia"/>
          <w:sz w:val="24"/>
          <w:szCs w:val="18"/>
          <w:highlight w:val="none"/>
        </w:rPr>
        <w:t>参审单位</w:t>
      </w:r>
      <w:r>
        <w:rPr>
          <w:sz w:val="24"/>
          <w:szCs w:val="24"/>
          <w:highlight w:val="none"/>
        </w:rPr>
        <w:t>电子签章</w:t>
      </w:r>
      <w:r>
        <w:rPr>
          <w:rFonts w:hint="eastAsia"/>
          <w:sz w:val="24"/>
          <w:szCs w:val="24"/>
          <w:highlight w:val="none"/>
        </w:rPr>
        <w:t>：</w:t>
      </w:r>
      <w:r>
        <w:rPr>
          <w:sz w:val="24"/>
          <w:szCs w:val="24"/>
          <w:highlight w:val="none"/>
          <w:u w:val="single"/>
        </w:rPr>
        <w:t xml:space="preserve">             </w:t>
      </w:r>
    </w:p>
    <w:p>
      <w:pPr>
        <w:spacing w:line="360" w:lineRule="auto"/>
        <w:ind w:firstLine="630"/>
        <w:rPr>
          <w:sz w:val="24"/>
          <w:highlight w:val="none"/>
        </w:rPr>
      </w:pPr>
    </w:p>
    <w:p>
      <w:pPr>
        <w:spacing w:line="360" w:lineRule="auto"/>
        <w:ind w:firstLine="630"/>
        <w:rPr>
          <w:sz w:val="24"/>
          <w:highlight w:val="none"/>
        </w:rPr>
      </w:pPr>
    </w:p>
    <w:p>
      <w:pPr>
        <w:spacing w:line="360" w:lineRule="auto"/>
        <w:ind w:firstLine="630"/>
        <w:rPr>
          <w:b/>
          <w:bCs/>
          <w:sz w:val="24"/>
          <w:highlight w:val="none"/>
        </w:rPr>
      </w:pPr>
    </w:p>
    <w:p>
      <w:pPr>
        <w:spacing w:before="156" w:beforeLines="50" w:after="156" w:afterLines="50" w:line="360" w:lineRule="auto"/>
        <w:rPr>
          <w:sz w:val="24"/>
          <w:highlight w:val="none"/>
        </w:rPr>
      </w:pPr>
      <w:r>
        <w:rPr>
          <w:rFonts w:hint="eastAsia"/>
          <w:sz w:val="24"/>
          <w:highlight w:val="none"/>
        </w:rPr>
        <w:t>备注：</w:t>
      </w:r>
    </w:p>
    <w:p>
      <w:pPr>
        <w:spacing w:before="156" w:beforeLines="50" w:after="156" w:afterLines="50" w:line="360" w:lineRule="auto"/>
        <w:ind w:firstLine="480" w:firstLineChars="200"/>
        <w:rPr>
          <w:sz w:val="24"/>
          <w:highlight w:val="none"/>
        </w:rPr>
      </w:pPr>
      <w:r>
        <w:rPr>
          <w:rFonts w:hint="eastAsia"/>
          <w:sz w:val="24"/>
          <w:highlight w:val="none"/>
        </w:rPr>
        <w:t>1</w:t>
      </w:r>
      <w:r>
        <w:rPr>
          <w:rFonts w:hint="eastAsia"/>
          <w:sz w:val="24"/>
          <w:highlight w:val="none"/>
          <w:lang w:eastAsia="zh-CN"/>
        </w:rPr>
        <w:t>、</w:t>
      </w:r>
      <w:r>
        <w:rPr>
          <w:rFonts w:hint="eastAsia"/>
          <w:sz w:val="24"/>
          <w:highlight w:val="none"/>
        </w:rPr>
        <w:t>成交人</w:t>
      </w:r>
      <w:r>
        <w:rPr>
          <w:sz w:val="24"/>
          <w:highlight w:val="none"/>
        </w:rPr>
        <w:t>办理</w:t>
      </w:r>
      <w:r>
        <w:rPr>
          <w:rFonts w:hint="eastAsia"/>
          <w:sz w:val="24"/>
          <w:highlight w:val="none"/>
        </w:rPr>
        <w:t>合同</w:t>
      </w:r>
      <w:r>
        <w:rPr>
          <w:sz w:val="24"/>
          <w:highlight w:val="none"/>
        </w:rPr>
        <w:t>备案时</w:t>
      </w:r>
      <w:r>
        <w:rPr>
          <w:rFonts w:hint="eastAsia"/>
          <w:sz w:val="24"/>
          <w:highlight w:val="none"/>
        </w:rPr>
        <w:t>须</w:t>
      </w:r>
      <w:r>
        <w:rPr>
          <w:sz w:val="24"/>
          <w:highlight w:val="none"/>
        </w:rPr>
        <w:t>携带此表提交至</w:t>
      </w:r>
      <w:r>
        <w:rPr>
          <w:rFonts w:hint="eastAsia"/>
          <w:sz w:val="24"/>
          <w:highlight w:val="none"/>
          <w:u w:val="single"/>
          <w:lang w:eastAsia="zh-CN"/>
        </w:rPr>
        <w:t>肥西县派合商务服务有限公司</w:t>
      </w:r>
      <w:r>
        <w:rPr>
          <w:sz w:val="24"/>
          <w:highlight w:val="none"/>
        </w:rPr>
        <w:t>项目负责人</w:t>
      </w:r>
      <w:r>
        <w:rPr>
          <w:rFonts w:hint="eastAsia"/>
          <w:sz w:val="24"/>
          <w:highlight w:val="none"/>
        </w:rPr>
        <w:t>。</w:t>
      </w:r>
    </w:p>
    <w:p>
      <w:pPr>
        <w:spacing w:before="156" w:beforeLines="50" w:after="156" w:afterLines="50" w:line="360" w:lineRule="auto"/>
        <w:ind w:firstLine="480" w:firstLineChars="200"/>
        <w:rPr>
          <w:bCs/>
          <w:sz w:val="24"/>
          <w:highlight w:val="none"/>
        </w:rPr>
      </w:pPr>
      <w:r>
        <w:rPr>
          <w:rFonts w:hint="eastAsia"/>
          <w:bCs/>
          <w:sz w:val="24"/>
          <w:highlight w:val="none"/>
        </w:rPr>
        <w:t>2</w:t>
      </w:r>
      <w:r>
        <w:rPr>
          <w:rFonts w:hint="eastAsia"/>
          <w:bCs/>
          <w:sz w:val="24"/>
          <w:highlight w:val="none"/>
          <w:lang w:eastAsia="zh-CN"/>
        </w:rPr>
        <w:t>、</w:t>
      </w:r>
      <w:r>
        <w:rPr>
          <w:rFonts w:hint="eastAsia"/>
          <w:bCs/>
          <w:sz w:val="24"/>
          <w:highlight w:val="none"/>
        </w:rPr>
        <w:t>磋商保证金只退还至</w:t>
      </w:r>
      <w:r>
        <w:rPr>
          <w:rFonts w:hint="eastAsia"/>
          <w:sz w:val="24"/>
          <w:szCs w:val="18"/>
          <w:highlight w:val="none"/>
        </w:rPr>
        <w:t>参审单位基本</w:t>
      </w:r>
      <w:r>
        <w:rPr>
          <w:rFonts w:hint="eastAsia"/>
          <w:bCs/>
          <w:sz w:val="24"/>
          <w:highlight w:val="none"/>
        </w:rPr>
        <w:t>账户。因收款单位与</w:t>
      </w:r>
      <w:r>
        <w:rPr>
          <w:rFonts w:hint="eastAsia"/>
          <w:sz w:val="24"/>
          <w:szCs w:val="18"/>
          <w:highlight w:val="none"/>
        </w:rPr>
        <w:t>参审单位</w:t>
      </w:r>
      <w:r>
        <w:rPr>
          <w:rFonts w:hint="eastAsia"/>
          <w:bCs/>
          <w:sz w:val="24"/>
          <w:highlight w:val="none"/>
        </w:rPr>
        <w:t>名称不一致（分公司或子公司代收磋商保证金，视同名称不一致）造成的磋商保证金无法退还或迟延退还，</w:t>
      </w:r>
      <w:r>
        <w:rPr>
          <w:rFonts w:hint="eastAsia"/>
          <w:sz w:val="24"/>
          <w:highlight w:val="none"/>
          <w:u w:val="single"/>
          <w:lang w:eastAsia="zh-CN"/>
        </w:rPr>
        <w:t>肥西县派合商务服务有限公司</w:t>
      </w:r>
      <w:r>
        <w:rPr>
          <w:rFonts w:hint="eastAsia"/>
          <w:bCs/>
          <w:sz w:val="24"/>
          <w:highlight w:val="none"/>
        </w:rPr>
        <w:t>概不负责。</w:t>
      </w:r>
    </w:p>
    <w:p>
      <w:pPr>
        <w:adjustRightInd w:val="0"/>
        <w:snapToGrid w:val="0"/>
        <w:spacing w:line="360" w:lineRule="auto"/>
        <w:ind w:firstLine="480" w:firstLineChars="200"/>
        <w:jc w:val="left"/>
        <w:rPr>
          <w:rFonts w:cs="Arial"/>
          <w:bCs/>
          <w:sz w:val="24"/>
          <w:szCs w:val="28"/>
          <w:highlight w:val="none"/>
        </w:rPr>
      </w:pPr>
      <w:r>
        <w:rPr>
          <w:rFonts w:hint="eastAsia"/>
          <w:bCs/>
          <w:sz w:val="24"/>
          <w:highlight w:val="none"/>
        </w:rPr>
        <w:t>3</w:t>
      </w:r>
      <w:r>
        <w:rPr>
          <w:rFonts w:hint="eastAsia"/>
          <w:bCs/>
          <w:sz w:val="24"/>
          <w:highlight w:val="none"/>
          <w:lang w:eastAsia="zh-CN"/>
        </w:rPr>
        <w:t>、</w:t>
      </w:r>
      <w:r>
        <w:rPr>
          <w:rFonts w:hint="eastAsia"/>
          <w:sz w:val="24"/>
          <w:highlight w:val="none"/>
          <w:u w:val="single"/>
          <w:lang w:eastAsia="zh-CN"/>
        </w:rPr>
        <w:t>肥西县派合商务服务有限公司</w:t>
      </w:r>
      <w:r>
        <w:rPr>
          <w:rFonts w:hint="eastAsia"/>
          <w:bCs/>
          <w:sz w:val="24"/>
          <w:highlight w:val="none"/>
        </w:rPr>
        <w:t>将在</w:t>
      </w:r>
      <w:r>
        <w:rPr>
          <w:rFonts w:hint="eastAsia"/>
          <w:bCs/>
          <w:sz w:val="24"/>
          <w:highlight w:val="none"/>
          <w:lang w:eastAsia="zh-CN"/>
        </w:rPr>
        <w:t>成交确认书</w:t>
      </w:r>
      <w:r>
        <w:rPr>
          <w:rFonts w:hint="eastAsia"/>
          <w:bCs/>
          <w:sz w:val="24"/>
          <w:highlight w:val="none"/>
        </w:rPr>
        <w:t>发出后五个工作日内退还未成交人的磋商保证金，在合同签订后五个工作日内退还成交人的磋商保证金。</w:t>
      </w:r>
    </w:p>
    <w:p>
      <w:pPr>
        <w:widowControl/>
        <w:jc w:val="center"/>
        <w:rPr>
          <w:b/>
          <w:sz w:val="24"/>
          <w:highlight w:val="none"/>
        </w:rPr>
      </w:pPr>
      <w:r>
        <w:rPr>
          <w:b/>
          <w:sz w:val="24"/>
          <w:highlight w:val="none"/>
        </w:rPr>
        <w:br w:type="page"/>
      </w:r>
      <w:bookmarkEnd w:id="634"/>
      <w:r>
        <w:rPr>
          <w:rFonts w:hint="eastAsia"/>
          <w:b/>
          <w:sz w:val="24"/>
          <w:highlight w:val="none"/>
        </w:rPr>
        <w:t>十三、其他相关证明材料</w:t>
      </w:r>
    </w:p>
    <w:p>
      <w:pPr>
        <w:spacing w:line="360" w:lineRule="auto"/>
        <w:ind w:firstLine="435"/>
        <w:rPr>
          <w:sz w:val="24"/>
          <w:highlight w:val="none"/>
        </w:rPr>
      </w:pPr>
      <w:r>
        <w:rPr>
          <w:rFonts w:hint="eastAsia"/>
          <w:sz w:val="24"/>
          <w:highlight w:val="none"/>
        </w:rPr>
        <w:t>一、</w:t>
      </w:r>
      <w:r>
        <w:rPr>
          <w:rFonts w:hint="eastAsia"/>
          <w:sz w:val="24"/>
          <w:szCs w:val="18"/>
          <w:highlight w:val="none"/>
        </w:rPr>
        <w:t>参审单位</w:t>
      </w:r>
      <w:r>
        <w:rPr>
          <w:rFonts w:hint="eastAsia"/>
          <w:sz w:val="24"/>
          <w:highlight w:val="none"/>
        </w:rPr>
        <w:t>编制施工组织设计，包括磋商文件规定的施工组织设计基本内容。</w:t>
      </w:r>
    </w:p>
    <w:p>
      <w:pPr>
        <w:spacing w:line="360" w:lineRule="auto"/>
        <w:ind w:firstLine="435"/>
        <w:rPr>
          <w:sz w:val="24"/>
          <w:highlight w:val="none"/>
        </w:rPr>
      </w:pPr>
      <w:r>
        <w:rPr>
          <w:rFonts w:hint="eastAsia"/>
          <w:sz w:val="24"/>
          <w:highlight w:val="none"/>
        </w:rPr>
        <w:t>二、</w:t>
      </w:r>
      <w:r>
        <w:rPr>
          <w:rFonts w:hint="eastAsia"/>
          <w:sz w:val="24"/>
          <w:szCs w:val="18"/>
          <w:highlight w:val="none"/>
        </w:rPr>
        <w:t>参审单位</w:t>
      </w:r>
      <w:r>
        <w:rPr>
          <w:rFonts w:hint="eastAsia"/>
          <w:sz w:val="24"/>
          <w:highlight w:val="none"/>
        </w:rPr>
        <w:t>认为与磋商有关的其他资料。</w:t>
      </w:r>
    </w:p>
    <w:p>
      <w:pPr>
        <w:spacing w:line="360" w:lineRule="auto"/>
        <w:ind w:firstLine="435"/>
        <w:rPr>
          <w:sz w:val="24"/>
          <w:highlight w:val="none"/>
        </w:rPr>
      </w:pPr>
    </w:p>
    <w:p>
      <w:pPr>
        <w:spacing w:line="360" w:lineRule="auto"/>
        <w:ind w:firstLine="435"/>
        <w:rPr>
          <w:sz w:val="24"/>
          <w:highlight w:val="none"/>
        </w:rPr>
      </w:pPr>
    </w:p>
    <w:sdt>
      <w:sdtPr>
        <w:rPr>
          <w:rFonts w:hint="eastAsia" w:ascii="宋体" w:hAnsi="宋体"/>
          <w:b/>
          <w:color w:val="auto"/>
          <w:sz w:val="24"/>
          <w:highlight w:val="none"/>
          <w:lang w:val="en-US" w:eastAsia="zh-CN" w:bidi="ar-SA"/>
        </w:rPr>
        <w:id w:val="147479010"/>
        <w:lock w:val="sdtLocked"/>
        <w:placeholder>
          <w:docPart w:val="{01391a1e-f15e-4d74-8fc2-1c063bc60512}"/>
        </w:placeholder>
        <w:group/>
      </w:sdtPr>
      <w:sdtEndPr>
        <w:rPr>
          <w:rFonts w:hint="eastAsia" w:ascii="宋体" w:hAnsi="宋体"/>
          <w:b/>
          <w:color w:val="auto"/>
          <w:sz w:val="24"/>
          <w:szCs w:val="22"/>
          <w:highlight w:val="none"/>
          <w:lang w:val="en-US" w:eastAsia="zh-CN" w:bidi="ar-SA"/>
        </w:rPr>
      </w:sdtEndPr>
      <w:sdtContent>
        <w:p>
          <w:pPr>
            <w:widowControl/>
            <w:jc w:val="center"/>
            <w:outlineLvl w:val="9"/>
            <w:rPr>
              <w:rFonts w:ascii="宋体" w:hAnsi="宋体"/>
              <w:color w:val="auto"/>
              <w:sz w:val="24"/>
              <w:highlight w:val="none"/>
            </w:rPr>
          </w:pPr>
          <w:r>
            <w:rPr>
              <w:rFonts w:hint="eastAsia" w:ascii="宋体" w:hAnsi="宋体"/>
              <w:b/>
              <w:color w:val="auto"/>
              <w:sz w:val="24"/>
              <w:highlight w:val="none"/>
            </w:rPr>
            <w:t>（一）中小企业声明函</w:t>
          </w:r>
        </w:p>
        <w:p>
          <w:pPr>
            <w:pStyle w:val="7"/>
            <w:outlineLvl w:val="9"/>
            <w:rPr>
              <w:color w:val="auto"/>
              <w:highlight w:val="none"/>
            </w:rPr>
          </w:pPr>
        </w:p>
        <w:p>
          <w:pPr>
            <w:spacing w:line="360" w:lineRule="auto"/>
            <w:ind w:firstLine="435"/>
            <w:outlineLvl w:val="9"/>
            <w:rPr>
              <w:rFonts w:cs="@仿宋_GB2312"/>
              <w:color w:val="auto"/>
              <w:sz w:val="24"/>
              <w:highlight w:val="none"/>
              <w:lang w:val="zh-CN"/>
            </w:rPr>
          </w:pPr>
          <w:r>
            <w:rPr>
              <w:rFonts w:hint="eastAsia" w:cs="@仿宋_GB2312"/>
              <w:color w:val="auto"/>
              <w:sz w:val="24"/>
              <w:highlight w:val="none"/>
              <w:lang w:val="zh-CN"/>
            </w:rPr>
            <w:t>本公司（联合体）郑重声明，根据《政府采购促进中小企业发展管理办法》（财库﹝2020﹞46号）的规定，本公司（联合体）参加</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 xml:space="preserve"> </w:t>
          </w:r>
          <w:r>
            <w:rPr>
              <w:rFonts w:hint="eastAsia" w:cs="@仿宋_GB2312"/>
              <w:color w:val="auto"/>
              <w:sz w:val="24"/>
              <w:highlight w:val="none"/>
              <w:u w:val="single"/>
              <w:lang w:val="en-US" w:eastAsia="zh-CN"/>
            </w:rPr>
            <w:t xml:space="preserve">招标人 </w:t>
          </w:r>
          <w:r>
            <w:rPr>
              <w:rFonts w:hint="eastAsia" w:ascii="宋体" w:hAnsi="宋体"/>
              <w:color w:val="auto"/>
              <w:sz w:val="24"/>
              <w:highlight w:val="none"/>
              <w:u w:val="single"/>
              <w:lang w:val="zh-CN"/>
            </w:rPr>
            <w:t>）</w:t>
          </w:r>
          <w:r>
            <w:rPr>
              <w:rFonts w:hint="eastAsia" w:ascii="宋体" w:hAnsi="宋体"/>
              <w:color w:val="auto"/>
              <w:sz w:val="24"/>
              <w:highlight w:val="none"/>
              <w:lang w:val="zh-CN"/>
            </w:rPr>
            <w:t>的</w:t>
          </w:r>
          <w:r>
            <w:rPr>
              <w:rFonts w:hint="eastAsia" w:ascii="宋体" w:hAnsi="宋体"/>
              <w:color w:val="auto"/>
              <w:sz w:val="24"/>
              <w:highlight w:val="none"/>
              <w:u w:val="single"/>
              <w:lang w:val="zh-CN"/>
            </w:rPr>
            <w:t>（招标项目名称）</w:t>
          </w:r>
          <w:r>
            <w:rPr>
              <w:rFonts w:hint="eastAsia" w:cs="@仿宋_GB2312"/>
              <w:color w:val="auto"/>
              <w:sz w:val="24"/>
              <w:highlight w:val="none"/>
              <w:u w:val="single"/>
            </w:rPr>
            <w:t xml:space="preserve"> </w:t>
          </w:r>
          <w:r>
            <w:rPr>
              <w:rFonts w:hint="eastAsia" w:cs="@仿宋_GB2312"/>
              <w:color w:val="auto"/>
              <w:sz w:val="24"/>
              <w:highlight w:val="none"/>
              <w:lang w:val="zh-CN"/>
            </w:rPr>
            <w:t xml:space="preserve">采购活动，工程的施工单位全部为符合政策要求的中小企业。相关企业（含联合体中的中小企业、签订分包意向协议的中小企业）的具体情况如下： </w:t>
          </w:r>
        </w:p>
        <w:p>
          <w:pPr>
            <w:numPr>
              <w:ilvl w:val="0"/>
              <w:numId w:val="5"/>
            </w:numPr>
            <w:spacing w:line="360" w:lineRule="auto"/>
            <w:ind w:firstLine="435"/>
            <w:outlineLvl w:val="9"/>
            <w:rPr>
              <w:rFonts w:cs="@仿宋_GB2312"/>
              <w:color w:val="auto"/>
              <w:sz w:val="24"/>
              <w:highlight w:val="none"/>
              <w:lang w:val="zh-CN"/>
            </w:rPr>
          </w:pPr>
          <w:r>
            <w:rPr>
              <w:rFonts w:hint="eastAsia" w:cs="@仿宋_GB2312"/>
              <w:color w:val="auto"/>
              <w:sz w:val="24"/>
              <w:highlight w:val="none"/>
              <w:u w:val="single"/>
              <w:lang w:val="zh-CN"/>
            </w:rPr>
            <w:t xml:space="preserve">（招标项目名称） </w:t>
          </w:r>
          <w:r>
            <w:rPr>
              <w:rFonts w:hint="eastAsia" w:cs="@仿宋_GB2312"/>
              <w:color w:val="auto"/>
              <w:sz w:val="24"/>
              <w:highlight w:val="none"/>
              <w:lang w:val="zh-CN"/>
            </w:rPr>
            <w:t>，属于</w:t>
          </w:r>
          <w:r>
            <w:rPr>
              <w:rFonts w:hint="eastAsia" w:cs="@仿宋_GB2312"/>
              <w:color w:val="auto"/>
              <w:sz w:val="24"/>
              <w:highlight w:val="none"/>
              <w:u w:val="single"/>
            </w:rPr>
            <w:t xml:space="preserve">  建筑  </w:t>
          </w:r>
          <w:r>
            <w:rPr>
              <w:rFonts w:hint="eastAsia" w:cs="@仿宋_GB2312"/>
              <w:color w:val="auto"/>
              <w:sz w:val="24"/>
              <w:highlight w:val="none"/>
              <w:lang w:val="zh-CN"/>
            </w:rPr>
            <w:t>行业；承建企业为</w:t>
          </w:r>
          <w:r>
            <w:rPr>
              <w:rFonts w:hint="eastAsia" w:cs="@仿宋_GB2312"/>
              <w:color w:val="auto"/>
              <w:sz w:val="24"/>
              <w:highlight w:val="none"/>
              <w:u w:val="single"/>
              <w:lang w:val="zh-CN"/>
            </w:rPr>
            <w:t>（企业名称）</w:t>
          </w:r>
          <w:r>
            <w:rPr>
              <w:rFonts w:hint="eastAsia" w:cs="@仿宋_GB2312"/>
              <w:color w:val="auto"/>
              <w:sz w:val="24"/>
              <w:highlight w:val="none"/>
              <w:lang w:val="zh-CN"/>
            </w:rPr>
            <w:t>，从业人员</w:t>
          </w:r>
          <w:r>
            <w:rPr>
              <w:rFonts w:hint="eastAsia" w:cs="@仿宋_GB2312"/>
              <w:color w:val="auto"/>
              <w:sz w:val="24"/>
              <w:highlight w:val="none"/>
              <w:u w:val="single"/>
              <w:lang w:val="zh-CN"/>
            </w:rPr>
            <w:t xml:space="preserve">     </w:t>
          </w:r>
          <w:r>
            <w:rPr>
              <w:rFonts w:hint="eastAsia" w:cs="@仿宋_GB2312"/>
              <w:color w:val="auto"/>
              <w:sz w:val="24"/>
              <w:highlight w:val="none"/>
              <w:lang w:val="zh-CN"/>
            </w:rPr>
            <w:t>人，营业收入为</w:t>
          </w:r>
          <w:r>
            <w:rPr>
              <w:rFonts w:hint="eastAsia" w:cs="@仿宋_GB2312"/>
              <w:color w:val="auto"/>
              <w:sz w:val="24"/>
              <w:highlight w:val="none"/>
              <w:u w:val="single"/>
              <w:lang w:val="zh-CN"/>
            </w:rPr>
            <w:t xml:space="preserve">     </w:t>
          </w:r>
          <w:r>
            <w:rPr>
              <w:rFonts w:hint="eastAsia" w:cs="@仿宋_GB2312"/>
              <w:color w:val="auto"/>
              <w:sz w:val="24"/>
              <w:highlight w:val="none"/>
              <w:lang w:val="zh-CN"/>
            </w:rPr>
            <w:t>万元，资产总额为</w:t>
          </w:r>
          <w:r>
            <w:rPr>
              <w:rFonts w:hint="eastAsia" w:cs="@仿宋_GB2312"/>
              <w:color w:val="auto"/>
              <w:sz w:val="24"/>
              <w:highlight w:val="none"/>
              <w:u w:val="single"/>
              <w:lang w:val="zh-CN"/>
            </w:rPr>
            <w:t xml:space="preserve">     </w:t>
          </w:r>
          <w:r>
            <w:rPr>
              <w:rFonts w:hint="eastAsia" w:cs="@仿宋_GB2312"/>
              <w:color w:val="auto"/>
              <w:sz w:val="24"/>
              <w:highlight w:val="none"/>
              <w:lang w:val="zh-CN"/>
            </w:rPr>
            <w:t>万元，属于</w:t>
          </w:r>
          <w:r>
            <w:rPr>
              <w:rFonts w:hint="eastAsia" w:cs="@仿宋_GB2312"/>
              <w:color w:val="auto"/>
              <w:sz w:val="24"/>
              <w:highlight w:val="none"/>
              <w:u w:val="single"/>
            </w:rPr>
            <w:t xml:space="preserve"> </w:t>
          </w:r>
          <w:r>
            <w:rPr>
              <w:rFonts w:hint="eastAsia" w:cs="@仿宋_GB2312"/>
              <w:color w:val="auto"/>
              <w:kern w:val="2"/>
              <w:sz w:val="24"/>
              <w:szCs w:val="24"/>
              <w:highlight w:val="none"/>
              <w:u w:val="single"/>
              <w:lang w:val="en-US" w:eastAsia="zh-CN"/>
            </w:rPr>
            <w:sym w:font="Wingdings" w:char="00A8"/>
          </w:r>
          <w:r>
            <w:rPr>
              <w:rFonts w:hint="eastAsia" w:cs="@仿宋_GB2312"/>
              <w:color w:val="auto"/>
              <w:kern w:val="2"/>
              <w:sz w:val="24"/>
              <w:szCs w:val="24"/>
              <w:highlight w:val="none"/>
              <w:u w:val="single"/>
              <w:lang w:val="zh-CN"/>
            </w:rPr>
            <w:t>中型企业、</w:t>
          </w:r>
          <w:r>
            <w:rPr>
              <w:rFonts w:hint="eastAsia" w:cs="@仿宋_GB2312"/>
              <w:color w:val="auto"/>
              <w:kern w:val="2"/>
              <w:sz w:val="24"/>
              <w:szCs w:val="24"/>
              <w:highlight w:val="none"/>
              <w:u w:val="single"/>
              <w:lang w:val="zh-CN"/>
            </w:rPr>
            <w:sym w:font="Wingdings" w:char="00A8"/>
          </w:r>
          <w:r>
            <w:rPr>
              <w:rFonts w:hint="eastAsia" w:cs="@仿宋_GB2312"/>
              <w:color w:val="auto"/>
              <w:kern w:val="2"/>
              <w:sz w:val="24"/>
              <w:szCs w:val="24"/>
              <w:highlight w:val="none"/>
              <w:u w:val="single"/>
              <w:lang w:val="zh-CN"/>
            </w:rPr>
            <w:t>小型企业、</w:t>
          </w:r>
          <w:r>
            <w:rPr>
              <w:rFonts w:hint="eastAsia" w:cs="@仿宋_GB2312"/>
              <w:color w:val="auto"/>
              <w:kern w:val="2"/>
              <w:sz w:val="24"/>
              <w:szCs w:val="24"/>
              <w:highlight w:val="none"/>
              <w:u w:val="single"/>
              <w:lang w:val="zh-CN"/>
            </w:rPr>
            <w:sym w:font="Wingdings" w:char="00A8"/>
          </w:r>
          <w:r>
            <w:rPr>
              <w:rFonts w:hint="eastAsia" w:cs="@仿宋_GB2312"/>
              <w:color w:val="auto"/>
              <w:kern w:val="2"/>
              <w:sz w:val="24"/>
              <w:szCs w:val="24"/>
              <w:highlight w:val="none"/>
              <w:u w:val="single"/>
              <w:lang w:val="zh-CN"/>
            </w:rPr>
            <w:t>微型企业（</w:t>
          </w:r>
          <w:r>
            <w:rPr>
              <w:rFonts w:hint="eastAsia" w:cs="@仿宋_GB2312"/>
              <w:color w:val="auto"/>
              <w:kern w:val="2"/>
              <w:sz w:val="24"/>
              <w:szCs w:val="24"/>
              <w:highlight w:val="none"/>
              <w:u w:val="single"/>
              <w:lang w:val="en-US" w:eastAsia="zh-CN"/>
            </w:rPr>
            <w:t>请根据公司实际情况勾选</w:t>
          </w:r>
          <w:r>
            <w:rPr>
              <w:rFonts w:hint="eastAsia" w:cs="@仿宋_GB2312"/>
              <w:color w:val="auto"/>
              <w:kern w:val="2"/>
              <w:sz w:val="24"/>
              <w:szCs w:val="24"/>
              <w:highlight w:val="none"/>
              <w:u w:val="single"/>
              <w:lang w:val="zh-CN"/>
            </w:rPr>
            <w:t>）</w:t>
          </w:r>
          <w:r>
            <w:rPr>
              <w:rFonts w:hint="eastAsia" w:cs="@仿宋_GB2312"/>
              <w:color w:val="auto"/>
              <w:sz w:val="24"/>
              <w:highlight w:val="none"/>
              <w:lang w:val="zh-CN"/>
            </w:rPr>
            <w:t xml:space="preserve">； </w:t>
          </w:r>
        </w:p>
        <w:p>
          <w:pPr>
            <w:spacing w:line="360" w:lineRule="auto"/>
            <w:ind w:firstLine="435"/>
            <w:outlineLvl w:val="9"/>
            <w:rPr>
              <w:rFonts w:cs="@仿宋_GB2312"/>
              <w:color w:val="auto"/>
              <w:sz w:val="24"/>
              <w:highlight w:val="none"/>
              <w:u w:val="single"/>
              <w:lang w:val="zh-CN"/>
            </w:rPr>
          </w:pPr>
          <w:r>
            <w:rPr>
              <w:rFonts w:hint="eastAsia" w:cs="@仿宋_GB2312"/>
              <w:color w:val="auto"/>
              <w:sz w:val="24"/>
              <w:highlight w:val="none"/>
              <w:lang w:val="zh-CN"/>
            </w:rPr>
            <w:t>2.</w:t>
          </w:r>
          <w:r>
            <w:rPr>
              <w:rFonts w:hint="eastAsia" w:cs="@仿宋_GB2312"/>
              <w:color w:val="auto"/>
              <w:sz w:val="24"/>
              <w:highlight w:val="none"/>
              <w:u w:val="single"/>
              <w:lang w:val="zh-CN"/>
            </w:rPr>
            <w:t xml:space="preserve"> （招标项目名称）</w:t>
          </w:r>
          <w:r>
            <w:rPr>
              <w:rFonts w:hint="eastAsia" w:cs="@仿宋_GB2312"/>
              <w:color w:val="auto"/>
              <w:sz w:val="24"/>
              <w:highlight w:val="none"/>
              <w:u w:val="single"/>
              <w:lang w:val="en-US" w:eastAsia="zh-CN"/>
            </w:rPr>
            <w:t xml:space="preserve"> </w:t>
          </w:r>
          <w:r>
            <w:rPr>
              <w:rFonts w:hint="eastAsia" w:cs="@仿宋_GB2312"/>
              <w:color w:val="auto"/>
              <w:sz w:val="24"/>
              <w:highlight w:val="none"/>
              <w:lang w:val="zh-CN"/>
            </w:rPr>
            <w:t>，属于</w:t>
          </w:r>
          <w:r>
            <w:rPr>
              <w:rFonts w:hint="eastAsia" w:cs="@仿宋_GB2312"/>
              <w:color w:val="auto"/>
              <w:sz w:val="24"/>
              <w:highlight w:val="none"/>
              <w:u w:val="single"/>
            </w:rPr>
            <w:t xml:space="preserve"> </w:t>
          </w:r>
          <w:r>
            <w:rPr>
              <w:rFonts w:hint="eastAsia" w:cs="@仿宋_GB2312"/>
              <w:color w:val="auto"/>
              <w:sz w:val="24"/>
              <w:highlight w:val="none"/>
              <w:u w:val="single"/>
              <w:lang w:val="en-US" w:eastAsia="zh-CN"/>
            </w:rPr>
            <w:t xml:space="preserve"> </w:t>
          </w:r>
          <w:r>
            <w:rPr>
              <w:rFonts w:hint="eastAsia" w:cs="@仿宋_GB2312"/>
              <w:color w:val="auto"/>
              <w:sz w:val="24"/>
              <w:highlight w:val="none"/>
              <w:u w:val="single"/>
            </w:rPr>
            <w:t>建筑</w:t>
          </w:r>
          <w:r>
            <w:rPr>
              <w:rFonts w:hint="eastAsia" w:cs="@仿宋_GB2312"/>
              <w:color w:val="auto"/>
              <w:sz w:val="24"/>
              <w:highlight w:val="none"/>
              <w:u w:val="single"/>
              <w:lang w:val="en-US" w:eastAsia="zh-CN"/>
            </w:rPr>
            <w:t xml:space="preserve"> </w:t>
          </w:r>
          <w:r>
            <w:rPr>
              <w:rFonts w:hint="eastAsia" w:cs="@仿宋_GB2312"/>
              <w:color w:val="auto"/>
              <w:sz w:val="24"/>
              <w:highlight w:val="none"/>
              <w:u w:val="single"/>
            </w:rPr>
            <w:t xml:space="preserve"> </w:t>
          </w:r>
          <w:r>
            <w:rPr>
              <w:rFonts w:hint="eastAsia" w:cs="@仿宋_GB2312"/>
              <w:color w:val="auto"/>
              <w:sz w:val="24"/>
              <w:highlight w:val="none"/>
              <w:lang w:val="zh-CN"/>
            </w:rPr>
            <w:t>行业；承建企业为</w:t>
          </w:r>
          <w:r>
            <w:rPr>
              <w:rFonts w:hint="eastAsia" w:cs="@仿宋_GB2312"/>
              <w:color w:val="auto"/>
              <w:sz w:val="24"/>
              <w:highlight w:val="none"/>
              <w:u w:val="single"/>
              <w:lang w:val="zh-CN"/>
            </w:rPr>
            <w:t>（企业名称）</w:t>
          </w:r>
          <w:r>
            <w:rPr>
              <w:rFonts w:hint="eastAsia" w:cs="@仿宋_GB2312"/>
              <w:color w:val="auto"/>
              <w:sz w:val="24"/>
              <w:highlight w:val="none"/>
              <w:lang w:val="zh-CN"/>
            </w:rPr>
            <w:t>，从业人员</w:t>
          </w:r>
          <w:r>
            <w:rPr>
              <w:rFonts w:hint="eastAsia" w:cs="@仿宋_GB2312"/>
              <w:color w:val="auto"/>
              <w:sz w:val="24"/>
              <w:highlight w:val="none"/>
              <w:u w:val="single"/>
              <w:lang w:val="zh-CN"/>
            </w:rPr>
            <w:t xml:space="preserve">     </w:t>
          </w:r>
          <w:r>
            <w:rPr>
              <w:rFonts w:hint="eastAsia" w:cs="@仿宋_GB2312"/>
              <w:color w:val="auto"/>
              <w:sz w:val="24"/>
              <w:highlight w:val="none"/>
              <w:lang w:val="zh-CN"/>
            </w:rPr>
            <w:t>人，营业收入为</w:t>
          </w:r>
          <w:r>
            <w:rPr>
              <w:rFonts w:hint="eastAsia" w:cs="@仿宋_GB2312"/>
              <w:color w:val="auto"/>
              <w:sz w:val="24"/>
              <w:highlight w:val="none"/>
              <w:u w:val="single"/>
              <w:lang w:val="zh-CN"/>
            </w:rPr>
            <w:t xml:space="preserve">     </w:t>
          </w:r>
          <w:r>
            <w:rPr>
              <w:rFonts w:hint="eastAsia" w:cs="@仿宋_GB2312"/>
              <w:color w:val="auto"/>
              <w:sz w:val="24"/>
              <w:highlight w:val="none"/>
              <w:lang w:val="zh-CN"/>
            </w:rPr>
            <w:t>万元，资产总额为</w:t>
          </w:r>
          <w:r>
            <w:rPr>
              <w:rFonts w:hint="eastAsia" w:cs="@仿宋_GB2312"/>
              <w:color w:val="auto"/>
              <w:sz w:val="24"/>
              <w:highlight w:val="none"/>
              <w:u w:val="single"/>
              <w:lang w:val="zh-CN"/>
            </w:rPr>
            <w:t xml:space="preserve">     </w:t>
          </w:r>
          <w:r>
            <w:rPr>
              <w:rFonts w:hint="eastAsia" w:cs="@仿宋_GB2312"/>
              <w:color w:val="auto"/>
              <w:sz w:val="24"/>
              <w:highlight w:val="none"/>
              <w:lang w:val="zh-CN"/>
            </w:rPr>
            <w:t>万元，属于</w:t>
          </w:r>
          <w:r>
            <w:rPr>
              <w:rFonts w:hint="eastAsia" w:cs="@仿宋_GB2312"/>
              <w:color w:val="auto"/>
              <w:sz w:val="24"/>
              <w:highlight w:val="none"/>
              <w:u w:val="single"/>
            </w:rPr>
            <w:t xml:space="preserve"> </w:t>
          </w:r>
          <w:r>
            <w:rPr>
              <w:rFonts w:hint="eastAsia" w:cs="@仿宋_GB2312"/>
              <w:color w:val="auto"/>
              <w:sz w:val="24"/>
              <w:highlight w:val="none"/>
              <w:u w:val="single"/>
              <w:lang w:val="en-US" w:eastAsia="zh-CN"/>
            </w:rPr>
            <w:sym w:font="Wingdings" w:char="00A8"/>
          </w:r>
          <w:r>
            <w:rPr>
              <w:rFonts w:hint="eastAsia" w:cs="@仿宋_GB2312"/>
              <w:color w:val="auto"/>
              <w:sz w:val="24"/>
              <w:highlight w:val="none"/>
              <w:u w:val="single"/>
              <w:lang w:val="zh-CN"/>
            </w:rPr>
            <w:t>中型企业、</w:t>
          </w:r>
          <w:r>
            <w:rPr>
              <w:rFonts w:hint="eastAsia" w:cs="@仿宋_GB2312"/>
              <w:color w:val="auto"/>
              <w:sz w:val="24"/>
              <w:highlight w:val="none"/>
              <w:u w:val="single"/>
              <w:lang w:val="zh-CN"/>
            </w:rPr>
            <w:sym w:font="Wingdings" w:char="00A8"/>
          </w:r>
          <w:r>
            <w:rPr>
              <w:rFonts w:hint="eastAsia" w:cs="@仿宋_GB2312"/>
              <w:color w:val="auto"/>
              <w:sz w:val="24"/>
              <w:highlight w:val="none"/>
              <w:u w:val="single"/>
              <w:lang w:val="zh-CN"/>
            </w:rPr>
            <w:t>小型企业、</w:t>
          </w:r>
          <w:r>
            <w:rPr>
              <w:rFonts w:hint="eastAsia" w:cs="@仿宋_GB2312"/>
              <w:color w:val="auto"/>
              <w:sz w:val="24"/>
              <w:highlight w:val="none"/>
              <w:u w:val="single"/>
              <w:lang w:val="zh-CN"/>
            </w:rPr>
            <w:sym w:font="Wingdings" w:char="00A8"/>
          </w:r>
          <w:r>
            <w:rPr>
              <w:rFonts w:hint="eastAsia" w:cs="@仿宋_GB2312"/>
              <w:color w:val="auto"/>
              <w:sz w:val="24"/>
              <w:highlight w:val="none"/>
              <w:u w:val="single"/>
              <w:lang w:val="zh-CN"/>
            </w:rPr>
            <w:t>微型企业（</w:t>
          </w:r>
          <w:r>
            <w:rPr>
              <w:rFonts w:hint="eastAsia" w:cs="@仿宋_GB2312"/>
              <w:color w:val="auto"/>
              <w:sz w:val="24"/>
              <w:highlight w:val="none"/>
              <w:u w:val="single"/>
              <w:lang w:val="en-US" w:eastAsia="zh-CN"/>
            </w:rPr>
            <w:t>请根据公司实际情况勾选</w:t>
          </w:r>
          <w:r>
            <w:rPr>
              <w:rFonts w:hint="eastAsia" w:cs="@仿宋_GB2312"/>
              <w:color w:val="auto"/>
              <w:sz w:val="24"/>
              <w:highlight w:val="none"/>
              <w:u w:val="single"/>
              <w:lang w:val="zh-CN"/>
            </w:rPr>
            <w:t>）</w:t>
          </w:r>
          <w:r>
            <w:rPr>
              <w:rFonts w:hint="eastAsia" w:cs="@仿宋_GB2312"/>
              <w:color w:val="auto"/>
              <w:sz w:val="24"/>
              <w:highlight w:val="none"/>
              <w:lang w:val="zh-CN"/>
            </w:rPr>
            <w:t>；</w:t>
          </w:r>
        </w:p>
        <w:p>
          <w:pPr>
            <w:spacing w:line="360" w:lineRule="auto"/>
            <w:ind w:firstLine="435"/>
            <w:outlineLvl w:val="9"/>
            <w:rPr>
              <w:rFonts w:cs="@仿宋_GB2312"/>
              <w:color w:val="auto"/>
              <w:sz w:val="24"/>
              <w:highlight w:val="none"/>
              <w:lang w:val="zh-CN"/>
            </w:rPr>
          </w:pPr>
          <w:r>
            <w:rPr>
              <w:rFonts w:hint="eastAsia" w:cs="@仿宋_GB2312"/>
              <w:color w:val="auto"/>
              <w:sz w:val="24"/>
              <w:highlight w:val="none"/>
              <w:lang w:val="zh-CN"/>
            </w:rPr>
            <w:t>……</w:t>
          </w:r>
        </w:p>
        <w:p>
          <w:pPr>
            <w:spacing w:line="360" w:lineRule="auto"/>
            <w:ind w:firstLine="435"/>
            <w:outlineLvl w:val="9"/>
            <w:rPr>
              <w:rFonts w:cs="@仿宋_GB2312"/>
              <w:color w:val="auto"/>
              <w:sz w:val="24"/>
              <w:highlight w:val="none"/>
              <w:lang w:val="zh-CN"/>
            </w:rPr>
          </w:pPr>
          <w:r>
            <w:rPr>
              <w:rFonts w:hint="eastAsia" w:cs="@仿宋_GB2312"/>
              <w:color w:val="auto"/>
              <w:sz w:val="24"/>
              <w:highlight w:val="none"/>
              <w:lang w:val="zh-CN"/>
            </w:rPr>
            <w:t>以上企业，不属于大企业的分支机构，不存在控股股东为大企业的情形，也不存在与大企业的负责人为同一人的情形。</w:t>
          </w:r>
        </w:p>
        <w:p>
          <w:pPr>
            <w:spacing w:line="360" w:lineRule="auto"/>
            <w:ind w:firstLine="435"/>
            <w:outlineLvl w:val="9"/>
            <w:rPr>
              <w:rFonts w:cs="@仿宋_GB2312"/>
              <w:color w:val="auto"/>
              <w:sz w:val="24"/>
              <w:highlight w:val="none"/>
              <w:lang w:val="zh-CN"/>
            </w:rPr>
          </w:pPr>
          <w:r>
            <w:rPr>
              <w:rFonts w:hint="eastAsia" w:cs="@仿宋_GB2312"/>
              <w:color w:val="auto"/>
              <w:sz w:val="24"/>
              <w:highlight w:val="none"/>
              <w:lang w:val="zh-CN"/>
            </w:rPr>
            <w:t xml:space="preserve">本企业对上述声明内容的真实性负责。如有虚假，将依法承担相应责任。 </w:t>
          </w:r>
        </w:p>
        <w:p>
          <w:pPr>
            <w:spacing w:line="360" w:lineRule="auto"/>
            <w:ind w:firstLine="435"/>
            <w:outlineLvl w:val="9"/>
            <w:rPr>
              <w:rFonts w:ascii="宋体" w:hAnsi="宋体" w:cs="@仿宋_GB2312"/>
              <w:color w:val="auto"/>
              <w:sz w:val="24"/>
              <w:highlight w:val="none"/>
            </w:rPr>
          </w:pPr>
        </w:p>
        <w:p>
          <w:pPr>
            <w:spacing w:line="360" w:lineRule="auto"/>
            <w:ind w:firstLine="435"/>
            <w:outlineLvl w:val="9"/>
            <w:rPr>
              <w:rFonts w:ascii="宋体" w:hAnsi="宋体" w:cs="@仿宋_GB2312"/>
              <w:color w:val="auto"/>
              <w:sz w:val="24"/>
              <w:highlight w:val="none"/>
            </w:rPr>
          </w:pPr>
        </w:p>
        <w:p>
          <w:pPr>
            <w:spacing w:line="360" w:lineRule="auto"/>
            <w:ind w:firstLine="4228" w:firstLineChars="1762"/>
            <w:outlineLvl w:val="9"/>
            <w:rPr>
              <w:rFonts w:ascii="宋体" w:hAnsi="宋体" w:cs="@仿宋_GB2312"/>
              <w:color w:val="auto"/>
              <w:sz w:val="24"/>
              <w:highlight w:val="none"/>
              <w:u w:val="single"/>
            </w:rPr>
          </w:pPr>
          <w:r>
            <w:rPr>
              <w:rFonts w:hint="eastAsia" w:ascii="宋体" w:hAnsi="宋体" w:cs="@仿宋_GB2312"/>
              <w:color w:val="auto"/>
              <w:sz w:val="24"/>
              <w:highlight w:val="none"/>
            </w:rPr>
            <w:t>供应商</w:t>
          </w:r>
          <w:r>
            <w:rPr>
              <w:rFonts w:ascii="宋体" w:hAnsi="宋体" w:cs="@仿宋_GB2312"/>
              <w:color w:val="auto"/>
              <w:sz w:val="24"/>
              <w:highlight w:val="none"/>
            </w:rPr>
            <w:t>电子签章</w:t>
          </w:r>
          <w:r>
            <w:rPr>
              <w:rFonts w:hint="eastAsia" w:ascii="宋体" w:hAnsi="宋体" w:cs="@仿宋_GB2312"/>
              <w:color w:val="auto"/>
              <w:sz w:val="24"/>
              <w:highlight w:val="none"/>
            </w:rPr>
            <w:t>：</w:t>
          </w:r>
          <w:r>
            <w:rPr>
              <w:rFonts w:ascii="宋体" w:hAnsi="宋体" w:cs="@仿宋_GB2312"/>
              <w:color w:val="auto"/>
              <w:sz w:val="24"/>
              <w:highlight w:val="none"/>
              <w:u w:val="single"/>
            </w:rPr>
            <w:t xml:space="preserve">             </w:t>
          </w:r>
        </w:p>
        <w:p>
          <w:pPr>
            <w:tabs>
              <w:tab w:val="left" w:pos="4620"/>
            </w:tabs>
            <w:spacing w:line="360" w:lineRule="auto"/>
            <w:ind w:firstLine="4252" w:firstLineChars="1772"/>
            <w:outlineLvl w:val="9"/>
            <w:rPr>
              <w:rFonts w:ascii="宋体" w:hAnsi="宋体" w:cs="@仿宋_GB2312"/>
              <w:color w:val="auto"/>
              <w:sz w:val="24"/>
              <w:highlight w:val="none"/>
              <w:u w:val="single"/>
            </w:rPr>
          </w:pPr>
          <w:r>
            <w:rPr>
              <w:rFonts w:hint="eastAsia" w:ascii="宋体" w:hAnsi="宋体" w:cs="@仿宋_GB2312"/>
              <w:color w:val="auto"/>
              <w:sz w:val="24"/>
              <w:highlight w:val="none"/>
            </w:rPr>
            <w:t>日</w:t>
          </w:r>
          <w:r>
            <w:rPr>
              <w:rFonts w:ascii="宋体" w:hAnsi="宋体" w:cs="@仿宋_GB2312"/>
              <w:color w:val="auto"/>
              <w:sz w:val="24"/>
              <w:highlight w:val="none"/>
            </w:rPr>
            <w:t xml:space="preserve">      </w:t>
          </w:r>
          <w:r>
            <w:rPr>
              <w:rFonts w:hint="eastAsia" w:ascii="宋体" w:hAnsi="宋体" w:cs="@仿宋_GB2312"/>
              <w:color w:val="auto"/>
              <w:sz w:val="24"/>
              <w:highlight w:val="none"/>
            </w:rPr>
            <w:t xml:space="preserve">    期：</w:t>
          </w:r>
          <w:r>
            <w:rPr>
              <w:rFonts w:ascii="宋体" w:hAnsi="宋体" w:cs="@仿宋_GB2312"/>
              <w:color w:val="auto"/>
              <w:sz w:val="24"/>
              <w:highlight w:val="none"/>
              <w:u w:val="single"/>
            </w:rPr>
            <w:t xml:space="preserve">             </w:t>
          </w:r>
        </w:p>
        <w:p>
          <w:pPr>
            <w:tabs>
              <w:tab w:val="left" w:pos="4620"/>
            </w:tabs>
            <w:spacing w:line="360" w:lineRule="auto"/>
            <w:jc w:val="left"/>
            <w:outlineLvl w:val="9"/>
            <w:rPr>
              <w:rFonts w:ascii="宋体" w:hAnsi="宋体" w:cs="@仿宋_GB2312"/>
              <w:color w:val="auto"/>
              <w:sz w:val="24"/>
              <w:highlight w:val="none"/>
            </w:rPr>
          </w:pPr>
        </w:p>
        <w:p>
          <w:pPr>
            <w:tabs>
              <w:tab w:val="left" w:pos="4620"/>
            </w:tabs>
            <w:spacing w:line="360" w:lineRule="auto"/>
            <w:jc w:val="left"/>
            <w:outlineLvl w:val="9"/>
            <w:rPr>
              <w:rFonts w:hint="eastAsia" w:ascii="宋体" w:hAnsi="宋体" w:cs="@仿宋_GB2312"/>
              <w:color w:val="auto"/>
              <w:highlight w:val="none"/>
            </w:rPr>
          </w:pPr>
          <w:r>
            <w:rPr>
              <w:rFonts w:hint="eastAsia" w:ascii="宋体" w:hAnsi="宋体" w:cs="@仿宋_GB2312"/>
              <w:color w:val="auto"/>
              <w:highlight w:val="none"/>
            </w:rPr>
            <w:t>注：从业人员、营业收入、资产总额填报上一年数据，无上一年数据的新成立企业可不填报。</w:t>
          </w:r>
        </w:p>
        <w:p>
          <w:pPr>
            <w:widowControl/>
            <w:jc w:val="center"/>
            <w:rPr>
              <w:rFonts w:hint="eastAsia" w:hAnsi="宋体"/>
            </w:rPr>
          </w:pPr>
          <w:bookmarkStart w:id="635" w:name="_Toc15526"/>
          <w:bookmarkStart w:id="636" w:name="_Toc32323"/>
        </w:p>
        <w:p>
          <w:pPr>
            <w:widowControl/>
            <w:jc w:val="center"/>
            <w:rPr>
              <w:rFonts w:hint="eastAsia" w:hAnsi="宋体"/>
            </w:rPr>
          </w:pPr>
        </w:p>
        <w:p>
          <w:pPr>
            <w:widowControl/>
            <w:jc w:val="center"/>
            <w:rPr>
              <w:rFonts w:hAnsi="宋体"/>
              <w:b/>
            </w:rPr>
          </w:pPr>
          <w:r>
            <w:rPr>
              <w:rFonts w:hint="eastAsia" w:hAnsi="宋体"/>
            </w:rPr>
            <w:t>（二）</w:t>
          </w:r>
          <w:r>
            <w:rPr>
              <w:rFonts w:hint="eastAsia" w:hAnsi="宋体"/>
              <w:b/>
            </w:rPr>
            <w:t>残疾人福利性单位声明函</w:t>
          </w:r>
          <w:bookmarkEnd w:id="635"/>
          <w:bookmarkEnd w:id="636"/>
        </w:p>
        <w:p>
          <w:pPr>
            <w:spacing w:line="360" w:lineRule="auto"/>
            <w:ind w:firstLine="435"/>
            <w:rPr>
              <w:rFonts w:hAnsi="宋体"/>
              <w:spacing w:val="6"/>
            </w:rPr>
          </w:pPr>
        </w:p>
        <w:p>
          <w:pPr>
            <w:pStyle w:val="7"/>
            <w:ind w:firstLine="584"/>
            <w:rPr>
              <w:spacing w:val="6"/>
            </w:rPr>
          </w:pPr>
        </w:p>
        <w:p>
          <w:pPr>
            <w:pStyle w:val="12"/>
          </w:pPr>
        </w:p>
        <w:p>
          <w:pPr>
            <w:spacing w:line="360" w:lineRule="auto"/>
            <w:ind w:firstLine="435"/>
            <w:rPr>
              <w:rFonts w:hAnsi="宋体"/>
              <w:spacing w:val="6"/>
            </w:rPr>
          </w:pPr>
          <w:r>
            <w:rPr>
              <w:rFonts w:hint="eastAsia" w:hAnsi="宋体"/>
              <w:spacing w:val="6"/>
            </w:rPr>
            <w:t>本单位</w:t>
          </w:r>
          <w:r>
            <w:rPr>
              <w:rFonts w:hint="eastAsia" w:hAnsi="宋体"/>
            </w:rPr>
            <w:t>郑重</w:t>
          </w:r>
          <w:r>
            <w:rPr>
              <w:rFonts w:hint="eastAsia" w:hAnsi="宋体"/>
              <w:spacing w:val="6"/>
            </w:rPr>
            <w:t>声明，根据《财政部 民政部 中国残疾人联合会关于促进残疾人就业政府采购政策的通知》（财库</w:t>
          </w:r>
          <w:r>
            <w:rPr>
              <w:rFonts w:hint="eastAsia" w:hAnsi="宋体"/>
            </w:rPr>
            <w:t>〔2017〕141</w:t>
          </w:r>
          <w:r>
            <w:rPr>
              <w:rFonts w:hint="eastAsia" w:hAnsi="宋体"/>
              <w:spacing w:val="6"/>
            </w:rPr>
            <w:t>号）的规定，本单位为</w:t>
          </w:r>
          <w:r>
            <w:rPr>
              <w:rFonts w:hint="eastAsia" w:hAnsi="宋体"/>
              <w:bCs/>
            </w:rPr>
            <w:t>符合</w:t>
          </w:r>
          <w:r>
            <w:rPr>
              <w:rFonts w:hint="eastAsia" w:hAnsi="宋体"/>
              <w:spacing w:val="6"/>
            </w:rPr>
            <w:t>条件的残疾人福利性单位，且本单位参加</w:t>
          </w:r>
          <w:r>
            <w:rPr>
              <w:rFonts w:hint="eastAsia" w:hAnsi="宋体"/>
              <w:u w:val="single"/>
              <w:lang w:val="zh-CN"/>
            </w:rPr>
            <w:t>（</w:t>
          </w:r>
          <w:r>
            <w:rPr>
              <w:rFonts w:hint="eastAsia" w:cs="@仿宋_GB2312"/>
              <w:u w:val="single"/>
              <w:lang w:val="zh-CN"/>
            </w:rPr>
            <w:t>某单位</w:t>
          </w:r>
          <w:r>
            <w:rPr>
              <w:rFonts w:hint="eastAsia" w:hAnsi="宋体"/>
              <w:u w:val="single"/>
              <w:lang w:val="zh-CN"/>
            </w:rPr>
            <w:t>）</w:t>
          </w:r>
          <w:r>
            <w:rPr>
              <w:rFonts w:hint="eastAsia" w:hAnsi="宋体"/>
              <w:lang w:val="zh-CN"/>
            </w:rPr>
            <w:t>的</w:t>
          </w:r>
          <w:r>
            <w:rPr>
              <w:rFonts w:hint="eastAsia" w:hAnsi="宋体"/>
              <w:u w:val="single"/>
              <w:lang w:val="zh-CN"/>
            </w:rPr>
            <w:t>（</w:t>
          </w:r>
          <w:r>
            <w:rPr>
              <w:rFonts w:hint="eastAsia" w:cs="@仿宋_GB2312"/>
              <w:u w:val="single"/>
              <w:lang w:val="zh-CN"/>
            </w:rPr>
            <w:t>某项目</w:t>
          </w:r>
          <w:r>
            <w:rPr>
              <w:rFonts w:hint="eastAsia" w:hAnsi="宋体"/>
              <w:u w:val="single"/>
              <w:lang w:val="zh-CN"/>
            </w:rPr>
            <w:t>）</w:t>
          </w:r>
          <w:r>
            <w:rPr>
              <w:rFonts w:hint="eastAsia" w:hAnsi="宋体"/>
              <w:spacing w:val="6"/>
            </w:rPr>
            <w:t>采购活动由本单位承担工程。</w:t>
          </w:r>
        </w:p>
        <w:p>
          <w:pPr>
            <w:spacing w:line="360" w:lineRule="auto"/>
            <w:ind w:firstLine="435"/>
            <w:rPr>
              <w:rFonts w:hAnsi="宋体"/>
              <w:spacing w:val="6"/>
            </w:rPr>
          </w:pPr>
          <w:r>
            <w:rPr>
              <w:rFonts w:hint="eastAsia" w:hAnsi="宋体"/>
              <w:spacing w:val="6"/>
            </w:rPr>
            <w:t>本单位对上述声明的真实性负责。如有虚假，将依法承担相应责任。</w:t>
          </w:r>
        </w:p>
        <w:p>
          <w:pPr>
            <w:spacing w:line="360" w:lineRule="auto"/>
            <w:ind w:firstLine="3524" w:firstLineChars="1762"/>
            <w:rPr>
              <w:rFonts w:hAnsi="宋体"/>
            </w:rPr>
          </w:pPr>
        </w:p>
        <w:p>
          <w:pPr>
            <w:spacing w:line="360" w:lineRule="auto"/>
            <w:ind w:firstLine="3524" w:firstLineChars="1762"/>
            <w:rPr>
              <w:rFonts w:hAnsi="宋体"/>
            </w:rPr>
          </w:pPr>
        </w:p>
        <w:p>
          <w:pPr>
            <w:spacing w:line="360" w:lineRule="auto"/>
            <w:ind w:firstLine="3524" w:firstLineChars="1762"/>
            <w:rPr>
              <w:rFonts w:hAnsi="宋体"/>
              <w:u w:val="single"/>
            </w:rPr>
          </w:pPr>
          <w:r>
            <w:rPr>
              <w:rFonts w:hint="eastAsia" w:hAnsi="宋体"/>
            </w:rPr>
            <w:t>供应商</w:t>
          </w:r>
          <w:r>
            <w:rPr>
              <w:rFonts w:hAnsi="宋体"/>
            </w:rPr>
            <w:t>电子签章</w:t>
          </w:r>
          <w:r>
            <w:rPr>
              <w:rFonts w:hint="eastAsia" w:hAnsi="宋体"/>
            </w:rPr>
            <w:t>：</w:t>
          </w:r>
          <w:r>
            <w:rPr>
              <w:rFonts w:hAnsi="宋体"/>
              <w:u w:val="single"/>
            </w:rPr>
            <w:t xml:space="preserve">             </w:t>
          </w:r>
        </w:p>
        <w:p>
          <w:pPr>
            <w:tabs>
              <w:tab w:val="left" w:pos="4620"/>
            </w:tabs>
            <w:spacing w:line="360" w:lineRule="auto"/>
            <w:ind w:firstLine="3544" w:firstLineChars="1772"/>
            <w:rPr>
              <w:rFonts w:hAnsi="宋体"/>
              <w:u w:val="single"/>
            </w:rPr>
          </w:pPr>
          <w:r>
            <w:rPr>
              <w:rFonts w:hint="eastAsia" w:hAnsi="宋体"/>
            </w:rPr>
            <w:t>日</w:t>
          </w:r>
          <w:r>
            <w:rPr>
              <w:rFonts w:hAnsi="宋体"/>
            </w:rPr>
            <w:t xml:space="preserve">      </w:t>
          </w:r>
          <w:r>
            <w:rPr>
              <w:rFonts w:hint="eastAsia" w:hAnsi="宋体"/>
            </w:rPr>
            <w:t xml:space="preserve">    期：</w:t>
          </w:r>
          <w:r>
            <w:rPr>
              <w:rFonts w:hAnsi="宋体"/>
              <w:u w:val="single"/>
            </w:rPr>
            <w:t xml:space="preserve">             </w:t>
          </w:r>
        </w:p>
        <w:p>
          <w:pPr>
            <w:widowControl/>
            <w:jc w:val="center"/>
            <w:rPr>
              <w:rFonts w:hint="eastAsia" w:hAnsi="宋体"/>
              <w:b/>
              <w:bCs/>
            </w:rPr>
          </w:pPr>
        </w:p>
        <w:p>
          <w:pPr>
            <w:widowControl/>
            <w:jc w:val="center"/>
            <w:rPr>
              <w:rFonts w:hint="eastAsia" w:hAnsi="宋体"/>
              <w:b/>
              <w:bCs/>
            </w:rPr>
          </w:pPr>
        </w:p>
        <w:p>
          <w:pPr>
            <w:widowControl/>
            <w:jc w:val="center"/>
            <w:rPr>
              <w:rFonts w:hint="eastAsia" w:hAnsi="宋体"/>
              <w:b/>
              <w:bCs/>
            </w:rPr>
          </w:pPr>
        </w:p>
        <w:p>
          <w:pPr>
            <w:widowControl/>
            <w:jc w:val="center"/>
            <w:rPr>
              <w:rFonts w:hint="eastAsia" w:hAnsi="宋体"/>
              <w:b/>
              <w:bCs/>
            </w:rPr>
          </w:pPr>
        </w:p>
        <w:p>
          <w:pPr>
            <w:widowControl/>
            <w:jc w:val="center"/>
            <w:rPr>
              <w:rFonts w:hint="eastAsia" w:hAnsi="宋体"/>
              <w:b/>
              <w:bCs/>
            </w:rPr>
          </w:pPr>
        </w:p>
        <w:p>
          <w:pPr>
            <w:widowControl/>
            <w:numPr>
              <w:ilvl w:val="0"/>
              <w:numId w:val="6"/>
            </w:numPr>
            <w:jc w:val="center"/>
            <w:rPr>
              <w:rFonts w:hint="eastAsia" w:hAnsi="宋体"/>
              <w:b/>
              <w:bCs/>
            </w:rPr>
          </w:pPr>
          <w:r>
            <w:rPr>
              <w:rFonts w:hint="eastAsia" w:hAnsi="宋体"/>
              <w:b/>
              <w:bCs/>
            </w:rPr>
            <w:t xml:space="preserve">监狱企业证明材料 </w:t>
          </w:r>
        </w:p>
        <w:p>
          <w:pPr>
            <w:pStyle w:val="6"/>
            <w:rPr>
              <w:rFonts w:hint="eastAsia"/>
            </w:rPr>
          </w:pPr>
        </w:p>
        <w:p>
          <w:pPr>
            <w:spacing w:line="360" w:lineRule="auto"/>
            <w:ind w:firstLine="424" w:firstLineChars="200"/>
            <w:rPr>
              <w:rFonts w:hint="eastAsia"/>
              <w:szCs w:val="22"/>
            </w:rPr>
          </w:pPr>
          <w:r>
            <w:rPr>
              <w:rFonts w:hint="eastAsia" w:hAnsi="宋体"/>
              <w:spacing w:val="6"/>
            </w:rPr>
            <w:t>监狱企业须提供省级以上监狱管理局、戒毒管理局（含新疆生产建设兵团）出具的属于监狱企业的证明文件扫描件</w:t>
          </w:r>
        </w:p>
        <w:p>
          <w:pPr>
            <w:widowControl/>
            <w:jc w:val="left"/>
            <w:rPr>
              <w:rFonts w:hint="eastAsia"/>
              <w:szCs w:val="22"/>
            </w:rPr>
          </w:pPr>
        </w:p>
        <w:p>
          <w:pPr>
            <w:widowControl/>
            <w:jc w:val="left"/>
            <w:rPr>
              <w:rFonts w:hint="eastAsia"/>
              <w:szCs w:val="22"/>
            </w:rPr>
          </w:pPr>
        </w:p>
        <w:p>
          <w:pPr>
            <w:widowControl/>
            <w:jc w:val="left"/>
            <w:rPr>
              <w:rFonts w:hint="eastAsia"/>
              <w:szCs w:val="22"/>
            </w:rPr>
          </w:pPr>
        </w:p>
        <w:p>
          <w:pPr>
            <w:widowControl/>
            <w:jc w:val="left"/>
            <w:rPr>
              <w:rFonts w:hint="eastAsia"/>
              <w:szCs w:val="22"/>
            </w:rPr>
          </w:pPr>
        </w:p>
        <w:p>
          <w:pPr>
            <w:widowControl/>
            <w:jc w:val="left"/>
            <w:rPr>
              <w:rFonts w:hint="eastAsia"/>
              <w:szCs w:val="22"/>
            </w:rPr>
          </w:pPr>
        </w:p>
        <w:p>
          <w:pPr>
            <w:tabs>
              <w:tab w:val="left" w:pos="5760"/>
            </w:tabs>
            <w:autoSpaceDE w:val="0"/>
            <w:autoSpaceDN w:val="0"/>
            <w:adjustRightInd w:val="0"/>
            <w:spacing w:line="300" w:lineRule="exact"/>
            <w:ind w:right="11"/>
            <w:rPr>
              <w:rFonts w:hint="eastAsia" w:hAnsi="宋体"/>
              <w:szCs w:val="22"/>
            </w:rPr>
          </w:pPr>
        </w:p>
        <w:p>
          <w:pPr>
            <w:tabs>
              <w:tab w:val="left" w:pos="5760"/>
            </w:tabs>
            <w:autoSpaceDE w:val="0"/>
            <w:autoSpaceDN w:val="0"/>
            <w:adjustRightInd w:val="0"/>
            <w:spacing w:line="300" w:lineRule="exact"/>
            <w:ind w:right="11"/>
            <w:rPr>
              <w:rFonts w:hint="eastAsia" w:hAnsi="宋体"/>
              <w:b/>
              <w:sz w:val="28"/>
              <w:szCs w:val="22"/>
            </w:rPr>
          </w:pPr>
        </w:p>
        <w:p>
          <w:pPr>
            <w:tabs>
              <w:tab w:val="left" w:pos="4620"/>
            </w:tabs>
            <w:spacing w:line="360" w:lineRule="auto"/>
            <w:jc w:val="left"/>
            <w:outlineLvl w:val="9"/>
            <w:rPr>
              <w:rFonts w:hint="eastAsia" w:ascii="宋体" w:hAnsi="宋体" w:cs="@仿宋_GB2312"/>
              <w:color w:val="auto"/>
              <w:highlight w:val="none"/>
            </w:rPr>
          </w:pPr>
        </w:p>
        <w:p>
          <w:pPr>
            <w:spacing w:line="510" w:lineRule="exact"/>
            <w:jc w:val="left"/>
            <w:rPr>
              <w:rFonts w:ascii="宋体" w:hAnsi="宋体"/>
              <w:color w:val="auto"/>
              <w:szCs w:val="22"/>
              <w:highlight w:val="none"/>
            </w:rPr>
          </w:pPr>
          <w:r>
            <w:rPr>
              <w:rFonts w:hint="eastAsia" w:ascii="宋体" w:hAnsi="宋体"/>
              <w:color w:val="auto"/>
              <w:szCs w:val="22"/>
              <w:highlight w:val="none"/>
            </w:rPr>
            <w:t>注：对照评标办法要求，由</w:t>
          </w:r>
          <w:r>
            <w:rPr>
              <w:rFonts w:hint="eastAsia" w:ascii="宋体" w:hAnsi="宋体"/>
              <w:color w:val="auto"/>
              <w:szCs w:val="22"/>
              <w:highlight w:val="none"/>
              <w:lang w:val="en-US" w:eastAsia="zh-CN"/>
            </w:rPr>
            <w:t>参审单位</w:t>
          </w:r>
          <w:r>
            <w:rPr>
              <w:rFonts w:hint="eastAsia" w:ascii="宋体" w:hAnsi="宋体"/>
              <w:color w:val="auto"/>
              <w:szCs w:val="22"/>
              <w:highlight w:val="none"/>
            </w:rPr>
            <w:t>自行提供相关证明或资料。如证明或声明或资料与实际不符，将被取消投标或中标资格，其投标保证金按规定予以处理。</w:t>
          </w:r>
        </w:p>
      </w:sdtContent>
    </w:sdt>
    <w:p>
      <w:pPr>
        <w:spacing w:line="360" w:lineRule="auto"/>
        <w:ind w:firstLine="435"/>
        <w:rPr>
          <w:rFonts w:cs="宋体"/>
          <w:b/>
          <w:bCs/>
          <w:sz w:val="44"/>
          <w:szCs w:val="44"/>
          <w:highlight w:val="none"/>
        </w:rPr>
      </w:pPr>
      <w:r>
        <w:rPr>
          <w:sz w:val="24"/>
          <w:highlight w:val="none"/>
        </w:rPr>
        <w:br w:type="page"/>
      </w:r>
      <w:r>
        <w:rPr>
          <w:rFonts w:hint="eastAsia" w:cs="宋体"/>
          <w:b/>
          <w:bCs/>
          <w:sz w:val="44"/>
          <w:szCs w:val="44"/>
          <w:highlight w:val="none"/>
        </w:rPr>
        <w:t>附件：全流程电子招标采购具体要求</w:t>
      </w:r>
      <w:r>
        <w:rPr>
          <w:rStyle w:val="34"/>
          <w:rFonts w:hint="eastAsia" w:cs="宋体"/>
          <w:b/>
          <w:bCs/>
          <w:sz w:val="44"/>
          <w:szCs w:val="44"/>
          <w:highlight w:val="none"/>
        </w:rPr>
        <w:footnoteReference w:id="3"/>
      </w:r>
    </w:p>
    <w:p>
      <w:pPr>
        <w:spacing w:line="400" w:lineRule="exact"/>
        <w:ind w:firstLine="400" w:firstLineChars="200"/>
        <w:rPr>
          <w:rFonts w:cs="宋体"/>
          <w:szCs w:val="24"/>
          <w:highlight w:val="none"/>
        </w:rPr>
      </w:pPr>
      <w:r>
        <w:rPr>
          <w:rFonts w:hint="eastAsia" w:cs="宋体"/>
          <w:szCs w:val="24"/>
          <w:highlight w:val="none"/>
        </w:rPr>
        <w:t>说明：当采用非招标方式进行全流程电子采购活动时，按照本规定执行，其中本要求“</w:t>
      </w:r>
      <w:r>
        <w:rPr>
          <w:rFonts w:hint="eastAsia" w:cs="宋体"/>
          <w:szCs w:val="24"/>
          <w:highlight w:val="none"/>
          <w:lang w:eastAsia="zh-CN"/>
        </w:rPr>
        <w:t>参审单位</w:t>
      </w:r>
      <w:r>
        <w:rPr>
          <w:rFonts w:hint="eastAsia" w:cs="宋体"/>
          <w:szCs w:val="24"/>
          <w:highlight w:val="none"/>
        </w:rPr>
        <w:t>”按“</w:t>
      </w:r>
      <w:r>
        <w:rPr>
          <w:rFonts w:hint="eastAsia"/>
          <w:szCs w:val="18"/>
          <w:highlight w:val="none"/>
          <w:lang w:eastAsia="zh-CN"/>
        </w:rPr>
        <w:t>参审单位</w:t>
      </w:r>
      <w:r>
        <w:rPr>
          <w:rFonts w:hint="eastAsia" w:cs="宋体"/>
          <w:szCs w:val="24"/>
          <w:highlight w:val="none"/>
        </w:rPr>
        <w:t>”理解，“投标文件”按“响应文件”理解，“</w:t>
      </w:r>
      <w:r>
        <w:rPr>
          <w:rFonts w:hint="eastAsia" w:cs="宋体"/>
          <w:szCs w:val="24"/>
          <w:highlight w:val="none"/>
          <w:lang w:eastAsia="zh-CN"/>
        </w:rPr>
        <w:t>磋商文件</w:t>
      </w:r>
      <w:r>
        <w:rPr>
          <w:rFonts w:hint="eastAsia" w:cs="宋体"/>
          <w:szCs w:val="24"/>
          <w:highlight w:val="none"/>
        </w:rPr>
        <w:t>”按“采购文件”理解，“投标文件递交截止时间”按“首次递交响应文件截止时间”理解，“开标”按“开启响应文件”理解，“</w:t>
      </w:r>
      <w:r>
        <w:rPr>
          <w:rFonts w:hint="eastAsia" w:cs="宋体"/>
          <w:szCs w:val="24"/>
          <w:highlight w:val="none"/>
          <w:lang w:eastAsia="zh-CN"/>
        </w:rPr>
        <w:t>磋商小组</w:t>
      </w:r>
      <w:r>
        <w:rPr>
          <w:rFonts w:hint="eastAsia" w:cs="宋体"/>
          <w:szCs w:val="24"/>
          <w:highlight w:val="none"/>
        </w:rPr>
        <w:t>”按“评审小组”理解，“投标无效”按“响应文件无效”理解。</w:t>
      </w:r>
    </w:p>
    <w:p>
      <w:pPr>
        <w:spacing w:line="400" w:lineRule="exact"/>
        <w:ind w:firstLine="400" w:firstLineChars="200"/>
        <w:rPr>
          <w:rFonts w:cs="宋体"/>
          <w:szCs w:val="24"/>
          <w:highlight w:val="none"/>
        </w:rPr>
      </w:pPr>
    </w:p>
    <w:p>
      <w:pPr>
        <w:spacing w:line="400" w:lineRule="exact"/>
        <w:ind w:firstLine="400" w:firstLineChars="200"/>
        <w:rPr>
          <w:rFonts w:cs="宋体"/>
          <w:szCs w:val="24"/>
          <w:highlight w:val="none"/>
        </w:rPr>
      </w:pPr>
      <w:r>
        <w:rPr>
          <w:rFonts w:hint="eastAsia" w:cs="宋体"/>
          <w:szCs w:val="24"/>
          <w:highlight w:val="none"/>
        </w:rPr>
        <w:t>一、</w:t>
      </w:r>
      <w:r>
        <w:rPr>
          <w:rFonts w:hint="eastAsia" w:cs="宋体"/>
          <w:highlight w:val="none"/>
        </w:rPr>
        <w:t>CA</w:t>
      </w:r>
      <w:r>
        <w:rPr>
          <w:rFonts w:hint="eastAsia" w:cs="宋体"/>
          <w:szCs w:val="24"/>
          <w:highlight w:val="none"/>
        </w:rPr>
        <w:t>证书办理和注意事项</w:t>
      </w:r>
    </w:p>
    <w:p>
      <w:pPr>
        <w:spacing w:line="400" w:lineRule="exact"/>
        <w:ind w:firstLine="400" w:firstLineChars="200"/>
        <w:rPr>
          <w:rFonts w:cs="宋体"/>
          <w:highlight w:val="none"/>
        </w:rPr>
      </w:pPr>
      <w:r>
        <w:rPr>
          <w:rFonts w:hint="eastAsia" w:cs="宋体"/>
          <w:szCs w:val="24"/>
          <w:highlight w:val="none"/>
        </w:rPr>
        <w:t>1.本项目采用全流程电子招标采购方式，</w:t>
      </w:r>
      <w:r>
        <w:rPr>
          <w:rFonts w:hint="eastAsia" w:cs="宋体"/>
          <w:highlight w:val="none"/>
        </w:rPr>
        <w:t>潜在</w:t>
      </w:r>
      <w:r>
        <w:rPr>
          <w:rFonts w:hint="eastAsia"/>
          <w:szCs w:val="18"/>
          <w:highlight w:val="none"/>
          <w:lang w:eastAsia="zh-CN"/>
        </w:rPr>
        <w:t>参审单位</w:t>
      </w:r>
      <w:r>
        <w:rPr>
          <w:rFonts w:hint="eastAsia" w:cs="宋体"/>
          <w:highlight w:val="none"/>
        </w:rPr>
        <w:t>应及时办理CA证书，用于对投标文件进行电子签章及加、解密。</w:t>
      </w:r>
    </w:p>
    <w:p>
      <w:pPr>
        <w:spacing w:line="400" w:lineRule="exact"/>
        <w:ind w:firstLine="400" w:firstLineChars="200"/>
        <w:rPr>
          <w:rFonts w:cs="宋体"/>
          <w:bCs/>
          <w:highlight w:val="none"/>
        </w:rPr>
      </w:pPr>
      <w:r>
        <w:rPr>
          <w:rFonts w:hint="eastAsia" w:cs="宋体"/>
          <w:szCs w:val="24"/>
          <w:highlight w:val="none"/>
        </w:rPr>
        <w:t>2.CA</w:t>
      </w:r>
      <w:r>
        <w:rPr>
          <w:rFonts w:hint="eastAsia" w:cs="宋体"/>
          <w:highlight w:val="none"/>
        </w:rPr>
        <w:t>证书</w:t>
      </w:r>
      <w:r>
        <w:rPr>
          <w:rFonts w:hint="eastAsia" w:cs="宋体"/>
          <w:szCs w:val="24"/>
          <w:highlight w:val="none"/>
        </w:rPr>
        <w:t>办理详见</w:t>
      </w:r>
      <w:r>
        <w:rPr>
          <w:rFonts w:hint="eastAsia" w:cs="宋体"/>
          <w:bCs/>
          <w:highlight w:val="none"/>
        </w:rPr>
        <w:t>《优质采平台CA数字证书办理说明》：</w:t>
      </w:r>
    </w:p>
    <w:p>
      <w:pPr>
        <w:spacing w:line="400" w:lineRule="exact"/>
        <w:rPr>
          <w:rFonts w:cs="宋体"/>
          <w:b/>
          <w:bCs/>
          <w:highlight w:val="none"/>
        </w:rPr>
      </w:pPr>
      <w:r>
        <w:rPr>
          <w:highlight w:val="none"/>
        </w:rPr>
        <w:fldChar w:fldCharType="begin"/>
      </w:r>
      <w:r>
        <w:rPr>
          <w:highlight w:val="none"/>
        </w:rPr>
        <w:instrText xml:space="preserve"> HYPERLINK "http://www.youzhicai.com/ActivityTopic/AdviceDetail/8f80a7ec-911f-4c4d-a123-f8849880f045" </w:instrText>
      </w:r>
      <w:r>
        <w:rPr>
          <w:highlight w:val="none"/>
        </w:rPr>
        <w:fldChar w:fldCharType="separate"/>
      </w:r>
      <w:r>
        <w:rPr>
          <w:rStyle w:val="30"/>
          <w:rFonts w:hint="eastAsia" w:cs="宋体"/>
          <w:bCs/>
          <w:color w:val="auto"/>
          <w:highlight w:val="none"/>
        </w:rPr>
        <w:t>http://www.youzhicai.com/ActivityTopic/AdviceDetail/8f80a7ec-911f-4c4d-a123-f</w:t>
      </w:r>
      <w:bookmarkStart w:id="637" w:name="_Hlt105085548"/>
      <w:bookmarkStart w:id="638" w:name="_Hlt105085547"/>
      <w:r>
        <w:rPr>
          <w:rStyle w:val="30"/>
          <w:rFonts w:hint="eastAsia" w:cs="宋体"/>
          <w:bCs/>
          <w:color w:val="auto"/>
          <w:highlight w:val="none"/>
        </w:rPr>
        <w:t>8</w:t>
      </w:r>
      <w:bookmarkEnd w:id="637"/>
      <w:bookmarkEnd w:id="638"/>
      <w:r>
        <w:rPr>
          <w:rStyle w:val="30"/>
          <w:rFonts w:hint="eastAsia" w:cs="宋体"/>
          <w:bCs/>
          <w:color w:val="auto"/>
          <w:highlight w:val="none"/>
        </w:rPr>
        <w:t>849880f045</w:t>
      </w:r>
      <w:r>
        <w:rPr>
          <w:rStyle w:val="30"/>
          <w:rFonts w:hint="eastAsia" w:cs="宋体"/>
          <w:bCs/>
          <w:color w:val="auto"/>
          <w:highlight w:val="none"/>
        </w:rPr>
        <w:fldChar w:fldCharType="end"/>
      </w:r>
      <w:r>
        <w:rPr>
          <w:rFonts w:hint="eastAsia" w:cs="宋体"/>
          <w:bCs/>
          <w:highlight w:val="none"/>
        </w:rPr>
        <w:t>。</w:t>
      </w:r>
    </w:p>
    <w:p>
      <w:pPr>
        <w:spacing w:line="400" w:lineRule="exact"/>
        <w:ind w:firstLine="400" w:firstLineChars="200"/>
        <w:rPr>
          <w:rFonts w:cs="宋体"/>
          <w:highlight w:val="none"/>
        </w:rPr>
      </w:pPr>
      <w:r>
        <w:rPr>
          <w:rFonts w:hint="eastAsia" w:cs="宋体"/>
          <w:szCs w:val="24"/>
          <w:highlight w:val="none"/>
        </w:rPr>
        <w:t>3.CA</w:t>
      </w:r>
      <w:r>
        <w:rPr>
          <w:rFonts w:hint="eastAsia" w:cs="宋体"/>
          <w:highlight w:val="none"/>
        </w:rPr>
        <w:t>证书</w:t>
      </w:r>
      <w:r>
        <w:rPr>
          <w:rFonts w:hint="eastAsia" w:cs="宋体"/>
          <w:szCs w:val="24"/>
          <w:highlight w:val="none"/>
        </w:rPr>
        <w:t>到期或即将到期，须在递交投标文件前办理续期。</w:t>
      </w:r>
    </w:p>
    <w:p>
      <w:pPr>
        <w:spacing w:line="400" w:lineRule="exact"/>
        <w:ind w:firstLine="420"/>
        <w:rPr>
          <w:rFonts w:cs="宋体"/>
          <w:highlight w:val="none"/>
        </w:rPr>
      </w:pPr>
      <w:r>
        <w:rPr>
          <w:rFonts w:hint="eastAsia" w:cs="宋体"/>
          <w:szCs w:val="24"/>
          <w:highlight w:val="none"/>
        </w:rPr>
        <w:t>4.CA锁</w:t>
      </w:r>
      <w:r>
        <w:rPr>
          <w:rFonts w:hint="eastAsia" w:cs="宋体"/>
          <w:highlight w:val="none"/>
        </w:rPr>
        <w:t>遗失、损坏等无法使用，须在递交投标文件前补办CA锁。</w:t>
      </w:r>
    </w:p>
    <w:p>
      <w:pPr>
        <w:spacing w:line="400" w:lineRule="exact"/>
        <w:ind w:firstLine="420"/>
        <w:rPr>
          <w:rFonts w:cs="宋体"/>
          <w:highlight w:val="none"/>
        </w:rPr>
      </w:pPr>
      <w:r>
        <w:rPr>
          <w:rFonts w:hint="eastAsia" w:cs="宋体"/>
          <w:szCs w:val="24"/>
          <w:highlight w:val="none"/>
        </w:rPr>
        <w:t>5.企业</w:t>
      </w:r>
      <w:r>
        <w:rPr>
          <w:rFonts w:hint="eastAsia" w:cs="宋体"/>
          <w:highlight w:val="none"/>
        </w:rPr>
        <w:t>信息（包括但不限于企业名称和法定代表人信息）发生变更的，须在递交投标文件前变更CA证书。</w:t>
      </w:r>
    </w:p>
    <w:p>
      <w:pPr>
        <w:spacing w:line="400" w:lineRule="exact"/>
        <w:rPr>
          <w:rFonts w:cs="宋体"/>
          <w:szCs w:val="24"/>
          <w:highlight w:val="none"/>
        </w:rPr>
      </w:pPr>
      <w:r>
        <w:rPr>
          <w:rFonts w:hint="eastAsia" w:cs="宋体"/>
          <w:szCs w:val="24"/>
          <w:highlight w:val="none"/>
        </w:rPr>
        <w:tab/>
      </w:r>
      <w:r>
        <w:rPr>
          <w:rFonts w:hint="eastAsia" w:cs="宋体"/>
          <w:szCs w:val="24"/>
          <w:highlight w:val="none"/>
        </w:rPr>
        <w:t>6.</w:t>
      </w:r>
      <w:r>
        <w:rPr>
          <w:rFonts w:hint="eastAsia"/>
          <w:szCs w:val="18"/>
          <w:highlight w:val="none"/>
        </w:rPr>
        <w:t xml:space="preserve"> </w:t>
      </w:r>
      <w:r>
        <w:rPr>
          <w:rFonts w:hint="eastAsia"/>
          <w:szCs w:val="18"/>
          <w:highlight w:val="none"/>
          <w:lang w:eastAsia="zh-CN"/>
        </w:rPr>
        <w:t>参审单位</w:t>
      </w:r>
      <w:r>
        <w:rPr>
          <w:rFonts w:hint="eastAsia" w:cs="宋体"/>
          <w:szCs w:val="24"/>
          <w:highlight w:val="none"/>
        </w:rPr>
        <w:t>由于</w:t>
      </w:r>
      <w:r>
        <w:rPr>
          <w:rFonts w:hint="eastAsia" w:cs="宋体"/>
          <w:highlight w:val="none"/>
        </w:rPr>
        <w:t>CA证书</w:t>
      </w:r>
      <w:r>
        <w:rPr>
          <w:rFonts w:hint="eastAsia" w:cs="宋体"/>
          <w:szCs w:val="24"/>
          <w:highlight w:val="none"/>
        </w:rPr>
        <w:t>遗失、损坏、更换、续期、企业信息变更等情况导致投标文件无法解密的，由</w:t>
      </w:r>
      <w:r>
        <w:rPr>
          <w:rFonts w:hint="eastAsia"/>
          <w:szCs w:val="18"/>
          <w:highlight w:val="none"/>
          <w:lang w:eastAsia="zh-CN"/>
        </w:rPr>
        <w:t>参审单位</w:t>
      </w:r>
      <w:r>
        <w:rPr>
          <w:rFonts w:hint="eastAsia" w:cs="宋体"/>
          <w:szCs w:val="24"/>
          <w:highlight w:val="none"/>
        </w:rPr>
        <w:t>自行承担责任；</w:t>
      </w:r>
    </w:p>
    <w:p>
      <w:pPr>
        <w:spacing w:line="400" w:lineRule="exact"/>
        <w:ind w:firstLine="400" w:firstLineChars="200"/>
        <w:rPr>
          <w:rFonts w:cs="宋体"/>
          <w:szCs w:val="24"/>
          <w:highlight w:val="none"/>
        </w:rPr>
      </w:pPr>
      <w:r>
        <w:rPr>
          <w:rFonts w:hint="eastAsia" w:cs="宋体"/>
          <w:szCs w:val="24"/>
          <w:highlight w:val="none"/>
        </w:rPr>
        <w:t>7.加密和解密投标文件</w:t>
      </w:r>
      <w:r>
        <w:rPr>
          <w:rFonts w:hint="eastAsia" w:cs="宋体"/>
          <w:highlight w:val="none"/>
        </w:rPr>
        <w:t>必须使用同一个CA证书</w:t>
      </w:r>
      <w:r>
        <w:rPr>
          <w:rFonts w:hint="eastAsia" w:cs="宋体"/>
          <w:szCs w:val="24"/>
          <w:highlight w:val="none"/>
        </w:rPr>
        <w:t>。</w:t>
      </w:r>
    </w:p>
    <w:p>
      <w:pPr>
        <w:spacing w:line="400" w:lineRule="exact"/>
        <w:ind w:firstLine="400" w:firstLineChars="200"/>
        <w:rPr>
          <w:rFonts w:cs="宋体"/>
          <w:szCs w:val="24"/>
          <w:highlight w:val="none"/>
        </w:rPr>
      </w:pPr>
      <w:r>
        <w:rPr>
          <w:rFonts w:hint="eastAsia" w:cs="宋体"/>
          <w:szCs w:val="24"/>
          <w:highlight w:val="none"/>
        </w:rPr>
        <w:t>二、制作、签章、加密、上传电子投标文件</w:t>
      </w:r>
    </w:p>
    <w:p>
      <w:pPr>
        <w:spacing w:line="400" w:lineRule="exact"/>
        <w:ind w:firstLine="400" w:firstLineChars="200"/>
        <w:rPr>
          <w:rStyle w:val="30"/>
          <w:rFonts w:cs="宋体"/>
          <w:color w:val="auto"/>
          <w:highlight w:val="none"/>
        </w:rPr>
      </w:pPr>
      <w:r>
        <w:rPr>
          <w:rFonts w:hint="eastAsia" w:cs="宋体"/>
          <w:szCs w:val="24"/>
          <w:highlight w:val="none"/>
        </w:rPr>
        <w:t>8.本项目采用全流程电子化招标采购方式，潜在</w:t>
      </w:r>
      <w:r>
        <w:rPr>
          <w:rFonts w:hint="eastAsia"/>
          <w:szCs w:val="18"/>
          <w:highlight w:val="none"/>
          <w:lang w:eastAsia="zh-CN"/>
        </w:rPr>
        <w:t>参审单位</w:t>
      </w:r>
      <w:r>
        <w:rPr>
          <w:rFonts w:hint="eastAsia" w:cs="宋体"/>
          <w:highlight w:val="none"/>
        </w:rPr>
        <w:t>需使用</w:t>
      </w:r>
      <w:r>
        <w:rPr>
          <w:rFonts w:hint="eastAsia" w:cs="宋体"/>
          <w:szCs w:val="24"/>
          <w:highlight w:val="none"/>
        </w:rPr>
        <w:t>“优质采投标工具客户端”（以下简称“投标工具”）制作</w:t>
      </w:r>
      <w:r>
        <w:rPr>
          <w:rFonts w:hint="eastAsia" w:cs="宋体"/>
          <w:highlight w:val="none"/>
        </w:rPr>
        <w:t>电子投标文件，</w:t>
      </w:r>
      <w:r>
        <w:rPr>
          <w:rFonts w:hint="eastAsia" w:cs="宋体"/>
          <w:szCs w:val="24"/>
          <w:highlight w:val="none"/>
        </w:rPr>
        <w:t>投标工具及操作说明下载地址：</w:t>
      </w:r>
      <w:r>
        <w:rPr>
          <w:highlight w:val="none"/>
        </w:rPr>
        <w:fldChar w:fldCharType="begin"/>
      </w:r>
      <w:r>
        <w:rPr>
          <w:highlight w:val="none"/>
        </w:rPr>
        <w:instrText xml:space="preserve"> HYPERLINK "https://toolcdn.youzhicai.com/tools/BidderTools.zip" </w:instrText>
      </w:r>
      <w:r>
        <w:rPr>
          <w:highlight w:val="none"/>
        </w:rPr>
        <w:fldChar w:fldCharType="separate"/>
      </w:r>
      <w:r>
        <w:rPr>
          <w:rStyle w:val="30"/>
          <w:rFonts w:hint="eastAsia" w:cs="宋体"/>
          <w:color w:val="auto"/>
          <w:highlight w:val="none"/>
        </w:rPr>
        <w:t>https://toolcdn.youzhicai.com/tools/BidderTools.zip</w:t>
      </w:r>
      <w:r>
        <w:rPr>
          <w:rStyle w:val="30"/>
          <w:rFonts w:hint="eastAsia" w:cs="宋体"/>
          <w:color w:val="auto"/>
          <w:highlight w:val="none"/>
        </w:rPr>
        <w:fldChar w:fldCharType="end"/>
      </w:r>
      <w:r>
        <w:rPr>
          <w:rStyle w:val="30"/>
          <w:rFonts w:hint="eastAsia" w:cs="宋体"/>
          <w:color w:val="auto"/>
          <w:highlight w:val="none"/>
        </w:rPr>
        <w:t>。</w:t>
      </w:r>
    </w:p>
    <w:p>
      <w:pPr>
        <w:spacing w:line="400" w:lineRule="exact"/>
        <w:ind w:firstLine="400" w:firstLineChars="200"/>
        <w:rPr>
          <w:rStyle w:val="30"/>
          <w:rFonts w:cs="宋体"/>
          <w:color w:val="auto"/>
          <w:highlight w:val="none"/>
          <w:u w:val="none"/>
        </w:rPr>
      </w:pPr>
      <w:r>
        <w:rPr>
          <w:rStyle w:val="30"/>
          <w:rFonts w:hint="eastAsia" w:cs="宋体"/>
          <w:color w:val="auto"/>
          <w:highlight w:val="none"/>
          <w:u w:val="none"/>
        </w:rPr>
        <w:tab/>
      </w:r>
      <w:r>
        <w:rPr>
          <w:rStyle w:val="30"/>
          <w:rFonts w:hint="eastAsia" w:cs="宋体"/>
          <w:color w:val="auto"/>
          <w:highlight w:val="none"/>
          <w:u w:val="none"/>
        </w:rPr>
        <w:t>8.1.投标工具建议在window7或windows10操作系统下使用；</w:t>
      </w:r>
    </w:p>
    <w:p>
      <w:pPr>
        <w:spacing w:line="400" w:lineRule="exact"/>
        <w:ind w:firstLine="400" w:firstLineChars="200"/>
        <w:rPr>
          <w:rFonts w:cs="宋体"/>
          <w:bCs/>
          <w:sz w:val="18"/>
          <w:highlight w:val="none"/>
        </w:rPr>
      </w:pPr>
      <w:r>
        <w:rPr>
          <w:rStyle w:val="30"/>
          <w:rFonts w:hint="eastAsia" w:cs="宋体"/>
          <w:color w:val="auto"/>
          <w:highlight w:val="none"/>
          <w:u w:val="none"/>
        </w:rPr>
        <w:tab/>
      </w:r>
      <w:r>
        <w:rPr>
          <w:rStyle w:val="30"/>
          <w:rFonts w:hint="eastAsia" w:cs="宋体"/>
          <w:color w:val="auto"/>
          <w:highlight w:val="none"/>
          <w:u w:val="none"/>
        </w:rPr>
        <w:t>8.2.电子投标文件编制建议使用</w:t>
      </w:r>
      <w:r>
        <w:rPr>
          <w:rFonts w:hint="eastAsia" w:cs="宋体"/>
          <w:highlight w:val="none"/>
        </w:rPr>
        <w:t>office2010版本。</w:t>
      </w:r>
    </w:p>
    <w:p>
      <w:pPr>
        <w:wordWrap w:val="0"/>
        <w:spacing w:line="400" w:lineRule="exact"/>
        <w:rPr>
          <w:rFonts w:cs="宋体"/>
          <w:bCs/>
          <w:highlight w:val="none"/>
          <w:u w:val="single"/>
        </w:rPr>
      </w:pPr>
      <w:r>
        <w:rPr>
          <w:rFonts w:hint="eastAsia" w:cs="宋体"/>
          <w:szCs w:val="24"/>
          <w:highlight w:val="none"/>
        </w:rPr>
        <w:tab/>
      </w:r>
      <w:r>
        <w:rPr>
          <w:rFonts w:hint="eastAsia" w:cs="宋体"/>
          <w:szCs w:val="24"/>
          <w:highlight w:val="none"/>
        </w:rPr>
        <w:t>9.</w:t>
      </w:r>
      <w:r>
        <w:rPr>
          <w:rFonts w:hint="eastAsia" w:cs="宋体"/>
          <w:highlight w:val="none"/>
        </w:rPr>
        <w:t>潜在</w:t>
      </w:r>
      <w:r>
        <w:rPr>
          <w:rFonts w:hint="eastAsia"/>
          <w:szCs w:val="18"/>
          <w:highlight w:val="none"/>
          <w:lang w:eastAsia="zh-CN"/>
        </w:rPr>
        <w:t>参审单位</w:t>
      </w:r>
      <w:r>
        <w:rPr>
          <w:rFonts w:hint="eastAsia" w:cs="宋体"/>
          <w:highlight w:val="none"/>
        </w:rPr>
        <w:t>制作电子投标文件后，需在</w:t>
      </w:r>
      <w:r>
        <w:rPr>
          <w:rFonts w:hint="eastAsia" w:cs="宋体"/>
          <w:szCs w:val="24"/>
          <w:highlight w:val="none"/>
        </w:rPr>
        <w:t>投标工具</w:t>
      </w:r>
      <w:r>
        <w:rPr>
          <w:rFonts w:hint="eastAsia" w:cs="宋体"/>
          <w:highlight w:val="none"/>
        </w:rPr>
        <w:t>对电子投标文件进行电子签章（项目有特殊说明的除外），并使用CA</w:t>
      </w:r>
      <w:r>
        <w:rPr>
          <w:rFonts w:hint="eastAsia" w:cs="宋体"/>
          <w:szCs w:val="24"/>
          <w:highlight w:val="none"/>
        </w:rPr>
        <w:t>证书进行</w:t>
      </w:r>
      <w:r>
        <w:rPr>
          <w:rFonts w:hint="eastAsia" w:cs="宋体"/>
          <w:highlight w:val="none"/>
        </w:rPr>
        <w:t>加密。在</w:t>
      </w:r>
      <w:r>
        <w:rPr>
          <w:rFonts w:hint="eastAsia" w:cs="宋体"/>
          <w:szCs w:val="24"/>
          <w:highlight w:val="none"/>
        </w:rPr>
        <w:t>投标工具使用CA证书</w:t>
      </w:r>
      <w:r>
        <w:rPr>
          <w:rFonts w:hint="eastAsia" w:cs="宋体"/>
          <w:highlight w:val="none"/>
        </w:rPr>
        <w:t>时需安装“优质采数字证书助手”</w:t>
      </w:r>
      <w:r>
        <w:rPr>
          <w:rFonts w:hint="eastAsia" w:cs="宋体"/>
          <w:szCs w:val="24"/>
          <w:highlight w:val="none"/>
        </w:rPr>
        <w:t xml:space="preserve"> （即数字证书驱动）</w:t>
      </w:r>
      <w:r>
        <w:rPr>
          <w:rFonts w:hint="eastAsia" w:cs="宋体"/>
          <w:highlight w:val="none"/>
        </w:rPr>
        <w:t>，下载地址：</w:t>
      </w:r>
      <w:r>
        <w:rPr>
          <w:highlight w:val="none"/>
        </w:rPr>
        <w:fldChar w:fldCharType="begin"/>
      </w:r>
      <w:r>
        <w:rPr>
          <w:highlight w:val="none"/>
        </w:rPr>
        <w:instrText xml:space="preserve"> HYPERLINK "https://toolcdn.youzhicai.com/ca.zip" </w:instrText>
      </w:r>
      <w:r>
        <w:rPr>
          <w:highlight w:val="none"/>
        </w:rPr>
        <w:fldChar w:fldCharType="separate"/>
      </w:r>
      <w:r>
        <w:rPr>
          <w:rStyle w:val="30"/>
          <w:rFonts w:hint="eastAsia" w:cs="宋体"/>
          <w:color w:val="auto"/>
          <w:highlight w:val="none"/>
        </w:rPr>
        <w:t>https://toolcdn.youzhicai.com/ca.zip</w:t>
      </w:r>
      <w:r>
        <w:rPr>
          <w:rStyle w:val="30"/>
          <w:rFonts w:hint="eastAsia" w:cs="宋体"/>
          <w:color w:val="auto"/>
          <w:highlight w:val="none"/>
        </w:rPr>
        <w:fldChar w:fldCharType="end"/>
      </w:r>
      <w:r>
        <w:rPr>
          <w:rStyle w:val="30"/>
          <w:rFonts w:hint="eastAsia" w:cs="宋体"/>
          <w:color w:val="auto"/>
          <w:highlight w:val="none"/>
        </w:rPr>
        <w:t>。</w:t>
      </w:r>
    </w:p>
    <w:p>
      <w:pPr>
        <w:wordWrap w:val="0"/>
        <w:spacing w:line="400" w:lineRule="exact"/>
        <w:rPr>
          <w:rFonts w:cs="宋体"/>
          <w:szCs w:val="24"/>
          <w:highlight w:val="none"/>
        </w:rPr>
      </w:pPr>
      <w:r>
        <w:rPr>
          <w:rFonts w:hint="eastAsia" w:cs="宋体"/>
          <w:highlight w:val="none"/>
        </w:rPr>
        <w:tab/>
      </w:r>
      <w:r>
        <w:rPr>
          <w:rFonts w:hint="eastAsia" w:cs="宋体"/>
          <w:szCs w:val="24"/>
          <w:highlight w:val="none"/>
        </w:rPr>
        <w:t>10.潜在</w:t>
      </w:r>
      <w:r>
        <w:rPr>
          <w:rFonts w:hint="eastAsia"/>
          <w:szCs w:val="18"/>
          <w:highlight w:val="none"/>
          <w:lang w:eastAsia="zh-CN"/>
        </w:rPr>
        <w:t>参审单位</w:t>
      </w:r>
      <w:r>
        <w:rPr>
          <w:rFonts w:hint="eastAsia" w:cs="宋体"/>
          <w:szCs w:val="24"/>
          <w:highlight w:val="none"/>
        </w:rPr>
        <w:t>完成制作、签章、加密投标文件后，需在</w:t>
      </w:r>
      <w:r>
        <w:rPr>
          <w:rFonts w:hint="eastAsia" w:cs="宋体"/>
          <w:highlight w:val="none"/>
          <w:lang w:eastAsia="zh-CN"/>
        </w:rPr>
        <w:t>磋商文件</w:t>
      </w:r>
      <w:r>
        <w:rPr>
          <w:rFonts w:hint="eastAsia" w:cs="宋体"/>
          <w:highlight w:val="none"/>
        </w:rPr>
        <w:t>规定的投标截止时间前在</w:t>
      </w:r>
      <w:r>
        <w:rPr>
          <w:rFonts w:hint="eastAsia" w:cs="宋体"/>
          <w:szCs w:val="24"/>
          <w:highlight w:val="none"/>
        </w:rPr>
        <w:t>投标工具</w:t>
      </w:r>
      <w:r>
        <w:rPr>
          <w:rFonts w:hint="eastAsia" w:cs="宋体"/>
          <w:highlight w:val="none"/>
        </w:rPr>
        <w:t>完成上传。</w:t>
      </w:r>
      <w:r>
        <w:rPr>
          <w:rFonts w:hint="eastAsia" w:cs="宋体"/>
          <w:szCs w:val="24"/>
          <w:highlight w:val="none"/>
        </w:rPr>
        <w:t>投标截止时间以优质采云采购平台（</w:t>
      </w:r>
      <w:r>
        <w:rPr>
          <w:rFonts w:cs="宋体"/>
          <w:szCs w:val="24"/>
          <w:highlight w:val="none"/>
        </w:rPr>
        <w:t>http://www.youzhicai.com/</w:t>
      </w:r>
      <w:r>
        <w:rPr>
          <w:rFonts w:hint="eastAsia" w:cs="宋体"/>
          <w:szCs w:val="24"/>
          <w:highlight w:val="none"/>
        </w:rPr>
        <w:t>）系统的时间为准，如未在投标截止时间前完成电子投标文件上传，系统将自动关闭上传通道。潜在</w:t>
      </w:r>
      <w:r>
        <w:rPr>
          <w:rFonts w:hint="eastAsia"/>
          <w:szCs w:val="18"/>
          <w:highlight w:val="none"/>
          <w:lang w:eastAsia="zh-CN"/>
        </w:rPr>
        <w:t>参审单位</w:t>
      </w:r>
      <w:r>
        <w:rPr>
          <w:rFonts w:hint="eastAsia" w:cs="宋体"/>
          <w:szCs w:val="24"/>
          <w:highlight w:val="none"/>
        </w:rPr>
        <w:t>未完成电子投标文件上传的，视为没有递交投标文件。</w:t>
      </w:r>
    </w:p>
    <w:p>
      <w:pPr>
        <w:wordWrap w:val="0"/>
        <w:spacing w:line="400" w:lineRule="exact"/>
        <w:ind w:firstLine="420"/>
        <w:rPr>
          <w:rFonts w:cs="宋体"/>
          <w:szCs w:val="24"/>
          <w:highlight w:val="none"/>
        </w:rPr>
      </w:pPr>
      <w:r>
        <w:rPr>
          <w:rFonts w:hint="eastAsia" w:cs="宋体"/>
          <w:szCs w:val="24"/>
          <w:highlight w:val="none"/>
        </w:rPr>
        <w:t>11.潜在</w:t>
      </w:r>
      <w:r>
        <w:rPr>
          <w:rFonts w:hint="eastAsia"/>
          <w:szCs w:val="18"/>
          <w:highlight w:val="none"/>
          <w:lang w:eastAsia="zh-CN"/>
        </w:rPr>
        <w:t>参审单位</w:t>
      </w:r>
      <w:r>
        <w:rPr>
          <w:rFonts w:hint="eastAsia" w:cs="宋体"/>
          <w:szCs w:val="24"/>
          <w:highlight w:val="none"/>
        </w:rPr>
        <w:t>在投标文件递交截止时间前，可以对其所递交的电子投标文件进行撤回，修改后重新上传。</w:t>
      </w:r>
    </w:p>
    <w:p>
      <w:pPr>
        <w:spacing w:line="400" w:lineRule="exact"/>
        <w:ind w:firstLine="400" w:firstLineChars="200"/>
        <w:rPr>
          <w:rFonts w:cs="宋体"/>
          <w:szCs w:val="24"/>
          <w:highlight w:val="none"/>
        </w:rPr>
      </w:pPr>
      <w:r>
        <w:rPr>
          <w:rFonts w:hint="eastAsia" w:cs="宋体"/>
          <w:szCs w:val="24"/>
          <w:highlight w:val="none"/>
        </w:rPr>
        <w:t>12.潜在</w:t>
      </w:r>
      <w:r>
        <w:rPr>
          <w:rFonts w:hint="eastAsia"/>
          <w:szCs w:val="18"/>
          <w:highlight w:val="none"/>
          <w:lang w:eastAsia="zh-CN"/>
        </w:rPr>
        <w:t>参审单位</w:t>
      </w:r>
      <w:r>
        <w:rPr>
          <w:rFonts w:hint="eastAsia" w:cs="宋体"/>
          <w:szCs w:val="24"/>
          <w:highlight w:val="none"/>
        </w:rPr>
        <w:t>在制作、签章、加密、上传电子投标文件过程中，若存在技术操作问题，请及时联系优质采云采购平台客服人员，客服电话：400-0099-555，0551-62220164。</w:t>
      </w:r>
    </w:p>
    <w:p>
      <w:pPr>
        <w:spacing w:line="400" w:lineRule="exact"/>
        <w:ind w:firstLine="400" w:firstLineChars="200"/>
        <w:rPr>
          <w:rFonts w:cs="宋体"/>
          <w:szCs w:val="24"/>
          <w:highlight w:val="none"/>
        </w:rPr>
      </w:pPr>
      <w:r>
        <w:rPr>
          <w:rFonts w:hint="eastAsia" w:cs="宋体"/>
          <w:szCs w:val="24"/>
          <w:highlight w:val="none"/>
        </w:rPr>
        <w:t>三、开标和解密</w:t>
      </w:r>
    </w:p>
    <w:p>
      <w:pPr>
        <w:spacing w:line="400" w:lineRule="exact"/>
        <w:ind w:firstLine="400" w:firstLineChars="200"/>
        <w:rPr>
          <w:rFonts w:cs="宋体"/>
          <w:szCs w:val="24"/>
          <w:highlight w:val="none"/>
        </w:rPr>
      </w:pPr>
      <w:r>
        <w:rPr>
          <w:rFonts w:hint="eastAsia" w:cs="宋体"/>
          <w:szCs w:val="24"/>
          <w:highlight w:val="none"/>
        </w:rPr>
        <w:t>13.</w:t>
      </w:r>
      <w:r>
        <w:rPr>
          <w:rFonts w:hint="eastAsia"/>
          <w:szCs w:val="18"/>
          <w:highlight w:val="none"/>
          <w:lang w:eastAsia="zh-CN"/>
        </w:rPr>
        <w:t>业主单位</w:t>
      </w:r>
      <w:r>
        <w:rPr>
          <w:rFonts w:hint="eastAsia" w:cs="宋体"/>
          <w:szCs w:val="24"/>
          <w:highlight w:val="none"/>
        </w:rPr>
        <w:t>或代理机构工作人员（以下简称工作人员）根据有关规定登录系统组织开标。投标文件递交截止时间后由</w:t>
      </w:r>
      <w:r>
        <w:rPr>
          <w:rFonts w:hint="eastAsia"/>
          <w:szCs w:val="18"/>
          <w:highlight w:val="none"/>
          <w:lang w:eastAsia="zh-CN"/>
        </w:rPr>
        <w:t>参审单位</w:t>
      </w:r>
      <w:r>
        <w:rPr>
          <w:rFonts w:hint="eastAsia" w:cs="宋体"/>
          <w:szCs w:val="24"/>
          <w:highlight w:val="none"/>
        </w:rPr>
        <w:t>使用</w:t>
      </w:r>
      <w:r>
        <w:rPr>
          <w:rFonts w:hint="eastAsia" w:cs="宋体"/>
          <w:highlight w:val="none"/>
        </w:rPr>
        <w:t>CA证书</w:t>
      </w:r>
      <w:r>
        <w:rPr>
          <w:rFonts w:hint="eastAsia" w:cs="宋体"/>
          <w:szCs w:val="24"/>
          <w:highlight w:val="none"/>
        </w:rPr>
        <w:t>解密投标文件，工作人员导入已解密投标文件并公布开标结果。</w:t>
      </w:r>
    </w:p>
    <w:p>
      <w:pPr>
        <w:spacing w:line="400" w:lineRule="exact"/>
        <w:ind w:firstLine="400" w:firstLineChars="200"/>
        <w:rPr>
          <w:rFonts w:cs="宋体"/>
          <w:szCs w:val="24"/>
          <w:highlight w:val="none"/>
        </w:rPr>
      </w:pPr>
      <w:r>
        <w:rPr>
          <w:rFonts w:hint="eastAsia" w:cs="宋体"/>
          <w:szCs w:val="24"/>
          <w:highlight w:val="none"/>
        </w:rPr>
        <w:t>14.投标文件可远程解密，</w:t>
      </w:r>
      <w:r>
        <w:rPr>
          <w:rFonts w:hint="eastAsia"/>
          <w:szCs w:val="18"/>
          <w:highlight w:val="none"/>
          <w:lang w:eastAsia="zh-CN"/>
        </w:rPr>
        <w:t>参审单位</w:t>
      </w:r>
      <w:r>
        <w:rPr>
          <w:rFonts w:hint="eastAsia" w:cs="宋体"/>
          <w:szCs w:val="24"/>
          <w:highlight w:val="none"/>
        </w:rPr>
        <w:t>无需到达开标现场。</w:t>
      </w:r>
      <w:r>
        <w:rPr>
          <w:rFonts w:hint="eastAsia" w:cs="宋体"/>
          <w:szCs w:val="24"/>
          <w:highlight w:val="none"/>
          <w:lang w:eastAsia="zh-CN"/>
        </w:rPr>
        <w:t>磋商文件</w:t>
      </w:r>
      <w:r>
        <w:rPr>
          <w:rFonts w:hint="eastAsia" w:cs="宋体"/>
          <w:szCs w:val="24"/>
          <w:highlight w:val="none"/>
        </w:rPr>
        <w:t>“</w:t>
      </w:r>
      <w:r>
        <w:rPr>
          <w:rFonts w:hint="eastAsia"/>
          <w:szCs w:val="18"/>
          <w:highlight w:val="none"/>
          <w:lang w:eastAsia="zh-CN"/>
        </w:rPr>
        <w:t>参审单位</w:t>
      </w:r>
      <w:r>
        <w:rPr>
          <w:rFonts w:hint="eastAsia" w:cs="宋体"/>
          <w:szCs w:val="24"/>
          <w:highlight w:val="none"/>
        </w:rPr>
        <w:t>须知”中另有规定的，从其规定。</w:t>
      </w:r>
    </w:p>
    <w:p>
      <w:pPr>
        <w:spacing w:line="400" w:lineRule="exact"/>
        <w:ind w:firstLine="400" w:firstLineChars="200"/>
        <w:rPr>
          <w:rFonts w:cs="宋体"/>
          <w:szCs w:val="24"/>
          <w:highlight w:val="none"/>
        </w:rPr>
      </w:pPr>
      <w:r>
        <w:rPr>
          <w:rFonts w:hint="eastAsia" w:cs="宋体"/>
          <w:szCs w:val="24"/>
          <w:highlight w:val="none"/>
        </w:rPr>
        <w:t>15.潜在</w:t>
      </w:r>
      <w:r>
        <w:rPr>
          <w:rFonts w:hint="eastAsia"/>
          <w:szCs w:val="18"/>
          <w:highlight w:val="none"/>
          <w:lang w:eastAsia="zh-CN"/>
        </w:rPr>
        <w:t>参审单位</w:t>
      </w:r>
      <w:r>
        <w:rPr>
          <w:rFonts w:hint="eastAsia" w:cs="宋体"/>
          <w:szCs w:val="24"/>
          <w:highlight w:val="none"/>
        </w:rPr>
        <w:t>须按照</w:t>
      </w:r>
      <w:r>
        <w:rPr>
          <w:rFonts w:hint="eastAsia" w:cs="宋体"/>
          <w:szCs w:val="24"/>
          <w:highlight w:val="none"/>
          <w:lang w:eastAsia="zh-CN"/>
        </w:rPr>
        <w:t>磋商文件</w:t>
      </w:r>
      <w:r>
        <w:rPr>
          <w:rFonts w:hint="eastAsia" w:cs="宋体"/>
          <w:szCs w:val="24"/>
          <w:highlight w:val="none"/>
        </w:rPr>
        <w:t>的要求在投标文件递交截止时间前登录投标工具并保持在线，关注开标互动大厅消息直到项目评审结束。</w:t>
      </w:r>
    </w:p>
    <w:p>
      <w:pPr>
        <w:spacing w:line="400" w:lineRule="exact"/>
        <w:ind w:firstLine="400" w:firstLineChars="200"/>
        <w:rPr>
          <w:rFonts w:cs="宋体"/>
          <w:szCs w:val="24"/>
          <w:highlight w:val="none"/>
        </w:rPr>
      </w:pPr>
      <w:r>
        <w:rPr>
          <w:rFonts w:hint="eastAsia" w:cs="宋体"/>
          <w:szCs w:val="24"/>
          <w:highlight w:val="none"/>
        </w:rPr>
        <w:t>16.投标文件解密时限为投标文件递交截止时间后30分钟（</w:t>
      </w:r>
      <w:r>
        <w:rPr>
          <w:rFonts w:hint="eastAsia" w:cs="宋体"/>
          <w:szCs w:val="24"/>
          <w:highlight w:val="none"/>
          <w:lang w:eastAsia="zh-CN"/>
        </w:rPr>
        <w:t>磋商文件</w:t>
      </w:r>
      <w:r>
        <w:rPr>
          <w:rFonts w:hint="eastAsia" w:cs="宋体"/>
          <w:szCs w:val="24"/>
          <w:highlight w:val="none"/>
        </w:rPr>
        <w:t>“</w:t>
      </w:r>
      <w:r>
        <w:rPr>
          <w:rFonts w:hint="eastAsia"/>
          <w:szCs w:val="18"/>
          <w:highlight w:val="none"/>
          <w:lang w:eastAsia="zh-CN"/>
        </w:rPr>
        <w:t>参审单位</w:t>
      </w:r>
      <w:r>
        <w:rPr>
          <w:rFonts w:hint="eastAsia" w:cs="宋体"/>
          <w:szCs w:val="24"/>
          <w:highlight w:val="none"/>
        </w:rPr>
        <w:t>须知”中另有规定的，从其规定）。潜在</w:t>
      </w:r>
      <w:r>
        <w:rPr>
          <w:rFonts w:hint="eastAsia"/>
          <w:szCs w:val="18"/>
          <w:highlight w:val="none"/>
          <w:lang w:eastAsia="zh-CN"/>
        </w:rPr>
        <w:t>参审单位</w:t>
      </w:r>
      <w:r>
        <w:rPr>
          <w:rFonts w:hint="eastAsia" w:cs="宋体"/>
          <w:szCs w:val="24"/>
          <w:highlight w:val="none"/>
        </w:rPr>
        <w:t>须在投标文件解密时限内完成投标文件解密，未能成功解密的视为放弃投标。</w:t>
      </w:r>
      <w:r>
        <w:rPr>
          <w:rFonts w:hint="eastAsia" w:cs="宋体"/>
          <w:szCs w:val="24"/>
          <w:highlight w:val="none"/>
          <w:lang w:eastAsia="zh-CN"/>
        </w:rPr>
        <w:t>磋商文件</w:t>
      </w:r>
      <w:r>
        <w:rPr>
          <w:rFonts w:hint="eastAsia" w:cs="宋体"/>
          <w:szCs w:val="24"/>
          <w:highlight w:val="none"/>
        </w:rPr>
        <w:t>“</w:t>
      </w:r>
      <w:r>
        <w:rPr>
          <w:rFonts w:hint="eastAsia"/>
          <w:szCs w:val="18"/>
          <w:highlight w:val="none"/>
          <w:lang w:eastAsia="zh-CN"/>
        </w:rPr>
        <w:t>参审单位</w:t>
      </w:r>
      <w:r>
        <w:rPr>
          <w:rFonts w:hint="eastAsia" w:cs="宋体"/>
          <w:szCs w:val="24"/>
          <w:highlight w:val="none"/>
        </w:rPr>
        <w:t>须知”中对投标文件解密设有线下补救方案的，执行该补救方案。</w:t>
      </w:r>
    </w:p>
    <w:p>
      <w:pPr>
        <w:spacing w:line="400" w:lineRule="exact"/>
        <w:ind w:firstLine="400" w:firstLineChars="200"/>
        <w:rPr>
          <w:rFonts w:cs="宋体"/>
          <w:szCs w:val="24"/>
          <w:highlight w:val="none"/>
        </w:rPr>
      </w:pPr>
      <w:r>
        <w:rPr>
          <w:rFonts w:hint="eastAsia" w:cs="宋体"/>
          <w:szCs w:val="24"/>
          <w:highlight w:val="none"/>
        </w:rPr>
        <w:t>四、评标和询标</w:t>
      </w:r>
    </w:p>
    <w:p>
      <w:pPr>
        <w:spacing w:line="400" w:lineRule="exact"/>
        <w:ind w:firstLine="400" w:firstLineChars="200"/>
        <w:rPr>
          <w:rFonts w:cs="宋体"/>
          <w:szCs w:val="24"/>
          <w:highlight w:val="none"/>
        </w:rPr>
      </w:pPr>
      <w:r>
        <w:rPr>
          <w:rFonts w:hint="eastAsia" w:cs="宋体"/>
          <w:szCs w:val="24"/>
          <w:highlight w:val="none"/>
        </w:rPr>
        <w:t>17.</w:t>
      </w:r>
      <w:r>
        <w:rPr>
          <w:rFonts w:hint="eastAsia" w:cs="宋体"/>
          <w:szCs w:val="24"/>
          <w:highlight w:val="none"/>
          <w:lang w:eastAsia="zh-CN"/>
        </w:rPr>
        <w:t>磋商小组</w:t>
      </w:r>
      <w:r>
        <w:rPr>
          <w:rFonts w:hint="eastAsia" w:cs="宋体"/>
          <w:szCs w:val="24"/>
          <w:highlight w:val="none"/>
        </w:rPr>
        <w:t>通过优质采电子评标工具将需要澄清、说明或补正的内容以询标函的形式发送给</w:t>
      </w:r>
      <w:r>
        <w:rPr>
          <w:rFonts w:hint="eastAsia"/>
          <w:szCs w:val="18"/>
          <w:highlight w:val="none"/>
          <w:lang w:eastAsia="zh-CN"/>
        </w:rPr>
        <w:t>参审单位</w:t>
      </w:r>
      <w:r>
        <w:rPr>
          <w:rFonts w:hint="eastAsia" w:cs="宋体"/>
          <w:szCs w:val="24"/>
          <w:highlight w:val="none"/>
        </w:rPr>
        <w:t>，</w:t>
      </w:r>
      <w:r>
        <w:rPr>
          <w:rFonts w:hint="eastAsia"/>
          <w:szCs w:val="18"/>
          <w:highlight w:val="none"/>
          <w:lang w:eastAsia="zh-CN"/>
        </w:rPr>
        <w:t>参审单位</w:t>
      </w:r>
      <w:r>
        <w:rPr>
          <w:rFonts w:hint="eastAsia" w:cs="宋体"/>
          <w:szCs w:val="24"/>
          <w:highlight w:val="none"/>
        </w:rPr>
        <w:t>应登录投标工具并保持在线状态，以便及时接收</w:t>
      </w:r>
      <w:r>
        <w:rPr>
          <w:rFonts w:hint="eastAsia" w:cs="宋体"/>
          <w:szCs w:val="24"/>
          <w:highlight w:val="none"/>
          <w:lang w:eastAsia="zh-CN"/>
        </w:rPr>
        <w:t>磋商小组</w:t>
      </w:r>
      <w:r>
        <w:rPr>
          <w:rFonts w:hint="eastAsia" w:cs="宋体"/>
          <w:szCs w:val="24"/>
          <w:highlight w:val="none"/>
        </w:rPr>
        <w:t>可能发出的询标函，并在询标函载明的时间内回复，若</w:t>
      </w:r>
      <w:r>
        <w:rPr>
          <w:rFonts w:hint="eastAsia"/>
          <w:szCs w:val="18"/>
          <w:highlight w:val="none"/>
          <w:lang w:eastAsia="zh-CN"/>
        </w:rPr>
        <w:t>参审单位</w:t>
      </w:r>
      <w:r>
        <w:rPr>
          <w:rFonts w:hint="eastAsia" w:cs="宋体"/>
          <w:szCs w:val="24"/>
          <w:highlight w:val="none"/>
        </w:rPr>
        <w:t>未及时回复，视为放弃澄清。</w:t>
      </w:r>
    </w:p>
    <w:p>
      <w:pPr>
        <w:spacing w:line="400" w:lineRule="exact"/>
        <w:ind w:firstLine="400" w:firstLineChars="200"/>
        <w:rPr>
          <w:rFonts w:cs="宋体"/>
          <w:highlight w:val="none"/>
        </w:rPr>
      </w:pPr>
      <w:r>
        <w:rPr>
          <w:rFonts w:hint="eastAsia" w:cs="宋体"/>
          <w:highlight w:val="none"/>
        </w:rPr>
        <w:t>五、异常情形</w:t>
      </w:r>
    </w:p>
    <w:p>
      <w:pPr>
        <w:spacing w:line="400" w:lineRule="exact"/>
        <w:ind w:firstLine="400" w:firstLineChars="200"/>
        <w:rPr>
          <w:rFonts w:cs="宋体"/>
          <w:szCs w:val="24"/>
          <w:highlight w:val="none"/>
        </w:rPr>
      </w:pPr>
      <w:r>
        <w:rPr>
          <w:rFonts w:hint="eastAsia" w:cs="宋体"/>
          <w:szCs w:val="24"/>
          <w:highlight w:val="none"/>
        </w:rPr>
        <w:t>18.出现下列情形导致电子交易系统无法正常运行，影响招投标过程的公平、公正和信息安全，经第三方机构认定后，各方当事人免责：</w:t>
      </w:r>
    </w:p>
    <w:p>
      <w:pPr>
        <w:spacing w:line="400" w:lineRule="exact"/>
        <w:ind w:firstLine="400" w:firstLineChars="200"/>
        <w:rPr>
          <w:rFonts w:cs="宋体"/>
          <w:szCs w:val="24"/>
          <w:highlight w:val="none"/>
        </w:rPr>
      </w:pPr>
      <w:r>
        <w:rPr>
          <w:rFonts w:hint="eastAsia" w:cs="宋体"/>
          <w:szCs w:val="24"/>
          <w:highlight w:val="none"/>
          <w:lang w:eastAsia="zh-CN"/>
        </w:rPr>
        <w:t>（</w:t>
      </w:r>
      <w:r>
        <w:rPr>
          <w:rFonts w:hint="eastAsia" w:cs="宋体"/>
          <w:szCs w:val="24"/>
          <w:highlight w:val="none"/>
        </w:rPr>
        <w:t>1</w:t>
      </w:r>
      <w:r>
        <w:rPr>
          <w:rFonts w:hint="eastAsia" w:cs="宋体"/>
          <w:szCs w:val="24"/>
          <w:highlight w:val="none"/>
          <w:lang w:eastAsia="zh-CN"/>
        </w:rPr>
        <w:t>）</w:t>
      </w:r>
      <w:r>
        <w:rPr>
          <w:rFonts w:hint="eastAsia" w:cs="宋体"/>
          <w:szCs w:val="24"/>
          <w:highlight w:val="none"/>
        </w:rPr>
        <w:t>网络、服务器、数据库发生故障造成无法访问或使用的；</w:t>
      </w:r>
    </w:p>
    <w:p>
      <w:pPr>
        <w:spacing w:line="400" w:lineRule="exact"/>
        <w:ind w:firstLine="400" w:firstLineChars="200"/>
        <w:rPr>
          <w:rFonts w:cs="宋体"/>
          <w:szCs w:val="24"/>
          <w:highlight w:val="none"/>
        </w:rPr>
      </w:pPr>
      <w:r>
        <w:rPr>
          <w:rFonts w:hint="eastAsia" w:cs="宋体"/>
          <w:szCs w:val="24"/>
          <w:highlight w:val="none"/>
          <w:lang w:eastAsia="zh-CN"/>
        </w:rPr>
        <w:t>（</w:t>
      </w:r>
      <w:r>
        <w:rPr>
          <w:rFonts w:hint="eastAsia" w:cs="宋体"/>
          <w:szCs w:val="24"/>
          <w:highlight w:val="none"/>
        </w:rPr>
        <w:t>2</w:t>
      </w:r>
      <w:r>
        <w:rPr>
          <w:rFonts w:hint="eastAsia" w:cs="宋体"/>
          <w:szCs w:val="24"/>
          <w:highlight w:val="none"/>
          <w:lang w:eastAsia="zh-CN"/>
        </w:rPr>
        <w:t>）</w:t>
      </w:r>
      <w:r>
        <w:rPr>
          <w:rFonts w:hint="eastAsia" w:cs="宋体"/>
          <w:szCs w:val="24"/>
          <w:highlight w:val="none"/>
        </w:rPr>
        <w:t>电力系统发生故障导致电子服务系统或电子交易系统无法运行；</w:t>
      </w:r>
    </w:p>
    <w:p>
      <w:pPr>
        <w:spacing w:line="400" w:lineRule="exact"/>
        <w:ind w:firstLine="400" w:firstLineChars="200"/>
        <w:rPr>
          <w:rFonts w:cs="宋体"/>
          <w:szCs w:val="24"/>
          <w:highlight w:val="none"/>
        </w:rPr>
      </w:pPr>
      <w:r>
        <w:rPr>
          <w:rFonts w:hint="eastAsia" w:cs="宋体"/>
          <w:szCs w:val="24"/>
          <w:highlight w:val="none"/>
          <w:lang w:eastAsia="zh-CN"/>
        </w:rPr>
        <w:t>（</w:t>
      </w:r>
      <w:r>
        <w:rPr>
          <w:rFonts w:hint="eastAsia" w:cs="宋体"/>
          <w:szCs w:val="24"/>
          <w:highlight w:val="none"/>
        </w:rPr>
        <w:t>3</w:t>
      </w:r>
      <w:r>
        <w:rPr>
          <w:rFonts w:hint="eastAsia" w:cs="宋体"/>
          <w:szCs w:val="24"/>
          <w:highlight w:val="none"/>
          <w:lang w:eastAsia="zh-CN"/>
        </w:rPr>
        <w:t>）</w:t>
      </w:r>
      <w:r>
        <w:rPr>
          <w:rFonts w:hint="eastAsia" w:cs="宋体"/>
          <w:szCs w:val="24"/>
          <w:highlight w:val="none"/>
        </w:rPr>
        <w:t>出现网络攻击、病毒入侵以及电子服务系统或电子交易系统安全漏洞导致无法正常提供服务的；</w:t>
      </w:r>
    </w:p>
    <w:p>
      <w:pPr>
        <w:spacing w:line="400" w:lineRule="exact"/>
        <w:ind w:firstLine="400" w:firstLineChars="200"/>
        <w:rPr>
          <w:rFonts w:cs="宋体"/>
          <w:szCs w:val="24"/>
          <w:highlight w:val="none"/>
        </w:rPr>
      </w:pPr>
      <w:r>
        <w:rPr>
          <w:rFonts w:hint="eastAsia" w:cs="宋体"/>
          <w:szCs w:val="24"/>
          <w:highlight w:val="none"/>
          <w:lang w:eastAsia="zh-CN"/>
        </w:rPr>
        <w:t>（</w:t>
      </w:r>
      <w:r>
        <w:rPr>
          <w:rFonts w:hint="eastAsia" w:cs="宋体"/>
          <w:szCs w:val="24"/>
          <w:highlight w:val="none"/>
        </w:rPr>
        <w:t>4</w:t>
      </w:r>
      <w:r>
        <w:rPr>
          <w:rFonts w:hint="eastAsia" w:cs="宋体"/>
          <w:szCs w:val="24"/>
          <w:highlight w:val="none"/>
          <w:lang w:eastAsia="zh-CN"/>
        </w:rPr>
        <w:t>）</w:t>
      </w:r>
      <w:r>
        <w:rPr>
          <w:rFonts w:hint="eastAsia" w:cs="宋体"/>
          <w:szCs w:val="24"/>
          <w:highlight w:val="none"/>
        </w:rPr>
        <w:t>其他无法保证招投标过程公平、公正和信息安全的情形。</w:t>
      </w:r>
    </w:p>
    <w:p>
      <w:pPr>
        <w:spacing w:line="400" w:lineRule="exact"/>
        <w:ind w:firstLine="400" w:firstLineChars="200"/>
        <w:rPr>
          <w:rFonts w:cs="宋体"/>
          <w:highlight w:val="none"/>
        </w:rPr>
      </w:pPr>
      <w:r>
        <w:rPr>
          <w:rFonts w:hint="eastAsia" w:cs="宋体"/>
          <w:highlight w:val="none"/>
        </w:rPr>
        <w:t>六、异常情形处理</w:t>
      </w:r>
    </w:p>
    <w:p>
      <w:pPr>
        <w:spacing w:line="400" w:lineRule="exact"/>
        <w:ind w:firstLine="400" w:firstLineChars="200"/>
        <w:rPr>
          <w:rFonts w:cs="宋体"/>
          <w:highlight w:val="none"/>
        </w:rPr>
      </w:pPr>
      <w:r>
        <w:rPr>
          <w:rFonts w:hint="eastAsia" w:cs="宋体"/>
          <w:highlight w:val="none"/>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pPr>
        <w:spacing w:line="400" w:lineRule="exact"/>
        <w:ind w:firstLine="400" w:firstLineChars="200"/>
        <w:rPr>
          <w:rFonts w:cs="宋体"/>
          <w:highlight w:val="none"/>
        </w:rPr>
      </w:pPr>
      <w:r>
        <w:rPr>
          <w:rFonts w:hint="eastAsia" w:cs="宋体"/>
          <w:highlight w:val="none"/>
        </w:rPr>
        <w:t>（1）项目中止，中止期限由</w:t>
      </w:r>
      <w:r>
        <w:rPr>
          <w:rFonts w:hint="eastAsia"/>
          <w:szCs w:val="18"/>
          <w:highlight w:val="none"/>
          <w:lang w:eastAsia="zh-CN"/>
        </w:rPr>
        <w:t>业主单位</w:t>
      </w:r>
      <w:r>
        <w:rPr>
          <w:rFonts w:hint="eastAsia" w:cs="宋体"/>
          <w:highlight w:val="none"/>
        </w:rPr>
        <w:t>或代理机构根据项目具体情况确定。中止期限届满后中止情形尚未消除的，</w:t>
      </w:r>
      <w:r>
        <w:rPr>
          <w:rFonts w:hint="eastAsia"/>
          <w:szCs w:val="18"/>
          <w:highlight w:val="none"/>
          <w:lang w:eastAsia="zh-CN"/>
        </w:rPr>
        <w:t>业主单位</w:t>
      </w:r>
      <w:r>
        <w:rPr>
          <w:rFonts w:hint="eastAsia" w:cs="宋体"/>
          <w:highlight w:val="none"/>
        </w:rPr>
        <w:t>或代理机构可以根据实际情况决定延长中止期限。决定延长中止期限的，应向</w:t>
      </w:r>
      <w:r>
        <w:rPr>
          <w:rFonts w:hint="eastAsia"/>
          <w:szCs w:val="18"/>
          <w:highlight w:val="none"/>
          <w:lang w:eastAsia="zh-CN"/>
        </w:rPr>
        <w:t>参审单位</w:t>
      </w:r>
      <w:r>
        <w:rPr>
          <w:rFonts w:hint="eastAsia" w:cs="宋体"/>
          <w:highlight w:val="none"/>
        </w:rPr>
        <w:t>发出延长中止期限通知，并发布公布。</w:t>
      </w:r>
    </w:p>
    <w:p>
      <w:pPr>
        <w:spacing w:line="400" w:lineRule="exact"/>
        <w:ind w:firstLine="400" w:firstLineChars="200"/>
        <w:rPr>
          <w:highlight w:val="none"/>
        </w:rPr>
      </w:pPr>
      <w:r>
        <w:rPr>
          <w:rFonts w:hint="eastAsia" w:cs="宋体"/>
          <w:highlight w:val="none"/>
        </w:rPr>
        <w:t>（2）项目恢复，导致项目中止的情形消除后，</w:t>
      </w:r>
      <w:r>
        <w:rPr>
          <w:rFonts w:hint="eastAsia"/>
          <w:szCs w:val="18"/>
          <w:highlight w:val="none"/>
          <w:lang w:eastAsia="zh-CN"/>
        </w:rPr>
        <w:t>业主单位</w:t>
      </w:r>
      <w:r>
        <w:rPr>
          <w:rFonts w:hint="eastAsia" w:cs="宋体"/>
          <w:highlight w:val="none"/>
        </w:rPr>
        <w:t>或代理机构应当尽快恢复招投标程序，向</w:t>
      </w:r>
      <w:r>
        <w:rPr>
          <w:rFonts w:hint="eastAsia"/>
          <w:szCs w:val="18"/>
          <w:highlight w:val="none"/>
          <w:lang w:eastAsia="zh-CN"/>
        </w:rPr>
        <w:t>参审单位</w:t>
      </w:r>
      <w:r>
        <w:rPr>
          <w:rFonts w:hint="eastAsia" w:cs="宋体"/>
          <w:highlight w:val="none"/>
        </w:rPr>
        <w:t>发出恢复交易通知，并发布公布；已发出延长中止期限通知的，按通知执行。</w:t>
      </w:r>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107</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105</w:t>
    </w:r>
    <w:r>
      <w:rPr>
        <w:b/>
        <w:bCs/>
        <w:sz w:val="21"/>
        <w:szCs w:val="21"/>
      </w:rPr>
      <w:fldChar w:fldCharType="end"/>
    </w:r>
    <w:r>
      <w:rPr>
        <w:rFonts w:hint="eastAsia"/>
        <w:bCs/>
        <w:sz w:val="21"/>
        <w:szCs w:val="21"/>
      </w:rPr>
      <w:t xml:space="preserve"> 页</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5"/>
      </w:pPr>
    </w:p>
  </w:footnote>
  <w:footnote w:id="1">
    <w:p>
      <w:pPr>
        <w:pStyle w:val="15"/>
      </w:pPr>
    </w:p>
  </w:footnote>
  <w:footnote w:id="2">
    <w:p>
      <w:pPr>
        <w:pStyle w:val="15"/>
      </w:pPr>
    </w:p>
  </w:footnote>
  <w:footnote w:id="3">
    <w:p>
      <w:pPr>
        <w:pStyle w:val="15"/>
      </w:pPr>
      <w:r>
        <w:rPr>
          <w:rStyle w:val="34"/>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磋商文件——工程类</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A454D"/>
    <w:multiLevelType w:val="singleLevel"/>
    <w:tmpl w:val="8E3A454D"/>
    <w:lvl w:ilvl="0" w:tentative="0">
      <w:start w:val="3"/>
      <w:numFmt w:val="chineseCounting"/>
      <w:suff w:val="nothing"/>
      <w:lvlText w:val="（%1）"/>
      <w:lvlJc w:val="left"/>
      <w:rPr>
        <w:rFonts w:hint="eastAsia"/>
      </w:rPr>
    </w:lvl>
  </w:abstractNum>
  <w:abstractNum w:abstractNumId="1">
    <w:nsid w:val="B0C4C475"/>
    <w:multiLevelType w:val="singleLevel"/>
    <w:tmpl w:val="B0C4C475"/>
    <w:lvl w:ilvl="0" w:tentative="0">
      <w:start w:val="1"/>
      <w:numFmt w:val="decimal"/>
      <w:suff w:val="space"/>
      <w:lvlText w:val="%1."/>
      <w:lvlJc w:val="left"/>
    </w:lvl>
  </w:abstractNum>
  <w:abstractNum w:abstractNumId="2">
    <w:nsid w:val="C982E11B"/>
    <w:multiLevelType w:val="singleLevel"/>
    <w:tmpl w:val="C982E11B"/>
    <w:lvl w:ilvl="0" w:tentative="0">
      <w:start w:val="3"/>
      <w:numFmt w:val="chineseCounting"/>
      <w:suff w:val="space"/>
      <w:lvlText w:val="第%1章"/>
      <w:lvlJc w:val="left"/>
      <w:rPr>
        <w:rFonts w:hint="eastAsia"/>
      </w:rPr>
    </w:lvl>
  </w:abstractNum>
  <w:abstractNum w:abstractNumId="3">
    <w:nsid w:val="CEDBA9C2"/>
    <w:multiLevelType w:val="singleLevel"/>
    <w:tmpl w:val="CEDBA9C2"/>
    <w:lvl w:ilvl="0" w:tentative="0">
      <w:start w:val="1"/>
      <w:numFmt w:val="decimal"/>
      <w:suff w:val="nothing"/>
      <w:lvlText w:val="%1、"/>
      <w:lvlJc w:val="left"/>
    </w:lvl>
  </w:abstractNum>
  <w:abstractNum w:abstractNumId="4">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53C62B"/>
    <w:multiLevelType w:val="singleLevel"/>
    <w:tmpl w:val="4C53C62B"/>
    <w:lvl w:ilvl="0" w:tentative="0">
      <w:start w:val="1"/>
      <w:numFmt w:val="decimal"/>
      <w:suff w:val="nothing"/>
      <w:lvlText w:val="（%1）"/>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444A4"/>
    <w:rsid w:val="000553E9"/>
    <w:rsid w:val="00067793"/>
    <w:rsid w:val="000A4A25"/>
    <w:rsid w:val="000B0FA0"/>
    <w:rsid w:val="000B4E42"/>
    <w:rsid w:val="000C13FB"/>
    <w:rsid w:val="000C30C1"/>
    <w:rsid w:val="000C3231"/>
    <w:rsid w:val="000C4354"/>
    <w:rsid w:val="000D109D"/>
    <w:rsid w:val="000E0735"/>
    <w:rsid w:val="000E69E5"/>
    <w:rsid w:val="000F4116"/>
    <w:rsid w:val="00103445"/>
    <w:rsid w:val="00104F9B"/>
    <w:rsid w:val="00107AF1"/>
    <w:rsid w:val="001216C1"/>
    <w:rsid w:val="00123CD9"/>
    <w:rsid w:val="00125AF5"/>
    <w:rsid w:val="0013191A"/>
    <w:rsid w:val="001439C0"/>
    <w:rsid w:val="00147031"/>
    <w:rsid w:val="0016499A"/>
    <w:rsid w:val="00185390"/>
    <w:rsid w:val="001904A4"/>
    <w:rsid w:val="00194335"/>
    <w:rsid w:val="001A077F"/>
    <w:rsid w:val="001A4716"/>
    <w:rsid w:val="001B4A11"/>
    <w:rsid w:val="001D7725"/>
    <w:rsid w:val="001E50FD"/>
    <w:rsid w:val="001F5E52"/>
    <w:rsid w:val="002352E9"/>
    <w:rsid w:val="00242C1C"/>
    <w:rsid w:val="00256C19"/>
    <w:rsid w:val="00256C9C"/>
    <w:rsid w:val="00271981"/>
    <w:rsid w:val="00284A7A"/>
    <w:rsid w:val="00284EF9"/>
    <w:rsid w:val="0029265E"/>
    <w:rsid w:val="002A6132"/>
    <w:rsid w:val="002C319B"/>
    <w:rsid w:val="002D19B9"/>
    <w:rsid w:val="002D3324"/>
    <w:rsid w:val="002E04DA"/>
    <w:rsid w:val="002E4E3F"/>
    <w:rsid w:val="002E4F6E"/>
    <w:rsid w:val="002F25B6"/>
    <w:rsid w:val="003079FF"/>
    <w:rsid w:val="0033260B"/>
    <w:rsid w:val="0038159C"/>
    <w:rsid w:val="00383913"/>
    <w:rsid w:val="00394A96"/>
    <w:rsid w:val="003A1A76"/>
    <w:rsid w:val="003A6F3D"/>
    <w:rsid w:val="003B14C2"/>
    <w:rsid w:val="003B53F8"/>
    <w:rsid w:val="003C1394"/>
    <w:rsid w:val="003C6CBD"/>
    <w:rsid w:val="003D1029"/>
    <w:rsid w:val="003D5D7C"/>
    <w:rsid w:val="003E2CB9"/>
    <w:rsid w:val="003F0C5E"/>
    <w:rsid w:val="00405C03"/>
    <w:rsid w:val="00413969"/>
    <w:rsid w:val="00416A78"/>
    <w:rsid w:val="00417F13"/>
    <w:rsid w:val="00422E4C"/>
    <w:rsid w:val="004244B0"/>
    <w:rsid w:val="00427866"/>
    <w:rsid w:val="0043750F"/>
    <w:rsid w:val="00456EEF"/>
    <w:rsid w:val="00475010"/>
    <w:rsid w:val="00496EA8"/>
    <w:rsid w:val="004C34C2"/>
    <w:rsid w:val="004C57C0"/>
    <w:rsid w:val="004E2058"/>
    <w:rsid w:val="00504924"/>
    <w:rsid w:val="00504EB4"/>
    <w:rsid w:val="0051358D"/>
    <w:rsid w:val="00514222"/>
    <w:rsid w:val="00521BBB"/>
    <w:rsid w:val="0052780B"/>
    <w:rsid w:val="00541038"/>
    <w:rsid w:val="00542EA4"/>
    <w:rsid w:val="00556610"/>
    <w:rsid w:val="005573A2"/>
    <w:rsid w:val="00572645"/>
    <w:rsid w:val="0057350A"/>
    <w:rsid w:val="00590D30"/>
    <w:rsid w:val="00593527"/>
    <w:rsid w:val="005A78AC"/>
    <w:rsid w:val="005A7B38"/>
    <w:rsid w:val="005B1712"/>
    <w:rsid w:val="005D35F4"/>
    <w:rsid w:val="005D6100"/>
    <w:rsid w:val="006057BB"/>
    <w:rsid w:val="00612C14"/>
    <w:rsid w:val="00614983"/>
    <w:rsid w:val="006239BD"/>
    <w:rsid w:val="00653B44"/>
    <w:rsid w:val="006627D8"/>
    <w:rsid w:val="0068491A"/>
    <w:rsid w:val="006A2CB4"/>
    <w:rsid w:val="006D0B01"/>
    <w:rsid w:val="006D183D"/>
    <w:rsid w:val="006D422F"/>
    <w:rsid w:val="006F4561"/>
    <w:rsid w:val="00706817"/>
    <w:rsid w:val="007079DF"/>
    <w:rsid w:val="00711347"/>
    <w:rsid w:val="00724552"/>
    <w:rsid w:val="0072567C"/>
    <w:rsid w:val="00726757"/>
    <w:rsid w:val="00741811"/>
    <w:rsid w:val="00741E31"/>
    <w:rsid w:val="0074771C"/>
    <w:rsid w:val="00755E89"/>
    <w:rsid w:val="00786412"/>
    <w:rsid w:val="007A09FB"/>
    <w:rsid w:val="007A40B5"/>
    <w:rsid w:val="007A72CA"/>
    <w:rsid w:val="007B107E"/>
    <w:rsid w:val="007B61AD"/>
    <w:rsid w:val="007C0E4A"/>
    <w:rsid w:val="007C1ABC"/>
    <w:rsid w:val="007D1048"/>
    <w:rsid w:val="007D1FB9"/>
    <w:rsid w:val="007D6A53"/>
    <w:rsid w:val="007F1892"/>
    <w:rsid w:val="00801B10"/>
    <w:rsid w:val="008061D2"/>
    <w:rsid w:val="00807474"/>
    <w:rsid w:val="00836B67"/>
    <w:rsid w:val="008410BF"/>
    <w:rsid w:val="008414A3"/>
    <w:rsid w:val="00841B42"/>
    <w:rsid w:val="00841E59"/>
    <w:rsid w:val="00847766"/>
    <w:rsid w:val="00852B8C"/>
    <w:rsid w:val="0087219A"/>
    <w:rsid w:val="00886FE7"/>
    <w:rsid w:val="008931B3"/>
    <w:rsid w:val="008A04DA"/>
    <w:rsid w:val="008B2DBA"/>
    <w:rsid w:val="008B5F70"/>
    <w:rsid w:val="008C2848"/>
    <w:rsid w:val="008E10F8"/>
    <w:rsid w:val="008F3191"/>
    <w:rsid w:val="0090217B"/>
    <w:rsid w:val="00936165"/>
    <w:rsid w:val="0094695A"/>
    <w:rsid w:val="00963E20"/>
    <w:rsid w:val="00965FE6"/>
    <w:rsid w:val="009777F3"/>
    <w:rsid w:val="00982272"/>
    <w:rsid w:val="00995A21"/>
    <w:rsid w:val="0099622D"/>
    <w:rsid w:val="009B095F"/>
    <w:rsid w:val="009B5907"/>
    <w:rsid w:val="009C21DD"/>
    <w:rsid w:val="009D2B17"/>
    <w:rsid w:val="009E556D"/>
    <w:rsid w:val="009E5B2C"/>
    <w:rsid w:val="009F78C8"/>
    <w:rsid w:val="00A05590"/>
    <w:rsid w:val="00A20271"/>
    <w:rsid w:val="00A240C2"/>
    <w:rsid w:val="00A265AA"/>
    <w:rsid w:val="00A45A07"/>
    <w:rsid w:val="00A4799F"/>
    <w:rsid w:val="00A67D85"/>
    <w:rsid w:val="00A67D88"/>
    <w:rsid w:val="00A9431C"/>
    <w:rsid w:val="00AB0098"/>
    <w:rsid w:val="00AC0374"/>
    <w:rsid w:val="00AD0235"/>
    <w:rsid w:val="00AE3126"/>
    <w:rsid w:val="00AE533F"/>
    <w:rsid w:val="00B11491"/>
    <w:rsid w:val="00B11A6D"/>
    <w:rsid w:val="00B13F4E"/>
    <w:rsid w:val="00B23297"/>
    <w:rsid w:val="00B2494E"/>
    <w:rsid w:val="00B26673"/>
    <w:rsid w:val="00B27B0B"/>
    <w:rsid w:val="00B3154F"/>
    <w:rsid w:val="00B3555D"/>
    <w:rsid w:val="00B42320"/>
    <w:rsid w:val="00B46418"/>
    <w:rsid w:val="00B4726C"/>
    <w:rsid w:val="00B53E94"/>
    <w:rsid w:val="00B62964"/>
    <w:rsid w:val="00B71DED"/>
    <w:rsid w:val="00B865F2"/>
    <w:rsid w:val="00BA5C0B"/>
    <w:rsid w:val="00BB7824"/>
    <w:rsid w:val="00BC06BB"/>
    <w:rsid w:val="00BD267B"/>
    <w:rsid w:val="00BE30E5"/>
    <w:rsid w:val="00BF0F00"/>
    <w:rsid w:val="00BF6F66"/>
    <w:rsid w:val="00C02C88"/>
    <w:rsid w:val="00C06FC3"/>
    <w:rsid w:val="00C10097"/>
    <w:rsid w:val="00C2686B"/>
    <w:rsid w:val="00C30586"/>
    <w:rsid w:val="00C314B5"/>
    <w:rsid w:val="00C50064"/>
    <w:rsid w:val="00C54191"/>
    <w:rsid w:val="00C71EF8"/>
    <w:rsid w:val="00C732D4"/>
    <w:rsid w:val="00C83A3B"/>
    <w:rsid w:val="00C8422A"/>
    <w:rsid w:val="00CA35F8"/>
    <w:rsid w:val="00CB06F1"/>
    <w:rsid w:val="00CB07A4"/>
    <w:rsid w:val="00CB57C4"/>
    <w:rsid w:val="00CC2A97"/>
    <w:rsid w:val="00CC455D"/>
    <w:rsid w:val="00CD1984"/>
    <w:rsid w:val="00CE3184"/>
    <w:rsid w:val="00D15C98"/>
    <w:rsid w:val="00D2731B"/>
    <w:rsid w:val="00D4179F"/>
    <w:rsid w:val="00D41B80"/>
    <w:rsid w:val="00D52FA9"/>
    <w:rsid w:val="00D60CB3"/>
    <w:rsid w:val="00D66C23"/>
    <w:rsid w:val="00D733B8"/>
    <w:rsid w:val="00D75DDF"/>
    <w:rsid w:val="00D7626D"/>
    <w:rsid w:val="00D762CA"/>
    <w:rsid w:val="00D84ADB"/>
    <w:rsid w:val="00D911EC"/>
    <w:rsid w:val="00D919BD"/>
    <w:rsid w:val="00D944DF"/>
    <w:rsid w:val="00DA206E"/>
    <w:rsid w:val="00DA5DFE"/>
    <w:rsid w:val="00DB3EEE"/>
    <w:rsid w:val="00DD03AA"/>
    <w:rsid w:val="00DD331F"/>
    <w:rsid w:val="00DD5743"/>
    <w:rsid w:val="00DE59AE"/>
    <w:rsid w:val="00E15B53"/>
    <w:rsid w:val="00E42075"/>
    <w:rsid w:val="00E44AB1"/>
    <w:rsid w:val="00E5272C"/>
    <w:rsid w:val="00E759E7"/>
    <w:rsid w:val="00E83B28"/>
    <w:rsid w:val="00E843D0"/>
    <w:rsid w:val="00E87DEF"/>
    <w:rsid w:val="00E94C11"/>
    <w:rsid w:val="00EA42DF"/>
    <w:rsid w:val="00EB7641"/>
    <w:rsid w:val="00ED5986"/>
    <w:rsid w:val="00EE1560"/>
    <w:rsid w:val="00EE28EE"/>
    <w:rsid w:val="00EF374B"/>
    <w:rsid w:val="00F03FB1"/>
    <w:rsid w:val="00F0676D"/>
    <w:rsid w:val="00F468F7"/>
    <w:rsid w:val="00F47721"/>
    <w:rsid w:val="00F60E55"/>
    <w:rsid w:val="00F74A17"/>
    <w:rsid w:val="00F96B5B"/>
    <w:rsid w:val="00FB7976"/>
    <w:rsid w:val="00FD0D91"/>
    <w:rsid w:val="00FE215E"/>
    <w:rsid w:val="00FE6F81"/>
    <w:rsid w:val="01141165"/>
    <w:rsid w:val="014866DE"/>
    <w:rsid w:val="01A7647D"/>
    <w:rsid w:val="01B85F94"/>
    <w:rsid w:val="01BD6E71"/>
    <w:rsid w:val="01C20BC1"/>
    <w:rsid w:val="01D95F0B"/>
    <w:rsid w:val="01EC3947"/>
    <w:rsid w:val="023A0FB7"/>
    <w:rsid w:val="02E311D1"/>
    <w:rsid w:val="0343163D"/>
    <w:rsid w:val="035565DF"/>
    <w:rsid w:val="035C5045"/>
    <w:rsid w:val="036436F5"/>
    <w:rsid w:val="036F6B27"/>
    <w:rsid w:val="03BD3D36"/>
    <w:rsid w:val="03C20CFD"/>
    <w:rsid w:val="03D60954"/>
    <w:rsid w:val="04934A97"/>
    <w:rsid w:val="049A38BA"/>
    <w:rsid w:val="049C23C0"/>
    <w:rsid w:val="050C42EE"/>
    <w:rsid w:val="052554E5"/>
    <w:rsid w:val="053578FC"/>
    <w:rsid w:val="053973EC"/>
    <w:rsid w:val="05756DEA"/>
    <w:rsid w:val="0599432F"/>
    <w:rsid w:val="05B80C59"/>
    <w:rsid w:val="05C649F8"/>
    <w:rsid w:val="05EF0B06"/>
    <w:rsid w:val="0609596A"/>
    <w:rsid w:val="061147C4"/>
    <w:rsid w:val="066C559F"/>
    <w:rsid w:val="06A63E66"/>
    <w:rsid w:val="06CE417B"/>
    <w:rsid w:val="070B6B66"/>
    <w:rsid w:val="071E7A6D"/>
    <w:rsid w:val="075C327B"/>
    <w:rsid w:val="078608E3"/>
    <w:rsid w:val="07995420"/>
    <w:rsid w:val="07E92333"/>
    <w:rsid w:val="0828199A"/>
    <w:rsid w:val="086413E9"/>
    <w:rsid w:val="0895702F"/>
    <w:rsid w:val="08B576D2"/>
    <w:rsid w:val="08C84F4C"/>
    <w:rsid w:val="08C90A87"/>
    <w:rsid w:val="08EB1C1E"/>
    <w:rsid w:val="08EC29C7"/>
    <w:rsid w:val="08F6103E"/>
    <w:rsid w:val="08FD6983"/>
    <w:rsid w:val="09092DE7"/>
    <w:rsid w:val="090A37C1"/>
    <w:rsid w:val="094027C8"/>
    <w:rsid w:val="0969226A"/>
    <w:rsid w:val="09801146"/>
    <w:rsid w:val="098D7D07"/>
    <w:rsid w:val="09E10052"/>
    <w:rsid w:val="09E85885"/>
    <w:rsid w:val="0A0855DF"/>
    <w:rsid w:val="0A236E4B"/>
    <w:rsid w:val="0A7809B7"/>
    <w:rsid w:val="0A8E16CB"/>
    <w:rsid w:val="0AAF4A50"/>
    <w:rsid w:val="0ABA1B63"/>
    <w:rsid w:val="0AE75B3C"/>
    <w:rsid w:val="0AF563DB"/>
    <w:rsid w:val="0AFC15E8"/>
    <w:rsid w:val="0B444D3D"/>
    <w:rsid w:val="0B491765"/>
    <w:rsid w:val="0B5120DD"/>
    <w:rsid w:val="0B62234B"/>
    <w:rsid w:val="0B921521"/>
    <w:rsid w:val="0C41302A"/>
    <w:rsid w:val="0C540FAF"/>
    <w:rsid w:val="0C930F2E"/>
    <w:rsid w:val="0C943AA2"/>
    <w:rsid w:val="0CC021C4"/>
    <w:rsid w:val="0D2564A8"/>
    <w:rsid w:val="0D305579"/>
    <w:rsid w:val="0D324DE0"/>
    <w:rsid w:val="0D6671EC"/>
    <w:rsid w:val="0D870F11"/>
    <w:rsid w:val="0DA10CC3"/>
    <w:rsid w:val="0DBD51B0"/>
    <w:rsid w:val="0DF4332B"/>
    <w:rsid w:val="0E0C38D2"/>
    <w:rsid w:val="0E25296B"/>
    <w:rsid w:val="0E5C1E70"/>
    <w:rsid w:val="0E807E3A"/>
    <w:rsid w:val="0EC27511"/>
    <w:rsid w:val="0EDA208D"/>
    <w:rsid w:val="0F20565C"/>
    <w:rsid w:val="0F3C1D55"/>
    <w:rsid w:val="0F5C08A7"/>
    <w:rsid w:val="0FD0094D"/>
    <w:rsid w:val="0FE54120"/>
    <w:rsid w:val="0FE91A0F"/>
    <w:rsid w:val="0FF00FEF"/>
    <w:rsid w:val="0FFE370C"/>
    <w:rsid w:val="102338A2"/>
    <w:rsid w:val="10297193"/>
    <w:rsid w:val="10573ABB"/>
    <w:rsid w:val="105773CC"/>
    <w:rsid w:val="10967DE9"/>
    <w:rsid w:val="10EE3075"/>
    <w:rsid w:val="113374F6"/>
    <w:rsid w:val="11382C4E"/>
    <w:rsid w:val="115149D1"/>
    <w:rsid w:val="11557B43"/>
    <w:rsid w:val="116C28F7"/>
    <w:rsid w:val="117143B2"/>
    <w:rsid w:val="118A06F5"/>
    <w:rsid w:val="11AA2909"/>
    <w:rsid w:val="11CD7AC2"/>
    <w:rsid w:val="11F10CFD"/>
    <w:rsid w:val="11F3722A"/>
    <w:rsid w:val="11F72B09"/>
    <w:rsid w:val="128123D2"/>
    <w:rsid w:val="12EC296B"/>
    <w:rsid w:val="13695AE6"/>
    <w:rsid w:val="13B81E24"/>
    <w:rsid w:val="14411E19"/>
    <w:rsid w:val="14423DE3"/>
    <w:rsid w:val="148530EA"/>
    <w:rsid w:val="149C5646"/>
    <w:rsid w:val="149F4D92"/>
    <w:rsid w:val="14A30D26"/>
    <w:rsid w:val="14BE1DEA"/>
    <w:rsid w:val="14DC5FE6"/>
    <w:rsid w:val="14DF1632"/>
    <w:rsid w:val="14EC1D7D"/>
    <w:rsid w:val="14FC66CF"/>
    <w:rsid w:val="14FE1928"/>
    <w:rsid w:val="152E7217"/>
    <w:rsid w:val="154D3C0F"/>
    <w:rsid w:val="155945EC"/>
    <w:rsid w:val="158521DA"/>
    <w:rsid w:val="15F852DA"/>
    <w:rsid w:val="16637784"/>
    <w:rsid w:val="16734728"/>
    <w:rsid w:val="16824B5F"/>
    <w:rsid w:val="16AB2114"/>
    <w:rsid w:val="16B53308"/>
    <w:rsid w:val="16DD7E7C"/>
    <w:rsid w:val="170830C2"/>
    <w:rsid w:val="17454249"/>
    <w:rsid w:val="17555BDC"/>
    <w:rsid w:val="175E2CE2"/>
    <w:rsid w:val="17797B1C"/>
    <w:rsid w:val="17A202F8"/>
    <w:rsid w:val="17D11706"/>
    <w:rsid w:val="17F04282"/>
    <w:rsid w:val="1843395F"/>
    <w:rsid w:val="186B0D75"/>
    <w:rsid w:val="18E637EA"/>
    <w:rsid w:val="18F931E2"/>
    <w:rsid w:val="1917583F"/>
    <w:rsid w:val="192D6C6E"/>
    <w:rsid w:val="19603ABB"/>
    <w:rsid w:val="19626CBB"/>
    <w:rsid w:val="19FB55B0"/>
    <w:rsid w:val="1A027F67"/>
    <w:rsid w:val="1A50725A"/>
    <w:rsid w:val="1A872550"/>
    <w:rsid w:val="1AAE5D2F"/>
    <w:rsid w:val="1AB602BF"/>
    <w:rsid w:val="1ABD39A5"/>
    <w:rsid w:val="1ACF521A"/>
    <w:rsid w:val="1B140288"/>
    <w:rsid w:val="1B2D7F72"/>
    <w:rsid w:val="1B3023F3"/>
    <w:rsid w:val="1B4030F3"/>
    <w:rsid w:val="1B66485B"/>
    <w:rsid w:val="1B6B3C20"/>
    <w:rsid w:val="1BA46909"/>
    <w:rsid w:val="1BC72629"/>
    <w:rsid w:val="1C0C488B"/>
    <w:rsid w:val="1C153A84"/>
    <w:rsid w:val="1C2B7608"/>
    <w:rsid w:val="1C3C65E6"/>
    <w:rsid w:val="1C5B0F9E"/>
    <w:rsid w:val="1C76287C"/>
    <w:rsid w:val="1C9A0C60"/>
    <w:rsid w:val="1CBC0BD7"/>
    <w:rsid w:val="1CC161ED"/>
    <w:rsid w:val="1D4C65FE"/>
    <w:rsid w:val="1D7414B2"/>
    <w:rsid w:val="1DB51D77"/>
    <w:rsid w:val="1DE30B48"/>
    <w:rsid w:val="1DFC0460"/>
    <w:rsid w:val="1DFE6FCD"/>
    <w:rsid w:val="1E005185"/>
    <w:rsid w:val="1E116D00"/>
    <w:rsid w:val="1E396257"/>
    <w:rsid w:val="1F134CFA"/>
    <w:rsid w:val="1F374545"/>
    <w:rsid w:val="1F9009DB"/>
    <w:rsid w:val="1F933745"/>
    <w:rsid w:val="1FA6377E"/>
    <w:rsid w:val="1FB73CB1"/>
    <w:rsid w:val="1FBA6F24"/>
    <w:rsid w:val="2002256D"/>
    <w:rsid w:val="20055219"/>
    <w:rsid w:val="20112FE8"/>
    <w:rsid w:val="20176124"/>
    <w:rsid w:val="201D5FF2"/>
    <w:rsid w:val="204213F3"/>
    <w:rsid w:val="20EB1A8B"/>
    <w:rsid w:val="20F46465"/>
    <w:rsid w:val="21CC3245"/>
    <w:rsid w:val="21E00ED5"/>
    <w:rsid w:val="2205410A"/>
    <w:rsid w:val="2237485C"/>
    <w:rsid w:val="2245341D"/>
    <w:rsid w:val="224F1BA5"/>
    <w:rsid w:val="225900BE"/>
    <w:rsid w:val="22B54EBA"/>
    <w:rsid w:val="22D60519"/>
    <w:rsid w:val="235A2EF8"/>
    <w:rsid w:val="23682531"/>
    <w:rsid w:val="236D2C2B"/>
    <w:rsid w:val="23A6613D"/>
    <w:rsid w:val="23C2284B"/>
    <w:rsid w:val="247258FF"/>
    <w:rsid w:val="248E1A77"/>
    <w:rsid w:val="251946ED"/>
    <w:rsid w:val="252D6896"/>
    <w:rsid w:val="25B032A3"/>
    <w:rsid w:val="25DD15C5"/>
    <w:rsid w:val="25FD7B6A"/>
    <w:rsid w:val="26074D42"/>
    <w:rsid w:val="26565FDF"/>
    <w:rsid w:val="26B6639A"/>
    <w:rsid w:val="26C0260D"/>
    <w:rsid w:val="26C05AFB"/>
    <w:rsid w:val="26D23C48"/>
    <w:rsid w:val="26D703BB"/>
    <w:rsid w:val="26DD7622"/>
    <w:rsid w:val="26EE4083"/>
    <w:rsid w:val="26EF7EEE"/>
    <w:rsid w:val="27091ADD"/>
    <w:rsid w:val="27220ADA"/>
    <w:rsid w:val="27435A51"/>
    <w:rsid w:val="27514D12"/>
    <w:rsid w:val="276E2ACE"/>
    <w:rsid w:val="27933A2F"/>
    <w:rsid w:val="28370592"/>
    <w:rsid w:val="286D547B"/>
    <w:rsid w:val="288046A4"/>
    <w:rsid w:val="288D37FB"/>
    <w:rsid w:val="2899001E"/>
    <w:rsid w:val="28C74DBB"/>
    <w:rsid w:val="28C9259C"/>
    <w:rsid w:val="28F65471"/>
    <w:rsid w:val="28F811E9"/>
    <w:rsid w:val="28FC4939"/>
    <w:rsid w:val="2907242C"/>
    <w:rsid w:val="2939535D"/>
    <w:rsid w:val="294837F2"/>
    <w:rsid w:val="29655B14"/>
    <w:rsid w:val="297D4D14"/>
    <w:rsid w:val="29AF73CD"/>
    <w:rsid w:val="29C54E43"/>
    <w:rsid w:val="29DD3F3B"/>
    <w:rsid w:val="29F24E4A"/>
    <w:rsid w:val="2A5F0DF4"/>
    <w:rsid w:val="2A6B3832"/>
    <w:rsid w:val="2A8A2314"/>
    <w:rsid w:val="2AB147B5"/>
    <w:rsid w:val="2ADB491E"/>
    <w:rsid w:val="2AE65071"/>
    <w:rsid w:val="2AE90244"/>
    <w:rsid w:val="2AF303EE"/>
    <w:rsid w:val="2B226752"/>
    <w:rsid w:val="2B275DB5"/>
    <w:rsid w:val="2B345DDC"/>
    <w:rsid w:val="2B854B8F"/>
    <w:rsid w:val="2B8F20FE"/>
    <w:rsid w:val="2B8F395A"/>
    <w:rsid w:val="2BA556CD"/>
    <w:rsid w:val="2BB62C95"/>
    <w:rsid w:val="2BD733B6"/>
    <w:rsid w:val="2BE75544"/>
    <w:rsid w:val="2C5B7DFA"/>
    <w:rsid w:val="2C92725E"/>
    <w:rsid w:val="2C9666F4"/>
    <w:rsid w:val="2CCB6C14"/>
    <w:rsid w:val="2D030961"/>
    <w:rsid w:val="2D300C57"/>
    <w:rsid w:val="2D381690"/>
    <w:rsid w:val="2D6211CC"/>
    <w:rsid w:val="2D79041E"/>
    <w:rsid w:val="2D7A4892"/>
    <w:rsid w:val="2D856DC3"/>
    <w:rsid w:val="2D9D1BEA"/>
    <w:rsid w:val="2DA76D39"/>
    <w:rsid w:val="2DE24215"/>
    <w:rsid w:val="2DF34BF7"/>
    <w:rsid w:val="2E5A72C5"/>
    <w:rsid w:val="2F777E76"/>
    <w:rsid w:val="2F860BD0"/>
    <w:rsid w:val="2F8D6403"/>
    <w:rsid w:val="2FE14059"/>
    <w:rsid w:val="30297EDA"/>
    <w:rsid w:val="302C616A"/>
    <w:rsid w:val="305556AB"/>
    <w:rsid w:val="307B1892"/>
    <w:rsid w:val="30AE03DF"/>
    <w:rsid w:val="30B7783B"/>
    <w:rsid w:val="30CD2133"/>
    <w:rsid w:val="30D2231F"/>
    <w:rsid w:val="30EE4C7F"/>
    <w:rsid w:val="30F6129C"/>
    <w:rsid w:val="310A4E78"/>
    <w:rsid w:val="313D129F"/>
    <w:rsid w:val="315C30F1"/>
    <w:rsid w:val="31AF7BD2"/>
    <w:rsid w:val="31EA7C43"/>
    <w:rsid w:val="31F93956"/>
    <w:rsid w:val="32207046"/>
    <w:rsid w:val="32383B31"/>
    <w:rsid w:val="32700042"/>
    <w:rsid w:val="329219D2"/>
    <w:rsid w:val="32AB5D6C"/>
    <w:rsid w:val="32D707E6"/>
    <w:rsid w:val="32ED7F9D"/>
    <w:rsid w:val="331165AB"/>
    <w:rsid w:val="33120B36"/>
    <w:rsid w:val="333D0CDF"/>
    <w:rsid w:val="33512760"/>
    <w:rsid w:val="33BA52ED"/>
    <w:rsid w:val="33F627C9"/>
    <w:rsid w:val="340A0022"/>
    <w:rsid w:val="34405E5F"/>
    <w:rsid w:val="345614B9"/>
    <w:rsid w:val="34684D49"/>
    <w:rsid w:val="346B00EF"/>
    <w:rsid w:val="348222AE"/>
    <w:rsid w:val="34FC591F"/>
    <w:rsid w:val="35170C48"/>
    <w:rsid w:val="35435B42"/>
    <w:rsid w:val="35551771"/>
    <w:rsid w:val="3579545F"/>
    <w:rsid w:val="35CC376D"/>
    <w:rsid w:val="35D501BC"/>
    <w:rsid w:val="35E52AF5"/>
    <w:rsid w:val="35F7078B"/>
    <w:rsid w:val="36184957"/>
    <w:rsid w:val="36270A9E"/>
    <w:rsid w:val="36445D10"/>
    <w:rsid w:val="36835E6A"/>
    <w:rsid w:val="36AF4EB1"/>
    <w:rsid w:val="375A1DC0"/>
    <w:rsid w:val="376E145B"/>
    <w:rsid w:val="37922808"/>
    <w:rsid w:val="37DD15AA"/>
    <w:rsid w:val="37F963E3"/>
    <w:rsid w:val="382471D8"/>
    <w:rsid w:val="38301DBE"/>
    <w:rsid w:val="383C4522"/>
    <w:rsid w:val="384C229E"/>
    <w:rsid w:val="384E4CD5"/>
    <w:rsid w:val="385076D4"/>
    <w:rsid w:val="386F1750"/>
    <w:rsid w:val="38FA3251"/>
    <w:rsid w:val="39290F4A"/>
    <w:rsid w:val="3939522E"/>
    <w:rsid w:val="394C69E7"/>
    <w:rsid w:val="397A3554"/>
    <w:rsid w:val="39D75DA5"/>
    <w:rsid w:val="3A306308"/>
    <w:rsid w:val="3A313DDF"/>
    <w:rsid w:val="3A4C5A45"/>
    <w:rsid w:val="3AA80595"/>
    <w:rsid w:val="3AB25856"/>
    <w:rsid w:val="3AB605BC"/>
    <w:rsid w:val="3B6B27F5"/>
    <w:rsid w:val="3B6F4C0F"/>
    <w:rsid w:val="3BBA4322"/>
    <w:rsid w:val="3BFB45B8"/>
    <w:rsid w:val="3C107D6B"/>
    <w:rsid w:val="3C24596A"/>
    <w:rsid w:val="3C2E0626"/>
    <w:rsid w:val="3C5C5193"/>
    <w:rsid w:val="3C5E715D"/>
    <w:rsid w:val="3C7C75E3"/>
    <w:rsid w:val="3C8C7324"/>
    <w:rsid w:val="3CD53E49"/>
    <w:rsid w:val="3CDE204C"/>
    <w:rsid w:val="3CF257A2"/>
    <w:rsid w:val="3D2A6F55"/>
    <w:rsid w:val="3D4C5C8E"/>
    <w:rsid w:val="3D516CC2"/>
    <w:rsid w:val="3D5D5666"/>
    <w:rsid w:val="3D8449A1"/>
    <w:rsid w:val="3D9372DA"/>
    <w:rsid w:val="3E171CB9"/>
    <w:rsid w:val="3E725142"/>
    <w:rsid w:val="3EA07AC6"/>
    <w:rsid w:val="3EE14075"/>
    <w:rsid w:val="3EF5367D"/>
    <w:rsid w:val="3F0006E1"/>
    <w:rsid w:val="3F2F6B8F"/>
    <w:rsid w:val="3F8E7D59"/>
    <w:rsid w:val="3FBD419A"/>
    <w:rsid w:val="3FD140EA"/>
    <w:rsid w:val="3FD17C46"/>
    <w:rsid w:val="3FEA403F"/>
    <w:rsid w:val="3FF46F41"/>
    <w:rsid w:val="405368AD"/>
    <w:rsid w:val="40550877"/>
    <w:rsid w:val="4086667F"/>
    <w:rsid w:val="40A8087E"/>
    <w:rsid w:val="40EA75D2"/>
    <w:rsid w:val="40EF4858"/>
    <w:rsid w:val="410A78B3"/>
    <w:rsid w:val="413B60C1"/>
    <w:rsid w:val="41401527"/>
    <w:rsid w:val="41590C35"/>
    <w:rsid w:val="41653C86"/>
    <w:rsid w:val="416F7716"/>
    <w:rsid w:val="41967399"/>
    <w:rsid w:val="41C37B1D"/>
    <w:rsid w:val="422E4915"/>
    <w:rsid w:val="42B352E7"/>
    <w:rsid w:val="42ED123B"/>
    <w:rsid w:val="42F40C98"/>
    <w:rsid w:val="431247FD"/>
    <w:rsid w:val="43553C60"/>
    <w:rsid w:val="43672D9B"/>
    <w:rsid w:val="43790D20"/>
    <w:rsid w:val="43792ACE"/>
    <w:rsid w:val="439E42E3"/>
    <w:rsid w:val="43D146B8"/>
    <w:rsid w:val="43EE7018"/>
    <w:rsid w:val="4427569D"/>
    <w:rsid w:val="44305F71"/>
    <w:rsid w:val="446C318F"/>
    <w:rsid w:val="44A8366B"/>
    <w:rsid w:val="44AE6C6F"/>
    <w:rsid w:val="44D25071"/>
    <w:rsid w:val="44E4041B"/>
    <w:rsid w:val="45006282"/>
    <w:rsid w:val="451505D5"/>
    <w:rsid w:val="45167E0B"/>
    <w:rsid w:val="45392515"/>
    <w:rsid w:val="453D2A10"/>
    <w:rsid w:val="454F2AA7"/>
    <w:rsid w:val="45E51DEE"/>
    <w:rsid w:val="4645313C"/>
    <w:rsid w:val="465E7D59"/>
    <w:rsid w:val="4666290D"/>
    <w:rsid w:val="467557CF"/>
    <w:rsid w:val="46E91D19"/>
    <w:rsid w:val="47257C78"/>
    <w:rsid w:val="472D42FC"/>
    <w:rsid w:val="4734721D"/>
    <w:rsid w:val="47B16CDB"/>
    <w:rsid w:val="47C87B80"/>
    <w:rsid w:val="47CB141F"/>
    <w:rsid w:val="47DE7578"/>
    <w:rsid w:val="47F36DFE"/>
    <w:rsid w:val="47F40975"/>
    <w:rsid w:val="48286871"/>
    <w:rsid w:val="4832149E"/>
    <w:rsid w:val="48380E21"/>
    <w:rsid w:val="48657AC5"/>
    <w:rsid w:val="489F5766"/>
    <w:rsid w:val="48BC4608"/>
    <w:rsid w:val="48CA377C"/>
    <w:rsid w:val="48E23D6F"/>
    <w:rsid w:val="49311755"/>
    <w:rsid w:val="493A02D3"/>
    <w:rsid w:val="49843F7B"/>
    <w:rsid w:val="498F32C4"/>
    <w:rsid w:val="49C93DD1"/>
    <w:rsid w:val="49F17862"/>
    <w:rsid w:val="4A1B043B"/>
    <w:rsid w:val="4A1C2405"/>
    <w:rsid w:val="4AAD305D"/>
    <w:rsid w:val="4AB8212E"/>
    <w:rsid w:val="4AC676BD"/>
    <w:rsid w:val="4AEE5B50"/>
    <w:rsid w:val="4B8D7117"/>
    <w:rsid w:val="4BFE1DC3"/>
    <w:rsid w:val="4C006274"/>
    <w:rsid w:val="4C0F30D2"/>
    <w:rsid w:val="4C5365B2"/>
    <w:rsid w:val="4C722558"/>
    <w:rsid w:val="4CF662CC"/>
    <w:rsid w:val="4CFD720C"/>
    <w:rsid w:val="4D03307E"/>
    <w:rsid w:val="4D185106"/>
    <w:rsid w:val="4D5610AA"/>
    <w:rsid w:val="4D5E2A58"/>
    <w:rsid w:val="4D8F0D67"/>
    <w:rsid w:val="4DAB3F2C"/>
    <w:rsid w:val="4DD61C67"/>
    <w:rsid w:val="4E1C05F2"/>
    <w:rsid w:val="4E1F7FBC"/>
    <w:rsid w:val="4E3C6BD2"/>
    <w:rsid w:val="4E3E2D7A"/>
    <w:rsid w:val="4E796078"/>
    <w:rsid w:val="4EBC7D13"/>
    <w:rsid w:val="4EF676C9"/>
    <w:rsid w:val="4F0B3174"/>
    <w:rsid w:val="4F155D65"/>
    <w:rsid w:val="4F4B3741"/>
    <w:rsid w:val="4F4F2935"/>
    <w:rsid w:val="4F8151E4"/>
    <w:rsid w:val="4FB426AD"/>
    <w:rsid w:val="4FCB6A8D"/>
    <w:rsid w:val="50285660"/>
    <w:rsid w:val="504B455E"/>
    <w:rsid w:val="50541B4C"/>
    <w:rsid w:val="5066262C"/>
    <w:rsid w:val="510C61C9"/>
    <w:rsid w:val="5155217D"/>
    <w:rsid w:val="517D19DC"/>
    <w:rsid w:val="51AF7C20"/>
    <w:rsid w:val="51B073AF"/>
    <w:rsid w:val="51F53C68"/>
    <w:rsid w:val="51FD2B1C"/>
    <w:rsid w:val="522F631D"/>
    <w:rsid w:val="52C3263C"/>
    <w:rsid w:val="52C84F41"/>
    <w:rsid w:val="52DB29CF"/>
    <w:rsid w:val="532C5467"/>
    <w:rsid w:val="53363746"/>
    <w:rsid w:val="53A019B1"/>
    <w:rsid w:val="53D578AD"/>
    <w:rsid w:val="53E2517F"/>
    <w:rsid w:val="54173089"/>
    <w:rsid w:val="54352A41"/>
    <w:rsid w:val="5435648A"/>
    <w:rsid w:val="5459695A"/>
    <w:rsid w:val="545C3B2A"/>
    <w:rsid w:val="54A64729"/>
    <w:rsid w:val="54BF4D86"/>
    <w:rsid w:val="54DF6509"/>
    <w:rsid w:val="550F0DC7"/>
    <w:rsid w:val="55792D25"/>
    <w:rsid w:val="55CF657E"/>
    <w:rsid w:val="55DD03B8"/>
    <w:rsid w:val="55F67FAE"/>
    <w:rsid w:val="562A0B9A"/>
    <w:rsid w:val="56355422"/>
    <w:rsid w:val="564B02FA"/>
    <w:rsid w:val="56544380"/>
    <w:rsid w:val="567F0DC1"/>
    <w:rsid w:val="56A04385"/>
    <w:rsid w:val="56B37C4E"/>
    <w:rsid w:val="56E31D66"/>
    <w:rsid w:val="56F97D56"/>
    <w:rsid w:val="570C17C7"/>
    <w:rsid w:val="572E3628"/>
    <w:rsid w:val="57351DA1"/>
    <w:rsid w:val="57466200"/>
    <w:rsid w:val="58374BB7"/>
    <w:rsid w:val="587352FF"/>
    <w:rsid w:val="58737694"/>
    <w:rsid w:val="58752BA8"/>
    <w:rsid w:val="589A55C2"/>
    <w:rsid w:val="58BC103B"/>
    <w:rsid w:val="58E86238"/>
    <w:rsid w:val="58FC1D80"/>
    <w:rsid w:val="590945CF"/>
    <w:rsid w:val="590A2A62"/>
    <w:rsid w:val="590F1AB3"/>
    <w:rsid w:val="59142C25"/>
    <w:rsid w:val="591A2206"/>
    <w:rsid w:val="59271254"/>
    <w:rsid w:val="5928638B"/>
    <w:rsid w:val="598A0864"/>
    <w:rsid w:val="59941FB8"/>
    <w:rsid w:val="59C26B25"/>
    <w:rsid w:val="59CB3452"/>
    <w:rsid w:val="5A1D0200"/>
    <w:rsid w:val="5A6268D3"/>
    <w:rsid w:val="5A867B53"/>
    <w:rsid w:val="5B0E18F6"/>
    <w:rsid w:val="5B160B43"/>
    <w:rsid w:val="5B44580E"/>
    <w:rsid w:val="5B4E0632"/>
    <w:rsid w:val="5B4E74EA"/>
    <w:rsid w:val="5B5B4583"/>
    <w:rsid w:val="5B69005B"/>
    <w:rsid w:val="5B765E19"/>
    <w:rsid w:val="5BE16206"/>
    <w:rsid w:val="5C250D5A"/>
    <w:rsid w:val="5C2D68F8"/>
    <w:rsid w:val="5C6A47B1"/>
    <w:rsid w:val="5CD86660"/>
    <w:rsid w:val="5D645228"/>
    <w:rsid w:val="5D704AEA"/>
    <w:rsid w:val="5DB06C95"/>
    <w:rsid w:val="5DB5658E"/>
    <w:rsid w:val="5E10464A"/>
    <w:rsid w:val="5E2D5353"/>
    <w:rsid w:val="5E38346F"/>
    <w:rsid w:val="5E3A43C8"/>
    <w:rsid w:val="5E781EA8"/>
    <w:rsid w:val="5EA87092"/>
    <w:rsid w:val="5F047DE2"/>
    <w:rsid w:val="5F2931A3"/>
    <w:rsid w:val="5F5A15AE"/>
    <w:rsid w:val="5F6175B2"/>
    <w:rsid w:val="5F7A5030"/>
    <w:rsid w:val="5F8623A3"/>
    <w:rsid w:val="600D6620"/>
    <w:rsid w:val="60311DE8"/>
    <w:rsid w:val="6063406C"/>
    <w:rsid w:val="607518FD"/>
    <w:rsid w:val="609D1752"/>
    <w:rsid w:val="60A346E0"/>
    <w:rsid w:val="60B62814"/>
    <w:rsid w:val="60B6715E"/>
    <w:rsid w:val="60BE6A89"/>
    <w:rsid w:val="60C72C73"/>
    <w:rsid w:val="60CB63CB"/>
    <w:rsid w:val="60F65306"/>
    <w:rsid w:val="61094E7D"/>
    <w:rsid w:val="610B0DB2"/>
    <w:rsid w:val="61547EE0"/>
    <w:rsid w:val="617355D6"/>
    <w:rsid w:val="618C17C7"/>
    <w:rsid w:val="61CB6793"/>
    <w:rsid w:val="61FA37BE"/>
    <w:rsid w:val="61FD6FAC"/>
    <w:rsid w:val="62051CA5"/>
    <w:rsid w:val="624F1172"/>
    <w:rsid w:val="62563961"/>
    <w:rsid w:val="62673050"/>
    <w:rsid w:val="62DF5EF4"/>
    <w:rsid w:val="62EC69C1"/>
    <w:rsid w:val="63332842"/>
    <w:rsid w:val="63340A18"/>
    <w:rsid w:val="634B2E08"/>
    <w:rsid w:val="63755F1B"/>
    <w:rsid w:val="639A5952"/>
    <w:rsid w:val="639C02C3"/>
    <w:rsid w:val="63AD5A6D"/>
    <w:rsid w:val="63B0240A"/>
    <w:rsid w:val="63C15A99"/>
    <w:rsid w:val="63F53655"/>
    <w:rsid w:val="644F0FB6"/>
    <w:rsid w:val="64944E89"/>
    <w:rsid w:val="649C7F73"/>
    <w:rsid w:val="64BE25DF"/>
    <w:rsid w:val="64C33752"/>
    <w:rsid w:val="65387C9C"/>
    <w:rsid w:val="653B59DE"/>
    <w:rsid w:val="6540449A"/>
    <w:rsid w:val="65825AEF"/>
    <w:rsid w:val="65CD2ADA"/>
    <w:rsid w:val="65D043B5"/>
    <w:rsid w:val="660D514E"/>
    <w:rsid w:val="66121820"/>
    <w:rsid w:val="66295856"/>
    <w:rsid w:val="663A3A71"/>
    <w:rsid w:val="663C3DCB"/>
    <w:rsid w:val="66617326"/>
    <w:rsid w:val="66BF0218"/>
    <w:rsid w:val="66E94B11"/>
    <w:rsid w:val="66F67E0E"/>
    <w:rsid w:val="671A71BF"/>
    <w:rsid w:val="6759214B"/>
    <w:rsid w:val="675E7762"/>
    <w:rsid w:val="67AE693B"/>
    <w:rsid w:val="67B038FF"/>
    <w:rsid w:val="67D22E92"/>
    <w:rsid w:val="68297D70"/>
    <w:rsid w:val="68324D3D"/>
    <w:rsid w:val="6853463D"/>
    <w:rsid w:val="68617509"/>
    <w:rsid w:val="688A17C5"/>
    <w:rsid w:val="68986859"/>
    <w:rsid w:val="68AE2529"/>
    <w:rsid w:val="68C36416"/>
    <w:rsid w:val="68ED6BA3"/>
    <w:rsid w:val="69055B11"/>
    <w:rsid w:val="69284CD5"/>
    <w:rsid w:val="693037C0"/>
    <w:rsid w:val="69586B5E"/>
    <w:rsid w:val="695D5489"/>
    <w:rsid w:val="69690D6B"/>
    <w:rsid w:val="697D4817"/>
    <w:rsid w:val="698A0CE2"/>
    <w:rsid w:val="69EA1A6A"/>
    <w:rsid w:val="69EA4C26"/>
    <w:rsid w:val="69EB21BA"/>
    <w:rsid w:val="69F525FF"/>
    <w:rsid w:val="6A0F787A"/>
    <w:rsid w:val="6A274783"/>
    <w:rsid w:val="6A3A710B"/>
    <w:rsid w:val="6A4737E3"/>
    <w:rsid w:val="6A4F6090"/>
    <w:rsid w:val="6AD466B8"/>
    <w:rsid w:val="6AE12A31"/>
    <w:rsid w:val="6AE83F12"/>
    <w:rsid w:val="6B4355EC"/>
    <w:rsid w:val="6BD41C89"/>
    <w:rsid w:val="6BDE7164"/>
    <w:rsid w:val="6C1D5E3D"/>
    <w:rsid w:val="6C2B67AC"/>
    <w:rsid w:val="6C3B2FFD"/>
    <w:rsid w:val="6C3E44FB"/>
    <w:rsid w:val="6C9C1458"/>
    <w:rsid w:val="6CC531AF"/>
    <w:rsid w:val="6D033285"/>
    <w:rsid w:val="6D820DB6"/>
    <w:rsid w:val="6D9817F8"/>
    <w:rsid w:val="6DFE57FA"/>
    <w:rsid w:val="6E040A57"/>
    <w:rsid w:val="6E295BD8"/>
    <w:rsid w:val="6E380D0C"/>
    <w:rsid w:val="6E4B6C92"/>
    <w:rsid w:val="6E617962"/>
    <w:rsid w:val="6E63733A"/>
    <w:rsid w:val="6E7136A2"/>
    <w:rsid w:val="6E851A78"/>
    <w:rsid w:val="6E957F0D"/>
    <w:rsid w:val="6EA22932"/>
    <w:rsid w:val="6EB6111E"/>
    <w:rsid w:val="6F02382D"/>
    <w:rsid w:val="6F084B83"/>
    <w:rsid w:val="6F1A5838"/>
    <w:rsid w:val="6F6F18E6"/>
    <w:rsid w:val="70001CFE"/>
    <w:rsid w:val="70560B6F"/>
    <w:rsid w:val="7060683A"/>
    <w:rsid w:val="70890AA7"/>
    <w:rsid w:val="70B312C0"/>
    <w:rsid w:val="70CC398E"/>
    <w:rsid w:val="70E60A99"/>
    <w:rsid w:val="70E64A50"/>
    <w:rsid w:val="70FB78FE"/>
    <w:rsid w:val="710B44B6"/>
    <w:rsid w:val="7169742F"/>
    <w:rsid w:val="7183450A"/>
    <w:rsid w:val="71A53F34"/>
    <w:rsid w:val="71BA40BB"/>
    <w:rsid w:val="71CF1E3C"/>
    <w:rsid w:val="720A0C12"/>
    <w:rsid w:val="726E11A1"/>
    <w:rsid w:val="72A259DC"/>
    <w:rsid w:val="72A36CC0"/>
    <w:rsid w:val="72C40DC1"/>
    <w:rsid w:val="737A5937"/>
    <w:rsid w:val="73823836"/>
    <w:rsid w:val="73ED07EB"/>
    <w:rsid w:val="74220495"/>
    <w:rsid w:val="74291FC8"/>
    <w:rsid w:val="7430545D"/>
    <w:rsid w:val="747800B5"/>
    <w:rsid w:val="747C351C"/>
    <w:rsid w:val="74A23383"/>
    <w:rsid w:val="74B66E2F"/>
    <w:rsid w:val="750C7495"/>
    <w:rsid w:val="75163850"/>
    <w:rsid w:val="754602FA"/>
    <w:rsid w:val="75635546"/>
    <w:rsid w:val="756B5E6B"/>
    <w:rsid w:val="758416A4"/>
    <w:rsid w:val="758962F1"/>
    <w:rsid w:val="758D193E"/>
    <w:rsid w:val="75DE488F"/>
    <w:rsid w:val="76022303"/>
    <w:rsid w:val="760F4A49"/>
    <w:rsid w:val="76653C30"/>
    <w:rsid w:val="76681767"/>
    <w:rsid w:val="76FA0F8A"/>
    <w:rsid w:val="775B37B3"/>
    <w:rsid w:val="776112D4"/>
    <w:rsid w:val="77CE623E"/>
    <w:rsid w:val="77DF1F3C"/>
    <w:rsid w:val="78951BFA"/>
    <w:rsid w:val="78B55D26"/>
    <w:rsid w:val="78C31B1A"/>
    <w:rsid w:val="78C57641"/>
    <w:rsid w:val="78C576F2"/>
    <w:rsid w:val="78C935D5"/>
    <w:rsid w:val="7909223C"/>
    <w:rsid w:val="79A47B9E"/>
    <w:rsid w:val="79A73E9C"/>
    <w:rsid w:val="79CC49FF"/>
    <w:rsid w:val="79EE2C15"/>
    <w:rsid w:val="79FF2E57"/>
    <w:rsid w:val="7A140880"/>
    <w:rsid w:val="7A85177D"/>
    <w:rsid w:val="7A8F43AA"/>
    <w:rsid w:val="7A97325F"/>
    <w:rsid w:val="7B526B73"/>
    <w:rsid w:val="7B8B4B71"/>
    <w:rsid w:val="7B9F061D"/>
    <w:rsid w:val="7BAD42E7"/>
    <w:rsid w:val="7C183F2B"/>
    <w:rsid w:val="7C2A30B3"/>
    <w:rsid w:val="7C67749B"/>
    <w:rsid w:val="7C88585D"/>
    <w:rsid w:val="7C8E4C34"/>
    <w:rsid w:val="7CA875CE"/>
    <w:rsid w:val="7CC82E83"/>
    <w:rsid w:val="7D366C7B"/>
    <w:rsid w:val="7D380D29"/>
    <w:rsid w:val="7D87352C"/>
    <w:rsid w:val="7D957F29"/>
    <w:rsid w:val="7DBA3956"/>
    <w:rsid w:val="7DF804B8"/>
    <w:rsid w:val="7DF956FF"/>
    <w:rsid w:val="7E1C7116"/>
    <w:rsid w:val="7E2B187D"/>
    <w:rsid w:val="7E374F5D"/>
    <w:rsid w:val="7E525E1A"/>
    <w:rsid w:val="7E7044F2"/>
    <w:rsid w:val="7E8A7362"/>
    <w:rsid w:val="7E9C7095"/>
    <w:rsid w:val="7EA87AEB"/>
    <w:rsid w:val="7EED5B43"/>
    <w:rsid w:val="7F1F3D7B"/>
    <w:rsid w:val="7F2D7CEE"/>
    <w:rsid w:val="7F5B0C1E"/>
    <w:rsid w:val="7F60187B"/>
    <w:rsid w:val="7FAE08F2"/>
    <w:rsid w:val="7FF37189"/>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annotation text"/>
    <w:basedOn w:val="1"/>
    <w:link w:val="44"/>
    <w:autoRedefine/>
    <w:qFormat/>
    <w:uiPriority w:val="0"/>
    <w:pPr>
      <w:jc w:val="left"/>
    </w:pPr>
  </w:style>
  <w:style w:type="paragraph" w:styleId="6">
    <w:name w:val="Body Text"/>
    <w:basedOn w:val="1"/>
    <w:autoRedefine/>
    <w:qFormat/>
    <w:uiPriority w:val="0"/>
    <w:pPr>
      <w:spacing w:after="120"/>
    </w:pPr>
    <w:rPr>
      <w:rFonts w:cs="@微软简标宋" w:asciiTheme="minorEastAsia" w:hAnsiTheme="minorEastAsia" w:eastAsiaTheme="minorEastAsia"/>
      <w:szCs w:val="24"/>
    </w:rPr>
  </w:style>
  <w:style w:type="paragraph" w:styleId="7">
    <w:name w:val="Body Text Indent"/>
    <w:basedOn w:val="1"/>
    <w:link w:val="47"/>
    <w:autoRedefine/>
    <w:unhideWhenUsed/>
    <w:qFormat/>
    <w:uiPriority w:val="99"/>
    <w:pPr>
      <w:spacing w:after="120"/>
      <w:ind w:left="420" w:leftChars="200"/>
    </w:pPr>
    <w:rPr>
      <w:rFonts w:ascii="Calibri" w:hAnsi="Calibri"/>
      <w:kern w:val="2"/>
      <w:sz w:val="21"/>
      <w:szCs w:val="22"/>
    </w:rPr>
  </w:style>
  <w:style w:type="paragraph" w:styleId="8">
    <w:name w:val="Plain Text"/>
    <w:basedOn w:val="1"/>
    <w:autoRedefine/>
    <w:qFormat/>
    <w:uiPriority w:val="0"/>
    <w:rPr>
      <w:rFonts w:hAnsi="Courier New"/>
      <w:szCs w:val="22"/>
    </w:rPr>
  </w:style>
  <w:style w:type="paragraph" w:styleId="9">
    <w:name w:val="Date"/>
    <w:basedOn w:val="1"/>
    <w:next w:val="1"/>
    <w:autoRedefine/>
    <w:qFormat/>
    <w:uiPriority w:val="0"/>
    <w:pPr>
      <w:ind w:left="2500" w:leftChars="2500"/>
    </w:pPr>
    <w:rPr>
      <w:rFonts w:ascii="Times New Roman" w:hAnsi="Times New Roman"/>
    </w:rPr>
  </w:style>
  <w:style w:type="paragraph" w:styleId="10">
    <w:name w:val="Balloon Text"/>
    <w:basedOn w:val="1"/>
    <w:link w:val="43"/>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rPr>
      <w:rFonts w:ascii="Arial" w:hAnsi="Arial" w:cs="Arial"/>
      <w:kern w:val="1"/>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7">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8">
    <w:name w:val="annotation subject"/>
    <w:basedOn w:val="5"/>
    <w:next w:val="5"/>
    <w:link w:val="45"/>
    <w:autoRedefine/>
    <w:qFormat/>
    <w:uiPriority w:val="0"/>
    <w:rPr>
      <w:b/>
      <w:bCs/>
    </w:rPr>
  </w:style>
  <w:style w:type="paragraph" w:styleId="19">
    <w:name w:val="Body Text First Indent"/>
    <w:basedOn w:val="6"/>
    <w:autoRedefine/>
    <w:unhideWhenUsed/>
    <w:qFormat/>
    <w:uiPriority w:val="99"/>
    <w:pPr>
      <w:kinsoku w:val="0"/>
      <w:overflowPunct w:val="0"/>
      <w:autoSpaceDE w:val="0"/>
      <w:autoSpaceDN w:val="0"/>
      <w:spacing w:after="0" w:line="360" w:lineRule="auto"/>
      <w:ind w:firstLine="220" w:firstLineChars="100"/>
      <w:jc w:val="left"/>
    </w:pPr>
    <w:rPr>
      <w:rFonts w:cs="宋体"/>
      <w:kern w:val="2"/>
      <w:sz w:val="22"/>
      <w:szCs w:val="22"/>
    </w:rPr>
  </w:style>
  <w:style w:type="paragraph" w:styleId="20">
    <w:name w:val="Body Text First Indent 2"/>
    <w:basedOn w:val="7"/>
    <w:autoRedefine/>
    <w:unhideWhenUsed/>
    <w:qFormat/>
    <w:uiPriority w:val="0"/>
    <w:pPr>
      <w:ind w:firstLine="420" w:firstLineChars="200"/>
    </w:pPr>
  </w:style>
  <w:style w:type="character" w:styleId="23">
    <w:name w:val="Strong"/>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unhideWhenUsed/>
    <w:qFormat/>
    <w:uiPriority w:val="99"/>
    <w:rPr>
      <w:color w:val="0563C1"/>
      <w:u w:val="single"/>
    </w:rPr>
  </w:style>
  <w:style w:type="character" w:styleId="31">
    <w:name w:val="HTML Code"/>
    <w:basedOn w:val="22"/>
    <w:autoRedefine/>
    <w:qFormat/>
    <w:uiPriority w:val="0"/>
    <w:rPr>
      <w:rFonts w:ascii="monospace" w:hAnsi="monospace" w:eastAsia="monospace" w:cs="monospace"/>
      <w:sz w:val="20"/>
    </w:rPr>
  </w:style>
  <w:style w:type="character" w:styleId="32">
    <w:name w:val="annotation reference"/>
    <w:basedOn w:val="22"/>
    <w:autoRedefine/>
    <w:unhideWhenUsed/>
    <w:qFormat/>
    <w:uiPriority w:val="0"/>
    <w:rPr>
      <w:sz w:val="21"/>
      <w:szCs w:val="21"/>
    </w:rPr>
  </w:style>
  <w:style w:type="character" w:styleId="33">
    <w:name w:val="HTML Cite"/>
    <w:basedOn w:val="22"/>
    <w:autoRedefine/>
    <w:qFormat/>
    <w:uiPriority w:val="0"/>
  </w:style>
  <w:style w:type="character" w:styleId="34">
    <w:name w:val="footnote reference"/>
    <w:autoRedefine/>
    <w:unhideWhenUsed/>
    <w:qFormat/>
    <w:uiPriority w:val="0"/>
    <w:rPr>
      <w:vertAlign w:val="superscript"/>
    </w:rPr>
  </w:style>
  <w:style w:type="character" w:styleId="35">
    <w:name w:val="HTML Keyboard"/>
    <w:basedOn w:val="22"/>
    <w:autoRedefine/>
    <w:qFormat/>
    <w:uiPriority w:val="0"/>
    <w:rPr>
      <w:rFonts w:hint="default" w:ascii="monospace" w:hAnsi="monospace" w:eastAsia="monospace" w:cs="monospace"/>
      <w:sz w:val="20"/>
    </w:rPr>
  </w:style>
  <w:style w:type="character" w:styleId="36">
    <w:name w:val="HTML Sample"/>
    <w:basedOn w:val="22"/>
    <w:autoRedefine/>
    <w:qFormat/>
    <w:uiPriority w:val="0"/>
    <w:rPr>
      <w:rFonts w:hint="default" w:ascii="monospace" w:hAnsi="monospace" w:eastAsia="monospace" w:cs="monospace"/>
    </w:rPr>
  </w:style>
  <w:style w:type="paragraph" w:customStyle="1" w:styleId="37">
    <w:name w:val="xl31"/>
    <w:basedOn w:val="1"/>
    <w:autoRedefine/>
    <w:qFormat/>
    <w:uiPriority w:val="0"/>
    <w:pPr>
      <w:spacing w:line="360" w:lineRule="auto"/>
    </w:pPr>
    <w:rPr>
      <w:sz w:val="24"/>
      <w:szCs w:val="28"/>
    </w:rPr>
  </w:style>
  <w:style w:type="paragraph" w:customStyle="1" w:styleId="38">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39">
    <w:name w:val="普通 (Web)"/>
    <w:basedOn w:val="1"/>
    <w:autoRedefine/>
    <w:qFormat/>
    <w:uiPriority w:val="0"/>
    <w:pPr>
      <w:widowControl/>
      <w:spacing w:before="100" w:beforeAutospacing="1" w:after="100" w:afterAutospacing="1"/>
      <w:jc w:val="left"/>
    </w:pPr>
    <w:rPr>
      <w:sz w:val="24"/>
      <w:szCs w:val="24"/>
    </w:rPr>
  </w:style>
  <w:style w:type="paragraph" w:customStyle="1" w:styleId="40">
    <w:name w:val="Table Paragraph"/>
    <w:basedOn w:val="1"/>
    <w:next w:val="1"/>
    <w:autoRedefine/>
    <w:qFormat/>
    <w:uiPriority w:val="1"/>
    <w:rPr>
      <w:rFonts w:cs="宋体"/>
      <w:lang w:val="zh-CN" w:bidi="zh-CN"/>
    </w:rPr>
  </w:style>
  <w:style w:type="table" w:customStyle="1" w:styleId="41">
    <w:name w:val="网格型2"/>
    <w:basedOn w:val="21"/>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List Paragraph"/>
    <w:basedOn w:val="1"/>
    <w:autoRedefine/>
    <w:qFormat/>
    <w:uiPriority w:val="34"/>
    <w:pPr>
      <w:ind w:firstLine="420" w:firstLineChars="200"/>
    </w:pPr>
  </w:style>
  <w:style w:type="character" w:customStyle="1" w:styleId="43">
    <w:name w:val="批注框文本 字符"/>
    <w:basedOn w:val="22"/>
    <w:link w:val="10"/>
    <w:autoRedefine/>
    <w:qFormat/>
    <w:uiPriority w:val="0"/>
    <w:rPr>
      <w:rFonts w:ascii="宋体" w:hAnsi="宋体"/>
      <w:sz w:val="18"/>
      <w:szCs w:val="18"/>
    </w:rPr>
  </w:style>
  <w:style w:type="character" w:customStyle="1" w:styleId="44">
    <w:name w:val="批注文字 字符"/>
    <w:basedOn w:val="22"/>
    <w:link w:val="5"/>
    <w:autoRedefine/>
    <w:qFormat/>
    <w:uiPriority w:val="0"/>
    <w:rPr>
      <w:rFonts w:ascii="宋体" w:hAnsi="宋体"/>
    </w:rPr>
  </w:style>
  <w:style w:type="character" w:customStyle="1" w:styleId="45">
    <w:name w:val="批注主题 字符"/>
    <w:basedOn w:val="44"/>
    <w:link w:val="18"/>
    <w:autoRedefine/>
    <w:qFormat/>
    <w:uiPriority w:val="0"/>
    <w:rPr>
      <w:rFonts w:ascii="宋体" w:hAnsi="宋体"/>
      <w:b/>
      <w:bCs/>
    </w:rPr>
  </w:style>
  <w:style w:type="paragraph" w:customStyle="1" w:styleId="46">
    <w:name w:val="修订1"/>
    <w:autoRedefine/>
    <w:hidden/>
    <w:semiHidden/>
    <w:qFormat/>
    <w:uiPriority w:val="99"/>
    <w:rPr>
      <w:rFonts w:ascii="宋体" w:hAnsi="宋体" w:eastAsia="宋体" w:cs="Times New Roman"/>
      <w:lang w:val="en-US" w:eastAsia="zh-CN" w:bidi="ar-SA"/>
    </w:rPr>
  </w:style>
  <w:style w:type="character" w:customStyle="1" w:styleId="47">
    <w:name w:val="正文文本缩进 字符"/>
    <w:basedOn w:val="22"/>
    <w:link w:val="7"/>
    <w:autoRedefine/>
    <w:qFormat/>
    <w:uiPriority w:val="99"/>
    <w:rPr>
      <w:rFonts w:ascii="Calibri" w:hAnsi="Calibri"/>
      <w:kern w:val="2"/>
      <w:sz w:val="21"/>
      <w:szCs w:val="22"/>
    </w:rPr>
  </w:style>
  <w:style w:type="paragraph" w:customStyle="1" w:styleId="48">
    <w:name w:val="正文格式"/>
    <w:basedOn w:val="1"/>
    <w:autoRedefine/>
    <w:qFormat/>
    <w:uiPriority w:val="0"/>
    <w:rPr>
      <w:sz w:val="28"/>
      <w:szCs w:val="24"/>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391a1e-f15e-4d74-8fc2-1c063bc60512}"/>
        <w:style w:val=""/>
        <w:category>
          <w:name w:val="常规"/>
          <w:gallery w:val="placeholder"/>
        </w:category>
        <w:types>
          <w:type w:val="bbPlcHdr"/>
        </w:types>
        <w:behaviors>
          <w:behavior w:val="content"/>
        </w:behaviors>
        <w:description w:val=""/>
        <w:guid w:val="{01391a1e-f15e-4d74-8fc2-1c063bc6051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116</Pages>
  <Words>56171</Words>
  <Characters>60042</Characters>
  <Lines>1</Lines>
  <Paragraphs>1</Paragraphs>
  <TotalTime>5</TotalTime>
  <ScaleCrop>false</ScaleCrop>
  <LinksUpToDate>false</LinksUpToDate>
  <CharactersWithSpaces>68183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2024-05-06T01:46:00Z</cp:lastPrinted>
  <dcterms:modified xsi:type="dcterms:W3CDTF">2025-01-21T02:45:33Z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878EFE6BAAA54F8391BD5CC709ACCB74_13</vt:lpwstr>
  </property>
</Properties>
</file>