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7DBDDD">
      <w:pPr>
        <w:jc w:val="both"/>
        <w:rPr>
          <w:rFonts w:hint="eastAsia" w:ascii="宋体" w:hAnsi="宋体" w:eastAsia="宋体" w:cs="宋体"/>
          <w:sz w:val="32"/>
          <w:szCs w:val="32"/>
          <w:lang w:val="en-US" w:eastAsia="zh-CN"/>
        </w:rPr>
      </w:pPr>
      <w:r>
        <w:rPr>
          <w:rFonts w:hint="eastAsia" w:ascii="宋体" w:hAnsi="宋体" w:eastAsia="宋体" w:cs="宋体"/>
          <w:sz w:val="32"/>
          <w:szCs w:val="32"/>
          <w:lang w:eastAsia="zh-CN"/>
        </w:rPr>
        <w:t>附件</w:t>
      </w:r>
      <w:r>
        <w:rPr>
          <w:rFonts w:hint="eastAsia" w:ascii="宋体" w:hAnsi="宋体" w:eastAsia="宋体" w:cs="宋体"/>
          <w:sz w:val="32"/>
          <w:szCs w:val="32"/>
          <w:lang w:val="en-US" w:eastAsia="zh-CN"/>
        </w:rPr>
        <w:t>2</w:t>
      </w:r>
    </w:p>
    <w:p w14:paraId="218B9129">
      <w:pPr>
        <w:jc w:val="center"/>
        <w:rPr>
          <w:rFonts w:hint="eastAsia" w:ascii="宋体" w:hAnsi="宋体" w:eastAsia="宋体" w:cs="宋体"/>
        </w:rPr>
      </w:pPr>
      <w:r>
        <w:rPr>
          <w:rFonts w:hint="eastAsia" w:ascii="宋体" w:hAnsi="宋体" w:eastAsia="宋体" w:cs="宋体"/>
          <w:sz w:val="52"/>
          <w:szCs w:val="52"/>
          <w:lang w:eastAsia="zh-CN"/>
        </w:rPr>
        <w:t>服务类</w:t>
      </w:r>
      <w:r>
        <w:rPr>
          <w:rFonts w:hint="eastAsia" w:ascii="宋体" w:hAnsi="宋体" w:eastAsia="宋体" w:cs="宋体"/>
          <w:sz w:val="52"/>
          <w:szCs w:val="52"/>
        </w:rPr>
        <w:t>政府采购项目</w:t>
      </w:r>
      <w:r>
        <w:rPr>
          <w:rFonts w:hint="eastAsia" w:ascii="宋体" w:hAnsi="宋体" w:eastAsia="宋体" w:cs="宋体"/>
          <w:sz w:val="52"/>
          <w:szCs w:val="52"/>
          <w:lang w:eastAsia="zh-CN"/>
        </w:rPr>
        <w:t>采购</w:t>
      </w:r>
      <w:r>
        <w:rPr>
          <w:rFonts w:hint="eastAsia" w:ascii="宋体" w:hAnsi="宋体" w:eastAsia="宋体" w:cs="宋体"/>
          <w:sz w:val="52"/>
          <w:szCs w:val="52"/>
        </w:rPr>
        <w:t>需求表</w:t>
      </w:r>
    </w:p>
    <w:tbl>
      <w:tblPr>
        <w:tblStyle w:val="7"/>
        <w:tblW w:w="54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0"/>
        <w:gridCol w:w="7116"/>
      </w:tblGrid>
      <w:tr w14:paraId="53A5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139" w:type="pct"/>
            <w:noWrap w:val="0"/>
            <w:vAlign w:val="center"/>
          </w:tcPr>
          <w:p w14:paraId="2E611BA9">
            <w:pPr>
              <w:jc w:val="center"/>
              <w:rPr>
                <w:rFonts w:hint="eastAsia" w:ascii="宋体" w:hAnsi="宋体" w:eastAsia="宋体" w:cs="宋体"/>
                <w:b/>
                <w:sz w:val="24"/>
              </w:rPr>
            </w:pPr>
            <w:r>
              <w:rPr>
                <w:rFonts w:hint="eastAsia" w:ascii="宋体" w:hAnsi="宋体" w:eastAsia="宋体" w:cs="宋体"/>
                <w:b/>
                <w:sz w:val="24"/>
              </w:rPr>
              <w:t>项目名称</w:t>
            </w:r>
          </w:p>
        </w:tc>
        <w:tc>
          <w:tcPr>
            <w:tcW w:w="3860" w:type="pct"/>
            <w:noWrap w:val="0"/>
            <w:vAlign w:val="center"/>
          </w:tcPr>
          <w:p w14:paraId="19CC6623">
            <w:pPr>
              <w:autoSpaceDE w:val="0"/>
              <w:autoSpaceDN w:val="0"/>
              <w:adjustRightInd w:val="0"/>
              <w:jc w:val="left"/>
              <w:rPr>
                <w:rFonts w:hint="eastAsia" w:ascii="宋体" w:hAnsi="宋体" w:eastAsia="宋体" w:cs="宋体"/>
                <w:sz w:val="24"/>
                <w:szCs w:val="24"/>
              </w:rPr>
            </w:pPr>
            <w:r>
              <w:rPr>
                <w:rFonts w:hint="eastAsia" w:ascii="宋体" w:hAnsi="宋体" w:eastAsia="宋体" w:cs="宋体"/>
                <w:sz w:val="24"/>
                <w:szCs w:val="24"/>
                <w:lang w:val="en-US" w:eastAsia="zh-CN"/>
              </w:rPr>
              <w:t>花岗镇荟萃园小区重点消防设施功能恢复及消防云服务项目</w:t>
            </w:r>
          </w:p>
        </w:tc>
      </w:tr>
      <w:tr w14:paraId="1A24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39" w:type="pct"/>
            <w:noWrap w:val="0"/>
            <w:vAlign w:val="center"/>
          </w:tcPr>
          <w:p w14:paraId="591BE68B">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采购单位联系人</w:t>
            </w:r>
          </w:p>
          <w:p w14:paraId="08666C4B">
            <w:pPr>
              <w:spacing w:line="360" w:lineRule="auto"/>
              <w:jc w:val="center"/>
              <w:rPr>
                <w:rFonts w:hint="eastAsia" w:ascii="宋体" w:hAnsi="宋体" w:eastAsia="宋体" w:cs="宋体"/>
                <w:b/>
                <w:sz w:val="24"/>
              </w:rPr>
            </w:pPr>
            <w:r>
              <w:rPr>
                <w:rFonts w:hint="eastAsia" w:ascii="宋体" w:hAnsi="宋体" w:eastAsia="宋体" w:cs="宋体"/>
                <w:b/>
                <w:sz w:val="24"/>
                <w:szCs w:val="24"/>
              </w:rPr>
              <w:t>及电话</w:t>
            </w:r>
          </w:p>
        </w:tc>
        <w:tc>
          <w:tcPr>
            <w:tcW w:w="3860" w:type="pct"/>
            <w:noWrap w:val="0"/>
            <w:vAlign w:val="center"/>
          </w:tcPr>
          <w:p w14:paraId="55A7254E">
            <w:pPr>
              <w:autoSpaceDE w:val="0"/>
              <w:autoSpaceDN w:val="0"/>
              <w:adjustRightInd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肥西县花岗镇人民政府</w:t>
            </w:r>
          </w:p>
          <w:p w14:paraId="626970EA">
            <w:pPr>
              <w:autoSpaceDE w:val="0"/>
              <w:autoSpaceDN w:val="0"/>
              <w:adjustRightInd w:val="0"/>
              <w:spacing w:line="360" w:lineRule="auto"/>
              <w:jc w:val="left"/>
              <w:rPr>
                <w:rFonts w:hint="eastAsia" w:ascii="宋体" w:hAnsi="宋体" w:eastAsia="宋体" w:cs="宋体"/>
                <w:sz w:val="24"/>
                <w:szCs w:val="24"/>
                <w:lang w:val="en-US"/>
              </w:rPr>
            </w:pPr>
            <w:r>
              <w:rPr>
                <w:rFonts w:hint="eastAsia" w:ascii="宋体" w:hAnsi="宋体" w:eastAsia="宋体" w:cs="宋体"/>
                <w:sz w:val="24"/>
                <w:szCs w:val="24"/>
                <w:lang w:val="en-US" w:eastAsia="zh-CN"/>
              </w:rPr>
              <w:t>贾金阳 固话：0551-</w:t>
            </w:r>
            <w:r>
              <w:rPr>
                <w:rFonts w:hint="eastAsia" w:ascii="宋体" w:hAnsi="宋体" w:eastAsia="宋体" w:cs="宋体"/>
                <w:sz w:val="24"/>
                <w:szCs w:val="24"/>
                <w:highlight w:val="none"/>
                <w:u w:val="single"/>
                <w:lang w:val="en-US" w:eastAsia="zh-CN"/>
              </w:rPr>
              <w:t>68404355</w:t>
            </w:r>
          </w:p>
        </w:tc>
      </w:tr>
      <w:tr w14:paraId="3A09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9" w:type="pct"/>
            <w:noWrap w:val="0"/>
            <w:vAlign w:val="center"/>
          </w:tcPr>
          <w:p w14:paraId="61F3D5F2">
            <w:pPr>
              <w:spacing w:line="360" w:lineRule="auto"/>
              <w:jc w:val="center"/>
              <w:rPr>
                <w:rFonts w:hint="eastAsia" w:ascii="宋体" w:hAnsi="宋体" w:eastAsia="宋体" w:cs="宋体"/>
                <w:b/>
                <w:sz w:val="24"/>
              </w:rPr>
            </w:pPr>
            <w:r>
              <w:rPr>
                <w:rFonts w:hint="eastAsia" w:ascii="宋体" w:hAnsi="宋体" w:eastAsia="宋体" w:cs="宋体"/>
                <w:b/>
                <w:sz w:val="24"/>
                <w:szCs w:val="24"/>
              </w:rPr>
              <w:t>项目预算</w:t>
            </w:r>
          </w:p>
        </w:tc>
        <w:tc>
          <w:tcPr>
            <w:tcW w:w="3860" w:type="pct"/>
            <w:noWrap w:val="0"/>
            <w:vAlign w:val="center"/>
          </w:tcPr>
          <w:p w14:paraId="385DE115">
            <w:pPr>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不分包项目：</w:t>
            </w:r>
            <w:r>
              <w:rPr>
                <w:rFonts w:hint="eastAsia" w:ascii="宋体" w:hAnsi="宋体" w:eastAsia="宋体" w:cs="宋体"/>
                <w:sz w:val="24"/>
                <w:szCs w:val="24"/>
                <w:u w:val="single"/>
                <w:lang w:val="en-US" w:eastAsia="zh-CN"/>
              </w:rPr>
              <w:t>162</w:t>
            </w:r>
            <w:r>
              <w:rPr>
                <w:rFonts w:hint="eastAsia" w:ascii="宋体" w:hAnsi="宋体" w:eastAsia="宋体" w:cs="宋体"/>
                <w:sz w:val="24"/>
                <w:szCs w:val="24"/>
              </w:rPr>
              <w:t>万元</w:t>
            </w:r>
          </w:p>
        </w:tc>
      </w:tr>
      <w:tr w14:paraId="376D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39" w:type="pct"/>
            <w:noWrap w:val="0"/>
            <w:vAlign w:val="center"/>
          </w:tcPr>
          <w:p w14:paraId="6ADAF3F6">
            <w:pPr>
              <w:spacing w:line="360" w:lineRule="auto"/>
              <w:jc w:val="center"/>
              <w:rPr>
                <w:rFonts w:hint="eastAsia" w:ascii="宋体" w:hAnsi="宋体" w:eastAsia="宋体" w:cs="宋体"/>
                <w:b/>
                <w:sz w:val="24"/>
              </w:rPr>
            </w:pPr>
            <w:r>
              <w:rPr>
                <w:rFonts w:hint="eastAsia" w:ascii="宋体" w:hAnsi="宋体" w:eastAsia="宋体" w:cs="宋体"/>
                <w:b/>
                <w:sz w:val="24"/>
                <w:szCs w:val="24"/>
              </w:rPr>
              <w:t>项目概况</w:t>
            </w:r>
          </w:p>
        </w:tc>
        <w:tc>
          <w:tcPr>
            <w:tcW w:w="3860" w:type="pct"/>
            <w:noWrap w:val="0"/>
            <w:vAlign w:val="center"/>
          </w:tcPr>
          <w:p w14:paraId="56EF235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u w:val="single"/>
              </w:rPr>
            </w:pPr>
            <w:r>
              <w:rPr>
                <w:rFonts w:hint="eastAsia" w:ascii="宋体" w:hAnsi="宋体" w:eastAsia="宋体" w:cs="宋体"/>
                <w:sz w:val="24"/>
                <w:szCs w:val="24"/>
                <w:lang w:val="zh-CN" w:eastAsia="zh-CN"/>
              </w:rPr>
              <w:t>针对目前荟萃园小区消防联动系统问题进行功能恢复，保障消防系统正常运行，配套提供3年消防云服务，</w:t>
            </w:r>
            <w:r>
              <w:rPr>
                <w:rFonts w:hint="eastAsia" w:ascii="宋体" w:hAnsi="宋体" w:eastAsia="宋体" w:cs="宋体"/>
                <w:sz w:val="24"/>
                <w:szCs w:val="24"/>
                <w:lang w:val="en-US" w:eastAsia="zh-CN"/>
              </w:rPr>
              <w:t>具体详见采购需求。</w:t>
            </w:r>
          </w:p>
        </w:tc>
      </w:tr>
      <w:tr w14:paraId="6A46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39" w:type="pct"/>
            <w:noWrap w:val="0"/>
            <w:vAlign w:val="center"/>
          </w:tcPr>
          <w:p w14:paraId="772C7272">
            <w:pPr>
              <w:spacing w:line="360" w:lineRule="auto"/>
              <w:jc w:val="center"/>
              <w:rPr>
                <w:rFonts w:hint="eastAsia" w:ascii="宋体" w:hAnsi="宋体" w:eastAsia="宋体" w:cs="宋体"/>
                <w:b/>
                <w:sz w:val="24"/>
              </w:rPr>
            </w:pPr>
            <w:r>
              <w:rPr>
                <w:rFonts w:hint="eastAsia" w:ascii="宋体" w:hAnsi="宋体" w:eastAsia="宋体" w:cs="宋体"/>
                <w:b/>
                <w:sz w:val="24"/>
                <w:szCs w:val="24"/>
              </w:rPr>
              <w:t>采购方式</w:t>
            </w:r>
          </w:p>
        </w:tc>
        <w:tc>
          <w:tcPr>
            <w:tcW w:w="3860" w:type="pct"/>
            <w:noWrap w:val="0"/>
            <w:vAlign w:val="center"/>
          </w:tcPr>
          <w:p w14:paraId="79632FCC">
            <w:pPr>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竞争性磋商</w:t>
            </w:r>
          </w:p>
        </w:tc>
      </w:tr>
      <w:tr w14:paraId="5869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1139" w:type="pct"/>
            <w:noWrap w:val="0"/>
            <w:vAlign w:val="center"/>
          </w:tcPr>
          <w:p w14:paraId="519A6878">
            <w:pPr>
              <w:spacing w:line="360" w:lineRule="auto"/>
              <w:jc w:val="center"/>
              <w:rPr>
                <w:rFonts w:hint="eastAsia" w:ascii="宋体" w:hAnsi="宋体" w:eastAsia="宋体" w:cs="宋体"/>
                <w:b/>
                <w:sz w:val="24"/>
              </w:rPr>
            </w:pPr>
            <w:r>
              <w:rPr>
                <w:rFonts w:hint="eastAsia" w:ascii="宋体" w:hAnsi="宋体" w:eastAsia="宋体" w:cs="宋体"/>
                <w:b/>
                <w:sz w:val="24"/>
                <w:szCs w:val="24"/>
              </w:rPr>
              <w:t>本项目是否接受联合体投标</w:t>
            </w:r>
          </w:p>
        </w:tc>
        <w:tc>
          <w:tcPr>
            <w:tcW w:w="3860" w:type="pct"/>
            <w:noWrap w:val="0"/>
            <w:vAlign w:val="center"/>
          </w:tcPr>
          <w:p w14:paraId="7098684E">
            <w:pPr>
              <w:autoSpaceDE w:val="0"/>
              <w:autoSpaceDN w:val="0"/>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否</w:t>
            </w:r>
          </w:p>
        </w:tc>
      </w:tr>
      <w:tr w14:paraId="0F50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jc w:val="center"/>
        </w:trPr>
        <w:tc>
          <w:tcPr>
            <w:tcW w:w="1139" w:type="pct"/>
            <w:noWrap w:val="0"/>
            <w:vAlign w:val="center"/>
          </w:tcPr>
          <w:p w14:paraId="608D5823">
            <w:pPr>
              <w:jc w:val="center"/>
              <w:rPr>
                <w:rFonts w:hint="eastAsia" w:ascii="宋体" w:hAnsi="宋体" w:eastAsia="宋体" w:cs="宋体"/>
                <w:b/>
                <w:sz w:val="24"/>
              </w:rPr>
            </w:pPr>
            <w:r>
              <w:rPr>
                <w:rFonts w:hint="eastAsia" w:ascii="宋体" w:hAnsi="宋体" w:eastAsia="宋体" w:cs="宋体"/>
                <w:b/>
                <w:sz w:val="24"/>
                <w:lang w:eastAsia="zh-CN"/>
              </w:rPr>
              <w:t>供应商</w:t>
            </w:r>
            <w:r>
              <w:rPr>
                <w:rFonts w:hint="eastAsia" w:ascii="宋体" w:hAnsi="宋体" w:eastAsia="宋体" w:cs="宋体"/>
                <w:b/>
                <w:sz w:val="24"/>
              </w:rPr>
              <w:t>资格要求</w:t>
            </w:r>
          </w:p>
        </w:tc>
        <w:tc>
          <w:tcPr>
            <w:tcW w:w="3860" w:type="pct"/>
            <w:noWrap w:val="0"/>
            <w:vAlign w:val="center"/>
          </w:tcPr>
          <w:p w14:paraId="50A038D4">
            <w:pPr>
              <w:spacing w:line="360" w:lineRule="auto"/>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786922B9">
            <w:pPr>
              <w:spacing w:line="360" w:lineRule="auto"/>
              <w:rPr>
                <w:rFonts w:hint="eastAsia" w:ascii="宋体" w:hAnsi="宋体" w:eastAsia="宋体" w:cs="宋体"/>
                <w:sz w:val="24"/>
                <w:szCs w:val="24"/>
              </w:rPr>
            </w:pPr>
            <w:r>
              <w:rPr>
                <w:rFonts w:hint="eastAsia" w:ascii="宋体" w:hAnsi="宋体" w:eastAsia="宋体" w:cs="宋体"/>
                <w:sz w:val="24"/>
                <w:szCs w:val="24"/>
              </w:rPr>
              <w:t>2.落实政府采购政策需满足的资格要求：</w:t>
            </w:r>
            <w:r>
              <w:rPr>
                <w:rFonts w:hint="eastAsia" w:ascii="宋体" w:hAnsi="宋体" w:eastAsia="宋体" w:cs="宋体"/>
                <w:b/>
                <w:bCs/>
                <w:sz w:val="24"/>
                <w:szCs w:val="24"/>
                <w:lang w:val="en-US" w:eastAsia="zh-CN"/>
              </w:rPr>
              <w:t>供应商所提供的服务为中小微企业、监狱企业或残疾人福利性单位承接</w:t>
            </w:r>
            <w:r>
              <w:rPr>
                <w:rFonts w:hint="eastAsia" w:ascii="宋体" w:hAnsi="宋体" w:eastAsia="宋体" w:cs="宋体"/>
                <w:sz w:val="24"/>
                <w:szCs w:val="24"/>
                <w:u w:val="none"/>
              </w:rPr>
              <w:t>；</w:t>
            </w:r>
          </w:p>
          <w:p w14:paraId="0FA53C7B">
            <w:pPr>
              <w:pStyle w:val="3"/>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3.本项目的特定资格要求：</w:t>
            </w:r>
            <w:r>
              <w:rPr>
                <w:rFonts w:hint="eastAsia" w:ascii="宋体" w:hAnsi="宋体" w:eastAsia="宋体" w:cs="宋体"/>
                <w:sz w:val="24"/>
                <w:szCs w:val="24"/>
                <w:lang w:val="en-US" w:eastAsia="zh-CN"/>
              </w:rPr>
              <w:t>无。</w:t>
            </w:r>
          </w:p>
        </w:tc>
      </w:tr>
      <w:tr w14:paraId="7E00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139" w:type="pct"/>
            <w:noWrap w:val="0"/>
            <w:vAlign w:val="center"/>
          </w:tcPr>
          <w:p w14:paraId="01E0ECC6">
            <w:pPr>
              <w:jc w:val="center"/>
              <w:rPr>
                <w:rFonts w:hint="eastAsia" w:ascii="宋体" w:hAnsi="宋体" w:eastAsia="宋体" w:cs="宋体"/>
                <w:b/>
                <w:sz w:val="24"/>
              </w:rPr>
            </w:pPr>
            <w:r>
              <w:rPr>
                <w:rFonts w:hint="eastAsia" w:ascii="宋体" w:hAnsi="宋体" w:eastAsia="宋体" w:cs="宋体"/>
                <w:b/>
                <w:sz w:val="24"/>
              </w:rPr>
              <w:t>付款方式</w:t>
            </w:r>
          </w:p>
        </w:tc>
        <w:tc>
          <w:tcPr>
            <w:tcW w:w="3860" w:type="pct"/>
            <w:noWrap w:val="0"/>
            <w:vAlign w:val="center"/>
          </w:tcPr>
          <w:p w14:paraId="32235237">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消防联动系统功能恢复完成并经验收合格后，一次性付清。</w:t>
            </w:r>
          </w:p>
        </w:tc>
      </w:tr>
      <w:tr w14:paraId="12E7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139" w:type="pct"/>
            <w:noWrap w:val="0"/>
            <w:vAlign w:val="center"/>
          </w:tcPr>
          <w:p w14:paraId="15DEC95A">
            <w:pPr>
              <w:jc w:val="center"/>
              <w:rPr>
                <w:rFonts w:hint="eastAsia" w:ascii="宋体" w:hAnsi="宋体" w:eastAsia="宋体" w:cs="宋体"/>
                <w:b/>
                <w:sz w:val="24"/>
              </w:rPr>
            </w:pPr>
            <w:r>
              <w:rPr>
                <w:rFonts w:hint="eastAsia" w:ascii="宋体" w:hAnsi="宋体" w:eastAsia="宋体" w:cs="宋体"/>
                <w:b/>
                <w:sz w:val="24"/>
              </w:rPr>
              <w:t>服务地点</w:t>
            </w:r>
          </w:p>
        </w:tc>
        <w:tc>
          <w:tcPr>
            <w:tcW w:w="3860" w:type="pct"/>
            <w:noWrap w:val="0"/>
            <w:vAlign w:val="center"/>
          </w:tcPr>
          <w:p w14:paraId="21A6BD7A">
            <w:pPr>
              <w:autoSpaceDE w:val="0"/>
              <w:autoSpaceDN w:val="0"/>
              <w:adjustRightInd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花岗镇董岗社区</w:t>
            </w:r>
          </w:p>
        </w:tc>
      </w:tr>
      <w:tr w14:paraId="7861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39" w:type="pct"/>
            <w:noWrap w:val="0"/>
            <w:vAlign w:val="center"/>
          </w:tcPr>
          <w:p w14:paraId="540AD1C0">
            <w:pPr>
              <w:jc w:val="center"/>
              <w:rPr>
                <w:rFonts w:hint="eastAsia" w:ascii="宋体" w:hAnsi="宋体" w:eastAsia="宋体" w:cs="宋体"/>
                <w:b/>
                <w:sz w:val="24"/>
              </w:rPr>
            </w:pPr>
            <w:r>
              <w:rPr>
                <w:rFonts w:hint="eastAsia" w:ascii="宋体" w:hAnsi="宋体" w:eastAsia="宋体" w:cs="宋体"/>
                <w:b/>
                <w:sz w:val="24"/>
              </w:rPr>
              <w:t>服务期限</w:t>
            </w:r>
          </w:p>
        </w:tc>
        <w:tc>
          <w:tcPr>
            <w:tcW w:w="3860" w:type="pct"/>
            <w:noWrap w:val="0"/>
            <w:vAlign w:val="center"/>
          </w:tcPr>
          <w:p w14:paraId="0D648B88">
            <w:pPr>
              <w:pStyle w:val="10"/>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000000"/>
                <w:szCs w:val="22"/>
              </w:rPr>
            </w:pPr>
            <w:r>
              <w:rPr>
                <w:rFonts w:hint="eastAsia" w:ascii="宋体" w:hAnsi="宋体" w:eastAsia="宋体" w:cs="宋体"/>
                <w:color w:val="000000"/>
                <w:szCs w:val="22"/>
              </w:rPr>
              <w:t>①消防联动系统功能恢复：</w:t>
            </w:r>
            <w:r>
              <w:rPr>
                <w:rFonts w:hint="eastAsia" w:ascii="宋体" w:hAnsi="宋体" w:eastAsia="宋体" w:cs="宋体"/>
                <w:color w:val="000000"/>
                <w:szCs w:val="22"/>
                <w:lang w:val="en-US" w:eastAsia="zh-CN"/>
              </w:rPr>
              <w:t>合</w:t>
            </w:r>
            <w:r>
              <w:rPr>
                <w:rFonts w:hint="eastAsia" w:ascii="宋体" w:hAnsi="宋体" w:eastAsia="宋体" w:cs="宋体"/>
                <w:color w:val="000000"/>
                <w:szCs w:val="22"/>
                <w:highlight w:val="none"/>
                <w:lang w:val="en-US" w:eastAsia="zh-CN"/>
              </w:rPr>
              <w:t>同签订后</w:t>
            </w:r>
            <w:r>
              <w:rPr>
                <w:rFonts w:hint="eastAsia" w:eastAsia="宋体" w:cs="宋体"/>
                <w:color w:val="000000"/>
                <w:szCs w:val="22"/>
                <w:highlight w:val="none"/>
                <w:lang w:val="en-US" w:eastAsia="zh-CN"/>
              </w:rPr>
              <w:t>至2026年12月31日前</w:t>
            </w:r>
            <w:r>
              <w:rPr>
                <w:rFonts w:hint="eastAsia" w:ascii="宋体" w:hAnsi="宋体" w:eastAsia="宋体" w:cs="宋体"/>
                <w:color w:val="000000"/>
                <w:szCs w:val="22"/>
                <w:highlight w:val="none"/>
                <w:lang w:val="en-US" w:eastAsia="zh-CN"/>
              </w:rPr>
              <w:t>，成交供应商完成项目要求的消防联动系统功能恢复并通过验收，正式进入</w:t>
            </w:r>
            <w:r>
              <w:rPr>
                <w:rFonts w:hint="eastAsia" w:ascii="宋体" w:hAnsi="宋体" w:eastAsia="宋体" w:cs="宋体"/>
                <w:color w:val="000000"/>
                <w:kern w:val="2"/>
                <w:sz w:val="24"/>
                <w:szCs w:val="22"/>
                <w:lang w:val="en-US" w:eastAsia="zh-CN" w:bidi="ar-SA"/>
              </w:rPr>
              <w:t>消防云服务</w:t>
            </w:r>
            <w:r>
              <w:rPr>
                <w:rFonts w:hint="eastAsia" w:ascii="宋体" w:hAnsi="宋体" w:eastAsia="宋体" w:cs="宋体"/>
                <w:color w:val="000000"/>
                <w:szCs w:val="22"/>
                <w:highlight w:val="none"/>
                <w:lang w:val="en-US" w:eastAsia="zh-CN"/>
              </w:rPr>
              <w:t>期</w:t>
            </w:r>
            <w:r>
              <w:rPr>
                <w:rFonts w:hint="eastAsia" w:ascii="宋体" w:hAnsi="宋体" w:eastAsia="宋体" w:cs="宋体"/>
                <w:color w:val="000000"/>
                <w:szCs w:val="22"/>
                <w:highlight w:val="none"/>
              </w:rPr>
              <w:t>，</w:t>
            </w:r>
            <w:r>
              <w:rPr>
                <w:rFonts w:hint="eastAsia" w:ascii="宋体" w:hAnsi="宋体" w:eastAsia="宋体" w:cs="宋体"/>
                <w:color w:val="000000"/>
                <w:szCs w:val="22"/>
                <w:highlight w:val="none"/>
                <w:lang w:val="en-US" w:eastAsia="zh-CN"/>
              </w:rPr>
              <w:t>本次系统恢复施工及配套设备自验收合格之日起</w:t>
            </w:r>
            <w:r>
              <w:rPr>
                <w:rFonts w:hint="eastAsia" w:ascii="宋体" w:hAnsi="宋体" w:eastAsia="宋体" w:cs="宋体"/>
                <w:color w:val="000000"/>
                <w:szCs w:val="22"/>
                <w:highlight w:val="none"/>
              </w:rPr>
              <w:t>质保1年</w:t>
            </w:r>
            <w:r>
              <w:rPr>
                <w:rFonts w:hint="eastAsia" w:ascii="宋体" w:hAnsi="宋体" w:eastAsia="宋体" w:cs="宋体"/>
                <w:color w:val="000000"/>
                <w:szCs w:val="22"/>
                <w:lang w:eastAsia="zh-CN"/>
              </w:rPr>
              <w:t>；</w:t>
            </w:r>
            <w:r>
              <w:rPr>
                <w:rFonts w:hint="eastAsia" w:ascii="宋体" w:hAnsi="宋体" w:eastAsia="宋体" w:cs="宋体"/>
                <w:color w:val="000000"/>
                <w:szCs w:val="22"/>
              </w:rPr>
              <w:t xml:space="preserve"> </w:t>
            </w:r>
          </w:p>
          <w:p w14:paraId="7C9A0058">
            <w:pPr>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color w:val="000000"/>
                <w:kern w:val="2"/>
                <w:sz w:val="24"/>
                <w:szCs w:val="22"/>
                <w:lang w:val="en-US" w:eastAsia="zh-CN" w:bidi="ar-SA"/>
              </w:rPr>
              <w:t>②消防云服务：</w:t>
            </w:r>
            <w:r>
              <w:rPr>
                <w:rFonts w:hint="eastAsia" w:ascii="宋体" w:hAnsi="宋体" w:eastAsia="宋体" w:cs="宋体"/>
                <w:color w:val="000000"/>
                <w:kern w:val="2"/>
                <w:sz w:val="24"/>
                <w:szCs w:val="22"/>
                <w:highlight w:val="none"/>
                <w:lang w:val="en-US" w:eastAsia="zh-CN" w:bidi="ar-SA"/>
              </w:rPr>
              <w:t>自消防联动系统功能恢复并通过验收</w:t>
            </w:r>
            <w:r>
              <w:rPr>
                <w:rFonts w:hint="eastAsia" w:ascii="宋体" w:hAnsi="宋体" w:cs="宋体"/>
                <w:color w:val="000000"/>
                <w:kern w:val="2"/>
                <w:sz w:val="24"/>
                <w:szCs w:val="22"/>
                <w:highlight w:val="none"/>
                <w:lang w:val="en-US" w:eastAsia="zh-CN" w:bidi="ar-SA"/>
              </w:rPr>
              <w:t>之日起</w:t>
            </w:r>
            <w:r>
              <w:rPr>
                <w:rFonts w:hint="eastAsia" w:ascii="宋体" w:hAnsi="宋体" w:eastAsia="宋体" w:cs="宋体"/>
                <w:color w:val="000000"/>
                <w:kern w:val="2"/>
                <w:sz w:val="24"/>
                <w:szCs w:val="22"/>
                <w:highlight w:val="none"/>
                <w:lang w:val="en-US" w:eastAsia="zh-CN" w:bidi="ar-SA"/>
              </w:rPr>
              <w:t>3年。</w:t>
            </w:r>
          </w:p>
        </w:tc>
      </w:tr>
      <w:tr w14:paraId="0A64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39" w:type="pct"/>
            <w:noWrap w:val="0"/>
            <w:vAlign w:val="center"/>
          </w:tcPr>
          <w:p w14:paraId="40319794">
            <w:pPr>
              <w:spacing w:line="360" w:lineRule="auto"/>
              <w:jc w:val="center"/>
              <w:rPr>
                <w:rFonts w:hint="eastAsia" w:ascii="宋体" w:hAnsi="宋体" w:eastAsia="宋体" w:cs="宋体"/>
                <w:b/>
                <w:sz w:val="24"/>
              </w:rPr>
            </w:pPr>
            <w:r>
              <w:rPr>
                <w:rFonts w:hint="eastAsia" w:ascii="宋体" w:hAnsi="宋体" w:eastAsia="宋体" w:cs="宋体"/>
                <w:b/>
                <w:sz w:val="24"/>
                <w:szCs w:val="24"/>
              </w:rPr>
              <w:t>是否专门面向中小企业采购</w:t>
            </w:r>
          </w:p>
        </w:tc>
        <w:tc>
          <w:tcPr>
            <w:tcW w:w="3860" w:type="pct"/>
            <w:noWrap w:val="0"/>
            <w:vAlign w:val="center"/>
          </w:tcPr>
          <w:p w14:paraId="71B8BD4B">
            <w:pPr>
              <w:spacing w:line="360" w:lineRule="auto"/>
              <w:rPr>
                <w:rFonts w:hint="eastAsia" w:ascii="宋体" w:hAnsi="宋体" w:eastAsia="宋体" w:cs="宋体"/>
                <w:sz w:val="24"/>
                <w:szCs w:val="24"/>
              </w:rPr>
            </w:pPr>
            <w:r>
              <w:rPr>
                <w:rFonts w:hint="eastAsia" w:ascii="宋体" w:hAnsi="宋体" w:eastAsia="宋体" w:cs="宋体"/>
                <w:sz w:val="24"/>
                <w:szCs w:val="24"/>
              </w:rPr>
              <w:t>是</w:t>
            </w:r>
          </w:p>
        </w:tc>
      </w:tr>
      <w:tr w14:paraId="7E622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39" w:type="pct"/>
            <w:noWrap w:val="0"/>
            <w:vAlign w:val="center"/>
          </w:tcPr>
          <w:p w14:paraId="08B1726F">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预留中小企业份额占比</w:t>
            </w:r>
          </w:p>
        </w:tc>
        <w:tc>
          <w:tcPr>
            <w:tcW w:w="3860" w:type="pct"/>
            <w:noWrap w:val="0"/>
            <w:vAlign w:val="center"/>
          </w:tcPr>
          <w:p w14:paraId="784F2DF6">
            <w:pPr>
              <w:spacing w:line="360" w:lineRule="auto"/>
              <w:rPr>
                <w:rFonts w:hint="eastAsia" w:ascii="宋体" w:hAnsi="宋体" w:eastAsia="宋体" w:cs="宋体"/>
                <w:sz w:val="24"/>
                <w:szCs w:val="24"/>
              </w:rPr>
            </w:pPr>
            <w:r>
              <w:rPr>
                <w:rFonts w:hint="eastAsia" w:ascii="宋体" w:hAnsi="宋体" w:eastAsia="宋体" w:cs="宋体"/>
                <w:sz w:val="24"/>
                <w:szCs w:val="24"/>
              </w:rPr>
              <w:t>全部预留</w:t>
            </w:r>
          </w:p>
        </w:tc>
      </w:tr>
      <w:tr w14:paraId="230E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39" w:type="pct"/>
            <w:noWrap w:val="0"/>
            <w:vAlign w:val="center"/>
          </w:tcPr>
          <w:p w14:paraId="6167FF88">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主要标的所属行业</w:t>
            </w:r>
          </w:p>
        </w:tc>
        <w:tc>
          <w:tcPr>
            <w:tcW w:w="3860" w:type="pct"/>
            <w:noWrap w:val="0"/>
            <w:vAlign w:val="center"/>
          </w:tcPr>
          <w:p w14:paraId="3F71439C">
            <w:pPr>
              <w:autoSpaceDE w:val="0"/>
              <w:autoSpaceDN w:val="0"/>
              <w:adjustRightInd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其他未列明行业</w:t>
            </w:r>
          </w:p>
        </w:tc>
      </w:tr>
      <w:tr w14:paraId="05A31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139" w:type="pct"/>
            <w:noWrap w:val="0"/>
            <w:vAlign w:val="center"/>
          </w:tcPr>
          <w:p w14:paraId="2763AACA">
            <w:pPr>
              <w:jc w:val="center"/>
              <w:rPr>
                <w:rFonts w:hint="eastAsia" w:ascii="宋体" w:hAnsi="宋体" w:eastAsia="宋体" w:cs="宋体"/>
                <w:b/>
                <w:sz w:val="24"/>
              </w:rPr>
            </w:pPr>
            <w:r>
              <w:rPr>
                <w:rFonts w:hint="eastAsia" w:ascii="宋体" w:hAnsi="宋体" w:eastAsia="宋体" w:cs="宋体"/>
                <w:b/>
                <w:sz w:val="24"/>
              </w:rPr>
              <w:t>拟采用的评标办法</w:t>
            </w:r>
          </w:p>
        </w:tc>
        <w:tc>
          <w:tcPr>
            <w:tcW w:w="3860" w:type="pct"/>
            <w:noWrap w:val="0"/>
            <w:vAlign w:val="center"/>
          </w:tcPr>
          <w:p w14:paraId="5D1A0334">
            <w:pPr>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综合评分法（分值设置：技术分</w:t>
            </w:r>
            <w:r>
              <w:rPr>
                <w:rFonts w:hint="eastAsia" w:ascii="宋体" w:hAnsi="宋体" w:eastAsia="宋体" w:cs="宋体"/>
                <w:sz w:val="24"/>
                <w:szCs w:val="24"/>
                <w:u w:val="single"/>
                <w:lang w:val="en-US" w:eastAsia="zh-CN"/>
              </w:rPr>
              <w:t>90</w:t>
            </w:r>
            <w:r>
              <w:rPr>
                <w:rFonts w:hint="eastAsia" w:ascii="宋体" w:hAnsi="宋体" w:eastAsia="宋体" w:cs="宋体"/>
                <w:sz w:val="24"/>
                <w:szCs w:val="24"/>
              </w:rPr>
              <w:t>分，价格分</w:t>
            </w:r>
            <w:r>
              <w:rPr>
                <w:rFonts w:hint="eastAsia" w:ascii="宋体" w:hAnsi="宋体" w:eastAsia="宋体" w:cs="宋体"/>
                <w:sz w:val="24"/>
                <w:szCs w:val="24"/>
                <w:u w:val="single"/>
                <w:lang w:val="en-US" w:eastAsia="zh-CN"/>
              </w:rPr>
              <w:t>10</w:t>
            </w:r>
            <w:r>
              <w:rPr>
                <w:rFonts w:hint="eastAsia" w:ascii="宋体" w:hAnsi="宋体" w:eastAsia="宋体" w:cs="宋体"/>
                <w:sz w:val="24"/>
                <w:szCs w:val="24"/>
              </w:rPr>
              <w:t>分）</w:t>
            </w:r>
          </w:p>
        </w:tc>
      </w:tr>
      <w:tr w14:paraId="7FBE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100" w:type="dxa"/>
            <w:noWrap w:val="0"/>
            <w:vAlign w:val="center"/>
          </w:tcPr>
          <w:p w14:paraId="01B2816A">
            <w:pPr>
              <w:snapToGrid w:val="0"/>
              <w:spacing w:line="360" w:lineRule="auto"/>
              <w:jc w:val="center"/>
              <w:rPr>
                <w:rFonts w:hint="eastAsia" w:ascii="宋体" w:hAnsi="宋体" w:eastAsia="宋体" w:cs="宋体"/>
                <w:b/>
                <w:sz w:val="24"/>
              </w:rPr>
            </w:pPr>
            <w:r>
              <w:rPr>
                <w:rStyle w:val="14"/>
                <w:rFonts w:ascii="宋体" w:hAnsi="宋体"/>
                <w:b/>
                <w:bCs/>
                <w:color w:val="auto"/>
                <w:sz w:val="24"/>
              </w:rPr>
              <w:t>标前公示反馈截止时间</w:t>
            </w:r>
          </w:p>
        </w:tc>
        <w:tc>
          <w:tcPr>
            <w:tcW w:w="7116" w:type="dxa"/>
            <w:noWrap w:val="0"/>
            <w:vAlign w:val="center"/>
          </w:tcPr>
          <w:p w14:paraId="0267E026">
            <w:pPr>
              <w:snapToGrid w:val="0"/>
              <w:spacing w:line="360" w:lineRule="auto"/>
              <w:jc w:val="left"/>
              <w:rPr>
                <w:rFonts w:hint="eastAsia" w:ascii="宋体" w:hAnsi="宋体" w:eastAsia="宋体" w:cs="宋体"/>
                <w:sz w:val="24"/>
                <w:szCs w:val="24"/>
              </w:rPr>
            </w:pPr>
            <w:r>
              <w:rPr>
                <w:rStyle w:val="14"/>
                <w:rFonts w:ascii="宋体" w:hAnsi="宋体"/>
                <w:b/>
                <w:color w:val="auto"/>
                <w:sz w:val="24"/>
              </w:rPr>
              <w:t>202</w:t>
            </w:r>
            <w:r>
              <w:rPr>
                <w:rStyle w:val="14"/>
                <w:rFonts w:hint="eastAsia" w:ascii="宋体" w:hAnsi="宋体"/>
                <w:b/>
                <w:color w:val="auto"/>
                <w:sz w:val="24"/>
                <w:lang w:val="en-US"/>
              </w:rPr>
              <w:t>6</w:t>
            </w:r>
            <w:r>
              <w:rPr>
                <w:rStyle w:val="14"/>
                <w:rFonts w:ascii="宋体" w:hAnsi="宋体"/>
                <w:b/>
                <w:color w:val="auto"/>
                <w:sz w:val="24"/>
              </w:rPr>
              <w:t>年</w:t>
            </w:r>
            <w:r>
              <w:rPr>
                <w:rStyle w:val="14"/>
                <w:rFonts w:hint="eastAsia" w:ascii="宋体" w:hAnsi="宋体"/>
                <w:b/>
                <w:color w:val="auto"/>
                <w:sz w:val="24"/>
                <w:lang w:val="en-US"/>
              </w:rPr>
              <w:t>10</w:t>
            </w:r>
            <w:r>
              <w:rPr>
                <w:rStyle w:val="14"/>
                <w:rFonts w:ascii="宋体" w:hAnsi="宋体"/>
                <w:b/>
                <w:color w:val="auto"/>
                <w:sz w:val="24"/>
              </w:rPr>
              <w:t>月</w:t>
            </w:r>
            <w:r>
              <w:rPr>
                <w:rStyle w:val="14"/>
                <w:rFonts w:hint="eastAsia" w:ascii="宋体" w:hAnsi="宋体"/>
                <w:b/>
                <w:color w:val="auto"/>
                <w:sz w:val="24"/>
                <w:lang w:val="en-US"/>
              </w:rPr>
              <w:t>26</w:t>
            </w:r>
            <w:r>
              <w:rPr>
                <w:rStyle w:val="14"/>
                <w:rFonts w:ascii="宋体" w:hAnsi="宋体"/>
                <w:b/>
                <w:color w:val="auto"/>
                <w:sz w:val="24"/>
              </w:rPr>
              <w:t>日17</w:t>
            </w:r>
            <w:r>
              <w:rPr>
                <w:rStyle w:val="14"/>
                <w:rFonts w:hint="eastAsia" w:ascii="宋体" w:hAnsi="宋体"/>
                <w:b/>
                <w:color w:val="auto"/>
                <w:sz w:val="24"/>
              </w:rPr>
              <w:t>：</w:t>
            </w:r>
            <w:r>
              <w:rPr>
                <w:rStyle w:val="14"/>
                <w:rFonts w:ascii="宋体" w:hAnsi="宋体"/>
                <w:b/>
                <w:color w:val="auto"/>
                <w:sz w:val="24"/>
              </w:rPr>
              <w:t>30前（超过规定时间的视同放弃）</w:t>
            </w:r>
          </w:p>
        </w:tc>
      </w:tr>
    </w:tbl>
    <w:p w14:paraId="657B3E1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项目概况</w:t>
      </w:r>
    </w:p>
    <w:p w14:paraId="68A6582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color w:val="000000"/>
          <w:sz w:val="24"/>
          <w:szCs w:val="24"/>
          <w:lang w:eastAsia="zh-CN"/>
        </w:rPr>
        <w:t>荟萃园</w:t>
      </w:r>
      <w:r>
        <w:rPr>
          <w:rFonts w:hint="eastAsia" w:ascii="宋体" w:hAnsi="宋体" w:eastAsia="宋体" w:cs="宋体"/>
          <w:color w:val="000000"/>
          <w:sz w:val="24"/>
          <w:szCs w:val="24"/>
        </w:rPr>
        <w:t>小区坐落于安徽省合肥市肥西县花岗镇董岗</w:t>
      </w:r>
      <w:r>
        <w:rPr>
          <w:rFonts w:hint="eastAsia" w:ascii="宋体" w:hAnsi="宋体" w:eastAsia="宋体" w:cs="宋体"/>
          <w:color w:val="000000"/>
          <w:sz w:val="24"/>
          <w:szCs w:val="24"/>
          <w:lang w:val="en-US" w:eastAsia="zh-CN"/>
        </w:rPr>
        <w:t>社区</w:t>
      </w:r>
      <w:r>
        <w:rPr>
          <w:rFonts w:hint="eastAsia" w:ascii="宋体" w:hAnsi="宋体" w:eastAsia="宋体" w:cs="宋体"/>
          <w:color w:val="000000"/>
          <w:sz w:val="24"/>
          <w:szCs w:val="24"/>
        </w:rPr>
        <w:t>，小区规模较大、建筑类型多元，共包含住宅楼23栋、商业楼19栋、办公楼1栋，涵盖居住、商业、办公等多种功能场景，人员流动相对密集，消防管理难度较大，其消防安全状况直接关系到小区全体居民及使用者的生命财产安全，也影响着区域消防安全整体形势。</w:t>
      </w:r>
    </w:p>
    <w:p w14:paraId="02830F6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zh-CN" w:eastAsia="zh-CN"/>
        </w:rPr>
        <w:t>针对目前荟萃园小区消防联动系统问题进行功能恢复，保障消防系统正常运行，配套提供3年消防云服务。</w:t>
      </w:r>
    </w:p>
    <w:p w14:paraId="68BF9DB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服务需求</w:t>
      </w:r>
    </w:p>
    <w:p w14:paraId="50A7E09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4"/>
          <w:szCs w:val="24"/>
          <w:lang w:val="en-US" w:eastAsia="zh-CN"/>
        </w:rPr>
        <w:t>（一）重点消防设施功能恢复</w:t>
      </w:r>
    </w:p>
    <w:p w14:paraId="51B3D9D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000000"/>
          <w:sz w:val="24"/>
          <w:szCs w:val="22"/>
        </w:rPr>
      </w:pPr>
      <w:r>
        <w:rPr>
          <w:rFonts w:hint="eastAsia" w:ascii="宋体" w:hAnsi="宋体" w:eastAsia="宋体" w:cs="宋体"/>
          <w:color w:val="000000"/>
          <w:sz w:val="24"/>
          <w:szCs w:val="22"/>
          <w:highlight w:val="none"/>
          <w:lang w:val="en-US" w:eastAsia="zh-CN"/>
        </w:rPr>
        <w:t>供应商</w:t>
      </w:r>
      <w:r>
        <w:rPr>
          <w:rFonts w:hint="eastAsia" w:ascii="宋体" w:hAnsi="宋体" w:eastAsia="宋体" w:cs="宋体"/>
          <w:color w:val="000000"/>
          <w:sz w:val="24"/>
          <w:szCs w:val="22"/>
          <w:lang w:val="en-US" w:eastAsia="zh-CN"/>
        </w:rPr>
        <w:t>需严格依据《消防设施通用规范》（GB 55036-2022）及相关技术标准，对荟萃园小区内的</w:t>
      </w:r>
      <w:r>
        <w:rPr>
          <w:rFonts w:hint="eastAsia" w:ascii="宋体" w:hAnsi="宋体" w:eastAsia="宋体" w:cs="宋体"/>
          <w:color w:val="000000"/>
          <w:sz w:val="24"/>
          <w:szCs w:val="22"/>
        </w:rPr>
        <w:t>火灾自动报警系统、联动控制系统、消防电话总机、应急广播系统</w:t>
      </w:r>
      <w:r>
        <w:rPr>
          <w:rFonts w:hint="eastAsia" w:ascii="宋体" w:hAnsi="宋体" w:eastAsia="宋体" w:cs="宋体"/>
          <w:color w:val="000000"/>
          <w:sz w:val="24"/>
          <w:szCs w:val="22"/>
          <w:lang w:val="en-US" w:eastAsia="zh-CN"/>
        </w:rPr>
        <w:t>等重点消防设施进行全面故障排查与功能恢复，并完成消防系统联动测试，确保系统完全恢复准工作状态</w:t>
      </w:r>
      <w:r>
        <w:rPr>
          <w:rFonts w:hint="eastAsia" w:ascii="宋体" w:hAnsi="宋体" w:eastAsia="宋体" w:cs="宋体"/>
          <w:color w:val="000000"/>
          <w:sz w:val="24"/>
          <w:szCs w:val="22"/>
        </w:rPr>
        <w:t>。</w:t>
      </w:r>
    </w:p>
    <w:p w14:paraId="79C90BE5">
      <w:pPr>
        <w:pStyle w:val="10"/>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color w:val="000000"/>
          <w:szCs w:val="22"/>
        </w:rPr>
      </w:pPr>
      <w:r>
        <w:rPr>
          <w:rFonts w:hint="eastAsia" w:eastAsia="宋体" w:cs="宋体"/>
          <w:b/>
          <w:bCs/>
          <w:color w:val="000000"/>
          <w:szCs w:val="22"/>
          <w:lang w:val="en-US" w:eastAsia="zh-CN"/>
        </w:rPr>
        <w:t>功能恢复清单</w:t>
      </w:r>
      <w:r>
        <w:rPr>
          <w:rFonts w:hint="eastAsia" w:ascii="宋体" w:hAnsi="宋体" w:eastAsia="宋体" w:cs="宋体"/>
          <w:b/>
          <w:bCs/>
          <w:color w:val="000000"/>
          <w:szCs w:val="22"/>
        </w:rPr>
        <w:t>如下：</w:t>
      </w:r>
    </w:p>
    <w:tbl>
      <w:tblPr>
        <w:tblStyle w:val="7"/>
        <w:tblW w:w="49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2119"/>
        <w:gridCol w:w="3350"/>
        <w:gridCol w:w="1034"/>
        <w:gridCol w:w="771"/>
      </w:tblGrid>
      <w:tr w14:paraId="6AC5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000000" w:fill="FFFFFF"/>
            <w:vAlign w:val="center"/>
          </w:tcPr>
          <w:p w14:paraId="2FA59B1D">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序号</w:t>
            </w:r>
          </w:p>
        </w:tc>
        <w:tc>
          <w:tcPr>
            <w:tcW w:w="1267" w:type="pct"/>
            <w:tcBorders>
              <w:tl2br w:val="nil"/>
              <w:tr2bl w:val="nil"/>
            </w:tcBorders>
            <w:shd w:val="clear" w:color="000000" w:fill="FFFFFF"/>
            <w:vAlign w:val="center"/>
          </w:tcPr>
          <w:p w14:paraId="0B6213AB">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lang w:eastAsia="zh-CN"/>
              </w:rPr>
              <w:t>功能恢复</w:t>
            </w:r>
            <w:r>
              <w:rPr>
                <w:rFonts w:hint="eastAsia" w:ascii="宋体" w:hAnsi="宋体" w:eastAsia="宋体" w:cs="宋体"/>
              </w:rPr>
              <w:t>项目</w:t>
            </w:r>
          </w:p>
        </w:tc>
        <w:tc>
          <w:tcPr>
            <w:tcW w:w="2003" w:type="pct"/>
            <w:tcBorders>
              <w:tl2br w:val="nil"/>
              <w:tr2bl w:val="nil"/>
            </w:tcBorders>
            <w:shd w:val="clear" w:color="000000" w:fill="FFFFFF"/>
            <w:vAlign w:val="center"/>
          </w:tcPr>
          <w:p w14:paraId="631A09D2">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技术规格</w:t>
            </w:r>
          </w:p>
        </w:tc>
        <w:tc>
          <w:tcPr>
            <w:tcW w:w="618" w:type="pct"/>
            <w:tcBorders>
              <w:tl2br w:val="nil"/>
              <w:tr2bl w:val="nil"/>
            </w:tcBorders>
            <w:shd w:val="clear" w:color="000000" w:fill="FFFFFF"/>
            <w:vAlign w:val="center"/>
          </w:tcPr>
          <w:p w14:paraId="627C8CCF">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单位</w:t>
            </w:r>
          </w:p>
        </w:tc>
        <w:tc>
          <w:tcPr>
            <w:tcW w:w="461" w:type="pct"/>
            <w:tcBorders>
              <w:tl2br w:val="nil"/>
              <w:tr2bl w:val="nil"/>
            </w:tcBorders>
            <w:shd w:val="clear" w:color="000000" w:fill="FFFFFF"/>
            <w:vAlign w:val="center"/>
          </w:tcPr>
          <w:p w14:paraId="65FDE294">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数量</w:t>
            </w:r>
          </w:p>
        </w:tc>
      </w:tr>
      <w:tr w14:paraId="7F18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0E8F19C8">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1</w:t>
            </w:r>
          </w:p>
        </w:tc>
        <w:tc>
          <w:tcPr>
            <w:tcW w:w="1267" w:type="pct"/>
            <w:tcBorders>
              <w:tl2br w:val="nil"/>
              <w:tr2bl w:val="nil"/>
            </w:tcBorders>
            <w:shd w:val="clear" w:color="auto" w:fill="auto"/>
            <w:vAlign w:val="center"/>
          </w:tcPr>
          <w:p w14:paraId="0BB0B063">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图形显示装置CRT制图</w:t>
            </w:r>
          </w:p>
        </w:tc>
        <w:tc>
          <w:tcPr>
            <w:tcW w:w="2003" w:type="pct"/>
            <w:tcBorders>
              <w:tl2br w:val="nil"/>
              <w:tr2bl w:val="nil"/>
            </w:tcBorders>
            <w:shd w:val="clear" w:color="auto" w:fill="auto"/>
            <w:vAlign w:val="center"/>
          </w:tcPr>
          <w:p w14:paraId="1DA43FF1">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图形显示装置CRT制图（43栋建筑的CRT图纸编制）</w:t>
            </w:r>
          </w:p>
        </w:tc>
        <w:tc>
          <w:tcPr>
            <w:tcW w:w="618" w:type="pct"/>
            <w:tcBorders>
              <w:tl2br w:val="nil"/>
              <w:tr2bl w:val="nil"/>
            </w:tcBorders>
            <w:shd w:val="clear" w:color="auto" w:fill="auto"/>
            <w:vAlign w:val="center"/>
          </w:tcPr>
          <w:p w14:paraId="19B95AAC">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工日</w:t>
            </w:r>
          </w:p>
        </w:tc>
        <w:tc>
          <w:tcPr>
            <w:tcW w:w="461" w:type="pct"/>
            <w:tcBorders>
              <w:tl2br w:val="nil"/>
              <w:tr2bl w:val="nil"/>
            </w:tcBorders>
            <w:shd w:val="clear" w:color="auto" w:fill="auto"/>
            <w:vAlign w:val="center"/>
          </w:tcPr>
          <w:p w14:paraId="349ACC81">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5</w:t>
            </w:r>
          </w:p>
        </w:tc>
      </w:tr>
      <w:tr w14:paraId="2BE8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53D8AE9F">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2</w:t>
            </w:r>
          </w:p>
        </w:tc>
        <w:tc>
          <w:tcPr>
            <w:tcW w:w="1267" w:type="pct"/>
            <w:tcBorders>
              <w:tl2br w:val="nil"/>
              <w:tr2bl w:val="nil"/>
            </w:tcBorders>
            <w:shd w:val="clear" w:color="auto" w:fill="auto"/>
            <w:vAlign w:val="center"/>
          </w:tcPr>
          <w:p w14:paraId="5617994A">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通讯板拆除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2003" w:type="pct"/>
            <w:tcBorders>
              <w:tl2br w:val="nil"/>
              <w:tr2bl w:val="nil"/>
            </w:tcBorders>
            <w:shd w:val="clear" w:color="auto" w:fill="auto"/>
            <w:vAlign w:val="center"/>
          </w:tcPr>
          <w:p w14:paraId="2F39CD26">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通讯板拆除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618" w:type="pct"/>
            <w:tcBorders>
              <w:tl2br w:val="nil"/>
              <w:tr2bl w:val="nil"/>
            </w:tcBorders>
            <w:shd w:val="clear" w:color="auto" w:fill="auto"/>
            <w:vAlign w:val="center"/>
          </w:tcPr>
          <w:p w14:paraId="325946E9">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个</w:t>
            </w:r>
          </w:p>
        </w:tc>
        <w:tc>
          <w:tcPr>
            <w:tcW w:w="461" w:type="pct"/>
            <w:tcBorders>
              <w:tl2br w:val="nil"/>
              <w:tr2bl w:val="nil"/>
            </w:tcBorders>
            <w:shd w:val="clear" w:color="auto" w:fill="auto"/>
            <w:vAlign w:val="center"/>
          </w:tcPr>
          <w:p w14:paraId="7CD651A5">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1</w:t>
            </w:r>
          </w:p>
        </w:tc>
      </w:tr>
      <w:tr w14:paraId="2BC7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2E6B58A4">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lang w:val="en-US" w:eastAsia="zh-CN"/>
              </w:rPr>
              <w:t>3</w:t>
            </w:r>
          </w:p>
        </w:tc>
        <w:tc>
          <w:tcPr>
            <w:tcW w:w="1267" w:type="pct"/>
            <w:tcBorders>
              <w:tl2br w:val="nil"/>
              <w:tr2bl w:val="nil"/>
            </w:tcBorders>
            <w:shd w:val="clear" w:color="auto" w:fill="auto"/>
            <w:vAlign w:val="center"/>
          </w:tcPr>
          <w:p w14:paraId="16E50BD5">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联网卡拆除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2003" w:type="pct"/>
            <w:tcBorders>
              <w:tl2br w:val="nil"/>
              <w:tr2bl w:val="nil"/>
            </w:tcBorders>
            <w:shd w:val="clear" w:color="auto" w:fill="auto"/>
            <w:vAlign w:val="center"/>
          </w:tcPr>
          <w:p w14:paraId="6A53F2FA">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联网卡拆除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618" w:type="pct"/>
            <w:tcBorders>
              <w:tl2br w:val="nil"/>
              <w:tr2bl w:val="nil"/>
            </w:tcBorders>
            <w:shd w:val="clear" w:color="auto" w:fill="auto"/>
            <w:vAlign w:val="center"/>
          </w:tcPr>
          <w:p w14:paraId="43BA9227">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个</w:t>
            </w:r>
            <w:r>
              <w:rPr>
                <w:rFonts w:hint="eastAsia" w:ascii="宋体" w:hAnsi="宋体" w:eastAsia="宋体" w:cs="宋体"/>
                <w:lang w:val="en-US" w:eastAsia="zh-CN"/>
              </w:rPr>
              <w:t>/台</w:t>
            </w:r>
          </w:p>
        </w:tc>
        <w:tc>
          <w:tcPr>
            <w:tcW w:w="461" w:type="pct"/>
            <w:tcBorders>
              <w:tl2br w:val="nil"/>
              <w:tr2bl w:val="nil"/>
            </w:tcBorders>
            <w:shd w:val="clear" w:color="auto" w:fill="auto"/>
            <w:vAlign w:val="center"/>
          </w:tcPr>
          <w:p w14:paraId="7DB85A32">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10</w:t>
            </w:r>
          </w:p>
        </w:tc>
      </w:tr>
      <w:tr w14:paraId="4EE5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61E841BC">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eastAsia="zh-CN"/>
              </w:rPr>
            </w:pPr>
            <w:r>
              <w:rPr>
                <w:rFonts w:hint="eastAsia" w:ascii="宋体" w:hAnsi="宋体" w:eastAsia="宋体" w:cs="宋体"/>
                <w:lang w:val="en-US" w:eastAsia="zh-CN"/>
              </w:rPr>
              <w:t>4</w:t>
            </w:r>
          </w:p>
        </w:tc>
        <w:tc>
          <w:tcPr>
            <w:tcW w:w="1267" w:type="pct"/>
            <w:tcBorders>
              <w:tl2br w:val="nil"/>
              <w:tr2bl w:val="nil"/>
            </w:tcBorders>
            <w:shd w:val="clear" w:color="auto" w:fill="auto"/>
            <w:vAlign w:val="center"/>
          </w:tcPr>
          <w:p w14:paraId="716C23AD">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感烟探测器防尘罩去除</w:t>
            </w:r>
          </w:p>
        </w:tc>
        <w:tc>
          <w:tcPr>
            <w:tcW w:w="2003" w:type="pct"/>
            <w:tcBorders>
              <w:tl2br w:val="nil"/>
              <w:tr2bl w:val="nil"/>
            </w:tcBorders>
            <w:shd w:val="clear" w:color="auto" w:fill="auto"/>
            <w:vAlign w:val="center"/>
          </w:tcPr>
          <w:p w14:paraId="060EEACA">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感烟探测器防尘罩去除(住宅楼、商业楼、办公楼、地下室)</w:t>
            </w:r>
          </w:p>
        </w:tc>
        <w:tc>
          <w:tcPr>
            <w:tcW w:w="618" w:type="pct"/>
            <w:tcBorders>
              <w:tl2br w:val="nil"/>
              <w:tr2bl w:val="nil"/>
            </w:tcBorders>
            <w:shd w:val="clear" w:color="auto" w:fill="auto"/>
            <w:vAlign w:val="center"/>
          </w:tcPr>
          <w:p w14:paraId="6B11BD3B">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工日</w:t>
            </w:r>
          </w:p>
        </w:tc>
        <w:tc>
          <w:tcPr>
            <w:tcW w:w="461" w:type="pct"/>
            <w:tcBorders>
              <w:tl2br w:val="nil"/>
              <w:tr2bl w:val="nil"/>
            </w:tcBorders>
            <w:shd w:val="clear" w:color="auto" w:fill="auto"/>
            <w:vAlign w:val="center"/>
          </w:tcPr>
          <w:p w14:paraId="437BB9E2">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57</w:t>
            </w:r>
          </w:p>
        </w:tc>
      </w:tr>
      <w:tr w14:paraId="4626E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7D79945B">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eastAsia="zh-CN"/>
              </w:rPr>
            </w:pPr>
            <w:r>
              <w:rPr>
                <w:rFonts w:hint="eastAsia" w:ascii="宋体" w:hAnsi="宋体" w:eastAsia="宋体" w:cs="宋体"/>
                <w:lang w:val="en-US" w:eastAsia="zh-CN"/>
              </w:rPr>
              <w:t>5</w:t>
            </w:r>
          </w:p>
        </w:tc>
        <w:tc>
          <w:tcPr>
            <w:tcW w:w="1267" w:type="pct"/>
            <w:tcBorders>
              <w:tl2br w:val="nil"/>
              <w:tr2bl w:val="nil"/>
            </w:tcBorders>
            <w:shd w:val="clear" w:color="auto" w:fill="auto"/>
            <w:vAlign w:val="center"/>
          </w:tcPr>
          <w:p w14:paraId="31166451">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点型探测器拆除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2003" w:type="pct"/>
            <w:tcBorders>
              <w:tl2br w:val="nil"/>
              <w:tr2bl w:val="nil"/>
            </w:tcBorders>
            <w:shd w:val="clear" w:color="auto" w:fill="auto"/>
            <w:vAlign w:val="center"/>
          </w:tcPr>
          <w:p w14:paraId="2949FAF6">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点型光电感烟探测器拆除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618" w:type="pct"/>
            <w:tcBorders>
              <w:tl2br w:val="nil"/>
              <w:tr2bl w:val="nil"/>
            </w:tcBorders>
            <w:shd w:val="clear" w:color="auto" w:fill="auto"/>
            <w:vAlign w:val="center"/>
          </w:tcPr>
          <w:p w14:paraId="051808E4">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个</w:t>
            </w:r>
          </w:p>
        </w:tc>
        <w:tc>
          <w:tcPr>
            <w:tcW w:w="461" w:type="pct"/>
            <w:tcBorders>
              <w:tl2br w:val="nil"/>
              <w:tr2bl w:val="nil"/>
            </w:tcBorders>
            <w:shd w:val="clear" w:color="auto" w:fill="auto"/>
            <w:vAlign w:val="center"/>
          </w:tcPr>
          <w:p w14:paraId="30E553A2">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2840</w:t>
            </w:r>
          </w:p>
        </w:tc>
      </w:tr>
      <w:tr w14:paraId="2444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6F156EB2">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eastAsia="zh-CN"/>
              </w:rPr>
            </w:pPr>
            <w:r>
              <w:rPr>
                <w:rFonts w:hint="eastAsia" w:ascii="宋体" w:hAnsi="宋体" w:eastAsia="宋体" w:cs="宋体"/>
                <w:lang w:val="en-US" w:eastAsia="zh-CN"/>
              </w:rPr>
              <w:t>6</w:t>
            </w:r>
          </w:p>
        </w:tc>
        <w:tc>
          <w:tcPr>
            <w:tcW w:w="1267" w:type="pct"/>
            <w:tcBorders>
              <w:tl2br w:val="nil"/>
              <w:tr2bl w:val="nil"/>
            </w:tcBorders>
            <w:shd w:val="clear" w:color="auto" w:fill="auto"/>
            <w:vAlign w:val="center"/>
          </w:tcPr>
          <w:p w14:paraId="49B858D7">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按钮拆除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2003" w:type="pct"/>
            <w:tcBorders>
              <w:tl2br w:val="nil"/>
              <w:tr2bl w:val="nil"/>
            </w:tcBorders>
            <w:shd w:val="clear" w:color="auto" w:fill="auto"/>
            <w:vAlign w:val="center"/>
          </w:tcPr>
          <w:p w14:paraId="445F7ED6">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手动报警按钮拆除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618" w:type="pct"/>
            <w:tcBorders>
              <w:tl2br w:val="nil"/>
              <w:tr2bl w:val="nil"/>
            </w:tcBorders>
            <w:shd w:val="clear" w:color="auto" w:fill="auto"/>
            <w:vAlign w:val="center"/>
          </w:tcPr>
          <w:p w14:paraId="0468CC1D">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个</w:t>
            </w:r>
          </w:p>
        </w:tc>
        <w:tc>
          <w:tcPr>
            <w:tcW w:w="461" w:type="pct"/>
            <w:tcBorders>
              <w:tl2br w:val="nil"/>
              <w:tr2bl w:val="nil"/>
            </w:tcBorders>
            <w:shd w:val="clear" w:color="auto" w:fill="auto"/>
            <w:vAlign w:val="center"/>
          </w:tcPr>
          <w:p w14:paraId="63A78AC1">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651</w:t>
            </w:r>
          </w:p>
        </w:tc>
      </w:tr>
      <w:tr w14:paraId="562E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0FB2468E">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eastAsia="zh-CN"/>
              </w:rPr>
            </w:pPr>
            <w:r>
              <w:rPr>
                <w:rFonts w:hint="eastAsia" w:ascii="宋体" w:hAnsi="宋体" w:eastAsia="宋体" w:cs="宋体"/>
                <w:lang w:val="en-US" w:eastAsia="zh-CN"/>
              </w:rPr>
              <w:t>7</w:t>
            </w:r>
          </w:p>
        </w:tc>
        <w:tc>
          <w:tcPr>
            <w:tcW w:w="1267" w:type="pct"/>
            <w:tcBorders>
              <w:tl2br w:val="nil"/>
              <w:tr2bl w:val="nil"/>
            </w:tcBorders>
            <w:shd w:val="clear" w:color="auto" w:fill="auto"/>
            <w:vAlign w:val="center"/>
          </w:tcPr>
          <w:p w14:paraId="528CCF85">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按钮拆除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2003" w:type="pct"/>
            <w:tcBorders>
              <w:tl2br w:val="nil"/>
              <w:tr2bl w:val="nil"/>
            </w:tcBorders>
            <w:shd w:val="clear" w:color="auto" w:fill="auto"/>
            <w:vAlign w:val="center"/>
          </w:tcPr>
          <w:p w14:paraId="2025F5E7">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消火栓按钮拆除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618" w:type="pct"/>
            <w:tcBorders>
              <w:tl2br w:val="nil"/>
              <w:tr2bl w:val="nil"/>
            </w:tcBorders>
            <w:shd w:val="clear" w:color="auto" w:fill="auto"/>
            <w:vAlign w:val="center"/>
          </w:tcPr>
          <w:p w14:paraId="27015C0C">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个</w:t>
            </w:r>
          </w:p>
        </w:tc>
        <w:tc>
          <w:tcPr>
            <w:tcW w:w="461" w:type="pct"/>
            <w:tcBorders>
              <w:tl2br w:val="nil"/>
              <w:tr2bl w:val="nil"/>
            </w:tcBorders>
            <w:shd w:val="clear" w:color="auto" w:fill="auto"/>
            <w:vAlign w:val="center"/>
          </w:tcPr>
          <w:p w14:paraId="31A49194">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656</w:t>
            </w:r>
          </w:p>
        </w:tc>
      </w:tr>
      <w:tr w14:paraId="2FEE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52C77A63">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eastAsia="zh-CN"/>
              </w:rPr>
            </w:pPr>
            <w:r>
              <w:rPr>
                <w:rFonts w:hint="eastAsia" w:ascii="宋体" w:hAnsi="宋体" w:eastAsia="宋体" w:cs="宋体"/>
                <w:lang w:val="en-US" w:eastAsia="zh-CN"/>
              </w:rPr>
              <w:t>8</w:t>
            </w:r>
          </w:p>
        </w:tc>
        <w:tc>
          <w:tcPr>
            <w:tcW w:w="1267" w:type="pct"/>
            <w:tcBorders>
              <w:tl2br w:val="nil"/>
              <w:tr2bl w:val="nil"/>
            </w:tcBorders>
            <w:shd w:val="clear" w:color="auto" w:fill="auto"/>
            <w:vAlign w:val="center"/>
          </w:tcPr>
          <w:p w14:paraId="1EC2C712">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输入模块拆除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2003" w:type="pct"/>
            <w:tcBorders>
              <w:tl2br w:val="nil"/>
              <w:tr2bl w:val="nil"/>
            </w:tcBorders>
            <w:shd w:val="clear" w:color="auto" w:fill="auto"/>
            <w:vAlign w:val="center"/>
          </w:tcPr>
          <w:p w14:paraId="01314E98">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输入模块拆除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618" w:type="pct"/>
            <w:tcBorders>
              <w:tl2br w:val="nil"/>
              <w:tr2bl w:val="nil"/>
            </w:tcBorders>
            <w:shd w:val="clear" w:color="auto" w:fill="auto"/>
            <w:vAlign w:val="center"/>
          </w:tcPr>
          <w:p w14:paraId="5E726646">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个</w:t>
            </w:r>
          </w:p>
        </w:tc>
        <w:tc>
          <w:tcPr>
            <w:tcW w:w="461" w:type="pct"/>
            <w:tcBorders>
              <w:tl2br w:val="nil"/>
              <w:tr2bl w:val="nil"/>
            </w:tcBorders>
            <w:shd w:val="clear" w:color="auto" w:fill="auto"/>
            <w:vAlign w:val="center"/>
          </w:tcPr>
          <w:p w14:paraId="6DFD57C2">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181</w:t>
            </w:r>
          </w:p>
        </w:tc>
      </w:tr>
      <w:tr w14:paraId="0EF4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026D68C6">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eastAsia="zh-CN"/>
              </w:rPr>
            </w:pPr>
            <w:r>
              <w:rPr>
                <w:rFonts w:hint="eastAsia" w:ascii="宋体" w:hAnsi="宋体" w:eastAsia="宋体" w:cs="宋体"/>
                <w:lang w:val="en-US" w:eastAsia="zh-CN"/>
              </w:rPr>
              <w:t>9</w:t>
            </w:r>
          </w:p>
        </w:tc>
        <w:tc>
          <w:tcPr>
            <w:tcW w:w="1267" w:type="pct"/>
            <w:tcBorders>
              <w:tl2br w:val="nil"/>
              <w:tr2bl w:val="nil"/>
            </w:tcBorders>
            <w:shd w:val="clear" w:color="auto" w:fill="auto"/>
            <w:vAlign w:val="center"/>
          </w:tcPr>
          <w:p w14:paraId="6810F898">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中继模块拆除</w:t>
            </w:r>
            <w:r>
              <w:rPr>
                <w:rFonts w:hint="eastAsia" w:ascii="宋体" w:hAnsi="宋体" w:eastAsia="宋体" w:cs="宋体"/>
                <w:lang w:val="en-US" w:eastAsia="zh-CN"/>
              </w:rPr>
              <w:t>更换</w:t>
            </w:r>
          </w:p>
        </w:tc>
        <w:tc>
          <w:tcPr>
            <w:tcW w:w="2003" w:type="pct"/>
            <w:tcBorders>
              <w:tl2br w:val="nil"/>
              <w:tr2bl w:val="nil"/>
            </w:tcBorders>
            <w:shd w:val="clear" w:color="auto" w:fill="auto"/>
            <w:vAlign w:val="center"/>
          </w:tcPr>
          <w:p w14:paraId="1DFF4924">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中继模块拆除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618" w:type="pct"/>
            <w:tcBorders>
              <w:tl2br w:val="nil"/>
              <w:tr2bl w:val="nil"/>
            </w:tcBorders>
            <w:shd w:val="clear" w:color="auto" w:fill="auto"/>
            <w:vAlign w:val="center"/>
          </w:tcPr>
          <w:p w14:paraId="2670115E">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个</w:t>
            </w:r>
          </w:p>
        </w:tc>
        <w:tc>
          <w:tcPr>
            <w:tcW w:w="461" w:type="pct"/>
            <w:tcBorders>
              <w:tl2br w:val="nil"/>
              <w:tr2bl w:val="nil"/>
            </w:tcBorders>
            <w:shd w:val="clear" w:color="auto" w:fill="auto"/>
            <w:vAlign w:val="center"/>
          </w:tcPr>
          <w:p w14:paraId="2082858D">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178</w:t>
            </w:r>
          </w:p>
        </w:tc>
      </w:tr>
      <w:tr w14:paraId="74FC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0289A9CB">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val="en-US" w:eastAsia="zh-CN"/>
              </w:rPr>
              <w:t>0</w:t>
            </w:r>
          </w:p>
        </w:tc>
        <w:tc>
          <w:tcPr>
            <w:tcW w:w="1267" w:type="pct"/>
            <w:tcBorders>
              <w:tl2br w:val="nil"/>
              <w:tr2bl w:val="nil"/>
            </w:tcBorders>
            <w:shd w:val="clear" w:color="auto" w:fill="auto"/>
            <w:vAlign w:val="center"/>
          </w:tcPr>
          <w:p w14:paraId="7D35F983">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模块（模块箱）拆除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2003" w:type="pct"/>
            <w:tcBorders>
              <w:tl2br w:val="nil"/>
              <w:tr2bl w:val="nil"/>
            </w:tcBorders>
            <w:shd w:val="clear" w:color="auto" w:fill="auto"/>
            <w:vAlign w:val="center"/>
          </w:tcPr>
          <w:p w14:paraId="4B6F6DBD">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消防模块拆除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618" w:type="pct"/>
            <w:tcBorders>
              <w:tl2br w:val="nil"/>
              <w:tr2bl w:val="nil"/>
            </w:tcBorders>
            <w:shd w:val="clear" w:color="auto" w:fill="auto"/>
            <w:vAlign w:val="center"/>
          </w:tcPr>
          <w:p w14:paraId="7E720D06">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个</w:t>
            </w:r>
          </w:p>
        </w:tc>
        <w:tc>
          <w:tcPr>
            <w:tcW w:w="461" w:type="pct"/>
            <w:tcBorders>
              <w:tl2br w:val="nil"/>
              <w:tr2bl w:val="nil"/>
            </w:tcBorders>
            <w:shd w:val="clear" w:color="auto" w:fill="auto"/>
            <w:vAlign w:val="center"/>
          </w:tcPr>
          <w:p w14:paraId="4ACBDCA9">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1635</w:t>
            </w:r>
          </w:p>
        </w:tc>
      </w:tr>
      <w:tr w14:paraId="506D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79A53260">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1</w:t>
            </w:r>
            <w:r>
              <w:rPr>
                <w:rFonts w:hint="eastAsia" w:ascii="宋体" w:hAnsi="宋体" w:eastAsia="宋体" w:cs="宋体"/>
                <w:lang w:val="en-US" w:eastAsia="zh-CN"/>
              </w:rPr>
              <w:t>1</w:t>
            </w:r>
          </w:p>
        </w:tc>
        <w:tc>
          <w:tcPr>
            <w:tcW w:w="1267" w:type="pct"/>
            <w:tcBorders>
              <w:tl2br w:val="nil"/>
              <w:tr2bl w:val="nil"/>
            </w:tcBorders>
            <w:shd w:val="clear" w:color="auto" w:fill="auto"/>
            <w:vAlign w:val="center"/>
          </w:tcPr>
          <w:p w14:paraId="77DF5640">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配线</w:t>
            </w:r>
          </w:p>
        </w:tc>
        <w:tc>
          <w:tcPr>
            <w:tcW w:w="2003" w:type="pct"/>
            <w:tcBorders>
              <w:tl2br w:val="nil"/>
              <w:tr2bl w:val="nil"/>
            </w:tcBorders>
            <w:shd w:val="clear" w:color="auto" w:fill="auto"/>
            <w:vAlign w:val="center"/>
          </w:tcPr>
          <w:p w14:paraId="4FD23977">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报警信号线NH-RVS2*1.5</w:t>
            </w:r>
          </w:p>
        </w:tc>
        <w:tc>
          <w:tcPr>
            <w:tcW w:w="618" w:type="pct"/>
            <w:tcBorders>
              <w:tl2br w:val="nil"/>
              <w:tr2bl w:val="nil"/>
            </w:tcBorders>
            <w:shd w:val="clear" w:color="auto" w:fill="auto"/>
            <w:vAlign w:val="center"/>
          </w:tcPr>
          <w:p w14:paraId="0530692F">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m</w:t>
            </w:r>
          </w:p>
        </w:tc>
        <w:tc>
          <w:tcPr>
            <w:tcW w:w="461" w:type="pct"/>
            <w:tcBorders>
              <w:tl2br w:val="nil"/>
              <w:tr2bl w:val="nil"/>
            </w:tcBorders>
            <w:shd w:val="clear" w:color="auto" w:fill="auto"/>
            <w:vAlign w:val="center"/>
          </w:tcPr>
          <w:p w14:paraId="2574CD05">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6200</w:t>
            </w:r>
          </w:p>
        </w:tc>
      </w:tr>
      <w:tr w14:paraId="20345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791865FC">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lang w:val="en-US" w:eastAsia="zh-CN"/>
              </w:rPr>
              <w:t>12</w:t>
            </w:r>
          </w:p>
        </w:tc>
        <w:tc>
          <w:tcPr>
            <w:tcW w:w="1267" w:type="pct"/>
            <w:tcBorders>
              <w:tl2br w:val="nil"/>
              <w:tr2bl w:val="nil"/>
            </w:tcBorders>
            <w:shd w:val="clear" w:color="auto" w:fill="auto"/>
            <w:vAlign w:val="center"/>
          </w:tcPr>
          <w:p w14:paraId="5C90743C">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配线</w:t>
            </w:r>
          </w:p>
        </w:tc>
        <w:tc>
          <w:tcPr>
            <w:tcW w:w="2003" w:type="pct"/>
            <w:tcBorders>
              <w:tl2br w:val="nil"/>
              <w:tr2bl w:val="nil"/>
            </w:tcBorders>
            <w:shd w:val="clear" w:color="auto" w:fill="auto"/>
            <w:vAlign w:val="center"/>
          </w:tcPr>
          <w:p w14:paraId="7DE9AE2B">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电源线NH-BV2.5</w:t>
            </w:r>
          </w:p>
        </w:tc>
        <w:tc>
          <w:tcPr>
            <w:tcW w:w="618" w:type="pct"/>
            <w:tcBorders>
              <w:tl2br w:val="nil"/>
              <w:tr2bl w:val="nil"/>
            </w:tcBorders>
            <w:shd w:val="clear" w:color="auto" w:fill="auto"/>
            <w:vAlign w:val="center"/>
          </w:tcPr>
          <w:p w14:paraId="04ECC093">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m</w:t>
            </w:r>
          </w:p>
        </w:tc>
        <w:tc>
          <w:tcPr>
            <w:tcW w:w="461" w:type="pct"/>
            <w:tcBorders>
              <w:tl2br w:val="nil"/>
              <w:tr2bl w:val="nil"/>
            </w:tcBorders>
            <w:shd w:val="clear" w:color="auto" w:fill="auto"/>
            <w:vAlign w:val="center"/>
          </w:tcPr>
          <w:p w14:paraId="62795D9D">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3600</w:t>
            </w:r>
          </w:p>
        </w:tc>
      </w:tr>
      <w:tr w14:paraId="1883A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28A47D3B">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lang w:val="en-US" w:eastAsia="zh-CN"/>
              </w:rPr>
              <w:t>13</w:t>
            </w:r>
          </w:p>
        </w:tc>
        <w:tc>
          <w:tcPr>
            <w:tcW w:w="1267" w:type="pct"/>
            <w:tcBorders>
              <w:tl2br w:val="nil"/>
              <w:tr2bl w:val="nil"/>
            </w:tcBorders>
            <w:shd w:val="clear" w:color="auto" w:fill="auto"/>
            <w:vAlign w:val="center"/>
          </w:tcPr>
          <w:p w14:paraId="3DC99744">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控制电缆</w:t>
            </w:r>
          </w:p>
        </w:tc>
        <w:tc>
          <w:tcPr>
            <w:tcW w:w="2003" w:type="pct"/>
            <w:tcBorders>
              <w:tl2br w:val="nil"/>
              <w:tr2bl w:val="nil"/>
            </w:tcBorders>
            <w:shd w:val="clear" w:color="auto" w:fill="auto"/>
            <w:vAlign w:val="center"/>
          </w:tcPr>
          <w:p w14:paraId="2BFA6397">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室外信号线缆KVV-36*1.5</w:t>
            </w:r>
          </w:p>
        </w:tc>
        <w:tc>
          <w:tcPr>
            <w:tcW w:w="618" w:type="pct"/>
            <w:tcBorders>
              <w:tl2br w:val="nil"/>
              <w:tr2bl w:val="nil"/>
            </w:tcBorders>
            <w:shd w:val="clear" w:color="auto" w:fill="auto"/>
            <w:vAlign w:val="center"/>
          </w:tcPr>
          <w:p w14:paraId="57890E90">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m</w:t>
            </w:r>
          </w:p>
        </w:tc>
        <w:tc>
          <w:tcPr>
            <w:tcW w:w="461" w:type="pct"/>
            <w:tcBorders>
              <w:tl2br w:val="nil"/>
              <w:tr2bl w:val="nil"/>
            </w:tcBorders>
            <w:shd w:val="clear" w:color="auto" w:fill="auto"/>
            <w:vAlign w:val="center"/>
          </w:tcPr>
          <w:p w14:paraId="4B3B1600">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1600</w:t>
            </w:r>
          </w:p>
        </w:tc>
      </w:tr>
      <w:tr w14:paraId="763B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46B75897">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lang w:val="en-US" w:eastAsia="zh-CN"/>
              </w:rPr>
              <w:t>14</w:t>
            </w:r>
          </w:p>
        </w:tc>
        <w:tc>
          <w:tcPr>
            <w:tcW w:w="1267" w:type="pct"/>
            <w:tcBorders>
              <w:tl2br w:val="nil"/>
              <w:tr2bl w:val="nil"/>
            </w:tcBorders>
            <w:shd w:val="clear" w:color="auto" w:fill="auto"/>
            <w:vAlign w:val="center"/>
          </w:tcPr>
          <w:p w14:paraId="7D073C1D">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消防报警电话插孔（电话）拆除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2003" w:type="pct"/>
            <w:tcBorders>
              <w:tl2br w:val="nil"/>
              <w:tr2bl w:val="nil"/>
            </w:tcBorders>
            <w:shd w:val="clear" w:color="auto" w:fill="auto"/>
            <w:vAlign w:val="center"/>
          </w:tcPr>
          <w:p w14:paraId="00D4FA0E">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消防固定电话拆除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618" w:type="pct"/>
            <w:tcBorders>
              <w:tl2br w:val="nil"/>
              <w:tr2bl w:val="nil"/>
            </w:tcBorders>
            <w:shd w:val="clear" w:color="auto" w:fill="auto"/>
            <w:vAlign w:val="center"/>
          </w:tcPr>
          <w:p w14:paraId="582326D9">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个</w:t>
            </w:r>
            <w:r>
              <w:rPr>
                <w:rFonts w:hint="eastAsia" w:ascii="宋体" w:hAnsi="宋体" w:eastAsia="宋体" w:cs="宋体"/>
                <w:lang w:val="en-US" w:eastAsia="zh-CN"/>
              </w:rPr>
              <w:t>/部</w:t>
            </w:r>
          </w:p>
        </w:tc>
        <w:tc>
          <w:tcPr>
            <w:tcW w:w="461" w:type="pct"/>
            <w:tcBorders>
              <w:tl2br w:val="nil"/>
              <w:tr2bl w:val="nil"/>
            </w:tcBorders>
            <w:shd w:val="clear" w:color="auto" w:fill="auto"/>
            <w:vAlign w:val="center"/>
          </w:tcPr>
          <w:p w14:paraId="5CACE8F6">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66</w:t>
            </w:r>
          </w:p>
        </w:tc>
      </w:tr>
      <w:tr w14:paraId="5C1A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37B7B7A2">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lang w:val="en-US" w:eastAsia="zh-CN"/>
              </w:rPr>
              <w:t>15</w:t>
            </w:r>
          </w:p>
        </w:tc>
        <w:tc>
          <w:tcPr>
            <w:tcW w:w="1267" w:type="pct"/>
            <w:tcBorders>
              <w:tl2br w:val="nil"/>
              <w:tr2bl w:val="nil"/>
            </w:tcBorders>
            <w:shd w:val="clear" w:color="auto" w:fill="auto"/>
            <w:vAlign w:val="center"/>
          </w:tcPr>
          <w:p w14:paraId="6D9C4B8F">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配线</w:t>
            </w:r>
          </w:p>
        </w:tc>
        <w:tc>
          <w:tcPr>
            <w:tcW w:w="2003" w:type="pct"/>
            <w:tcBorders>
              <w:tl2br w:val="nil"/>
              <w:tr2bl w:val="nil"/>
            </w:tcBorders>
            <w:shd w:val="clear" w:color="auto" w:fill="auto"/>
            <w:vAlign w:val="center"/>
          </w:tcPr>
          <w:p w14:paraId="7BC12A79">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电话线NH-RVVP2*1.5</w:t>
            </w:r>
          </w:p>
        </w:tc>
        <w:tc>
          <w:tcPr>
            <w:tcW w:w="618" w:type="pct"/>
            <w:tcBorders>
              <w:tl2br w:val="nil"/>
              <w:tr2bl w:val="nil"/>
            </w:tcBorders>
            <w:shd w:val="clear" w:color="auto" w:fill="auto"/>
            <w:vAlign w:val="center"/>
          </w:tcPr>
          <w:p w14:paraId="7229263F">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m</w:t>
            </w:r>
          </w:p>
        </w:tc>
        <w:tc>
          <w:tcPr>
            <w:tcW w:w="461" w:type="pct"/>
            <w:tcBorders>
              <w:tl2br w:val="nil"/>
              <w:tr2bl w:val="nil"/>
            </w:tcBorders>
            <w:shd w:val="clear" w:color="auto" w:fill="auto"/>
            <w:vAlign w:val="center"/>
          </w:tcPr>
          <w:p w14:paraId="347D4E29">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660</w:t>
            </w:r>
          </w:p>
        </w:tc>
      </w:tr>
      <w:tr w14:paraId="68C6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38B80EF7">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lang w:val="en-US" w:eastAsia="zh-CN"/>
              </w:rPr>
              <w:t>16</w:t>
            </w:r>
          </w:p>
        </w:tc>
        <w:tc>
          <w:tcPr>
            <w:tcW w:w="1267" w:type="pct"/>
            <w:tcBorders>
              <w:tl2br w:val="nil"/>
              <w:tr2bl w:val="nil"/>
            </w:tcBorders>
            <w:shd w:val="clear" w:color="auto" w:fill="auto"/>
            <w:vAlign w:val="center"/>
          </w:tcPr>
          <w:p w14:paraId="5BD6A7D9">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消防广播（扬声器）拆除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2003" w:type="pct"/>
            <w:tcBorders>
              <w:tl2br w:val="nil"/>
              <w:tr2bl w:val="nil"/>
            </w:tcBorders>
            <w:shd w:val="clear" w:color="auto" w:fill="auto"/>
            <w:vAlign w:val="center"/>
          </w:tcPr>
          <w:p w14:paraId="6ED78BCF">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消防广播拆除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618" w:type="pct"/>
            <w:tcBorders>
              <w:tl2br w:val="nil"/>
              <w:tr2bl w:val="nil"/>
            </w:tcBorders>
            <w:shd w:val="clear" w:color="auto" w:fill="auto"/>
            <w:vAlign w:val="center"/>
          </w:tcPr>
          <w:p w14:paraId="46E3179F">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个</w:t>
            </w:r>
          </w:p>
        </w:tc>
        <w:tc>
          <w:tcPr>
            <w:tcW w:w="461" w:type="pct"/>
            <w:tcBorders>
              <w:tl2br w:val="nil"/>
              <w:tr2bl w:val="nil"/>
            </w:tcBorders>
            <w:shd w:val="clear" w:color="auto" w:fill="auto"/>
            <w:vAlign w:val="center"/>
          </w:tcPr>
          <w:p w14:paraId="03FAC963">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762</w:t>
            </w:r>
          </w:p>
        </w:tc>
      </w:tr>
      <w:tr w14:paraId="0EF7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0A245C5C">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7</w:t>
            </w:r>
          </w:p>
        </w:tc>
        <w:tc>
          <w:tcPr>
            <w:tcW w:w="1267" w:type="pct"/>
            <w:tcBorders>
              <w:tl2br w:val="nil"/>
              <w:tr2bl w:val="nil"/>
            </w:tcBorders>
            <w:shd w:val="clear" w:color="auto" w:fill="auto"/>
            <w:vAlign w:val="center"/>
          </w:tcPr>
          <w:p w14:paraId="4BDFBB91">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配线</w:t>
            </w:r>
          </w:p>
        </w:tc>
        <w:tc>
          <w:tcPr>
            <w:tcW w:w="2003" w:type="pct"/>
            <w:tcBorders>
              <w:tl2br w:val="nil"/>
              <w:tr2bl w:val="nil"/>
            </w:tcBorders>
            <w:shd w:val="clear" w:color="auto" w:fill="auto"/>
            <w:vAlign w:val="center"/>
          </w:tcPr>
          <w:p w14:paraId="1BE7755A">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广播线NH-RVS2*1.5</w:t>
            </w:r>
          </w:p>
        </w:tc>
        <w:tc>
          <w:tcPr>
            <w:tcW w:w="618" w:type="pct"/>
            <w:tcBorders>
              <w:tl2br w:val="nil"/>
              <w:tr2bl w:val="nil"/>
            </w:tcBorders>
            <w:shd w:val="clear" w:color="auto" w:fill="auto"/>
            <w:vAlign w:val="center"/>
          </w:tcPr>
          <w:p w14:paraId="2C223AD3">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m</w:t>
            </w:r>
          </w:p>
        </w:tc>
        <w:tc>
          <w:tcPr>
            <w:tcW w:w="461" w:type="pct"/>
            <w:tcBorders>
              <w:tl2br w:val="nil"/>
              <w:tr2bl w:val="nil"/>
            </w:tcBorders>
            <w:shd w:val="clear" w:color="auto" w:fill="auto"/>
            <w:vAlign w:val="center"/>
          </w:tcPr>
          <w:p w14:paraId="6FE4747A">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7600</w:t>
            </w:r>
          </w:p>
        </w:tc>
      </w:tr>
      <w:tr w14:paraId="30A69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395C5C4B">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lang w:val="en-US" w:eastAsia="zh-CN"/>
              </w:rPr>
              <w:t>18</w:t>
            </w:r>
          </w:p>
        </w:tc>
        <w:tc>
          <w:tcPr>
            <w:tcW w:w="1267" w:type="pct"/>
            <w:tcBorders>
              <w:tl2br w:val="nil"/>
              <w:tr2bl w:val="nil"/>
            </w:tcBorders>
            <w:shd w:val="clear" w:color="auto" w:fill="auto"/>
            <w:vAlign w:val="center"/>
          </w:tcPr>
          <w:p w14:paraId="15E849D4">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自动报警系统装置调试</w:t>
            </w:r>
          </w:p>
        </w:tc>
        <w:tc>
          <w:tcPr>
            <w:tcW w:w="2003" w:type="pct"/>
            <w:tcBorders>
              <w:tl2br w:val="nil"/>
              <w:tr2bl w:val="nil"/>
            </w:tcBorders>
            <w:shd w:val="clear" w:color="auto" w:fill="auto"/>
            <w:vAlign w:val="center"/>
          </w:tcPr>
          <w:p w14:paraId="21529FB0">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自动报警系统装置调试（16000个点以内）</w:t>
            </w:r>
          </w:p>
        </w:tc>
        <w:tc>
          <w:tcPr>
            <w:tcW w:w="618" w:type="pct"/>
            <w:tcBorders>
              <w:tl2br w:val="nil"/>
              <w:tr2bl w:val="nil"/>
            </w:tcBorders>
            <w:shd w:val="clear" w:color="auto" w:fill="auto"/>
            <w:vAlign w:val="center"/>
          </w:tcPr>
          <w:p w14:paraId="5A474DD0">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系统</w:t>
            </w:r>
          </w:p>
        </w:tc>
        <w:tc>
          <w:tcPr>
            <w:tcW w:w="461" w:type="pct"/>
            <w:tcBorders>
              <w:tl2br w:val="nil"/>
              <w:tr2bl w:val="nil"/>
            </w:tcBorders>
            <w:shd w:val="clear" w:color="auto" w:fill="auto"/>
            <w:vAlign w:val="center"/>
          </w:tcPr>
          <w:p w14:paraId="1EB5CFFD">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1</w:t>
            </w:r>
          </w:p>
        </w:tc>
      </w:tr>
      <w:tr w14:paraId="26FAB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33394EC6">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lang w:val="en-US" w:eastAsia="zh-CN"/>
              </w:rPr>
              <w:t>19</w:t>
            </w:r>
          </w:p>
        </w:tc>
        <w:tc>
          <w:tcPr>
            <w:tcW w:w="1267" w:type="pct"/>
            <w:tcBorders>
              <w:tl2br w:val="nil"/>
              <w:tr2bl w:val="nil"/>
            </w:tcBorders>
            <w:shd w:val="clear" w:color="auto" w:fill="auto"/>
            <w:vAlign w:val="center"/>
          </w:tcPr>
          <w:p w14:paraId="39BAD1FB">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前端动作设备复位</w:t>
            </w:r>
          </w:p>
        </w:tc>
        <w:tc>
          <w:tcPr>
            <w:tcW w:w="2003" w:type="pct"/>
            <w:tcBorders>
              <w:tl2br w:val="nil"/>
              <w:tr2bl w:val="nil"/>
            </w:tcBorders>
            <w:shd w:val="clear" w:color="auto" w:fill="auto"/>
            <w:vAlign w:val="center"/>
          </w:tcPr>
          <w:p w14:paraId="38E1F2D4">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前端动作设备复位</w:t>
            </w:r>
          </w:p>
        </w:tc>
        <w:tc>
          <w:tcPr>
            <w:tcW w:w="618" w:type="pct"/>
            <w:tcBorders>
              <w:tl2br w:val="nil"/>
              <w:tr2bl w:val="nil"/>
            </w:tcBorders>
            <w:shd w:val="clear" w:color="auto" w:fill="auto"/>
            <w:vAlign w:val="center"/>
          </w:tcPr>
          <w:p w14:paraId="075ED222">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工日</w:t>
            </w:r>
          </w:p>
        </w:tc>
        <w:tc>
          <w:tcPr>
            <w:tcW w:w="461" w:type="pct"/>
            <w:tcBorders>
              <w:tl2br w:val="nil"/>
              <w:tr2bl w:val="nil"/>
            </w:tcBorders>
            <w:shd w:val="clear" w:color="auto" w:fill="auto"/>
            <w:vAlign w:val="center"/>
          </w:tcPr>
          <w:p w14:paraId="657B24F7">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20</w:t>
            </w:r>
          </w:p>
        </w:tc>
      </w:tr>
      <w:tr w14:paraId="4BBC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3C89063A">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0</w:t>
            </w:r>
          </w:p>
        </w:tc>
        <w:tc>
          <w:tcPr>
            <w:tcW w:w="1267" w:type="pct"/>
            <w:tcBorders>
              <w:tl2br w:val="nil"/>
              <w:tr2bl w:val="nil"/>
            </w:tcBorders>
            <w:shd w:val="clear" w:color="auto" w:fill="auto"/>
            <w:vAlign w:val="center"/>
          </w:tcPr>
          <w:p w14:paraId="35CDB17F">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手动报警按钮复位</w:t>
            </w:r>
          </w:p>
        </w:tc>
        <w:tc>
          <w:tcPr>
            <w:tcW w:w="2003" w:type="pct"/>
            <w:tcBorders>
              <w:tl2br w:val="nil"/>
              <w:tr2bl w:val="nil"/>
            </w:tcBorders>
            <w:shd w:val="clear" w:color="auto" w:fill="auto"/>
            <w:vAlign w:val="center"/>
          </w:tcPr>
          <w:p w14:paraId="16B4231B">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手动报警按钮复位</w:t>
            </w:r>
          </w:p>
        </w:tc>
        <w:tc>
          <w:tcPr>
            <w:tcW w:w="618" w:type="pct"/>
            <w:tcBorders>
              <w:tl2br w:val="nil"/>
              <w:tr2bl w:val="nil"/>
            </w:tcBorders>
            <w:shd w:val="clear" w:color="auto" w:fill="auto"/>
            <w:vAlign w:val="center"/>
          </w:tcPr>
          <w:p w14:paraId="0DDFD5BC">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工日</w:t>
            </w:r>
          </w:p>
        </w:tc>
        <w:tc>
          <w:tcPr>
            <w:tcW w:w="461" w:type="pct"/>
            <w:tcBorders>
              <w:tl2br w:val="nil"/>
              <w:tr2bl w:val="nil"/>
            </w:tcBorders>
            <w:shd w:val="clear" w:color="auto" w:fill="auto"/>
            <w:vAlign w:val="center"/>
          </w:tcPr>
          <w:p w14:paraId="2E890EAF">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3</w:t>
            </w:r>
          </w:p>
        </w:tc>
      </w:tr>
      <w:tr w14:paraId="676A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3ADEC24F">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1</w:t>
            </w:r>
          </w:p>
        </w:tc>
        <w:tc>
          <w:tcPr>
            <w:tcW w:w="1267" w:type="pct"/>
            <w:tcBorders>
              <w:tl2br w:val="nil"/>
              <w:tr2bl w:val="nil"/>
            </w:tcBorders>
            <w:shd w:val="clear" w:color="auto" w:fill="auto"/>
            <w:vAlign w:val="center"/>
          </w:tcPr>
          <w:p w14:paraId="51016738">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模块（模块箱）拆除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2003" w:type="pct"/>
            <w:tcBorders>
              <w:tl2br w:val="nil"/>
              <w:tr2bl w:val="nil"/>
            </w:tcBorders>
            <w:shd w:val="clear" w:color="auto" w:fill="auto"/>
            <w:vAlign w:val="center"/>
          </w:tcPr>
          <w:p w14:paraId="00623E74">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多线控制模块拆除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618" w:type="pct"/>
            <w:tcBorders>
              <w:tl2br w:val="nil"/>
              <w:tr2bl w:val="nil"/>
            </w:tcBorders>
            <w:shd w:val="clear" w:color="auto" w:fill="auto"/>
            <w:vAlign w:val="center"/>
          </w:tcPr>
          <w:p w14:paraId="4AB0A294">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个</w:t>
            </w:r>
            <w:r>
              <w:rPr>
                <w:rFonts w:hint="eastAsia" w:ascii="宋体" w:hAnsi="宋体" w:eastAsia="宋体" w:cs="宋体"/>
                <w:lang w:val="en-US" w:eastAsia="zh-CN"/>
              </w:rPr>
              <w:t>/台</w:t>
            </w:r>
          </w:p>
        </w:tc>
        <w:tc>
          <w:tcPr>
            <w:tcW w:w="461" w:type="pct"/>
            <w:tcBorders>
              <w:tl2br w:val="nil"/>
              <w:tr2bl w:val="nil"/>
            </w:tcBorders>
            <w:shd w:val="clear" w:color="auto" w:fill="auto"/>
            <w:vAlign w:val="center"/>
          </w:tcPr>
          <w:p w14:paraId="33C0A851">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94</w:t>
            </w:r>
          </w:p>
        </w:tc>
      </w:tr>
      <w:tr w14:paraId="3B2A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70167D38">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lang w:val="en-US" w:eastAsia="zh-CN"/>
              </w:rPr>
              <w:t>22</w:t>
            </w:r>
          </w:p>
        </w:tc>
        <w:tc>
          <w:tcPr>
            <w:tcW w:w="1267" w:type="pct"/>
            <w:tcBorders>
              <w:tl2br w:val="nil"/>
              <w:tr2bl w:val="nil"/>
            </w:tcBorders>
            <w:shd w:val="clear" w:color="auto" w:fill="auto"/>
            <w:vAlign w:val="center"/>
          </w:tcPr>
          <w:p w14:paraId="3FFEE4C8">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多线线路板拆除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2003" w:type="pct"/>
            <w:tcBorders>
              <w:tl2br w:val="nil"/>
              <w:tr2bl w:val="nil"/>
            </w:tcBorders>
            <w:shd w:val="clear" w:color="auto" w:fill="auto"/>
            <w:vAlign w:val="center"/>
          </w:tcPr>
          <w:p w14:paraId="1F5B31E5">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rPr>
              <w:t>多线线路板拆除</w:t>
            </w:r>
            <w:r>
              <w:rPr>
                <w:rFonts w:hint="eastAsia" w:ascii="宋体" w:hAnsi="宋体" w:eastAsia="宋体" w:cs="宋体"/>
                <w:lang w:eastAsia="zh-CN"/>
              </w:rPr>
              <w:t>、</w:t>
            </w:r>
            <w:r>
              <w:rPr>
                <w:rFonts w:hint="eastAsia" w:ascii="宋体" w:hAnsi="宋体" w:eastAsia="宋体" w:cs="宋体"/>
                <w:lang w:val="en-US" w:eastAsia="zh-CN"/>
              </w:rPr>
              <w:t>更换</w:t>
            </w:r>
          </w:p>
        </w:tc>
        <w:tc>
          <w:tcPr>
            <w:tcW w:w="618" w:type="pct"/>
            <w:tcBorders>
              <w:tl2br w:val="nil"/>
              <w:tr2bl w:val="nil"/>
            </w:tcBorders>
            <w:shd w:val="clear" w:color="auto" w:fill="auto"/>
            <w:vAlign w:val="center"/>
          </w:tcPr>
          <w:p w14:paraId="7CA840D6">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个</w:t>
            </w:r>
          </w:p>
        </w:tc>
        <w:tc>
          <w:tcPr>
            <w:tcW w:w="461" w:type="pct"/>
            <w:tcBorders>
              <w:tl2br w:val="nil"/>
              <w:tr2bl w:val="nil"/>
            </w:tcBorders>
            <w:shd w:val="clear" w:color="auto" w:fill="auto"/>
            <w:vAlign w:val="center"/>
          </w:tcPr>
          <w:p w14:paraId="0DEF9A10">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7</w:t>
            </w:r>
          </w:p>
        </w:tc>
      </w:tr>
      <w:tr w14:paraId="5097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09C507E0">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lang w:val="en-US" w:eastAsia="zh-CN"/>
              </w:rPr>
              <w:t>23</w:t>
            </w:r>
          </w:p>
        </w:tc>
        <w:tc>
          <w:tcPr>
            <w:tcW w:w="1267" w:type="pct"/>
            <w:tcBorders>
              <w:tl2br w:val="nil"/>
              <w:tr2bl w:val="nil"/>
            </w:tcBorders>
            <w:shd w:val="clear" w:color="auto" w:fill="auto"/>
            <w:vAlign w:val="center"/>
          </w:tcPr>
          <w:p w14:paraId="6864978D">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eastAsia="zh-CN"/>
              </w:rPr>
            </w:pPr>
            <w:r>
              <w:rPr>
                <w:rFonts w:hint="eastAsia" w:ascii="宋体" w:hAnsi="宋体" w:eastAsia="宋体" w:cs="宋体"/>
              </w:rPr>
              <w:t>多线线路检查</w:t>
            </w:r>
            <w:r>
              <w:rPr>
                <w:rFonts w:hint="eastAsia" w:ascii="宋体" w:hAnsi="宋体" w:eastAsia="宋体" w:cs="宋体"/>
                <w:lang w:eastAsia="zh-CN"/>
              </w:rPr>
              <w:t>功能恢复</w:t>
            </w:r>
          </w:p>
        </w:tc>
        <w:tc>
          <w:tcPr>
            <w:tcW w:w="2003" w:type="pct"/>
            <w:tcBorders>
              <w:tl2br w:val="nil"/>
              <w:tr2bl w:val="nil"/>
            </w:tcBorders>
            <w:shd w:val="clear" w:color="auto" w:fill="auto"/>
            <w:vAlign w:val="center"/>
          </w:tcPr>
          <w:p w14:paraId="5EDD8477">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eastAsia="zh-CN"/>
              </w:rPr>
            </w:pPr>
            <w:r>
              <w:rPr>
                <w:rFonts w:hint="eastAsia" w:ascii="宋体" w:hAnsi="宋体" w:eastAsia="宋体" w:cs="宋体"/>
              </w:rPr>
              <w:t>多线线路检查</w:t>
            </w:r>
            <w:r>
              <w:rPr>
                <w:rFonts w:hint="eastAsia" w:ascii="宋体" w:hAnsi="宋体" w:eastAsia="宋体" w:cs="宋体"/>
                <w:lang w:eastAsia="zh-CN"/>
              </w:rPr>
              <w:t>功能恢复</w:t>
            </w:r>
          </w:p>
        </w:tc>
        <w:tc>
          <w:tcPr>
            <w:tcW w:w="618" w:type="pct"/>
            <w:tcBorders>
              <w:tl2br w:val="nil"/>
              <w:tr2bl w:val="nil"/>
            </w:tcBorders>
            <w:shd w:val="clear" w:color="auto" w:fill="auto"/>
            <w:vAlign w:val="center"/>
          </w:tcPr>
          <w:p w14:paraId="72908BCC">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工日</w:t>
            </w:r>
          </w:p>
        </w:tc>
        <w:tc>
          <w:tcPr>
            <w:tcW w:w="461" w:type="pct"/>
            <w:tcBorders>
              <w:tl2br w:val="nil"/>
              <w:tr2bl w:val="nil"/>
            </w:tcBorders>
            <w:shd w:val="clear" w:color="auto" w:fill="auto"/>
            <w:vAlign w:val="center"/>
          </w:tcPr>
          <w:p w14:paraId="025E8FD7">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15</w:t>
            </w:r>
          </w:p>
        </w:tc>
      </w:tr>
      <w:tr w14:paraId="4785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48" w:type="pct"/>
            <w:tcBorders>
              <w:tl2br w:val="nil"/>
              <w:tr2bl w:val="nil"/>
            </w:tcBorders>
            <w:shd w:val="clear" w:color="auto" w:fill="auto"/>
            <w:vAlign w:val="center"/>
          </w:tcPr>
          <w:p w14:paraId="7AA37FB8">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lang w:val="en-US" w:eastAsia="zh-CN"/>
              </w:rPr>
            </w:pPr>
            <w:r>
              <w:rPr>
                <w:rFonts w:hint="eastAsia" w:ascii="宋体" w:hAnsi="宋体" w:eastAsia="宋体" w:cs="宋体"/>
                <w:lang w:val="en-US" w:eastAsia="zh-CN"/>
              </w:rPr>
              <w:t>24</w:t>
            </w:r>
          </w:p>
        </w:tc>
        <w:tc>
          <w:tcPr>
            <w:tcW w:w="1267" w:type="pct"/>
            <w:tcBorders>
              <w:tl2br w:val="nil"/>
              <w:tr2bl w:val="nil"/>
            </w:tcBorders>
            <w:shd w:val="clear" w:color="auto" w:fill="auto"/>
            <w:vAlign w:val="center"/>
          </w:tcPr>
          <w:p w14:paraId="2AFEEE03">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配线</w:t>
            </w:r>
          </w:p>
        </w:tc>
        <w:tc>
          <w:tcPr>
            <w:tcW w:w="2003" w:type="pct"/>
            <w:tcBorders>
              <w:tl2br w:val="nil"/>
              <w:tr2bl w:val="nil"/>
            </w:tcBorders>
            <w:shd w:val="clear" w:color="auto" w:fill="auto"/>
            <w:vAlign w:val="center"/>
          </w:tcPr>
          <w:p w14:paraId="2B7751AB">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多线控制线NH-RVS2*1.5</w:t>
            </w:r>
          </w:p>
        </w:tc>
        <w:tc>
          <w:tcPr>
            <w:tcW w:w="618" w:type="pct"/>
            <w:tcBorders>
              <w:tl2br w:val="nil"/>
              <w:tr2bl w:val="nil"/>
            </w:tcBorders>
            <w:shd w:val="clear" w:color="auto" w:fill="auto"/>
            <w:vAlign w:val="center"/>
          </w:tcPr>
          <w:p w14:paraId="1F618847">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m</w:t>
            </w:r>
          </w:p>
        </w:tc>
        <w:tc>
          <w:tcPr>
            <w:tcW w:w="461" w:type="pct"/>
            <w:tcBorders>
              <w:tl2br w:val="nil"/>
              <w:tr2bl w:val="nil"/>
            </w:tcBorders>
            <w:shd w:val="clear" w:color="auto" w:fill="auto"/>
            <w:vAlign w:val="center"/>
          </w:tcPr>
          <w:p w14:paraId="71040D54">
            <w:pPr>
              <w:pStyle w:val="11"/>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rPr>
            </w:pPr>
            <w:r>
              <w:rPr>
                <w:rFonts w:hint="eastAsia" w:ascii="宋体" w:hAnsi="宋体" w:eastAsia="宋体" w:cs="宋体"/>
              </w:rPr>
              <w:t>9400</w:t>
            </w:r>
          </w:p>
        </w:tc>
      </w:tr>
    </w:tbl>
    <w:p w14:paraId="48C9524E">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2" w:firstLineChars="200"/>
        <w:textAlignment w:val="auto"/>
        <w:rPr>
          <w:rFonts w:hint="eastAsia" w:ascii="宋体" w:hAnsi="宋体" w:eastAsia="宋体" w:cs="宋体"/>
          <w:b/>
          <w:bCs/>
          <w:color w:val="000000"/>
          <w:sz w:val="24"/>
          <w:szCs w:val="24"/>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消防云服务</w:t>
      </w:r>
    </w:p>
    <w:p w14:paraId="246B1C3A">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1.消防物联网服务</w:t>
      </w:r>
    </w:p>
    <w:p w14:paraId="70408530">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rPr>
        <w:t>3年服务期内配套提供消防物联网设备，主要包括消防物联网信息网关、室内消火栓水压监测装置</w:t>
      </w:r>
      <w:r>
        <w:rPr>
          <w:rFonts w:hint="eastAsia" w:ascii="宋体" w:hAnsi="宋体" w:eastAsia="宋体" w:cs="宋体"/>
          <w:color w:val="000000"/>
          <w:szCs w:val="22"/>
          <w:lang w:eastAsia="zh-CN"/>
        </w:rPr>
        <w:t>、</w:t>
      </w:r>
      <w:r>
        <w:rPr>
          <w:rFonts w:hint="eastAsia" w:ascii="宋体" w:hAnsi="宋体" w:eastAsia="宋体" w:cs="宋体"/>
          <w:color w:val="000000"/>
          <w:szCs w:val="22"/>
          <w:lang w:val="en-US" w:eastAsia="zh-CN"/>
        </w:rPr>
        <w:t>喷淋末端水压监测装置、消防水池/水箱水位监测装置</w:t>
      </w:r>
      <w:r>
        <w:rPr>
          <w:rFonts w:hint="eastAsia" w:ascii="宋体" w:hAnsi="宋体" w:eastAsia="宋体" w:cs="宋体"/>
          <w:color w:val="000000"/>
          <w:szCs w:val="22"/>
        </w:rPr>
        <w:t>，通过消防物联网动态感知技术，</w:t>
      </w:r>
      <w:r>
        <w:rPr>
          <w:rFonts w:hint="eastAsia" w:ascii="宋体" w:hAnsi="宋体" w:eastAsia="宋体" w:cs="宋体"/>
          <w:color w:val="000000"/>
          <w:szCs w:val="22"/>
          <w:lang w:val="en-US" w:eastAsia="zh-CN"/>
        </w:rPr>
        <w:t>结合电子档案，</w:t>
      </w:r>
      <w:r>
        <w:rPr>
          <w:rFonts w:hint="eastAsia" w:ascii="宋体" w:hAnsi="宋体" w:eastAsia="宋体" w:cs="宋体"/>
          <w:color w:val="000000"/>
          <w:szCs w:val="22"/>
        </w:rPr>
        <w:t>实时获取单位火灾隐患信息和消防设施运行状态，对火灾发生和设施故障进行及时预警。</w:t>
      </w:r>
    </w:p>
    <w:p w14:paraId="58AFB5CC">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rPr>
        <w:t xml:space="preserve">（1）消防物联网信息网关 </w:t>
      </w:r>
    </w:p>
    <w:p w14:paraId="076BF521">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rPr>
        <w:t>利用消防物联网信息网关实时采集火灾报警主机的报警信息和运行状态信息，第一时间探测火警和故障隐患，及时通知消防安全管理人员报警和隐患信息，提高对火灾的响应速度和能力。消防物联网信息网关应支持4G或有线宽带传输。需在消控室的火灾报警主机处安装消防物联网信息网关。</w:t>
      </w:r>
    </w:p>
    <w:p w14:paraId="035C5B6D">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rPr>
        <w:t>（2）室内消火栓水压监测装置</w:t>
      </w:r>
    </w:p>
    <w:p w14:paraId="18C49D7D">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rPr>
        <w:t>在建筑室内消火栓安装水压监测</w:t>
      </w:r>
      <w:r>
        <w:rPr>
          <w:rFonts w:hint="eastAsia" w:ascii="宋体" w:hAnsi="宋体" w:eastAsia="宋体" w:cs="宋体"/>
          <w:color w:val="000000"/>
          <w:szCs w:val="22"/>
          <w:lang w:val="en-US" w:eastAsia="zh-CN"/>
        </w:rPr>
        <w:t>装置</w:t>
      </w:r>
      <w:r>
        <w:rPr>
          <w:rFonts w:hint="eastAsia" w:ascii="宋体" w:hAnsi="宋体" w:eastAsia="宋体" w:cs="宋体"/>
          <w:color w:val="000000"/>
          <w:szCs w:val="22"/>
        </w:rPr>
        <w:t>，传输消火栓管网压力数据</w:t>
      </w:r>
      <w:r>
        <w:rPr>
          <w:rFonts w:hint="eastAsia" w:ascii="宋体" w:hAnsi="宋体" w:eastAsia="宋体" w:cs="宋体"/>
          <w:color w:val="000000"/>
          <w:szCs w:val="22"/>
          <w:lang w:eastAsia="zh-CN"/>
        </w:rPr>
        <w:t>，</w:t>
      </w:r>
      <w:r>
        <w:rPr>
          <w:rFonts w:hint="eastAsia" w:ascii="宋体" w:hAnsi="宋体" w:eastAsia="宋体" w:cs="宋体"/>
          <w:color w:val="000000"/>
          <w:szCs w:val="22"/>
        </w:rPr>
        <w:t>需在建筑物室内消火栓供水管网的最不利点安装室内消火栓水压监测</w:t>
      </w:r>
      <w:r>
        <w:rPr>
          <w:rFonts w:hint="eastAsia" w:ascii="宋体" w:hAnsi="宋体" w:eastAsia="宋体" w:cs="宋体"/>
          <w:color w:val="000000"/>
          <w:szCs w:val="22"/>
          <w:lang w:val="en-US" w:eastAsia="zh-CN"/>
        </w:rPr>
        <w:t>装置</w:t>
      </w:r>
      <w:r>
        <w:rPr>
          <w:rFonts w:hint="eastAsia" w:ascii="宋体" w:hAnsi="宋体" w:eastAsia="宋体" w:cs="宋体"/>
          <w:color w:val="000000"/>
          <w:szCs w:val="22"/>
        </w:rPr>
        <w:t>。</w:t>
      </w:r>
    </w:p>
    <w:p w14:paraId="2CBB2FB2">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rPr>
        <w:t>（</w:t>
      </w:r>
      <w:r>
        <w:rPr>
          <w:rFonts w:hint="eastAsia" w:ascii="宋体" w:hAnsi="宋体" w:eastAsia="宋体" w:cs="宋体"/>
          <w:color w:val="000000"/>
          <w:szCs w:val="22"/>
          <w:lang w:val="en-US" w:eastAsia="zh-CN"/>
        </w:rPr>
        <w:t>3</w:t>
      </w:r>
      <w:r>
        <w:rPr>
          <w:rFonts w:hint="eastAsia" w:ascii="宋体" w:hAnsi="宋体" w:eastAsia="宋体" w:cs="宋体"/>
          <w:color w:val="000000"/>
          <w:szCs w:val="22"/>
        </w:rPr>
        <w:t>）</w:t>
      </w:r>
      <w:r>
        <w:rPr>
          <w:rFonts w:hint="eastAsia" w:ascii="宋体" w:hAnsi="宋体" w:eastAsia="宋体" w:cs="宋体"/>
          <w:color w:val="000000"/>
          <w:szCs w:val="22"/>
          <w:lang w:val="en-US" w:eastAsia="zh-CN"/>
        </w:rPr>
        <w:t>喷淋末端</w:t>
      </w:r>
      <w:r>
        <w:rPr>
          <w:rFonts w:hint="eastAsia" w:ascii="宋体" w:hAnsi="宋体" w:eastAsia="宋体" w:cs="宋体"/>
          <w:color w:val="000000"/>
          <w:szCs w:val="22"/>
        </w:rPr>
        <w:t>水压监测装置</w:t>
      </w:r>
    </w:p>
    <w:p w14:paraId="499E80DA">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rPr>
        <w:t>在建筑室内</w:t>
      </w:r>
      <w:r>
        <w:rPr>
          <w:rFonts w:hint="eastAsia" w:ascii="宋体" w:hAnsi="宋体" w:eastAsia="宋体" w:cs="宋体"/>
          <w:color w:val="000000"/>
          <w:szCs w:val="22"/>
          <w:lang w:val="en-US" w:eastAsia="zh-CN"/>
        </w:rPr>
        <w:t>喷淋系统</w:t>
      </w:r>
      <w:r>
        <w:rPr>
          <w:rFonts w:hint="eastAsia" w:ascii="宋体" w:hAnsi="宋体" w:eastAsia="宋体" w:cs="宋体"/>
          <w:color w:val="000000"/>
          <w:szCs w:val="22"/>
        </w:rPr>
        <w:t>安装水压监测</w:t>
      </w:r>
      <w:r>
        <w:rPr>
          <w:rFonts w:hint="eastAsia" w:ascii="宋体" w:hAnsi="宋体" w:eastAsia="宋体" w:cs="宋体"/>
          <w:color w:val="000000"/>
          <w:szCs w:val="22"/>
          <w:lang w:val="en-US" w:eastAsia="zh-CN"/>
        </w:rPr>
        <w:t>装置</w:t>
      </w:r>
      <w:r>
        <w:rPr>
          <w:rFonts w:hint="eastAsia" w:ascii="宋体" w:hAnsi="宋体" w:eastAsia="宋体" w:cs="宋体"/>
          <w:color w:val="000000"/>
          <w:szCs w:val="22"/>
        </w:rPr>
        <w:t>，传输</w:t>
      </w:r>
      <w:r>
        <w:rPr>
          <w:rFonts w:hint="eastAsia" w:ascii="宋体" w:hAnsi="宋体" w:eastAsia="宋体" w:cs="宋体"/>
          <w:color w:val="000000"/>
          <w:szCs w:val="22"/>
          <w:lang w:val="en-US" w:eastAsia="zh-CN"/>
        </w:rPr>
        <w:t>喷淋</w:t>
      </w:r>
      <w:r>
        <w:rPr>
          <w:rFonts w:hint="eastAsia" w:ascii="宋体" w:hAnsi="宋体" w:eastAsia="宋体" w:cs="宋体"/>
          <w:color w:val="000000"/>
          <w:szCs w:val="22"/>
        </w:rPr>
        <w:t>管网压力数据。需在建筑物</w:t>
      </w:r>
      <w:r>
        <w:rPr>
          <w:rFonts w:hint="eastAsia" w:ascii="宋体" w:hAnsi="宋体" w:eastAsia="宋体" w:cs="宋体"/>
          <w:color w:val="000000"/>
          <w:szCs w:val="22"/>
          <w:lang w:val="en-US" w:eastAsia="zh-CN"/>
        </w:rPr>
        <w:t>喷淋系统</w:t>
      </w:r>
      <w:r>
        <w:rPr>
          <w:rFonts w:hint="eastAsia" w:ascii="宋体" w:hAnsi="宋体" w:eastAsia="宋体" w:cs="宋体"/>
          <w:color w:val="000000"/>
          <w:szCs w:val="22"/>
        </w:rPr>
        <w:t>供水管网的</w:t>
      </w:r>
      <w:r>
        <w:rPr>
          <w:rFonts w:hint="eastAsia" w:ascii="宋体" w:hAnsi="宋体" w:eastAsia="宋体" w:cs="宋体"/>
          <w:color w:val="000000"/>
          <w:szCs w:val="22"/>
          <w:lang w:val="en-US" w:eastAsia="zh-CN"/>
        </w:rPr>
        <w:t>末端</w:t>
      </w:r>
      <w:r>
        <w:rPr>
          <w:rFonts w:hint="eastAsia" w:ascii="宋体" w:hAnsi="宋体" w:eastAsia="宋体" w:cs="宋体"/>
          <w:color w:val="000000"/>
          <w:szCs w:val="22"/>
        </w:rPr>
        <w:t>安装</w:t>
      </w:r>
      <w:r>
        <w:rPr>
          <w:rFonts w:hint="eastAsia" w:ascii="宋体" w:hAnsi="宋体" w:eastAsia="宋体" w:cs="宋体"/>
          <w:color w:val="000000"/>
          <w:szCs w:val="22"/>
          <w:lang w:val="en-US" w:eastAsia="zh-CN"/>
        </w:rPr>
        <w:t>喷淋末端</w:t>
      </w:r>
      <w:r>
        <w:rPr>
          <w:rFonts w:hint="eastAsia" w:ascii="宋体" w:hAnsi="宋体" w:eastAsia="宋体" w:cs="宋体"/>
          <w:color w:val="000000"/>
          <w:szCs w:val="22"/>
        </w:rPr>
        <w:t>水压监测</w:t>
      </w:r>
      <w:r>
        <w:rPr>
          <w:rFonts w:hint="eastAsia" w:ascii="宋体" w:hAnsi="宋体" w:eastAsia="宋体" w:cs="宋体"/>
          <w:color w:val="000000"/>
          <w:szCs w:val="22"/>
          <w:lang w:val="en-US" w:eastAsia="zh-CN"/>
        </w:rPr>
        <w:t>装置</w:t>
      </w:r>
      <w:r>
        <w:rPr>
          <w:rFonts w:hint="eastAsia" w:ascii="宋体" w:hAnsi="宋体" w:eastAsia="宋体" w:cs="宋体"/>
          <w:color w:val="000000"/>
          <w:szCs w:val="22"/>
        </w:rPr>
        <w:t>。</w:t>
      </w:r>
    </w:p>
    <w:p w14:paraId="22651E54">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rPr>
        <w:t>（</w:t>
      </w:r>
      <w:r>
        <w:rPr>
          <w:rFonts w:hint="eastAsia" w:ascii="宋体" w:hAnsi="宋体" w:eastAsia="宋体" w:cs="宋体"/>
          <w:color w:val="000000"/>
          <w:szCs w:val="22"/>
          <w:lang w:val="en-US" w:eastAsia="zh-CN"/>
        </w:rPr>
        <w:t>4</w:t>
      </w:r>
      <w:r>
        <w:rPr>
          <w:rFonts w:hint="eastAsia" w:ascii="宋体" w:hAnsi="宋体" w:eastAsia="宋体" w:cs="宋体"/>
          <w:color w:val="000000"/>
          <w:szCs w:val="22"/>
        </w:rPr>
        <w:t>）</w:t>
      </w:r>
      <w:r>
        <w:rPr>
          <w:rFonts w:hint="eastAsia" w:ascii="宋体" w:hAnsi="宋体" w:eastAsia="宋体" w:cs="宋体"/>
          <w:color w:val="000000"/>
          <w:szCs w:val="22"/>
          <w:lang w:val="en-US" w:eastAsia="zh-CN"/>
        </w:rPr>
        <w:t>消防水池/水箱水位</w:t>
      </w:r>
      <w:r>
        <w:rPr>
          <w:rFonts w:hint="eastAsia" w:ascii="宋体" w:hAnsi="宋体" w:eastAsia="宋体" w:cs="宋体"/>
          <w:color w:val="000000"/>
          <w:szCs w:val="22"/>
        </w:rPr>
        <w:t>监测装置</w:t>
      </w:r>
    </w:p>
    <w:p w14:paraId="1168DDAC">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lang w:val="en-US" w:eastAsia="zh-CN"/>
        </w:rPr>
        <w:t>在建筑的</w:t>
      </w:r>
      <w:r>
        <w:rPr>
          <w:rFonts w:hint="eastAsia" w:ascii="宋体" w:hAnsi="宋体" w:eastAsia="宋体" w:cs="宋体"/>
          <w:color w:val="000000"/>
          <w:szCs w:val="22"/>
        </w:rPr>
        <w:t>消防水箱、消防水池</w:t>
      </w:r>
      <w:r>
        <w:rPr>
          <w:rFonts w:hint="eastAsia" w:ascii="宋体" w:hAnsi="宋体" w:eastAsia="宋体" w:cs="宋体"/>
          <w:color w:val="000000"/>
          <w:szCs w:val="22"/>
          <w:lang w:val="en-US" w:eastAsia="zh-CN"/>
        </w:rPr>
        <w:t>内安装消防水池/水箱水位监测装置，安装位置需避开进水口等湍流区，且便于观察、不受干扰，确保实时监测、高低水位报警功能正常。</w:t>
      </w:r>
    </w:p>
    <w:p w14:paraId="4E766684">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rPr>
        <w:t>（</w:t>
      </w:r>
      <w:r>
        <w:rPr>
          <w:rFonts w:hint="eastAsia" w:ascii="宋体" w:hAnsi="宋体" w:eastAsia="宋体" w:cs="宋体"/>
          <w:color w:val="000000"/>
          <w:szCs w:val="22"/>
          <w:lang w:val="en-US" w:eastAsia="zh-CN"/>
        </w:rPr>
        <w:t>5</w:t>
      </w:r>
      <w:r>
        <w:rPr>
          <w:rFonts w:hint="eastAsia" w:ascii="宋体" w:hAnsi="宋体" w:eastAsia="宋体" w:cs="宋体"/>
          <w:color w:val="000000"/>
          <w:szCs w:val="22"/>
        </w:rPr>
        <w:t>）电子档案</w:t>
      </w:r>
    </w:p>
    <w:p w14:paraId="6BA4EC90">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rPr>
        <w:t>采集</w:t>
      </w:r>
      <w:r>
        <w:rPr>
          <w:rFonts w:hint="eastAsia" w:ascii="宋体" w:hAnsi="宋体" w:eastAsia="宋体" w:cs="宋体"/>
          <w:color w:val="000000"/>
          <w:szCs w:val="22"/>
          <w:lang w:val="en-US" w:eastAsia="zh-CN"/>
        </w:rPr>
        <w:t>电子档案基础</w:t>
      </w:r>
      <w:r>
        <w:rPr>
          <w:rFonts w:hint="eastAsia" w:ascii="宋体" w:hAnsi="宋体" w:eastAsia="宋体" w:cs="宋体"/>
          <w:color w:val="000000"/>
          <w:szCs w:val="22"/>
        </w:rPr>
        <w:t>信息</w:t>
      </w:r>
      <w:r>
        <w:rPr>
          <w:rFonts w:hint="eastAsia" w:ascii="宋体" w:hAnsi="宋体" w:eastAsia="宋体" w:cs="宋体"/>
          <w:color w:val="000000"/>
          <w:szCs w:val="22"/>
          <w:lang w:val="en-US" w:eastAsia="zh-CN"/>
        </w:rPr>
        <w:t>并</w:t>
      </w:r>
      <w:r>
        <w:rPr>
          <w:rFonts w:hint="eastAsia" w:ascii="宋体" w:hAnsi="宋体" w:eastAsia="宋体" w:cs="宋体"/>
          <w:color w:val="000000"/>
          <w:szCs w:val="22"/>
        </w:rPr>
        <w:t>导入消防云平台，</w:t>
      </w:r>
      <w:r>
        <w:rPr>
          <w:rFonts w:hint="eastAsia" w:ascii="宋体" w:hAnsi="宋体" w:eastAsia="宋体" w:cs="宋体"/>
          <w:color w:val="000000"/>
          <w:szCs w:val="22"/>
          <w:lang w:val="en-US" w:eastAsia="zh-CN"/>
        </w:rPr>
        <w:t>信息应</w:t>
      </w:r>
      <w:r>
        <w:rPr>
          <w:rFonts w:hint="eastAsia" w:ascii="宋体" w:hAnsi="宋体" w:eastAsia="宋体" w:cs="宋体"/>
          <w:color w:val="000000"/>
          <w:szCs w:val="22"/>
        </w:rPr>
        <w:t>包含：</w:t>
      </w:r>
    </w:p>
    <w:p w14:paraId="35DC1FED">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rPr>
        <w:t>1</w:t>
      </w:r>
      <w:r>
        <w:rPr>
          <w:rFonts w:hint="eastAsia" w:ascii="宋体" w:hAnsi="宋体" w:eastAsia="宋体" w:cs="宋体"/>
          <w:color w:val="000000"/>
          <w:szCs w:val="22"/>
          <w:lang w:eastAsia="zh-CN"/>
        </w:rPr>
        <w:t>）</w:t>
      </w:r>
      <w:r>
        <w:rPr>
          <w:rFonts w:hint="eastAsia" w:ascii="宋体" w:hAnsi="宋体" w:eastAsia="宋体" w:cs="宋体"/>
          <w:color w:val="000000"/>
          <w:szCs w:val="22"/>
        </w:rPr>
        <w:t>单位名称、单位地址、占地面积、总建筑面积、消防安全责任人、消防安全责任人联系方式、消防安全管理人、消防安全管理人联系方式。</w:t>
      </w:r>
    </w:p>
    <w:p w14:paraId="45021375">
      <w:pPr>
        <w:pStyle w:val="10"/>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000000"/>
          <w:szCs w:val="22"/>
        </w:rPr>
      </w:pPr>
      <w:r>
        <w:rPr>
          <w:rFonts w:hint="eastAsia" w:ascii="宋体" w:hAnsi="宋体" w:eastAsia="宋体" w:cs="宋体"/>
          <w:color w:val="000000"/>
          <w:szCs w:val="22"/>
        </w:rPr>
        <w:t>2</w:t>
      </w:r>
      <w:r>
        <w:rPr>
          <w:rFonts w:hint="eastAsia" w:ascii="宋体" w:hAnsi="宋体" w:eastAsia="宋体" w:cs="宋体"/>
          <w:color w:val="000000"/>
          <w:szCs w:val="22"/>
          <w:lang w:eastAsia="zh-CN"/>
        </w:rPr>
        <w:t>）</w:t>
      </w:r>
      <w:r>
        <w:rPr>
          <w:rFonts w:hint="eastAsia" w:ascii="宋体" w:hAnsi="宋体" w:eastAsia="宋体" w:cs="宋体"/>
          <w:color w:val="000000"/>
          <w:szCs w:val="22"/>
        </w:rPr>
        <w:t>主机信息编码表：采集每台主机的设备类型、设备地址、回路、点位或二次码信息。</w:t>
      </w:r>
    </w:p>
    <w:p w14:paraId="2C4AEBD9">
      <w:pPr>
        <w:pStyle w:val="10"/>
        <w:keepNext w:val="0"/>
        <w:keepLines w:val="0"/>
        <w:pageBreakBefore w:val="0"/>
        <w:widowControl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000000"/>
          <w:szCs w:val="22"/>
        </w:rPr>
      </w:pPr>
      <w:r>
        <w:rPr>
          <w:rFonts w:hint="eastAsia" w:ascii="宋体" w:hAnsi="宋体" w:eastAsia="宋体" w:cs="宋体"/>
          <w:b/>
          <w:bCs/>
          <w:color w:val="000000"/>
          <w:szCs w:val="22"/>
          <w:lang w:eastAsia="zh-CN"/>
        </w:rPr>
        <w:t>（</w:t>
      </w:r>
      <w:r>
        <w:rPr>
          <w:rFonts w:hint="eastAsia" w:ascii="宋体" w:hAnsi="宋体" w:eastAsia="宋体" w:cs="宋体"/>
          <w:b/>
          <w:bCs/>
          <w:color w:val="000000"/>
          <w:szCs w:val="22"/>
          <w:lang w:val="en-US" w:eastAsia="zh-CN"/>
        </w:rPr>
        <w:t>6</w:t>
      </w:r>
      <w:r>
        <w:rPr>
          <w:rFonts w:hint="eastAsia" w:ascii="宋体" w:hAnsi="宋体" w:eastAsia="宋体" w:cs="宋体"/>
          <w:b/>
          <w:bCs/>
          <w:color w:val="000000"/>
          <w:szCs w:val="22"/>
          <w:lang w:eastAsia="zh-CN"/>
        </w:rPr>
        <w:t>）</w:t>
      </w:r>
      <w:r>
        <w:rPr>
          <w:rFonts w:hint="eastAsia" w:ascii="宋体" w:hAnsi="宋体" w:eastAsia="宋体" w:cs="宋体"/>
          <w:b/>
          <w:bCs/>
          <w:color w:val="000000"/>
          <w:szCs w:val="22"/>
        </w:rPr>
        <w:t>消防物联网设备具体</w:t>
      </w:r>
      <w:r>
        <w:rPr>
          <w:rFonts w:hint="eastAsia" w:ascii="宋体" w:hAnsi="宋体" w:eastAsia="宋体" w:cs="宋体"/>
          <w:b/>
          <w:bCs/>
          <w:color w:val="000000"/>
          <w:szCs w:val="22"/>
          <w:lang w:val="en-US" w:eastAsia="zh-CN"/>
        </w:rPr>
        <w:t>参数要求</w:t>
      </w:r>
      <w:r>
        <w:rPr>
          <w:rFonts w:hint="eastAsia" w:ascii="宋体" w:hAnsi="宋体" w:eastAsia="宋体" w:cs="宋体"/>
          <w:b/>
          <w:bCs/>
          <w:color w:val="000000"/>
          <w:szCs w:val="22"/>
        </w:rPr>
        <w:t>如下：</w:t>
      </w:r>
    </w:p>
    <w:p w14:paraId="77398EDD">
      <w:pPr>
        <w:pStyle w:val="10"/>
        <w:keepNext w:val="0"/>
        <w:keepLines w:val="0"/>
        <w:pageBreakBefore w:val="0"/>
        <w:widowControl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sz w:val="24"/>
          <w:szCs w:val="18"/>
          <w:highlight w:val="none"/>
          <w:lang w:val="en-US" w:eastAsia="zh-CN"/>
        </w:rPr>
      </w:pPr>
      <w:r>
        <w:rPr>
          <w:rFonts w:hint="eastAsia" w:asciiTheme="minorEastAsia" w:hAnsiTheme="minorEastAsia" w:eastAsiaTheme="minorEastAsia"/>
          <w:b/>
          <w:bCs/>
          <w:sz w:val="24"/>
          <w:szCs w:val="18"/>
          <w:highlight w:val="none"/>
          <w:lang w:val="en-US" w:eastAsia="zh-CN"/>
        </w:rPr>
        <w:t>1）货物指标重要性表述</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1956"/>
        <w:gridCol w:w="2066"/>
        <w:gridCol w:w="1989"/>
      </w:tblGrid>
      <w:tr w14:paraId="2CEDF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1" w:type="dxa"/>
            <w:noWrap w:val="0"/>
            <w:vAlign w:val="top"/>
          </w:tcPr>
          <w:p w14:paraId="5A754615">
            <w:pPr>
              <w:widowControl w:val="0"/>
              <w:snapToGrid w:val="0"/>
              <w:spacing w:line="360" w:lineRule="auto"/>
              <w:jc w:val="center"/>
              <w:outlineLvl w:val="0"/>
              <w:rPr>
                <w:rStyle w:val="14"/>
                <w:rFonts w:hint="eastAsia" w:ascii="宋体" w:hAnsi="宋体" w:eastAsia="宋体" w:cs="宋体"/>
                <w:b/>
                <w:color w:val="auto"/>
                <w:sz w:val="24"/>
                <w:szCs w:val="18"/>
                <w:highlight w:val="none"/>
                <w:vertAlign w:val="baseline"/>
              </w:rPr>
            </w:pPr>
            <w:r>
              <w:rPr>
                <w:rStyle w:val="14"/>
                <w:rFonts w:hint="eastAsia" w:ascii="宋体" w:hAnsi="宋体" w:eastAsia="宋体" w:cs="宋体"/>
                <w:b/>
                <w:color w:val="auto"/>
                <w:sz w:val="24"/>
                <w:szCs w:val="18"/>
                <w:highlight w:val="none"/>
                <w:vertAlign w:val="baseline"/>
              </w:rPr>
              <w:t>标识重要性</w:t>
            </w:r>
          </w:p>
        </w:tc>
        <w:tc>
          <w:tcPr>
            <w:tcW w:w="1956" w:type="dxa"/>
            <w:noWrap w:val="0"/>
            <w:vAlign w:val="top"/>
          </w:tcPr>
          <w:p w14:paraId="5B296DF4">
            <w:pPr>
              <w:widowControl w:val="0"/>
              <w:snapToGrid w:val="0"/>
              <w:spacing w:line="360" w:lineRule="auto"/>
              <w:jc w:val="center"/>
              <w:outlineLvl w:val="0"/>
              <w:rPr>
                <w:rStyle w:val="14"/>
                <w:rFonts w:hint="eastAsia" w:ascii="宋体" w:hAnsi="宋体" w:eastAsia="宋体" w:cs="宋体"/>
                <w:b/>
                <w:color w:val="auto"/>
                <w:sz w:val="24"/>
                <w:szCs w:val="18"/>
                <w:highlight w:val="none"/>
                <w:vertAlign w:val="baseline"/>
              </w:rPr>
            </w:pPr>
            <w:r>
              <w:rPr>
                <w:rStyle w:val="14"/>
                <w:rFonts w:hint="eastAsia" w:ascii="宋体" w:hAnsi="宋体" w:eastAsia="宋体" w:cs="宋体"/>
                <w:b/>
                <w:color w:val="auto"/>
                <w:sz w:val="24"/>
                <w:szCs w:val="18"/>
                <w:highlight w:val="none"/>
                <w:vertAlign w:val="baseline"/>
              </w:rPr>
              <w:t>标识</w:t>
            </w:r>
          </w:p>
        </w:tc>
        <w:tc>
          <w:tcPr>
            <w:tcW w:w="2066" w:type="dxa"/>
            <w:noWrap w:val="0"/>
            <w:vAlign w:val="top"/>
          </w:tcPr>
          <w:p w14:paraId="3E1A39CD">
            <w:pPr>
              <w:widowControl w:val="0"/>
              <w:snapToGrid w:val="0"/>
              <w:spacing w:line="360" w:lineRule="auto"/>
              <w:jc w:val="center"/>
              <w:outlineLvl w:val="0"/>
              <w:rPr>
                <w:rStyle w:val="14"/>
                <w:rFonts w:hint="eastAsia" w:ascii="宋体" w:hAnsi="宋体" w:eastAsia="宋体" w:cs="宋体"/>
                <w:b/>
                <w:color w:val="auto"/>
                <w:sz w:val="24"/>
                <w:szCs w:val="18"/>
                <w:highlight w:val="none"/>
                <w:vertAlign w:val="baseline"/>
              </w:rPr>
            </w:pPr>
            <w:r>
              <w:rPr>
                <w:rStyle w:val="14"/>
                <w:rFonts w:hint="eastAsia" w:ascii="宋体" w:hAnsi="宋体" w:eastAsia="宋体" w:cs="宋体"/>
                <w:b/>
                <w:color w:val="auto"/>
                <w:sz w:val="24"/>
                <w:szCs w:val="18"/>
                <w:highlight w:val="none"/>
                <w:vertAlign w:val="baseline"/>
              </w:rPr>
              <w:t>评审要求</w:t>
            </w:r>
          </w:p>
        </w:tc>
        <w:tc>
          <w:tcPr>
            <w:tcW w:w="1989" w:type="dxa"/>
            <w:noWrap w:val="0"/>
            <w:vAlign w:val="top"/>
          </w:tcPr>
          <w:p w14:paraId="4A9D8CFF">
            <w:pPr>
              <w:widowControl w:val="0"/>
              <w:snapToGrid w:val="0"/>
              <w:spacing w:line="360" w:lineRule="auto"/>
              <w:jc w:val="center"/>
              <w:outlineLvl w:val="0"/>
              <w:rPr>
                <w:rStyle w:val="14"/>
                <w:rFonts w:hint="eastAsia" w:ascii="宋体" w:hAnsi="宋体" w:eastAsia="宋体" w:cs="宋体"/>
                <w:b/>
                <w:color w:val="auto"/>
                <w:sz w:val="24"/>
                <w:szCs w:val="18"/>
                <w:highlight w:val="none"/>
                <w:vertAlign w:val="baseline"/>
              </w:rPr>
            </w:pPr>
            <w:r>
              <w:rPr>
                <w:rStyle w:val="14"/>
                <w:rFonts w:hint="eastAsia" w:ascii="宋体" w:hAnsi="宋体" w:eastAsia="宋体" w:cs="宋体"/>
                <w:b/>
                <w:color w:val="auto"/>
                <w:sz w:val="24"/>
                <w:szCs w:val="18"/>
                <w:highlight w:val="none"/>
                <w:vertAlign w:val="baseline"/>
              </w:rPr>
              <w:t>备注</w:t>
            </w:r>
          </w:p>
        </w:tc>
      </w:tr>
      <w:tr w14:paraId="5511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1" w:type="dxa"/>
            <w:noWrap w:val="0"/>
            <w:vAlign w:val="center"/>
          </w:tcPr>
          <w:p w14:paraId="7E87C385">
            <w:pPr>
              <w:widowControl w:val="0"/>
              <w:snapToGrid w:val="0"/>
              <w:spacing w:line="360" w:lineRule="auto"/>
              <w:jc w:val="center"/>
              <w:outlineLvl w:val="0"/>
              <w:rPr>
                <w:rStyle w:val="14"/>
                <w:rFonts w:hint="eastAsia" w:ascii="宋体" w:hAnsi="宋体" w:eastAsia="宋体" w:cs="宋体"/>
                <w:b/>
                <w:color w:val="auto"/>
                <w:sz w:val="24"/>
                <w:szCs w:val="18"/>
                <w:highlight w:val="none"/>
                <w:vertAlign w:val="baseline"/>
                <w:lang w:val="en-US" w:eastAsia="zh-CN"/>
              </w:rPr>
            </w:pPr>
            <w:r>
              <w:rPr>
                <w:rFonts w:hint="eastAsia" w:ascii="宋体" w:hAnsi="宋体" w:eastAsia="宋体" w:cs="宋体"/>
                <w:b/>
                <w:color w:val="auto"/>
                <w:sz w:val="24"/>
                <w:highlight w:val="none"/>
                <w:lang w:val="en-US" w:eastAsia="zh-CN"/>
              </w:rPr>
              <w:t>重要指标项</w:t>
            </w:r>
          </w:p>
        </w:tc>
        <w:tc>
          <w:tcPr>
            <w:tcW w:w="1956" w:type="dxa"/>
            <w:noWrap w:val="0"/>
            <w:vAlign w:val="center"/>
          </w:tcPr>
          <w:p w14:paraId="49C91B96">
            <w:pPr>
              <w:widowControl w:val="0"/>
              <w:snapToGrid w:val="0"/>
              <w:spacing w:line="360" w:lineRule="auto"/>
              <w:jc w:val="center"/>
              <w:outlineLvl w:val="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w:t>
            </w:r>
          </w:p>
        </w:tc>
        <w:tc>
          <w:tcPr>
            <w:tcW w:w="2066" w:type="dxa"/>
            <w:noWrap w:val="0"/>
            <w:vAlign w:val="top"/>
          </w:tcPr>
          <w:p w14:paraId="7E4631D3">
            <w:pPr>
              <w:widowControl w:val="0"/>
              <w:snapToGrid w:val="0"/>
              <w:spacing w:line="360" w:lineRule="auto"/>
              <w:jc w:val="center"/>
              <w:outlineLvl w:val="0"/>
              <w:rPr>
                <w:rFonts w:hint="eastAsia" w:ascii="宋体" w:hAnsi="宋体" w:eastAsia="宋体" w:cs="宋体"/>
                <w:b/>
                <w:color w:val="auto"/>
                <w:sz w:val="24"/>
                <w:highlight w:val="none"/>
              </w:rPr>
            </w:pPr>
            <w:r>
              <w:rPr>
                <w:rFonts w:hint="eastAsia" w:ascii="宋体" w:hAnsi="宋体" w:eastAsia="宋体" w:cs="宋体"/>
                <w:b w:val="0"/>
                <w:bCs/>
                <w:color w:val="auto"/>
                <w:sz w:val="24"/>
                <w:highlight w:val="none"/>
                <w:lang w:val="en-US" w:eastAsia="zh-CN"/>
              </w:rPr>
              <w:t>评分项，详见评分细则</w:t>
            </w:r>
          </w:p>
        </w:tc>
        <w:tc>
          <w:tcPr>
            <w:tcW w:w="1989" w:type="dxa"/>
            <w:noWrap w:val="0"/>
            <w:vAlign w:val="top"/>
          </w:tcPr>
          <w:p w14:paraId="2B8942EB">
            <w:pPr>
              <w:widowControl w:val="0"/>
              <w:snapToGrid w:val="0"/>
              <w:spacing w:line="360" w:lineRule="auto"/>
              <w:jc w:val="center"/>
              <w:outlineLvl w:val="0"/>
              <w:rPr>
                <w:rFonts w:hint="eastAsia" w:ascii="宋体" w:hAnsi="宋体" w:eastAsia="宋体" w:cs="宋体"/>
                <w:b/>
                <w:color w:val="auto"/>
                <w:sz w:val="24"/>
                <w:highlight w:val="none"/>
              </w:rPr>
            </w:pPr>
          </w:p>
        </w:tc>
      </w:tr>
      <w:tr w14:paraId="19D0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1" w:type="dxa"/>
            <w:noWrap w:val="0"/>
            <w:vAlign w:val="center"/>
          </w:tcPr>
          <w:p w14:paraId="54AD9F5E">
            <w:pPr>
              <w:widowControl w:val="0"/>
              <w:snapToGrid w:val="0"/>
              <w:spacing w:line="360" w:lineRule="auto"/>
              <w:jc w:val="center"/>
              <w:outlineLvl w:val="0"/>
              <w:rPr>
                <w:rStyle w:val="14"/>
                <w:rFonts w:hint="eastAsia" w:ascii="宋体" w:hAnsi="宋体" w:eastAsia="宋体" w:cs="宋体"/>
                <w:b/>
                <w:color w:val="auto"/>
                <w:sz w:val="24"/>
                <w:szCs w:val="18"/>
                <w:highlight w:val="none"/>
                <w:vertAlign w:val="baseline"/>
                <w:lang w:val="en-US" w:eastAsia="zh-CN"/>
              </w:rPr>
            </w:pPr>
            <w:r>
              <w:rPr>
                <w:rStyle w:val="14"/>
                <w:rFonts w:hint="eastAsia" w:ascii="宋体" w:hAnsi="宋体" w:eastAsia="宋体" w:cs="宋体"/>
                <w:b/>
                <w:color w:val="auto"/>
                <w:sz w:val="24"/>
                <w:szCs w:val="18"/>
                <w:highlight w:val="none"/>
                <w:vertAlign w:val="baseline"/>
                <w:lang w:val="en-US" w:eastAsia="zh-CN"/>
              </w:rPr>
              <w:t>无标识项</w:t>
            </w:r>
          </w:p>
        </w:tc>
        <w:tc>
          <w:tcPr>
            <w:tcW w:w="6011" w:type="dxa"/>
            <w:gridSpan w:val="3"/>
            <w:noWrap w:val="0"/>
            <w:vAlign w:val="center"/>
          </w:tcPr>
          <w:p w14:paraId="436114DB">
            <w:pPr>
              <w:keepNext w:val="0"/>
              <w:keepLines w:val="0"/>
              <w:widowControl/>
              <w:suppressLineNumbers w:val="0"/>
              <w:spacing w:line="360" w:lineRule="auto"/>
              <w:jc w:val="left"/>
              <w:rPr>
                <w:rFonts w:hint="eastAsia" w:ascii="宋体" w:hAnsi="宋体" w:eastAsia="宋体" w:cs="宋体"/>
                <w:b/>
                <w:bCs/>
                <w:color w:val="000000"/>
                <w:kern w:val="0"/>
                <w:sz w:val="24"/>
                <w:szCs w:val="24"/>
                <w:highlight w:val="none"/>
                <w:lang w:val="en-US" w:eastAsia="zh-CN" w:bidi="ar"/>
              </w:rPr>
            </w:pPr>
            <w:r>
              <w:rPr>
                <w:rFonts w:hint="eastAsia" w:ascii="宋体" w:hAnsi="宋体" w:cs="宋体"/>
                <w:b/>
                <w:bCs/>
                <w:color w:val="000000"/>
                <w:kern w:val="0"/>
                <w:sz w:val="24"/>
                <w:szCs w:val="24"/>
                <w:highlight w:val="none"/>
                <w:lang w:val="en-US" w:eastAsia="zh-CN" w:bidi="ar"/>
              </w:rPr>
              <w:t>1.</w:t>
            </w:r>
            <w:r>
              <w:rPr>
                <w:rFonts w:hint="eastAsia" w:ascii="宋体" w:hAnsi="宋体" w:eastAsia="宋体" w:cs="宋体"/>
                <w:b/>
                <w:bCs/>
                <w:color w:val="000000"/>
                <w:kern w:val="0"/>
                <w:sz w:val="24"/>
                <w:szCs w:val="24"/>
                <w:highlight w:val="none"/>
                <w:lang w:val="en-US" w:eastAsia="zh-CN" w:bidi="ar"/>
              </w:rPr>
              <w:t>供应商须在响应文件中提供承诺，承诺无标识项完全满足采购文件要求，如履约验收期间所投产品不满足采购文件要求，采购人有权追究成交供应商违约责任，成交供应商承担相应违约责任（承诺函格式详见响应文件格式）。响应文件中未提供相应承诺或承诺的内容不满足要求的，响应无效。</w:t>
            </w:r>
          </w:p>
          <w:p w14:paraId="344ED063">
            <w:pPr>
              <w:keepNext w:val="0"/>
              <w:keepLines w:val="0"/>
              <w:widowControl/>
              <w:suppressLineNumbers w:val="0"/>
              <w:spacing w:line="360" w:lineRule="auto"/>
              <w:jc w:val="left"/>
              <w:rPr>
                <w:rFonts w:hint="eastAsia" w:ascii="宋体" w:hAnsi="宋体" w:eastAsia="宋体" w:cs="宋体"/>
                <w:b/>
                <w:bCs/>
                <w:color w:val="000000"/>
                <w:kern w:val="0"/>
                <w:sz w:val="24"/>
                <w:szCs w:val="24"/>
                <w:highlight w:val="none"/>
                <w:lang w:val="en-US" w:eastAsia="zh-CN" w:bidi="ar"/>
              </w:rPr>
            </w:pPr>
            <w:r>
              <w:rPr>
                <w:rFonts w:hint="eastAsia" w:ascii="宋体" w:hAnsi="宋体" w:eastAsia="宋体" w:cs="宋体"/>
                <w:b/>
                <w:bCs/>
                <w:sz w:val="24"/>
                <w:szCs w:val="24"/>
                <w:highlight w:val="none"/>
              </w:rPr>
              <w:t>2</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同时须在响应表中对所有无标识项技术参数进行响应（不允许负偏离）。</w:t>
            </w:r>
          </w:p>
        </w:tc>
      </w:tr>
    </w:tbl>
    <w:p w14:paraId="1B991D6B">
      <w:pPr>
        <w:pStyle w:val="10"/>
        <w:keepNext w:val="0"/>
        <w:keepLines w:val="0"/>
        <w:pageBreakBefore w:val="0"/>
        <w:widowControl w:val="0"/>
        <w:kinsoku/>
        <w:wordWrap/>
        <w:overflowPunct/>
        <w:topLinePunct w:val="0"/>
        <w:autoSpaceDE/>
        <w:autoSpaceDN/>
        <w:bidi w:val="0"/>
        <w:adjustRightInd/>
        <w:snapToGrid/>
        <w:spacing w:line="460" w:lineRule="exact"/>
        <w:ind w:left="0" w:leftChars="0" w:firstLine="482" w:firstLineChars="200"/>
        <w:textAlignment w:val="auto"/>
        <w:rPr>
          <w:rFonts w:hint="default" w:ascii="宋体" w:hAnsi="宋体" w:eastAsia="宋体" w:cs="宋体"/>
          <w:b/>
          <w:bCs/>
          <w:color w:val="000000"/>
          <w:szCs w:val="22"/>
          <w:highlight w:val="none"/>
          <w:lang w:val="en-US" w:eastAsia="zh-CN"/>
        </w:rPr>
      </w:pPr>
      <w:r>
        <w:rPr>
          <w:rFonts w:hint="eastAsia" w:ascii="宋体" w:hAnsi="宋体" w:eastAsia="宋体" w:cs="宋体"/>
          <w:b/>
          <w:bCs/>
          <w:color w:val="000000"/>
          <w:szCs w:val="22"/>
          <w:highlight w:val="none"/>
          <w:lang w:val="en-US" w:eastAsia="zh-CN"/>
        </w:rPr>
        <w:t>2）货物需求</w:t>
      </w:r>
    </w:p>
    <w:tbl>
      <w:tblPr>
        <w:tblStyle w:val="7"/>
        <w:tblW w:w="4998" w:type="pct"/>
        <w:tblInd w:w="0" w:type="dxa"/>
        <w:tblLayout w:type="autofit"/>
        <w:tblCellMar>
          <w:top w:w="0" w:type="dxa"/>
          <w:left w:w="108" w:type="dxa"/>
          <w:bottom w:w="0" w:type="dxa"/>
          <w:right w:w="108" w:type="dxa"/>
        </w:tblCellMar>
      </w:tblPr>
      <w:tblGrid>
        <w:gridCol w:w="716"/>
        <w:gridCol w:w="1208"/>
        <w:gridCol w:w="983"/>
        <w:gridCol w:w="1165"/>
        <w:gridCol w:w="4447"/>
      </w:tblGrid>
      <w:tr w14:paraId="1184C1C2">
        <w:tblPrEx>
          <w:tblCellMar>
            <w:top w:w="0" w:type="dxa"/>
            <w:left w:w="108" w:type="dxa"/>
            <w:bottom w:w="0" w:type="dxa"/>
            <w:right w:w="108" w:type="dxa"/>
          </w:tblCellMar>
        </w:tblPrEx>
        <w:trPr>
          <w:trHeight w:val="280"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45EE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序号</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0CD1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名称</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2C7E5">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单位</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0D64E">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数量</w:t>
            </w:r>
          </w:p>
        </w:tc>
        <w:tc>
          <w:tcPr>
            <w:tcW w:w="2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13F0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规格及参数要求</w:t>
            </w:r>
          </w:p>
        </w:tc>
      </w:tr>
      <w:tr w14:paraId="03C826B8">
        <w:tblPrEx>
          <w:tblCellMar>
            <w:top w:w="0" w:type="dxa"/>
            <w:left w:w="108" w:type="dxa"/>
            <w:bottom w:w="0" w:type="dxa"/>
            <w:right w:w="108" w:type="dxa"/>
          </w:tblCellMar>
        </w:tblPrEx>
        <w:trPr>
          <w:trHeight w:val="350"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EC39">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0F740">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消防物联网信息网关</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86C74">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台</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770CF">
            <w:pPr>
              <w:widowControl/>
              <w:jc w:val="center"/>
              <w:textAlignment w:val="center"/>
              <w:rPr>
                <w:rFonts w:hint="eastAsia" w:ascii="宋体" w:hAnsi="宋体" w:eastAsia="宋体" w:cs="宋体"/>
                <w:color w:val="000000"/>
                <w:sz w:val="24"/>
                <w:szCs w:val="24"/>
                <w:highlight w:val="none"/>
                <w:lang w:eastAsia="zh-CN"/>
              </w:rPr>
            </w:pPr>
            <w:r>
              <w:rPr>
                <w:rFonts w:hint="eastAsia" w:ascii="宋体" w:hAnsi="宋体" w:eastAsia="宋体" w:cs="宋体"/>
                <w:color w:val="000000"/>
                <w:kern w:val="0"/>
                <w:sz w:val="24"/>
                <w:szCs w:val="24"/>
                <w:highlight w:val="none"/>
                <w:lang w:val="en-US" w:eastAsia="zh-CN" w:bidi="ar"/>
              </w:rPr>
              <w:t>1</w:t>
            </w:r>
          </w:p>
        </w:tc>
        <w:tc>
          <w:tcPr>
            <w:tcW w:w="2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04A6C">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实时采集单位火灾报警主机系统的报警信息和运行状态信息，第一时间探测火警和故障隐患</w:t>
            </w:r>
          </w:p>
          <w:p w14:paraId="5DEDA69C">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1、需支持有线+4G等多种模式信息上传方式，通信模式动态自适应；</w:t>
            </w:r>
          </w:p>
          <w:p w14:paraId="04C2F869">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2、存储各类信息不小于5000条，信息掉电不丢失，支持数据断网续传；</w:t>
            </w:r>
          </w:p>
          <w:p w14:paraId="14FAB35E">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3、多种主机接口形式，不少于2个RS232接口，1个RS485接口，1个CAN接口；</w:t>
            </w:r>
          </w:p>
          <w:p w14:paraId="13281129">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4、需支持远程查岗和手动报警按键，值班人员可通过按键快速确认警情或手动上报警情；</w:t>
            </w:r>
          </w:p>
          <w:p w14:paraId="34F54182">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5、DI接口≥4路，DO接口≥1；</w:t>
            </w:r>
          </w:p>
          <w:p w14:paraId="38F2EBDA">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6、220V（主电）和直流电（备电），主备电源自动切换；</w:t>
            </w:r>
          </w:p>
          <w:p w14:paraId="4982F6E2">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7、需支持远程维护：包括远程升级、远程调试、远程上传文件、下载文件、OTA固件升级等功能；</w:t>
            </w:r>
          </w:p>
          <w:p w14:paraId="47E4202E">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8、本地支持WEB登录、WEB配置应用，并能通过WEB端实现本地调试、上传、下载文件等功能；</w:t>
            </w:r>
          </w:p>
          <w:p w14:paraId="18C1311B">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9、需支持多协议动态接入、实现主机通信协议动态切换、升级等功能；</w:t>
            </w:r>
          </w:p>
          <w:p w14:paraId="7943B01D">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10、支持1路DC5V输出；</w:t>
            </w:r>
          </w:p>
          <w:p w14:paraId="6BB3D102">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11、支持不少于1路USB接口，实现本地优盘升级功能；</w:t>
            </w:r>
          </w:p>
          <w:p w14:paraId="09C806C6">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★12、支持不少于300种火灾报警主机协议解析；</w:t>
            </w:r>
            <w:r>
              <w:rPr>
                <w:rFonts w:ascii="宋体" w:hAnsi="宋体" w:cs="宋体"/>
                <w:b/>
                <w:bCs/>
                <w:sz w:val="24"/>
                <w:highlight w:val="none"/>
              </w:rPr>
              <w:t>（合同签订后在生产或验收环节提供第三方检测机构出具的检测报告供采购人核查）</w:t>
            </w:r>
          </w:p>
          <w:p w14:paraId="2676EBC3">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13、单台设备支持接入不少于3台火灾报警主机；</w:t>
            </w:r>
          </w:p>
          <w:p w14:paraId="1C611AD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★14、支持与主流火灾报警主机通讯线路故障诊断功能。</w:t>
            </w:r>
            <w:r>
              <w:rPr>
                <w:rFonts w:ascii="宋体" w:hAnsi="宋体" w:cs="宋体"/>
                <w:b/>
                <w:bCs/>
                <w:sz w:val="24"/>
                <w:highlight w:val="none"/>
              </w:rPr>
              <w:t>（合同签订后在生产或验收环节提供第三方检测机构出具的检测报告供采购人核查）</w:t>
            </w:r>
          </w:p>
        </w:tc>
      </w:tr>
      <w:tr w14:paraId="0C0C26EE">
        <w:tblPrEx>
          <w:tblCellMar>
            <w:top w:w="0" w:type="dxa"/>
            <w:left w:w="108" w:type="dxa"/>
            <w:bottom w:w="0" w:type="dxa"/>
            <w:right w:w="108" w:type="dxa"/>
          </w:tblCellMar>
        </w:tblPrEx>
        <w:trPr>
          <w:trHeight w:val="90"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DAE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D31E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室内消火栓水压监测装置</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81E6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台</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46D06">
            <w:pPr>
              <w:widowControl/>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lang w:val="en-US" w:eastAsia="zh-CN" w:bidi="ar"/>
              </w:rPr>
              <w:t>30</w:t>
            </w:r>
          </w:p>
        </w:tc>
        <w:tc>
          <w:tcPr>
            <w:tcW w:w="2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914FF">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主要是用来实时监测消火栓管网水压是否正常，确保消火栓在关键时候“有水可用、水压足够”</w:t>
            </w:r>
          </w:p>
          <w:p w14:paraId="79B6C534">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1、传输方式：NB-IoT或者4G；</w:t>
            </w:r>
          </w:p>
          <w:p w14:paraId="3BD3B76F">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2、量程：压力0-1.6MPa；</w:t>
            </w:r>
          </w:p>
          <w:p w14:paraId="06173E25">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3、过载压力：2倍×量程；</w:t>
            </w:r>
          </w:p>
          <w:p w14:paraId="682DA709">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4、供电：锂电池，＞2年供电；</w:t>
            </w:r>
          </w:p>
          <w:p w14:paraId="22FC586E">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5、报警方式：低报警、高报警、波动报警；</w:t>
            </w:r>
          </w:p>
          <w:p w14:paraId="2378E537">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 xml:space="preserve">★6、表盘朝向可 </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val="en-US" w:eastAsia="zh-CN" w:bidi="ar"/>
              </w:rPr>
              <w:t>27</w:t>
            </w:r>
            <w:r>
              <w:rPr>
                <w:rFonts w:hint="eastAsia" w:ascii="宋体" w:hAnsi="宋体" w:eastAsia="宋体" w:cs="宋体"/>
                <w:color w:val="000000"/>
                <w:kern w:val="0"/>
                <w:sz w:val="24"/>
                <w:szCs w:val="24"/>
                <w:highlight w:val="none"/>
                <w:lang w:eastAsia="zh-CN" w:bidi="ar"/>
              </w:rPr>
              <w:t>0°旋转</w:t>
            </w:r>
            <w:r>
              <w:rPr>
                <w:rFonts w:hint="eastAsia" w:ascii="宋体" w:hAnsi="宋体" w:eastAsia="宋体" w:cs="宋体"/>
                <w:color w:val="000000"/>
                <w:kern w:val="0"/>
                <w:sz w:val="24"/>
                <w:szCs w:val="24"/>
                <w:highlight w:val="none"/>
                <w:lang w:bidi="ar"/>
              </w:rPr>
              <w:t>；</w:t>
            </w:r>
            <w:r>
              <w:rPr>
                <w:rFonts w:ascii="宋体" w:hAnsi="宋体" w:cs="宋体"/>
                <w:b/>
                <w:bCs/>
                <w:sz w:val="24"/>
                <w:highlight w:val="none"/>
              </w:rPr>
              <w:t>（合同签订后在生产或验收环节提供第三方检测机构出具的检测报告供采购人核查）</w:t>
            </w:r>
          </w:p>
          <w:p w14:paraId="3F515B14">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7、支持现场通过手机蓝牙配置参数、仿真报警数据，支持健康状态自动诊断；</w:t>
            </w:r>
          </w:p>
          <w:p w14:paraId="2C58477B">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8、支持远程维护和自动更新升级功能；</w:t>
            </w:r>
          </w:p>
          <w:p w14:paraId="0082528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★9、支持断网自动重连，缓存累计上发，数据补发功能；</w:t>
            </w:r>
            <w:r>
              <w:rPr>
                <w:rFonts w:ascii="宋体" w:hAnsi="宋体" w:cs="宋体"/>
                <w:b/>
                <w:bCs/>
                <w:sz w:val="24"/>
                <w:highlight w:val="none"/>
              </w:rPr>
              <w:t>（合同签订后在生产或验收环节提供第三方检测机构出具的检测报告供采购人核查）</w:t>
            </w:r>
          </w:p>
        </w:tc>
      </w:tr>
      <w:tr w14:paraId="57FCF10B">
        <w:tblPrEx>
          <w:tblCellMar>
            <w:top w:w="0" w:type="dxa"/>
            <w:left w:w="108" w:type="dxa"/>
            <w:bottom w:w="0" w:type="dxa"/>
            <w:right w:w="108" w:type="dxa"/>
          </w:tblCellMar>
        </w:tblPrEx>
        <w:trPr>
          <w:trHeight w:val="399"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03D1A">
            <w:pPr>
              <w:widowControl/>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D69BF">
            <w:pPr>
              <w:widowControl/>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喷淋末端水压监测装置</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B7D6E">
            <w:pPr>
              <w:widowControl/>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台</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A9B43">
            <w:pPr>
              <w:widowControl/>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36</w:t>
            </w:r>
          </w:p>
        </w:tc>
        <w:tc>
          <w:tcPr>
            <w:tcW w:w="2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F09D6">
            <w:pPr>
              <w:widowControl/>
              <w:jc w:val="left"/>
              <w:textAlignment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主要是用来实时监测喷淋管网水压是否正常，确保喷淋</w:t>
            </w:r>
            <w:r>
              <w:rPr>
                <w:rFonts w:hint="eastAsia" w:ascii="宋体" w:hAnsi="宋体" w:eastAsia="宋体" w:cs="宋体"/>
                <w:bCs/>
                <w:sz w:val="24"/>
                <w:szCs w:val="24"/>
                <w:highlight w:val="none"/>
                <w:lang w:val="en-US" w:eastAsia="zh-CN"/>
              </w:rPr>
              <w:t>系统</w:t>
            </w:r>
            <w:r>
              <w:rPr>
                <w:rFonts w:hint="eastAsia" w:ascii="宋体" w:hAnsi="宋体" w:eastAsia="宋体" w:cs="宋体"/>
                <w:bCs/>
                <w:sz w:val="24"/>
                <w:szCs w:val="24"/>
                <w:highlight w:val="none"/>
              </w:rPr>
              <w:t>在关键时候“有水可用、水压足够”</w:t>
            </w:r>
          </w:p>
          <w:p w14:paraId="6CD26938">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1、传输方式：NB-IoT或者4G；</w:t>
            </w:r>
          </w:p>
          <w:p w14:paraId="3A7E0670">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2、量程：压力0-1.6MPa；</w:t>
            </w:r>
          </w:p>
          <w:p w14:paraId="02910691">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3、过载压力：2倍×量程；</w:t>
            </w:r>
          </w:p>
          <w:p w14:paraId="5A7AD85F">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4、供电：锂电池，＞2年供电；</w:t>
            </w:r>
          </w:p>
          <w:p w14:paraId="2B4A14A7">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5、报警方式：低报警、高报警、波动报警；</w:t>
            </w:r>
          </w:p>
          <w:p w14:paraId="2D2DD504">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 xml:space="preserve">6、表盘朝向可 </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val="en-US" w:eastAsia="zh-CN" w:bidi="ar"/>
              </w:rPr>
              <w:t>27</w:t>
            </w:r>
            <w:r>
              <w:rPr>
                <w:rFonts w:hint="eastAsia" w:ascii="宋体" w:hAnsi="宋体" w:eastAsia="宋体" w:cs="宋体"/>
                <w:color w:val="000000"/>
                <w:kern w:val="0"/>
                <w:sz w:val="24"/>
                <w:szCs w:val="24"/>
                <w:highlight w:val="none"/>
                <w:lang w:eastAsia="zh-CN" w:bidi="ar"/>
              </w:rPr>
              <w:t>0°旋转</w:t>
            </w:r>
            <w:r>
              <w:rPr>
                <w:rFonts w:hint="eastAsia" w:ascii="宋体" w:hAnsi="宋体" w:eastAsia="宋体" w:cs="宋体"/>
                <w:color w:val="000000"/>
                <w:kern w:val="0"/>
                <w:sz w:val="24"/>
                <w:szCs w:val="24"/>
                <w:highlight w:val="none"/>
                <w:lang w:bidi="ar"/>
              </w:rPr>
              <w:t>；</w:t>
            </w:r>
          </w:p>
          <w:p w14:paraId="378A0F15">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7、支持现场通过手机蓝牙配置参数、仿真报警数据，支持健康状态自动诊断；</w:t>
            </w:r>
          </w:p>
          <w:p w14:paraId="1E35BBDD">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8、支持远程维护和自动更新升级功能；</w:t>
            </w:r>
          </w:p>
          <w:p w14:paraId="23C79077">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9、支持断网自动重连，缓存累计上发，数据补发功能；</w:t>
            </w:r>
          </w:p>
        </w:tc>
      </w:tr>
      <w:tr w14:paraId="1AA800A1">
        <w:tblPrEx>
          <w:tblCellMar>
            <w:top w:w="0" w:type="dxa"/>
            <w:left w:w="108" w:type="dxa"/>
            <w:bottom w:w="0" w:type="dxa"/>
            <w:right w:w="108" w:type="dxa"/>
          </w:tblCellMar>
        </w:tblPrEx>
        <w:trPr>
          <w:trHeight w:val="1550"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286B">
            <w:pPr>
              <w:widowControl/>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4</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B5A24">
            <w:pPr>
              <w:widowControl/>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消防水池/水箱水位监测装置</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6E6C">
            <w:pPr>
              <w:widowControl/>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台</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B80FE">
            <w:pPr>
              <w:widowControl/>
              <w:jc w:val="center"/>
              <w:textAlignment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val="en-US" w:eastAsia="zh-CN" w:bidi="ar"/>
              </w:rPr>
              <w:t>2</w:t>
            </w:r>
          </w:p>
        </w:tc>
        <w:tc>
          <w:tcPr>
            <w:tcW w:w="2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B311A">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监测消防水池、水箱内水位高度，当水位异常时，立即触发报警，保障消防用水安全</w:t>
            </w:r>
          </w:p>
          <w:p w14:paraId="1F23E063">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1、显示方式：LED工作状态可视；</w:t>
            </w:r>
          </w:p>
          <w:p w14:paraId="325B0486">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2、通讯方式：NB-IoT或者4G；</w:t>
            </w:r>
          </w:p>
          <w:p w14:paraId="2520FDED">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3、心跳频率：48小时；</w:t>
            </w:r>
          </w:p>
          <w:p w14:paraId="52AF614B">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4、漏水报警时间 &lt;10s；</w:t>
            </w:r>
          </w:p>
          <w:p w14:paraId="6F39F660">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5、供电：锂电池，＞2年供电；</w:t>
            </w:r>
          </w:p>
          <w:p w14:paraId="73D698BF">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6、温度：-20℃～70℃；</w:t>
            </w:r>
          </w:p>
          <w:p w14:paraId="0A353AF5">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7、湿度：0％RH～90％RH （无冷凝）。</w:t>
            </w:r>
          </w:p>
          <w:p w14:paraId="5F8A5540">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8、测量范围：0-8米</w:t>
            </w:r>
          </w:p>
          <w:p w14:paraId="6CA2C4EB">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★9、支持现场通过手机蓝牙配置参数、仿真报警数据，支持健康状态自动诊断；</w:t>
            </w:r>
            <w:r>
              <w:rPr>
                <w:rFonts w:ascii="宋体" w:hAnsi="宋体" w:cs="宋体"/>
                <w:b/>
                <w:bCs/>
                <w:sz w:val="24"/>
                <w:highlight w:val="none"/>
              </w:rPr>
              <w:t>（合同签订后在生产或验收环节提供第三方检测机构出具的检测报告供采购人核查）</w:t>
            </w:r>
          </w:p>
          <w:p w14:paraId="6D3FCB65">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10、支持远程维护和自动更新升级功能；</w:t>
            </w:r>
          </w:p>
          <w:p w14:paraId="0E57F2BA">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★11、支持断网自动重连，缓存累计上发，数据补发功能；</w:t>
            </w:r>
            <w:r>
              <w:rPr>
                <w:rFonts w:ascii="宋体" w:hAnsi="宋体" w:cs="宋体"/>
                <w:b/>
                <w:bCs/>
                <w:sz w:val="24"/>
                <w:highlight w:val="none"/>
              </w:rPr>
              <w:t>（合同签订后在生产或验收环节提供第三方检测机构出具的检测报告供采购人核查）</w:t>
            </w:r>
          </w:p>
        </w:tc>
      </w:tr>
      <w:tr w14:paraId="64E2B8F8">
        <w:tblPrEx>
          <w:tblCellMar>
            <w:top w:w="0" w:type="dxa"/>
            <w:left w:w="108" w:type="dxa"/>
            <w:bottom w:w="0" w:type="dxa"/>
            <w:right w:w="108" w:type="dxa"/>
          </w:tblCellMar>
        </w:tblPrEx>
        <w:trPr>
          <w:trHeight w:val="451"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B8C63">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5</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6F5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电子档案</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F89E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项</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4D9E">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2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F1A9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采集、制作、上传</w:t>
            </w:r>
          </w:p>
        </w:tc>
      </w:tr>
    </w:tbl>
    <w:p w14:paraId="5E2C8492">
      <w:pPr>
        <w:pStyle w:val="10"/>
        <w:keepNext w:val="0"/>
        <w:keepLines w:val="0"/>
        <w:pageBreakBefore w:val="0"/>
        <w:widowControl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2.智慧消防云平台</w:t>
      </w:r>
    </w:p>
    <w:p w14:paraId="42D631B4">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提供</w:t>
      </w:r>
      <w:r>
        <w:rPr>
          <w:rFonts w:hint="eastAsia" w:ascii="宋体" w:hAnsi="宋体" w:eastAsia="宋体" w:cs="宋体"/>
          <w:sz w:val="24"/>
          <w:lang w:val="en-US" w:eastAsia="zh-CN"/>
        </w:rPr>
        <w:t>智慧消防</w:t>
      </w:r>
      <w:r>
        <w:rPr>
          <w:rFonts w:hint="eastAsia" w:ascii="宋体" w:hAnsi="宋体" w:eastAsia="宋体" w:cs="宋体"/>
          <w:sz w:val="24"/>
          <w:lang w:val="en-US"/>
        </w:rPr>
        <w:t>云平台</w:t>
      </w:r>
      <w:r>
        <w:rPr>
          <w:rFonts w:hint="eastAsia" w:ascii="宋体" w:hAnsi="宋体" w:eastAsia="宋体" w:cs="宋体"/>
          <w:sz w:val="24"/>
          <w:lang w:val="en-US" w:eastAsia="zh-CN"/>
        </w:rPr>
        <w:t>1套</w:t>
      </w:r>
      <w:r>
        <w:rPr>
          <w:rFonts w:hint="eastAsia" w:ascii="宋体" w:hAnsi="宋体" w:eastAsia="宋体" w:cs="宋体"/>
          <w:sz w:val="24"/>
          <w:lang w:val="en-US"/>
        </w:rPr>
        <w:t>，服务期限3年。具体功能要求如下：</w:t>
      </w:r>
    </w:p>
    <w:p w14:paraId="24A81DFE">
      <w:pPr>
        <w:pStyle w:val="10"/>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000000"/>
          <w:szCs w:val="22"/>
          <w:lang w:val="en-US"/>
        </w:rPr>
      </w:pPr>
      <w:r>
        <w:rPr>
          <w:rFonts w:hint="eastAsia" w:ascii="宋体" w:hAnsi="宋体" w:eastAsia="宋体" w:cs="宋体"/>
          <w:color w:val="000000"/>
          <w:szCs w:val="22"/>
          <w:lang w:val="en-US"/>
        </w:rPr>
        <w:t>（</w:t>
      </w:r>
      <w:r>
        <w:rPr>
          <w:rFonts w:hint="eastAsia" w:ascii="宋体" w:hAnsi="宋体" w:eastAsia="宋体" w:cs="宋体"/>
          <w:color w:val="000000"/>
          <w:szCs w:val="22"/>
          <w:lang w:val="en-US" w:eastAsia="zh-CN"/>
        </w:rPr>
        <w:t>1</w:t>
      </w:r>
      <w:r>
        <w:rPr>
          <w:rFonts w:hint="eastAsia" w:ascii="宋体" w:hAnsi="宋体" w:eastAsia="宋体" w:cs="宋体"/>
          <w:color w:val="000000"/>
          <w:szCs w:val="22"/>
          <w:lang w:val="en-US"/>
        </w:rPr>
        <w:t>）单位自身管理系统WEB端</w:t>
      </w:r>
    </w:p>
    <w:p w14:paraId="01942CE6">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1）首页：系统首页主要展示消防安全指数、消防安全管理落实、本月事件处置情况、消防安全管理成效信息；可以直观看到实时监测信息，包括隐患数量、火警数量、预警数量、动作信息和故障数量。</w:t>
      </w:r>
    </w:p>
    <w:p w14:paraId="395C54E3">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2）监测：实时采集单位各消防系统设备运行状态数据，对火警信息、预警信息、动作信息、故障信息、隐患信息、离线信息分类展示，点击详情可查看每起事件的警情信息及设备报警位置。支持查看消防系统运行监测、屏蔽记录、设备封停、单位接入视频详细信息。</w:t>
      </w:r>
    </w:p>
    <w:p w14:paraId="7B88FAD9">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3）事件处置：分类展示系统监测到的火警、预警、故障、动作、隐患信息，支持查看火警、预警、故障、动作等事件处置的全过程，包括具体报警设备的设备类型、设备位置、处置状态、核警结果等。</w:t>
      </w:r>
    </w:p>
    <w:p w14:paraId="63CDFD3E">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4）消防安全指数：可查看消防安全指数评估详情包括建筑防火、消防设施、消防安全管理和火灾风险源方面的高风险项和异常项，同时可查看近30天综合安全趋势。</w:t>
      </w:r>
    </w:p>
    <w:p w14:paraId="775DBCE2">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5）消防安全管理落实：通过平台可制定消控室值班、防火巡查、防火检查、建筑消防设施巡查等工作内容，同时对工作人员的消控室值班情况进行记录；可点击查看维保机构的预约维保、例行维保及应急维修任务的执行过程；可查看消防安全</w:t>
      </w:r>
      <w:r>
        <w:rPr>
          <w:rFonts w:hint="eastAsia" w:ascii="宋体" w:hAnsi="宋体" w:eastAsia="宋体" w:cs="宋体"/>
          <w:sz w:val="24"/>
          <w:lang w:val="en-US" w:eastAsia="zh-CN"/>
        </w:rPr>
        <w:t>月</w:t>
      </w:r>
      <w:r>
        <w:rPr>
          <w:rFonts w:hint="eastAsia" w:ascii="宋体" w:hAnsi="宋体" w:eastAsia="宋体" w:cs="宋体"/>
          <w:sz w:val="24"/>
          <w:lang w:val="en-US"/>
        </w:rPr>
        <w:t>报、消防档案、消防安全重点部位等信息。</w:t>
      </w:r>
    </w:p>
    <w:p w14:paraId="03115F11">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6）消防设施点位图：对接入单位各建筑进行一张图可视化展示，根据对前端感知设备数据的分析、整合，以不同颜色对正常、火警、预警、故障、隐患、离线、动作7种状态进行区分，并支持查看具体建筑详细情况。</w:t>
      </w:r>
    </w:p>
    <w:p w14:paraId="4DC5268F">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w:t>
      </w:r>
      <w:r>
        <w:rPr>
          <w:rFonts w:hint="eastAsia" w:ascii="宋体" w:hAnsi="宋体" w:eastAsia="宋体" w:cs="宋体"/>
          <w:sz w:val="24"/>
          <w:lang w:val="en-US" w:eastAsia="zh-CN"/>
        </w:rPr>
        <w:t>2</w:t>
      </w:r>
      <w:r>
        <w:rPr>
          <w:rFonts w:hint="eastAsia" w:ascii="宋体" w:hAnsi="宋体" w:eastAsia="宋体" w:cs="宋体"/>
          <w:sz w:val="24"/>
          <w:lang w:val="en-US"/>
        </w:rPr>
        <w:t>）单位自身管理系统APP端</w:t>
      </w:r>
    </w:p>
    <w:p w14:paraId="204BC3EB">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1）首页：整体展现单位的消防安全运行状态，由事件处置、消防安全管理落实、实时监测、视频监</w:t>
      </w:r>
      <w:r>
        <w:rPr>
          <w:rFonts w:hint="eastAsia" w:ascii="宋体" w:hAnsi="宋体" w:eastAsia="宋体" w:cs="宋体"/>
          <w:sz w:val="24"/>
          <w:lang w:val="en-US" w:eastAsia="zh-CN"/>
        </w:rPr>
        <w:t>控等</w:t>
      </w:r>
      <w:r>
        <w:rPr>
          <w:rFonts w:hint="eastAsia" w:ascii="宋体" w:hAnsi="宋体" w:eastAsia="宋体" w:cs="宋体"/>
          <w:sz w:val="24"/>
          <w:lang w:val="en-US"/>
        </w:rPr>
        <w:t>几个部分组成，其中消防安全管理落实包括消控室值班、防火巡查等；实时监测展示火警、预警、故障、动作等信息。</w:t>
      </w:r>
    </w:p>
    <w:p w14:paraId="1AB2F3EA">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2）工作台：系统支持人工上报模块，进行故障、隐患信息的上报，包括楼栋楼层、故障设备、故障描述等信息；展示火警、预警、动作、故障、隐患处置情况；消防安全工作人员可在APP端查看消控室值班、防火巡查、设施巡查、防火检查等工作计划。</w:t>
      </w:r>
    </w:p>
    <w:p w14:paraId="77DA9A5A">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3）发现：提供微课堂和资讯服务，定期发布各消防系统专业知识视频培训教程和行业重点资讯信息。</w:t>
      </w:r>
    </w:p>
    <w:p w14:paraId="61B70FB4">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w:t>
      </w:r>
      <w:r>
        <w:rPr>
          <w:rFonts w:hint="eastAsia" w:ascii="宋体" w:hAnsi="宋体" w:eastAsia="宋体" w:cs="宋体"/>
          <w:sz w:val="24"/>
          <w:lang w:val="en-US" w:eastAsia="zh-CN"/>
        </w:rPr>
        <w:t>3</w:t>
      </w:r>
      <w:r>
        <w:rPr>
          <w:rFonts w:hint="eastAsia" w:ascii="宋体" w:hAnsi="宋体" w:eastAsia="宋体" w:cs="宋体"/>
          <w:sz w:val="24"/>
          <w:lang w:val="en-US"/>
        </w:rPr>
        <w:t>）维保管理系统WEB端</w:t>
      </w:r>
    </w:p>
    <w:p w14:paraId="2F733501">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1）首页：全面展示维保单位消防维保服务情况，包括应急维修任务情况、本月例行维保完成情况，同时展示近30天维保公司工作人员的服务情况以及维保趋势。</w:t>
      </w:r>
    </w:p>
    <w:p w14:paraId="55F1005C">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2）维保单位信息：系统支持维保单位基本信息及维保人员信息的管理。可查看与编辑维保单位基本信息、资质信息等。</w:t>
      </w:r>
    </w:p>
    <w:p w14:paraId="1CBA25F9">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3）实时监控：包括人员位置监控和企业单位监控，可在地图上查看维保单位自己的位置信息、客户单位和接入平台单位的位置信息。</w:t>
      </w:r>
    </w:p>
    <w:p w14:paraId="5AAC7BDC">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4）客户管理：用户可以通过客户管理功能对服务的业主单位信息进行新建、查看和编辑等操作；同时可以设置维保人员有效打卡地点和打卡范围。</w:t>
      </w:r>
    </w:p>
    <w:p w14:paraId="32911F58">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5）监督管理：对维保公司负责的所有业主单位的维保任务的完成情况进行追踪，包括应急维修追踪、故障跟踪管理和例行维保追踪，并可下载存档生成的维保报告。</w:t>
      </w:r>
    </w:p>
    <w:p w14:paraId="092B47AB">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w:t>
      </w:r>
      <w:r>
        <w:rPr>
          <w:rFonts w:hint="eastAsia" w:ascii="宋体" w:hAnsi="宋体" w:eastAsia="宋体" w:cs="宋体"/>
          <w:sz w:val="24"/>
          <w:lang w:val="en-US" w:eastAsia="zh-CN"/>
        </w:rPr>
        <w:t>4</w:t>
      </w:r>
      <w:r>
        <w:rPr>
          <w:rFonts w:hint="eastAsia" w:ascii="宋体" w:hAnsi="宋体" w:eastAsia="宋体" w:cs="宋体"/>
          <w:sz w:val="24"/>
          <w:lang w:val="en-US"/>
        </w:rPr>
        <w:t>）维保管理系统APP端</w:t>
      </w:r>
    </w:p>
    <w:p w14:paraId="681D6CF7">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1）首页：首页直观展示维保系统功能入口，包括例行维保、故障跟踪、应急维修，以及维保待办的工作内容，包括所有类型的维保任务。</w:t>
      </w:r>
    </w:p>
    <w:p w14:paraId="345C600E">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2）例行维保：当管理员制定好例行维保计划下发后，在相关页面可以查看这条任务。维保人员开始执行维保任务后，点击列表中的数据进入详情页面，查看维保详情。</w:t>
      </w:r>
    </w:p>
    <w:p w14:paraId="6138D496">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3）故障跟踪：维保人员利用APP记录维修的过程包括文字描述、照片，可提交业主侧进行确认。</w:t>
      </w:r>
    </w:p>
    <w:p w14:paraId="34E1C4D5">
      <w:pPr>
        <w:pStyle w:val="5"/>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宋体" w:hAnsi="宋体" w:eastAsia="宋体" w:cs="宋体"/>
          <w:sz w:val="24"/>
          <w:lang w:val="en-US"/>
        </w:rPr>
      </w:pPr>
      <w:r>
        <w:rPr>
          <w:rFonts w:hint="eastAsia" w:ascii="宋体" w:hAnsi="宋体" w:eastAsia="宋体" w:cs="宋体"/>
          <w:sz w:val="24"/>
          <w:lang w:val="en-US"/>
        </w:rPr>
        <w:t>4）应急维修：业主单位人员下发应急维修订单，维保公司人员在APP端执行，包括接收任务、处置任务等。</w:t>
      </w:r>
    </w:p>
    <w:p w14:paraId="095D780D">
      <w:pPr>
        <w:pStyle w:val="10"/>
        <w:keepNext w:val="0"/>
        <w:keepLines w:val="0"/>
        <w:pageBreakBefore w:val="0"/>
        <w:widowControl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3.消防监测服务</w:t>
      </w:r>
    </w:p>
    <w:p w14:paraId="1BB7915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rPr>
      </w:pPr>
      <w:r>
        <w:rPr>
          <w:rFonts w:hint="eastAsia" w:ascii="宋体" w:hAnsi="宋体" w:eastAsia="宋体" w:cs="宋体"/>
          <w:sz w:val="24"/>
        </w:rPr>
        <w:t>提供消防监测服务，服务期限3年。具体内容如下：</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747"/>
        <w:gridCol w:w="6053"/>
      </w:tblGrid>
      <w:tr w14:paraId="0DCA5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24" w:type="pct"/>
            <w:shd w:val="clear" w:color="auto" w:fill="auto"/>
            <w:vAlign w:val="center"/>
          </w:tcPr>
          <w:p w14:paraId="2EDC4CE9">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序号</w:t>
            </w:r>
          </w:p>
        </w:tc>
        <w:tc>
          <w:tcPr>
            <w:tcW w:w="1025" w:type="pct"/>
            <w:shd w:val="clear" w:color="auto" w:fill="auto"/>
            <w:noWrap/>
            <w:vAlign w:val="center"/>
          </w:tcPr>
          <w:p w14:paraId="65D8D6CB">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服务内容</w:t>
            </w:r>
          </w:p>
        </w:tc>
        <w:tc>
          <w:tcPr>
            <w:tcW w:w="3551" w:type="pct"/>
            <w:shd w:val="clear" w:color="auto" w:fill="auto"/>
            <w:noWrap/>
            <w:vAlign w:val="center"/>
          </w:tcPr>
          <w:p w14:paraId="233609EB">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服务内容描述</w:t>
            </w:r>
          </w:p>
        </w:tc>
      </w:tr>
      <w:tr w14:paraId="4173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424" w:type="pct"/>
            <w:shd w:val="clear" w:color="auto" w:fill="auto"/>
            <w:noWrap/>
            <w:vAlign w:val="center"/>
          </w:tcPr>
          <w:p w14:paraId="1E6E92CE">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w:t>
            </w:r>
          </w:p>
        </w:tc>
        <w:tc>
          <w:tcPr>
            <w:tcW w:w="1025" w:type="pct"/>
            <w:shd w:val="clear" w:color="auto" w:fill="auto"/>
            <w:noWrap/>
            <w:vAlign w:val="center"/>
          </w:tcPr>
          <w:p w14:paraId="7224B911">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警情处置</w:t>
            </w:r>
          </w:p>
        </w:tc>
        <w:tc>
          <w:tcPr>
            <w:tcW w:w="3551" w:type="pct"/>
            <w:shd w:val="clear" w:color="auto" w:fill="auto"/>
            <w:vAlign w:val="center"/>
          </w:tcPr>
          <w:p w14:paraId="573E51B5">
            <w:pPr>
              <w:keepNext w:val="0"/>
              <w:keepLines w:val="0"/>
              <w:pageBreakBefore w:val="0"/>
              <w:widowControl/>
              <w:kinsoku/>
              <w:wordWrap/>
              <w:overflowPunct/>
              <w:topLinePunct w:val="0"/>
              <w:autoSpaceDE/>
              <w:autoSpaceDN/>
              <w:bidi w:val="0"/>
              <w:adjustRightInd/>
              <w:snapToGrid/>
              <w:spacing w:line="440" w:lineRule="exact"/>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通过软件提供火灾报警处置功能，当设备发生报警/预警时，系统会自动推送报警/预警通知，并进行语音播报提醒，甲方/业主一线消防工作人员通过软件报警/预警模块查看记录，确定发生报警/预警的设备和位置，及时到达现场进行复核。</w:t>
            </w:r>
          </w:p>
        </w:tc>
      </w:tr>
      <w:tr w14:paraId="7BE5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424" w:type="pct"/>
            <w:shd w:val="clear" w:color="auto" w:fill="auto"/>
            <w:noWrap/>
            <w:vAlign w:val="center"/>
          </w:tcPr>
          <w:p w14:paraId="50BEC570">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w:t>
            </w:r>
          </w:p>
        </w:tc>
        <w:tc>
          <w:tcPr>
            <w:tcW w:w="1025" w:type="pct"/>
            <w:shd w:val="clear" w:color="auto" w:fill="auto"/>
            <w:noWrap/>
            <w:vAlign w:val="center"/>
          </w:tcPr>
          <w:p w14:paraId="56E4B382">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隐患管理</w:t>
            </w:r>
          </w:p>
        </w:tc>
        <w:tc>
          <w:tcPr>
            <w:tcW w:w="3551" w:type="pct"/>
            <w:shd w:val="clear" w:color="auto" w:fill="auto"/>
            <w:vAlign w:val="center"/>
          </w:tcPr>
          <w:p w14:paraId="49FF43D6">
            <w:pPr>
              <w:keepNext w:val="0"/>
              <w:keepLines w:val="0"/>
              <w:pageBreakBefore w:val="0"/>
              <w:widowControl/>
              <w:kinsoku/>
              <w:wordWrap/>
              <w:overflowPunct/>
              <w:topLinePunct w:val="0"/>
              <w:autoSpaceDE/>
              <w:autoSpaceDN/>
              <w:bidi w:val="0"/>
              <w:adjustRightInd/>
              <w:snapToGrid/>
              <w:spacing w:line="440" w:lineRule="exact"/>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提供隐患提醒、隐患上报、状态追踪、整改详情闭环管理等服务，帮助业主将隐患自查整改制度信息化、流程化，切实提高隐患处置效率，确保消防隐患及时整改和消除。</w:t>
            </w:r>
          </w:p>
        </w:tc>
      </w:tr>
      <w:tr w14:paraId="242B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24" w:type="pct"/>
            <w:shd w:val="clear" w:color="auto" w:fill="auto"/>
            <w:noWrap/>
            <w:vAlign w:val="center"/>
          </w:tcPr>
          <w:p w14:paraId="38C88155">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025" w:type="pct"/>
            <w:shd w:val="clear" w:color="auto" w:fill="auto"/>
            <w:noWrap/>
            <w:vAlign w:val="center"/>
          </w:tcPr>
          <w:p w14:paraId="54267988">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安全资讯</w:t>
            </w:r>
          </w:p>
        </w:tc>
        <w:tc>
          <w:tcPr>
            <w:tcW w:w="3551" w:type="pct"/>
            <w:shd w:val="clear" w:color="auto" w:fill="auto"/>
            <w:vAlign w:val="center"/>
          </w:tcPr>
          <w:p w14:paraId="52EE0478">
            <w:pPr>
              <w:keepNext w:val="0"/>
              <w:keepLines w:val="0"/>
              <w:pageBreakBefore w:val="0"/>
              <w:widowControl/>
              <w:kinsoku/>
              <w:wordWrap/>
              <w:overflowPunct/>
              <w:topLinePunct w:val="0"/>
              <w:autoSpaceDE/>
              <w:autoSpaceDN/>
              <w:bidi w:val="0"/>
              <w:adjustRightInd/>
              <w:snapToGrid/>
              <w:spacing w:line="440" w:lineRule="exact"/>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可定时推送消防相关新闻、案例、常识等，帮助业主第一时间快速准确地了解行业内最新政策动向和新闻信息。</w:t>
            </w:r>
          </w:p>
        </w:tc>
      </w:tr>
      <w:tr w14:paraId="4EE8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424" w:type="pct"/>
            <w:shd w:val="clear" w:color="auto" w:fill="auto"/>
            <w:noWrap/>
            <w:vAlign w:val="center"/>
          </w:tcPr>
          <w:p w14:paraId="7A2BB3B1">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w:t>
            </w:r>
          </w:p>
        </w:tc>
        <w:tc>
          <w:tcPr>
            <w:tcW w:w="1025" w:type="pct"/>
            <w:shd w:val="clear" w:color="auto" w:fill="auto"/>
            <w:noWrap/>
            <w:vAlign w:val="center"/>
          </w:tcPr>
          <w:p w14:paraId="59DB23A0">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线上消防课堂</w:t>
            </w:r>
          </w:p>
        </w:tc>
        <w:tc>
          <w:tcPr>
            <w:tcW w:w="3551" w:type="pct"/>
            <w:shd w:val="clear" w:color="auto" w:fill="auto"/>
            <w:vAlign w:val="center"/>
          </w:tcPr>
          <w:p w14:paraId="2064EB73">
            <w:pPr>
              <w:keepNext w:val="0"/>
              <w:keepLines w:val="0"/>
              <w:pageBreakBefore w:val="0"/>
              <w:widowControl/>
              <w:kinsoku/>
              <w:wordWrap/>
              <w:overflowPunct/>
              <w:topLinePunct w:val="0"/>
              <w:autoSpaceDE/>
              <w:autoSpaceDN/>
              <w:bidi w:val="0"/>
              <w:adjustRightInd/>
              <w:snapToGrid/>
              <w:spacing w:line="440" w:lineRule="exact"/>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可提供不少于300部涉及消防法律法规类、消防安全管理类、消防设施操作类、消防巡查检查类、消防设施维保保养测试类、消防设施检查测试类、软件产品类的视频和文字学习资料，业主可随时随地注册学习。</w:t>
            </w:r>
          </w:p>
        </w:tc>
      </w:tr>
      <w:tr w14:paraId="20782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424" w:type="pct"/>
            <w:shd w:val="clear" w:color="auto" w:fill="auto"/>
            <w:noWrap/>
            <w:vAlign w:val="center"/>
          </w:tcPr>
          <w:p w14:paraId="6227E137">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w:t>
            </w:r>
          </w:p>
        </w:tc>
        <w:tc>
          <w:tcPr>
            <w:tcW w:w="1025" w:type="pct"/>
            <w:shd w:val="clear" w:color="auto" w:fill="auto"/>
            <w:noWrap/>
            <w:vAlign w:val="center"/>
          </w:tcPr>
          <w:p w14:paraId="5B53D3D7">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统计分析</w:t>
            </w:r>
          </w:p>
        </w:tc>
        <w:tc>
          <w:tcPr>
            <w:tcW w:w="3551" w:type="pct"/>
            <w:shd w:val="clear" w:color="auto" w:fill="auto"/>
            <w:vAlign w:val="center"/>
          </w:tcPr>
          <w:p w14:paraId="0D059BA4">
            <w:pPr>
              <w:keepNext w:val="0"/>
              <w:keepLines w:val="0"/>
              <w:pageBreakBefore w:val="0"/>
              <w:widowControl/>
              <w:kinsoku/>
              <w:wordWrap/>
              <w:overflowPunct/>
              <w:topLinePunct w:val="0"/>
              <w:autoSpaceDE/>
              <w:autoSpaceDN/>
              <w:bidi w:val="0"/>
              <w:adjustRightInd/>
              <w:snapToGrid/>
              <w:spacing w:line="440" w:lineRule="exact"/>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软件提供统计分析功能，实现对查询时间段内的报警、隐患数据进行多维度统计分析查询及导出。从趋势、时段分布、来源分布、处置情况和区域分布等维度进行展示，提供图形和列表两种展示方式。</w:t>
            </w:r>
          </w:p>
        </w:tc>
      </w:tr>
      <w:tr w14:paraId="5854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424" w:type="pct"/>
            <w:shd w:val="clear" w:color="auto" w:fill="auto"/>
            <w:noWrap/>
            <w:vAlign w:val="center"/>
          </w:tcPr>
          <w:p w14:paraId="001D5C47">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w:t>
            </w:r>
          </w:p>
        </w:tc>
        <w:tc>
          <w:tcPr>
            <w:tcW w:w="1025" w:type="pct"/>
            <w:shd w:val="clear" w:color="auto" w:fill="auto"/>
            <w:noWrap/>
            <w:vAlign w:val="center"/>
          </w:tcPr>
          <w:p w14:paraId="6F0F5A28">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火灾动态风险评估</w:t>
            </w:r>
          </w:p>
        </w:tc>
        <w:tc>
          <w:tcPr>
            <w:tcW w:w="3551" w:type="pct"/>
            <w:shd w:val="clear" w:color="auto" w:fill="auto"/>
            <w:vAlign w:val="center"/>
          </w:tcPr>
          <w:p w14:paraId="7428AF02">
            <w:pPr>
              <w:keepNext w:val="0"/>
              <w:keepLines w:val="0"/>
              <w:pageBreakBefore w:val="0"/>
              <w:widowControl/>
              <w:kinsoku/>
              <w:wordWrap/>
              <w:overflowPunct/>
              <w:topLinePunct w:val="0"/>
              <w:autoSpaceDE/>
              <w:autoSpaceDN/>
              <w:bidi w:val="0"/>
              <w:adjustRightInd/>
              <w:snapToGrid/>
              <w:spacing w:line="440" w:lineRule="exact"/>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软件基于层次分析法原理，搭建单位综合安全评估体系层次结构模型，确定各层指标权重，采用评估内容调查、平台智能判定、外部环境接口等方法进行评估项打分，计算单位消防安全等级。</w:t>
            </w:r>
          </w:p>
        </w:tc>
      </w:tr>
      <w:tr w14:paraId="49DD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24" w:type="pct"/>
            <w:shd w:val="clear" w:color="auto" w:fill="auto"/>
            <w:noWrap/>
            <w:vAlign w:val="center"/>
          </w:tcPr>
          <w:p w14:paraId="751E9562">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w:t>
            </w:r>
          </w:p>
        </w:tc>
        <w:tc>
          <w:tcPr>
            <w:tcW w:w="1025" w:type="pct"/>
            <w:shd w:val="clear" w:color="auto" w:fill="auto"/>
            <w:noWrap/>
            <w:vAlign w:val="center"/>
          </w:tcPr>
          <w:p w14:paraId="1988D7A9">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消防</w:t>
            </w:r>
            <w:r>
              <w:rPr>
                <w:rFonts w:hint="eastAsia" w:ascii="宋体" w:hAnsi="宋体" w:eastAsia="宋体" w:cs="宋体"/>
                <w:color w:val="000000"/>
                <w:kern w:val="0"/>
                <w:sz w:val="24"/>
                <w:szCs w:val="24"/>
                <w:lang w:val="en-US" w:eastAsia="zh-CN" w:bidi="ar"/>
              </w:rPr>
              <w:t>安全月</w:t>
            </w:r>
            <w:r>
              <w:rPr>
                <w:rFonts w:hint="eastAsia" w:ascii="宋体" w:hAnsi="宋体" w:eastAsia="宋体" w:cs="宋体"/>
                <w:color w:val="000000"/>
                <w:kern w:val="0"/>
                <w:sz w:val="24"/>
                <w:szCs w:val="24"/>
                <w:lang w:bidi="ar"/>
              </w:rPr>
              <w:t>报</w:t>
            </w:r>
          </w:p>
        </w:tc>
        <w:tc>
          <w:tcPr>
            <w:tcW w:w="3551" w:type="pct"/>
            <w:shd w:val="clear" w:color="auto" w:fill="auto"/>
            <w:vAlign w:val="center"/>
          </w:tcPr>
          <w:p w14:paraId="3CBB1CD6">
            <w:pPr>
              <w:keepNext w:val="0"/>
              <w:keepLines w:val="0"/>
              <w:pageBreakBefore w:val="0"/>
              <w:widowControl/>
              <w:kinsoku/>
              <w:wordWrap/>
              <w:overflowPunct/>
              <w:topLinePunct w:val="0"/>
              <w:autoSpaceDE/>
              <w:autoSpaceDN/>
              <w:bidi w:val="0"/>
              <w:adjustRightInd/>
              <w:snapToGrid/>
              <w:spacing w:line="440" w:lineRule="exact"/>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将业主单位本</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lang w:bidi="ar"/>
              </w:rPr>
              <w:t>内的报警、预警及隐患信息按照来源分布、处置情况和区域分布进行数据展示，并结合本</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lang w:bidi="ar"/>
              </w:rPr>
              <w:t>消防安全工作情况给出相关工作建议的智能安全报告。</w:t>
            </w:r>
          </w:p>
        </w:tc>
      </w:tr>
      <w:tr w14:paraId="232A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424" w:type="pct"/>
            <w:shd w:val="clear" w:color="auto" w:fill="auto"/>
            <w:noWrap/>
            <w:vAlign w:val="center"/>
          </w:tcPr>
          <w:p w14:paraId="14698599">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8</w:t>
            </w:r>
          </w:p>
        </w:tc>
        <w:tc>
          <w:tcPr>
            <w:tcW w:w="1025" w:type="pct"/>
            <w:shd w:val="clear" w:color="auto" w:fill="auto"/>
            <w:noWrap/>
            <w:vAlign w:val="center"/>
          </w:tcPr>
          <w:p w14:paraId="4D073DF4">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咨询服务</w:t>
            </w:r>
          </w:p>
        </w:tc>
        <w:tc>
          <w:tcPr>
            <w:tcW w:w="3551" w:type="pct"/>
            <w:shd w:val="clear" w:color="auto" w:fill="auto"/>
            <w:vAlign w:val="center"/>
          </w:tcPr>
          <w:p w14:paraId="5941316C">
            <w:pPr>
              <w:keepNext w:val="0"/>
              <w:keepLines w:val="0"/>
              <w:pageBreakBefore w:val="0"/>
              <w:widowControl/>
              <w:kinsoku/>
              <w:wordWrap/>
              <w:overflowPunct/>
              <w:topLinePunct w:val="0"/>
              <w:autoSpaceDE/>
              <w:autoSpaceDN/>
              <w:bidi w:val="0"/>
              <w:adjustRightInd/>
              <w:snapToGrid/>
              <w:spacing w:line="440" w:lineRule="exact"/>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安排消防安全经纪人通过提供微信公众号和“400”电话等多渠道为业主提供消防安全管理方面基础问题的咨询服务，通过申请专家团队支持为业主提供消防理论和专业技术方面疑难问题的咨询服务（书面回复）。</w:t>
            </w:r>
          </w:p>
        </w:tc>
      </w:tr>
      <w:tr w14:paraId="4B06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24" w:type="pct"/>
            <w:shd w:val="clear" w:color="auto" w:fill="auto"/>
            <w:noWrap/>
            <w:vAlign w:val="center"/>
          </w:tcPr>
          <w:p w14:paraId="3CA5F64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9</w:t>
            </w:r>
          </w:p>
        </w:tc>
        <w:tc>
          <w:tcPr>
            <w:tcW w:w="1025" w:type="pct"/>
            <w:shd w:val="clear" w:color="auto" w:fill="auto"/>
            <w:noWrap/>
            <w:vAlign w:val="center"/>
          </w:tcPr>
          <w:p w14:paraId="451931DD">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eastAsia="zh-CN" w:bidi="ar"/>
              </w:rPr>
              <w:t>7×24小时</w:t>
            </w:r>
            <w:r>
              <w:rPr>
                <w:rFonts w:hint="eastAsia" w:ascii="宋体" w:hAnsi="宋体" w:eastAsia="宋体" w:cs="宋体"/>
                <w:color w:val="000000"/>
                <w:kern w:val="0"/>
                <w:sz w:val="24"/>
                <w:szCs w:val="24"/>
                <w:lang w:bidi="ar"/>
              </w:rPr>
              <w:t>监测服务</w:t>
            </w:r>
          </w:p>
        </w:tc>
        <w:tc>
          <w:tcPr>
            <w:tcW w:w="3551" w:type="pct"/>
            <w:shd w:val="clear" w:color="auto" w:fill="auto"/>
            <w:vAlign w:val="center"/>
          </w:tcPr>
          <w:p w14:paraId="03A667F5">
            <w:pPr>
              <w:keepNext w:val="0"/>
              <w:keepLines w:val="0"/>
              <w:pageBreakBefore w:val="0"/>
              <w:widowControl/>
              <w:kinsoku/>
              <w:wordWrap/>
              <w:overflowPunct/>
              <w:topLinePunct w:val="0"/>
              <w:autoSpaceDE/>
              <w:autoSpaceDN/>
              <w:bidi w:val="0"/>
              <w:adjustRightInd/>
              <w:snapToGrid/>
              <w:spacing w:line="440" w:lineRule="exact"/>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对消防设施运行状态（如自动报警系统、水位、水压等）进行7×24小时的监测服务，实时监测各类消防设施的运行状态数据，发现故障隐患第一时间通过软件提醒。</w:t>
            </w:r>
          </w:p>
        </w:tc>
      </w:tr>
      <w:tr w14:paraId="401A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24" w:type="pct"/>
            <w:shd w:val="clear" w:color="auto" w:fill="auto"/>
            <w:noWrap/>
            <w:vAlign w:val="center"/>
          </w:tcPr>
          <w:p w14:paraId="429CDA0B">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w:t>
            </w:r>
          </w:p>
        </w:tc>
        <w:tc>
          <w:tcPr>
            <w:tcW w:w="1025" w:type="pct"/>
            <w:shd w:val="clear" w:color="auto" w:fill="auto"/>
            <w:noWrap/>
            <w:vAlign w:val="center"/>
          </w:tcPr>
          <w:p w14:paraId="51484D72">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eastAsia="zh-CN" w:bidi="ar"/>
              </w:rPr>
              <w:t>7×24小时</w:t>
            </w:r>
            <w:r>
              <w:rPr>
                <w:rFonts w:hint="eastAsia" w:ascii="宋体" w:hAnsi="宋体" w:eastAsia="宋体" w:cs="宋体"/>
                <w:color w:val="000000"/>
                <w:kern w:val="0"/>
                <w:sz w:val="24"/>
                <w:szCs w:val="24"/>
                <w:lang w:bidi="ar"/>
              </w:rPr>
              <w:t>接报警服务</w:t>
            </w:r>
          </w:p>
        </w:tc>
        <w:tc>
          <w:tcPr>
            <w:tcW w:w="3551" w:type="pct"/>
            <w:shd w:val="clear" w:color="auto" w:fill="auto"/>
            <w:vAlign w:val="center"/>
          </w:tcPr>
          <w:p w14:paraId="6ACFC32D">
            <w:pPr>
              <w:keepNext w:val="0"/>
              <w:keepLines w:val="0"/>
              <w:pageBreakBefore w:val="0"/>
              <w:widowControl/>
              <w:kinsoku/>
              <w:wordWrap/>
              <w:overflowPunct/>
              <w:topLinePunct w:val="0"/>
              <w:autoSpaceDE/>
              <w:autoSpaceDN/>
              <w:bidi w:val="0"/>
              <w:adjustRightInd/>
              <w:snapToGrid/>
              <w:spacing w:line="440" w:lineRule="exact"/>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安排专人提供7×24小时远程监测值守服务，接到火灾报警信息后，根据警情等级，第一时间通过软件、电话等方式通知并引导相关人员进行现场火警复核、处置。</w:t>
            </w:r>
          </w:p>
        </w:tc>
      </w:tr>
    </w:tbl>
    <w:p w14:paraId="09FE43B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四</w:t>
      </w:r>
      <w:r>
        <w:rPr>
          <w:rFonts w:hint="eastAsia" w:ascii="宋体" w:hAnsi="宋体" w:eastAsia="宋体" w:cs="宋体"/>
          <w:b/>
          <w:bCs/>
          <w:sz w:val="24"/>
          <w:szCs w:val="24"/>
          <w:lang w:val="en-US" w:eastAsia="zh-CN"/>
        </w:rPr>
        <w:t>、</w:t>
      </w:r>
      <w:r>
        <w:rPr>
          <w:rFonts w:hint="eastAsia" w:ascii="宋体" w:hAnsi="宋体" w:cs="宋体"/>
          <w:b/>
          <w:bCs/>
          <w:sz w:val="24"/>
          <w:szCs w:val="24"/>
          <w:lang w:val="en-US" w:eastAsia="zh-CN"/>
        </w:rPr>
        <w:t>报价要求</w:t>
      </w:r>
    </w:p>
    <w:p w14:paraId="49B437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strike w:val="0"/>
          <w:color w:val="FF0000"/>
          <w:sz w:val="24"/>
          <w:u w:val="none"/>
          <w:lang w:val="en-US" w:eastAsia="zh-CN"/>
        </w:rPr>
      </w:pPr>
      <w:r>
        <w:rPr>
          <w:rFonts w:hint="eastAsia" w:ascii="宋体" w:hAnsi="宋体" w:eastAsia="宋体" w:cs="宋体"/>
          <w:i w:val="0"/>
          <w:strike w:val="0"/>
          <w:color w:val="FF0000"/>
          <w:sz w:val="24"/>
          <w:u w:val="none"/>
          <w:lang w:val="en-US" w:eastAsia="zh-CN"/>
        </w:rPr>
        <w:t>本项目最高限价为162万元，其中消防物联网设备最高限价为8.1万元。</w:t>
      </w:r>
      <w:r>
        <w:rPr>
          <w:rFonts w:hint="eastAsia" w:ascii="宋体" w:hAnsi="宋体" w:eastAsia="宋体" w:cs="宋体"/>
          <w:i w:val="0"/>
          <w:strike w:val="0"/>
          <w:color w:val="FF0000"/>
          <w:sz w:val="24"/>
          <w:u w:val="none"/>
        </w:rPr>
        <w:t>报价须总价报价</w:t>
      </w:r>
      <w:r>
        <w:rPr>
          <w:rFonts w:hint="eastAsia" w:ascii="宋体" w:hAnsi="宋体" w:cs="宋体"/>
          <w:i w:val="0"/>
          <w:strike w:val="0"/>
          <w:color w:val="FF0000"/>
          <w:sz w:val="24"/>
          <w:u w:val="none"/>
          <w:lang w:eastAsia="zh-CN"/>
        </w:rPr>
        <w:t>。</w:t>
      </w:r>
    </w:p>
    <w:p w14:paraId="16B05E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7047D0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54FA0E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4B4352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723BD2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34FA131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319A42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65218D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35E53AA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6DF80C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2B86372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5390D6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4C6829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lang w:val="en-US" w:eastAsia="zh-CN"/>
        </w:rPr>
      </w:pPr>
    </w:p>
    <w:p w14:paraId="1E41F11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宋体" w:hAnsi="宋体" w:eastAsia="宋体" w:cs="宋体"/>
          <w:b/>
          <w:bCs/>
        </w:rPr>
      </w:pPr>
      <w:r>
        <w:rPr>
          <w:rFonts w:hint="eastAsia" w:ascii="宋体" w:hAnsi="宋体" w:eastAsia="宋体" w:cs="宋体"/>
          <w:b/>
          <w:bCs/>
          <w:lang w:val="en-US" w:eastAsia="zh-CN"/>
        </w:rPr>
        <w:t>四</w:t>
      </w:r>
      <w:r>
        <w:rPr>
          <w:rFonts w:hint="eastAsia" w:ascii="宋体" w:hAnsi="宋体" w:eastAsia="宋体" w:cs="宋体"/>
          <w:b/>
          <w:bCs/>
        </w:rPr>
        <w:t>、评分细则</w:t>
      </w:r>
    </w:p>
    <w:p w14:paraId="7DDD7B28">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本项目综合评分满分为100分，其中：技术资信分值占总分值的权重为</w:t>
      </w:r>
      <w:r>
        <w:rPr>
          <w:rFonts w:hint="eastAsia" w:ascii="宋体" w:hAnsi="宋体" w:eastAsia="宋体" w:cs="宋体"/>
          <w:b/>
          <w:bCs/>
          <w:color w:val="auto"/>
          <w:sz w:val="24"/>
          <w:highlight w:val="none"/>
          <w:u w:val="single"/>
        </w:rPr>
        <w:t xml:space="preserve"> </w:t>
      </w:r>
      <w:r>
        <w:rPr>
          <w:rFonts w:hint="eastAsia" w:ascii="宋体" w:hAnsi="宋体" w:eastAsia="宋体" w:cs="宋体"/>
          <w:b/>
          <w:bCs/>
          <w:color w:val="auto"/>
          <w:sz w:val="24"/>
          <w:highlight w:val="none"/>
          <w:u w:val="single"/>
          <w:lang w:val="en-US" w:eastAsia="zh-CN"/>
        </w:rPr>
        <w:t>90</w:t>
      </w:r>
      <w:r>
        <w:rPr>
          <w:rFonts w:hint="eastAsia" w:ascii="宋体" w:hAnsi="宋体" w:eastAsia="宋体" w:cs="宋体"/>
          <w:b/>
          <w:bCs/>
          <w:color w:val="auto"/>
          <w:sz w:val="24"/>
          <w:highlight w:val="none"/>
          <w:u w:val="single"/>
        </w:rPr>
        <w:t xml:space="preserve"> </w:t>
      </w:r>
      <w:r>
        <w:rPr>
          <w:rFonts w:hint="eastAsia" w:ascii="宋体" w:hAnsi="宋体" w:eastAsia="宋体" w:cs="宋体"/>
          <w:b/>
          <w:bCs/>
          <w:color w:val="auto"/>
          <w:sz w:val="24"/>
          <w:highlight w:val="none"/>
        </w:rPr>
        <w:t>%，价格分值占总分值的权重为</w:t>
      </w:r>
      <w:r>
        <w:rPr>
          <w:rFonts w:hint="eastAsia" w:ascii="宋体" w:hAnsi="宋体" w:eastAsia="宋体" w:cs="宋体"/>
          <w:b/>
          <w:bCs/>
          <w:color w:val="auto"/>
          <w:sz w:val="24"/>
          <w:highlight w:val="none"/>
          <w:u w:val="single"/>
        </w:rPr>
        <w:t xml:space="preserve"> </w:t>
      </w:r>
      <w:r>
        <w:rPr>
          <w:rFonts w:hint="eastAsia" w:ascii="宋体" w:hAnsi="宋体" w:eastAsia="宋体" w:cs="宋体"/>
          <w:b/>
          <w:bCs/>
          <w:color w:val="auto"/>
          <w:sz w:val="24"/>
          <w:highlight w:val="none"/>
          <w:u w:val="single"/>
          <w:lang w:val="en-US" w:eastAsia="zh-CN"/>
        </w:rPr>
        <w:t>10</w:t>
      </w:r>
      <w:r>
        <w:rPr>
          <w:rFonts w:hint="eastAsia" w:ascii="宋体" w:hAnsi="宋体" w:eastAsia="宋体" w:cs="宋体"/>
          <w:b/>
          <w:bCs/>
          <w:color w:val="auto"/>
          <w:sz w:val="24"/>
          <w:highlight w:val="none"/>
          <w:u w:val="single"/>
        </w:rPr>
        <w:t xml:space="preserve"> </w:t>
      </w:r>
      <w:r>
        <w:rPr>
          <w:rFonts w:hint="eastAsia" w:ascii="宋体" w:hAnsi="宋体" w:eastAsia="宋体" w:cs="宋体"/>
          <w:b/>
          <w:bCs/>
          <w:color w:val="auto"/>
          <w:sz w:val="24"/>
          <w:highlight w:val="none"/>
        </w:rPr>
        <w:t>%。具体评分细则如下：</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1"/>
        <w:gridCol w:w="1412"/>
        <w:gridCol w:w="4422"/>
        <w:gridCol w:w="1217"/>
      </w:tblGrid>
      <w:tr w14:paraId="3BCE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3" w:type="pct"/>
            <w:tcBorders>
              <w:top w:val="single" w:color="auto" w:sz="4" w:space="0"/>
              <w:left w:val="single" w:color="auto" w:sz="4" w:space="0"/>
              <w:bottom w:val="single" w:color="auto" w:sz="4" w:space="0"/>
              <w:right w:val="single" w:color="auto" w:sz="4" w:space="0"/>
            </w:tcBorders>
            <w:vAlign w:val="center"/>
          </w:tcPr>
          <w:p w14:paraId="3545AAFA">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类别</w:t>
            </w:r>
          </w:p>
        </w:tc>
        <w:tc>
          <w:tcPr>
            <w:tcW w:w="828" w:type="pct"/>
            <w:tcBorders>
              <w:top w:val="single" w:color="auto" w:sz="4" w:space="0"/>
              <w:left w:val="single" w:color="auto" w:sz="4" w:space="0"/>
              <w:bottom w:val="single" w:color="auto" w:sz="4" w:space="0"/>
              <w:right w:val="single" w:color="auto" w:sz="4" w:space="0"/>
            </w:tcBorders>
            <w:vAlign w:val="center"/>
          </w:tcPr>
          <w:p w14:paraId="7B7A50F8">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评分内容</w:t>
            </w:r>
          </w:p>
        </w:tc>
        <w:tc>
          <w:tcPr>
            <w:tcW w:w="2594" w:type="pct"/>
            <w:tcBorders>
              <w:top w:val="single" w:color="auto" w:sz="4" w:space="0"/>
              <w:left w:val="single" w:color="auto" w:sz="4" w:space="0"/>
              <w:bottom w:val="single" w:color="auto" w:sz="4" w:space="0"/>
              <w:right w:val="single" w:color="auto" w:sz="4" w:space="0"/>
            </w:tcBorders>
            <w:vAlign w:val="center"/>
          </w:tcPr>
          <w:p w14:paraId="18D450AF">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评分标准</w:t>
            </w:r>
          </w:p>
        </w:tc>
        <w:tc>
          <w:tcPr>
            <w:tcW w:w="713" w:type="pct"/>
            <w:tcBorders>
              <w:top w:val="single" w:color="auto" w:sz="4" w:space="0"/>
              <w:left w:val="single" w:color="auto" w:sz="4" w:space="0"/>
              <w:bottom w:val="single" w:color="auto" w:sz="4" w:space="0"/>
              <w:right w:val="single" w:color="auto" w:sz="4" w:space="0"/>
            </w:tcBorders>
            <w:vAlign w:val="center"/>
          </w:tcPr>
          <w:p w14:paraId="57A14C4E">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分值范围</w:t>
            </w:r>
          </w:p>
        </w:tc>
      </w:tr>
      <w:tr w14:paraId="1B9D0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restart"/>
            <w:tcBorders>
              <w:top w:val="single" w:color="auto" w:sz="4" w:space="0"/>
              <w:left w:val="single" w:color="auto" w:sz="4" w:space="0"/>
              <w:right w:val="single" w:color="auto" w:sz="4" w:space="0"/>
            </w:tcBorders>
            <w:vAlign w:val="center"/>
          </w:tcPr>
          <w:p w14:paraId="3CD4498D">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技术资信分</w:t>
            </w:r>
          </w:p>
          <w:p w14:paraId="23D11199">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90</w:t>
            </w:r>
            <w:r>
              <w:rPr>
                <w:rFonts w:hint="eastAsia" w:ascii="宋体" w:hAnsi="宋体" w:eastAsia="宋体" w:cs="宋体"/>
                <w:color w:val="auto"/>
                <w:sz w:val="24"/>
                <w:highlight w:val="none"/>
              </w:rPr>
              <w:t>分）</w:t>
            </w:r>
          </w:p>
        </w:tc>
        <w:tc>
          <w:tcPr>
            <w:tcW w:w="828" w:type="pct"/>
            <w:tcBorders>
              <w:top w:val="single" w:color="auto" w:sz="4" w:space="0"/>
              <w:left w:val="single" w:color="auto" w:sz="4" w:space="0"/>
              <w:bottom w:val="single" w:color="auto" w:sz="4" w:space="0"/>
              <w:right w:val="single" w:color="auto" w:sz="4" w:space="0"/>
            </w:tcBorders>
            <w:vAlign w:val="center"/>
          </w:tcPr>
          <w:p w14:paraId="288010B2">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Cs/>
                <w:color w:val="auto"/>
                <w:sz w:val="24"/>
                <w:highlight w:val="none"/>
                <w:lang w:val="en-US"/>
              </w:rPr>
            </w:pPr>
            <w:r>
              <w:rPr>
                <w:rFonts w:hint="eastAsia" w:ascii="宋体" w:hAnsi="宋体" w:eastAsia="宋体" w:cs="宋体"/>
                <w:color w:val="auto"/>
                <w:sz w:val="24"/>
                <w:szCs w:val="24"/>
                <w:highlight w:val="none"/>
                <w:lang w:val="en-US" w:eastAsia="zh-CN"/>
              </w:rPr>
              <w:t>对项目的理解</w:t>
            </w:r>
          </w:p>
        </w:tc>
        <w:tc>
          <w:tcPr>
            <w:tcW w:w="2594" w:type="pct"/>
            <w:tcBorders>
              <w:top w:val="single" w:color="auto" w:sz="4" w:space="0"/>
              <w:left w:val="single" w:color="auto" w:sz="4" w:space="0"/>
              <w:bottom w:val="single" w:color="auto" w:sz="4" w:space="0"/>
              <w:right w:val="single" w:color="auto" w:sz="4" w:space="0"/>
            </w:tcBorders>
            <w:vAlign w:val="center"/>
          </w:tcPr>
          <w:p w14:paraId="1874C56B">
            <w:pPr>
              <w:pStyle w:val="15"/>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rightChars="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供应商针对本项目提供对项目的理解方案，由磋商小组根据方案内容（包括但不限于建设背景、建设目标、需求分析、建设意义等）进行综合评审：</w:t>
            </w:r>
          </w:p>
          <w:p w14:paraId="27046E8D">
            <w:pPr>
              <w:pStyle w:val="15"/>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rightChars="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1.准确梳理本项目消防联动系统现状痛点，建设背景与需求分析研判深入，建设目标定位清晰，建设意义阐述贴合采购人实际管理诉求，整体方案内容详实、逻辑连贯，能够精准匹配本项目履约场景，得5分；</w:t>
            </w:r>
          </w:p>
          <w:p w14:paraId="71812977">
            <w:pPr>
              <w:pStyle w:val="15"/>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rightChars="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2.能够识别项目基本实施诉求，建设背景、目标、需求分析及建设意义内容完整，方案框架清晰，可支撑后续消防系统恢复及运维履约实施，得3分；</w:t>
            </w:r>
          </w:p>
          <w:p w14:paraId="3E08993F">
            <w:pPr>
              <w:pStyle w:val="15"/>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rightChars="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3.方案内容论述较为浅显，需求研判与建设目标关联性偏弱，关键内容存在缺项或表述笼统，得1分；</w:t>
            </w:r>
          </w:p>
          <w:p w14:paraId="745CAB29">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bCs/>
                <w:color w:val="auto"/>
                <w:sz w:val="24"/>
                <w:highlight w:val="none"/>
              </w:rPr>
            </w:pPr>
            <w:r>
              <w:rPr>
                <w:rFonts w:hint="eastAsia" w:ascii="宋体" w:hAnsi="宋体" w:eastAsia="宋体" w:cs="宋体"/>
                <w:color w:val="auto"/>
                <w:sz w:val="24"/>
                <w:szCs w:val="24"/>
                <w:highlight w:val="none"/>
                <w:lang w:val="en-US" w:eastAsia="zh-CN"/>
              </w:rPr>
              <w:t>4.方案不可行或未提供方案的，得0分。</w:t>
            </w:r>
          </w:p>
        </w:tc>
        <w:tc>
          <w:tcPr>
            <w:tcW w:w="713" w:type="pct"/>
            <w:tcBorders>
              <w:top w:val="single" w:color="auto" w:sz="4" w:space="0"/>
              <w:left w:val="single" w:color="auto" w:sz="4" w:space="0"/>
              <w:bottom w:val="single" w:color="auto" w:sz="4" w:space="0"/>
              <w:right w:val="single" w:color="auto" w:sz="4" w:space="0"/>
            </w:tcBorders>
            <w:vAlign w:val="center"/>
          </w:tcPr>
          <w:p w14:paraId="34BD174C">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lang w:val="en-US" w:eastAsia="zh-CN"/>
              </w:rPr>
            </w:pPr>
            <w:r>
              <w:rPr>
                <w:rFonts w:hint="eastAsia" w:ascii="宋体" w:hAnsi="宋体" w:eastAsia="宋体" w:cs="宋体"/>
                <w:b w:val="0"/>
                <w:bCs w:val="0"/>
                <w:color w:val="auto"/>
                <w:sz w:val="24"/>
                <w:highlight w:val="none"/>
                <w:lang w:val="en-US" w:eastAsia="zh-CN"/>
              </w:rPr>
              <w:t>0-5分</w:t>
            </w:r>
          </w:p>
        </w:tc>
      </w:tr>
      <w:tr w14:paraId="51A6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21CF36C7">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41307436">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总体服务</w:t>
            </w:r>
            <w:r>
              <w:rPr>
                <w:rFonts w:hint="eastAsia" w:ascii="宋体" w:hAnsi="宋体" w:eastAsia="宋体" w:cs="宋体"/>
                <w:color w:val="auto"/>
                <w:sz w:val="24"/>
                <w:szCs w:val="24"/>
                <w:highlight w:val="none"/>
              </w:rPr>
              <w:t>方案</w:t>
            </w:r>
          </w:p>
        </w:tc>
        <w:tc>
          <w:tcPr>
            <w:tcW w:w="2594" w:type="pct"/>
            <w:tcBorders>
              <w:top w:val="single" w:color="auto" w:sz="4" w:space="0"/>
              <w:left w:val="single" w:color="auto" w:sz="4" w:space="0"/>
              <w:bottom w:val="single" w:color="auto" w:sz="4" w:space="0"/>
              <w:right w:val="single" w:color="auto" w:sz="4" w:space="0"/>
            </w:tcBorders>
            <w:vAlign w:val="center"/>
          </w:tcPr>
          <w:p w14:paraId="228D8018">
            <w:pPr>
              <w:pStyle w:val="15"/>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rightChars="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b/>
                <w:bCs/>
                <w:color w:val="auto"/>
                <w:kern w:val="0"/>
                <w:sz w:val="24"/>
                <w:szCs w:val="24"/>
                <w:highlight w:val="none"/>
                <w:lang w:val="en-US" w:eastAsia="zh-CN" w:bidi="ar"/>
              </w:rPr>
              <w:t>供应商</w:t>
            </w:r>
            <w:r>
              <w:rPr>
                <w:rFonts w:hint="eastAsia" w:ascii="宋体" w:hAnsi="宋体" w:eastAsia="宋体" w:cs="宋体"/>
                <w:b/>
                <w:bCs/>
                <w:color w:val="auto"/>
                <w:sz w:val="24"/>
                <w:szCs w:val="24"/>
                <w:highlight w:val="none"/>
              </w:rPr>
              <w:t>针对本项目提供</w:t>
            </w:r>
            <w:r>
              <w:rPr>
                <w:rFonts w:hint="eastAsia" w:ascii="宋体" w:hAnsi="宋体" w:eastAsia="宋体" w:cs="宋体"/>
                <w:b/>
                <w:bCs/>
                <w:color w:val="auto"/>
                <w:sz w:val="24"/>
                <w:szCs w:val="24"/>
                <w:highlight w:val="none"/>
                <w:lang w:val="en-US" w:eastAsia="zh-CN"/>
              </w:rPr>
              <w:t>总体服务</w:t>
            </w:r>
            <w:r>
              <w:rPr>
                <w:rFonts w:hint="eastAsia" w:ascii="宋体" w:hAnsi="宋体" w:eastAsia="宋体" w:cs="宋体"/>
                <w:b/>
                <w:bCs/>
                <w:color w:val="auto"/>
                <w:sz w:val="24"/>
                <w:szCs w:val="24"/>
                <w:highlight w:val="none"/>
              </w:rPr>
              <w:t>方案，由</w:t>
            </w:r>
            <w:r>
              <w:rPr>
                <w:rFonts w:hint="eastAsia" w:ascii="宋体" w:hAnsi="宋体" w:eastAsia="宋体" w:cs="宋体"/>
                <w:b/>
                <w:bCs/>
                <w:color w:val="auto"/>
                <w:sz w:val="24"/>
                <w:szCs w:val="24"/>
                <w:highlight w:val="none"/>
                <w:lang w:val="en-US" w:eastAsia="zh-CN"/>
              </w:rPr>
              <w:t>磋商小组</w:t>
            </w:r>
            <w:r>
              <w:rPr>
                <w:rFonts w:hint="eastAsia" w:ascii="宋体" w:hAnsi="宋体" w:eastAsia="宋体" w:cs="宋体"/>
                <w:b/>
                <w:bCs/>
                <w:color w:val="auto"/>
                <w:sz w:val="24"/>
                <w:szCs w:val="24"/>
                <w:highlight w:val="none"/>
              </w:rPr>
              <w:t>根据方案内容</w:t>
            </w:r>
            <w:r>
              <w:rPr>
                <w:rFonts w:hint="eastAsia" w:ascii="宋体" w:hAnsi="宋体" w:eastAsia="宋体" w:cs="宋体"/>
                <w:b/>
                <w:bCs/>
                <w:color w:val="auto"/>
                <w:sz w:val="24"/>
                <w:szCs w:val="24"/>
                <w:highlight w:val="none"/>
                <w:lang w:eastAsia="zh-CN"/>
              </w:rPr>
              <w:t>（包括但不限于</w:t>
            </w:r>
            <w:r>
              <w:rPr>
                <w:rFonts w:hint="eastAsia" w:ascii="宋体" w:hAnsi="宋体" w:eastAsia="宋体" w:cs="宋体"/>
                <w:b/>
                <w:bCs/>
                <w:color w:val="auto"/>
                <w:sz w:val="24"/>
                <w:szCs w:val="24"/>
                <w:highlight w:val="none"/>
                <w:lang w:val="en-US" w:eastAsia="zh-CN"/>
              </w:rPr>
              <w:t>单位</w:t>
            </w:r>
            <w:r>
              <w:rPr>
                <w:rFonts w:hint="eastAsia" w:ascii="宋体" w:hAnsi="宋体" w:eastAsia="宋体" w:cs="宋体"/>
                <w:b/>
                <w:bCs/>
                <w:color w:val="auto"/>
                <w:sz w:val="24"/>
                <w:szCs w:val="24"/>
                <w:highlight w:val="none"/>
              </w:rPr>
              <w:t>基本信息、现场照片</w:t>
            </w:r>
            <w:r>
              <w:rPr>
                <w:rFonts w:hint="eastAsia" w:ascii="宋体" w:hAnsi="宋体" w:eastAsia="宋体" w:cs="宋体"/>
                <w:b/>
                <w:bCs/>
                <w:color w:val="auto"/>
                <w:sz w:val="24"/>
                <w:szCs w:val="24"/>
                <w:highlight w:val="none"/>
                <w:lang w:val="en-US" w:eastAsia="zh-CN"/>
              </w:rPr>
              <w:t>和消防设施运行情况</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重难点分析、服务内容</w:t>
            </w:r>
            <w:r>
              <w:rPr>
                <w:rFonts w:hint="eastAsia" w:ascii="宋体" w:hAnsi="宋体" w:eastAsia="宋体" w:cs="宋体"/>
                <w:b/>
                <w:bCs/>
                <w:color w:val="auto"/>
                <w:sz w:val="24"/>
                <w:szCs w:val="24"/>
                <w:highlight w:val="none"/>
              </w:rPr>
              <w:t>等</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进行综合评审</w:t>
            </w:r>
            <w:r>
              <w:rPr>
                <w:rFonts w:hint="eastAsia" w:ascii="宋体" w:hAnsi="宋体" w:eastAsia="宋体" w:cs="宋体"/>
                <w:b/>
                <w:bCs/>
                <w:color w:val="auto"/>
                <w:sz w:val="24"/>
                <w:szCs w:val="24"/>
                <w:highlight w:val="none"/>
                <w:lang w:eastAsia="zh-CN"/>
              </w:rPr>
              <w:t>：</w:t>
            </w:r>
          </w:p>
          <w:p w14:paraId="7E83DBA6">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1.单位基础信息完整可核验，现场实拍素材详实，重难点研判贴合本项目消防联动系统失效实际，服务边界、实施步骤、履约衔接安排清晰完备，方案整体与采购需求高度适配，得5分；</w:t>
            </w:r>
          </w:p>
          <w:p w14:paraId="4BBF7D54">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2.方案内容要素齐全，现场情况与重难点梳理基本到位，服务内容框架完整，能够支撑本项目履约落地，得3分；</w:t>
            </w:r>
          </w:p>
          <w:p w14:paraId="4090A54B">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3.方案内容较为单薄，现场设施工况描述简略，重难点分析流于表面，服务实施细节存在明显缺项，得1分；</w:t>
            </w:r>
          </w:p>
          <w:p w14:paraId="1ACE685C">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4.方案不可行或未提供方案的，得0分。</w:t>
            </w:r>
          </w:p>
        </w:tc>
        <w:tc>
          <w:tcPr>
            <w:tcW w:w="713" w:type="pct"/>
            <w:tcBorders>
              <w:top w:val="single" w:color="auto" w:sz="4" w:space="0"/>
              <w:left w:val="single" w:color="auto" w:sz="4" w:space="0"/>
              <w:bottom w:val="single" w:color="auto" w:sz="4" w:space="0"/>
              <w:right w:val="single" w:color="auto" w:sz="4" w:space="0"/>
            </w:tcBorders>
            <w:vAlign w:val="center"/>
          </w:tcPr>
          <w:p w14:paraId="23D2BC3E">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b w:val="0"/>
                <w:bCs w:val="0"/>
                <w:color w:val="auto"/>
                <w:sz w:val="24"/>
                <w:highlight w:val="none"/>
                <w:lang w:val="en-US" w:eastAsia="zh-CN"/>
              </w:rPr>
              <w:t>0-5分</w:t>
            </w:r>
          </w:p>
        </w:tc>
      </w:tr>
      <w:tr w14:paraId="779A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53955E32">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4E7CE539">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安装运维方案</w:t>
            </w:r>
          </w:p>
        </w:tc>
        <w:tc>
          <w:tcPr>
            <w:tcW w:w="2594" w:type="pct"/>
            <w:tcBorders>
              <w:top w:val="single" w:color="auto" w:sz="4" w:space="0"/>
              <w:left w:val="single" w:color="auto" w:sz="4" w:space="0"/>
              <w:bottom w:val="single" w:color="auto" w:sz="4" w:space="0"/>
              <w:right w:val="single" w:color="auto" w:sz="4" w:space="0"/>
            </w:tcBorders>
            <w:vAlign w:val="center"/>
          </w:tcPr>
          <w:p w14:paraId="12BE4CB7">
            <w:pPr>
              <w:pStyle w:val="15"/>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rightChars="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供应商针对本项目提供安装及运维服务方案，</w:t>
            </w:r>
            <w:r>
              <w:rPr>
                <w:rFonts w:hint="eastAsia" w:ascii="宋体" w:hAnsi="宋体" w:eastAsia="宋体" w:cs="宋体"/>
                <w:b/>
                <w:bCs/>
                <w:color w:val="auto"/>
                <w:sz w:val="24"/>
                <w:szCs w:val="24"/>
                <w:highlight w:val="none"/>
              </w:rPr>
              <w:t>由</w:t>
            </w:r>
            <w:r>
              <w:rPr>
                <w:rFonts w:hint="eastAsia" w:ascii="宋体" w:hAnsi="宋体" w:eastAsia="宋体" w:cs="宋体"/>
                <w:b/>
                <w:bCs/>
                <w:color w:val="auto"/>
                <w:sz w:val="24"/>
                <w:szCs w:val="24"/>
                <w:highlight w:val="none"/>
                <w:lang w:val="en-US" w:eastAsia="zh-CN"/>
              </w:rPr>
              <w:t>磋商小组</w:t>
            </w:r>
            <w:r>
              <w:rPr>
                <w:rFonts w:hint="eastAsia" w:ascii="宋体" w:hAnsi="宋体" w:eastAsia="宋体" w:cs="宋体"/>
                <w:b/>
                <w:bCs/>
                <w:color w:val="auto"/>
                <w:sz w:val="24"/>
                <w:szCs w:val="24"/>
                <w:highlight w:val="none"/>
              </w:rPr>
              <w:t>根据方案内容</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包括但不限于配套资源配备、日常运维服务、故障应急服务等）</w:t>
            </w:r>
            <w:r>
              <w:rPr>
                <w:rFonts w:hint="eastAsia" w:ascii="宋体" w:hAnsi="宋体" w:eastAsia="宋体" w:cs="宋体"/>
                <w:b/>
                <w:bCs/>
                <w:color w:val="auto"/>
                <w:sz w:val="24"/>
                <w:szCs w:val="24"/>
                <w:highlight w:val="none"/>
              </w:rPr>
              <w:t>进行综合评审</w:t>
            </w:r>
            <w:r>
              <w:rPr>
                <w:rFonts w:hint="eastAsia" w:ascii="宋体" w:hAnsi="宋体" w:eastAsia="宋体" w:cs="宋体"/>
                <w:b/>
                <w:bCs/>
                <w:color w:val="auto"/>
                <w:sz w:val="24"/>
                <w:szCs w:val="24"/>
                <w:highlight w:val="none"/>
                <w:lang w:eastAsia="zh-CN"/>
              </w:rPr>
              <w:t>：</w:t>
            </w:r>
          </w:p>
          <w:p w14:paraId="42C79431">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人员资源配置与本项目体量匹配充分，日常巡检频次、服务期值守节点安排清晰明确，故障分级响应时限、现场抢修流程及验收未通过情形下的限期整改衔接预案完整闭环，各项措施可落地性强，与本项目消防联动系统恢复及后续运维履约场景高度适配，得5分；</w:t>
            </w:r>
          </w:p>
          <w:p w14:paraId="3A7F7528">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2.方案内容齐全，资源投入、日常运维及应急处置核心流程框架完整，关键岗位职责清晰，能够支撑项目按期完工及验收后平稳运维，得3分；</w:t>
            </w:r>
          </w:p>
          <w:p w14:paraId="1EECB895">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3.方案涵盖配套资源、日常运维、故障应急相关内容，但巡检安排、抢修响应或整改衔接等关键环节描述简略，实施细节存在明显缺项，实操落地性不足，得1分；</w:t>
            </w:r>
          </w:p>
          <w:p w14:paraId="57EBC7AD">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i/>
                <w:iCs/>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方案不可行或未提供方案的，得0分。</w:t>
            </w:r>
          </w:p>
        </w:tc>
        <w:tc>
          <w:tcPr>
            <w:tcW w:w="713" w:type="pct"/>
            <w:tcBorders>
              <w:top w:val="single" w:color="auto" w:sz="4" w:space="0"/>
              <w:left w:val="single" w:color="auto" w:sz="4" w:space="0"/>
              <w:bottom w:val="single" w:color="auto" w:sz="4" w:space="0"/>
              <w:right w:val="single" w:color="auto" w:sz="4" w:space="0"/>
            </w:tcBorders>
            <w:vAlign w:val="center"/>
          </w:tcPr>
          <w:p w14:paraId="1C36BEAC">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b w:val="0"/>
                <w:bCs w:val="0"/>
                <w:color w:val="auto"/>
                <w:sz w:val="24"/>
                <w:highlight w:val="none"/>
                <w:lang w:val="en-US" w:eastAsia="zh-CN"/>
              </w:rPr>
              <w:t>0-5分</w:t>
            </w:r>
          </w:p>
        </w:tc>
      </w:tr>
      <w:tr w14:paraId="2BDE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1ADDA767">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068D5128">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项目进度计划方案</w:t>
            </w:r>
          </w:p>
        </w:tc>
        <w:tc>
          <w:tcPr>
            <w:tcW w:w="2594" w:type="pct"/>
            <w:tcBorders>
              <w:top w:val="single" w:color="auto" w:sz="4" w:space="0"/>
              <w:left w:val="single" w:color="auto" w:sz="4" w:space="0"/>
              <w:bottom w:val="single" w:color="auto" w:sz="4" w:space="0"/>
              <w:right w:val="single" w:color="auto" w:sz="4" w:space="0"/>
            </w:tcBorders>
            <w:vAlign w:val="center"/>
          </w:tcPr>
          <w:p w14:paraId="199D84C0">
            <w:pPr>
              <w:pStyle w:val="15"/>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rightChars="0"/>
              <w:jc w:val="both"/>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供应商</w:t>
            </w:r>
            <w:r>
              <w:rPr>
                <w:rFonts w:hint="eastAsia" w:ascii="宋体" w:hAnsi="宋体" w:eastAsia="宋体" w:cs="宋体"/>
                <w:b/>
                <w:bCs/>
                <w:color w:val="auto"/>
                <w:sz w:val="24"/>
                <w:szCs w:val="24"/>
                <w:highlight w:val="none"/>
              </w:rPr>
              <w:t>根据实际情况出具项目的项目进度计划方案</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由</w:t>
            </w:r>
            <w:r>
              <w:rPr>
                <w:rFonts w:hint="eastAsia" w:ascii="宋体" w:hAnsi="宋体" w:eastAsia="宋体" w:cs="宋体"/>
                <w:b/>
                <w:bCs/>
                <w:color w:val="auto"/>
                <w:sz w:val="24"/>
                <w:szCs w:val="24"/>
                <w:highlight w:val="none"/>
                <w:lang w:val="en-US" w:eastAsia="zh-CN"/>
              </w:rPr>
              <w:t>磋商小组</w:t>
            </w:r>
            <w:r>
              <w:rPr>
                <w:rFonts w:hint="eastAsia" w:ascii="宋体" w:hAnsi="宋体" w:eastAsia="宋体" w:cs="宋体"/>
                <w:b/>
                <w:bCs/>
                <w:color w:val="auto"/>
                <w:sz w:val="24"/>
                <w:szCs w:val="24"/>
                <w:highlight w:val="none"/>
              </w:rPr>
              <w:t>根据方案内容（包括但不限于实施进度计划、进度保障措施</w:t>
            </w:r>
            <w:r>
              <w:rPr>
                <w:rFonts w:hint="eastAsia" w:ascii="宋体" w:hAnsi="宋体" w:eastAsia="宋体" w:cs="宋体"/>
                <w:b/>
                <w:bCs/>
                <w:color w:val="auto"/>
                <w:sz w:val="24"/>
                <w:szCs w:val="24"/>
                <w:highlight w:val="none"/>
                <w:lang w:val="en-US" w:eastAsia="zh-CN"/>
              </w:rPr>
              <w:t>等</w:t>
            </w:r>
            <w:r>
              <w:rPr>
                <w:rFonts w:hint="eastAsia" w:ascii="宋体" w:hAnsi="宋体" w:eastAsia="宋体" w:cs="宋体"/>
                <w:b/>
                <w:bCs/>
                <w:color w:val="auto"/>
                <w:sz w:val="24"/>
                <w:szCs w:val="24"/>
                <w:highlight w:val="none"/>
              </w:rPr>
              <w:t>）进行综合评审</w:t>
            </w:r>
            <w:r>
              <w:rPr>
                <w:rFonts w:hint="eastAsia" w:ascii="宋体" w:hAnsi="宋体" w:eastAsia="宋体" w:cs="宋体"/>
                <w:b/>
                <w:bCs/>
                <w:color w:val="auto"/>
                <w:sz w:val="24"/>
                <w:szCs w:val="24"/>
                <w:highlight w:val="none"/>
                <w:lang w:val="en-US" w:eastAsia="zh-CN"/>
              </w:rPr>
              <w:t>：</w:t>
            </w:r>
          </w:p>
          <w:p w14:paraId="17291948">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1.进度排布清晰、锚定关键节点，各阶段施工、联动调试、验收报验时序衔接合理，工期滞后预警、人员增补及工序纠偏保障措施具体可落地，整体计划与本项目消防联动系统恢复履约要求高度适配，得5分；</w:t>
            </w:r>
          </w:p>
          <w:p w14:paraId="201CA777">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2.进度节点划分完整，施工、调试、验收主线清晰，配套工期保障与延误处置措施具备基本可行性，能够支撑项目按期履约交付，得3分；</w:t>
            </w:r>
          </w:p>
          <w:p w14:paraId="1E43FC05">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3.方案涵盖进度计划及保障措施，但关键里程碑节点缺失，纠偏预案表述笼统，面对施工阻滞场景的应对抓手不足，得1分；</w:t>
            </w:r>
          </w:p>
          <w:p w14:paraId="1140670C">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4.方案不可行或未提供方案的，得0分。</w:t>
            </w:r>
          </w:p>
        </w:tc>
        <w:tc>
          <w:tcPr>
            <w:tcW w:w="713" w:type="pct"/>
            <w:tcBorders>
              <w:top w:val="single" w:color="auto" w:sz="4" w:space="0"/>
              <w:left w:val="single" w:color="auto" w:sz="4" w:space="0"/>
              <w:bottom w:val="single" w:color="auto" w:sz="4" w:space="0"/>
              <w:right w:val="single" w:color="auto" w:sz="4" w:space="0"/>
            </w:tcBorders>
            <w:vAlign w:val="center"/>
          </w:tcPr>
          <w:p w14:paraId="2117E1B8">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b w:val="0"/>
                <w:bCs w:val="0"/>
                <w:color w:val="auto"/>
                <w:sz w:val="24"/>
                <w:highlight w:val="none"/>
                <w:lang w:val="en-US" w:eastAsia="zh-CN"/>
              </w:rPr>
              <w:t>0-5分</w:t>
            </w:r>
          </w:p>
        </w:tc>
      </w:tr>
      <w:tr w14:paraId="3B59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59F3F9FD">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0388AD7B">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监测服务方案</w:t>
            </w:r>
          </w:p>
        </w:tc>
        <w:tc>
          <w:tcPr>
            <w:tcW w:w="2594" w:type="pct"/>
            <w:tcBorders>
              <w:top w:val="single" w:color="auto" w:sz="4" w:space="0"/>
              <w:left w:val="single" w:color="auto" w:sz="4" w:space="0"/>
              <w:bottom w:val="single" w:color="auto" w:sz="4" w:space="0"/>
              <w:right w:val="single" w:color="auto" w:sz="4" w:space="0"/>
            </w:tcBorders>
            <w:vAlign w:val="center"/>
          </w:tcPr>
          <w:p w14:paraId="0836CD4B">
            <w:pPr>
              <w:pStyle w:val="15"/>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rightChars="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eastAsia="zh-CN"/>
              </w:rPr>
              <w:t>供应商</w:t>
            </w:r>
            <w:r>
              <w:rPr>
                <w:rFonts w:hint="eastAsia" w:ascii="宋体" w:hAnsi="宋体" w:eastAsia="宋体" w:cs="宋体"/>
                <w:b/>
                <w:bCs/>
                <w:color w:val="auto"/>
                <w:sz w:val="24"/>
                <w:szCs w:val="24"/>
                <w:highlight w:val="none"/>
                <w:lang w:val="en-US" w:eastAsia="zh-CN"/>
              </w:rPr>
              <w:t>针对本项目提供监测服务方案</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由</w:t>
            </w:r>
            <w:r>
              <w:rPr>
                <w:rFonts w:hint="eastAsia" w:ascii="宋体" w:hAnsi="宋体" w:eastAsia="宋体" w:cs="宋体"/>
                <w:b/>
                <w:bCs/>
                <w:color w:val="auto"/>
                <w:sz w:val="24"/>
                <w:szCs w:val="24"/>
                <w:highlight w:val="none"/>
                <w:lang w:val="en-US" w:eastAsia="zh-CN"/>
              </w:rPr>
              <w:t>磋商小组</w:t>
            </w:r>
            <w:r>
              <w:rPr>
                <w:rFonts w:hint="eastAsia" w:ascii="宋体" w:hAnsi="宋体" w:eastAsia="宋体" w:cs="宋体"/>
                <w:b/>
                <w:bCs/>
                <w:color w:val="auto"/>
                <w:sz w:val="24"/>
                <w:szCs w:val="24"/>
                <w:highlight w:val="none"/>
              </w:rPr>
              <w:t>根据方案内容（包括但不限于监测服务需求分析、监测中心配备介绍、实时监测服务规范、监测团队管理制度等）进行综合评审</w:t>
            </w:r>
            <w:r>
              <w:rPr>
                <w:rFonts w:hint="eastAsia" w:ascii="宋体" w:hAnsi="宋体" w:eastAsia="宋体" w:cs="宋体"/>
                <w:b/>
                <w:bCs/>
                <w:color w:val="auto"/>
                <w:sz w:val="24"/>
                <w:szCs w:val="24"/>
                <w:highlight w:val="none"/>
                <w:lang w:eastAsia="zh-CN"/>
              </w:rPr>
              <w:t>：</w:t>
            </w:r>
          </w:p>
          <w:p w14:paraId="55EE464E">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监测痛点研判贴合本项目消防设施实际工况，监测中心软硬件及值守席位配置说明详实可核验，实时告警监测、异常甄别及信息流转闭环机制完整，团队岗位职责、排班值守与质量考核制度清晰具体，整体方案与本项目7×24小时消防监测履约场景高度适配，得5分；</w:t>
            </w:r>
          </w:p>
          <w:p w14:paraId="3B08F351">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2.方案内容齐全，监测中心配置与监测流转核心流程框架完整，团队管理机制具备基本可操作性，能够支撑常态化在线监测值守落地，得3分；</w:t>
            </w:r>
          </w:p>
          <w:p w14:paraId="0423EA2B">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3.方案覆盖评审内容但论述浅显，告警甄别、值守流转或人员考核等关键环节表述简略，制度举措存在明显缺项，落地抓手不足，得1分；</w:t>
            </w:r>
          </w:p>
          <w:p w14:paraId="06E1BBD1">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4.方案不可行或未提供方案的，得0分。</w:t>
            </w:r>
          </w:p>
        </w:tc>
        <w:tc>
          <w:tcPr>
            <w:tcW w:w="713" w:type="pct"/>
            <w:tcBorders>
              <w:top w:val="single" w:color="auto" w:sz="4" w:space="0"/>
              <w:left w:val="single" w:color="auto" w:sz="4" w:space="0"/>
              <w:bottom w:val="single" w:color="auto" w:sz="4" w:space="0"/>
              <w:right w:val="single" w:color="auto" w:sz="4" w:space="0"/>
            </w:tcBorders>
            <w:vAlign w:val="center"/>
          </w:tcPr>
          <w:p w14:paraId="4C7CA3E2">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b w:val="0"/>
                <w:bCs w:val="0"/>
                <w:color w:val="auto"/>
                <w:sz w:val="24"/>
                <w:highlight w:val="none"/>
                <w:lang w:val="en-US" w:eastAsia="zh-CN"/>
              </w:rPr>
              <w:t>0-5分</w:t>
            </w:r>
          </w:p>
        </w:tc>
      </w:tr>
      <w:tr w14:paraId="6E39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4F00D1A8">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3CADDD45">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预警处置方案</w:t>
            </w:r>
          </w:p>
        </w:tc>
        <w:tc>
          <w:tcPr>
            <w:tcW w:w="2594" w:type="pct"/>
            <w:tcBorders>
              <w:top w:val="single" w:color="auto" w:sz="4" w:space="0"/>
              <w:left w:val="single" w:color="auto" w:sz="4" w:space="0"/>
              <w:bottom w:val="single" w:color="auto" w:sz="4" w:space="0"/>
              <w:right w:val="single" w:color="auto" w:sz="4" w:space="0"/>
            </w:tcBorders>
            <w:vAlign w:val="center"/>
          </w:tcPr>
          <w:p w14:paraId="68F421C9">
            <w:pPr>
              <w:pStyle w:val="15"/>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rightChars="0"/>
              <w:jc w:val="both"/>
              <w:textAlignment w:val="baseline"/>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供应商</w:t>
            </w:r>
            <w:r>
              <w:rPr>
                <w:rFonts w:hint="eastAsia" w:ascii="宋体" w:hAnsi="宋体" w:eastAsia="宋体" w:cs="宋体"/>
                <w:b/>
                <w:bCs/>
                <w:color w:val="auto"/>
                <w:sz w:val="24"/>
                <w:szCs w:val="24"/>
                <w:highlight w:val="none"/>
                <w:lang w:val="en-US" w:eastAsia="zh-CN"/>
              </w:rPr>
              <w:t>针对本项目提供</w:t>
            </w:r>
            <w:r>
              <w:rPr>
                <w:rFonts w:hint="eastAsia" w:ascii="宋体" w:hAnsi="宋体" w:eastAsia="宋体" w:cs="宋体"/>
                <w:b/>
                <w:bCs/>
                <w:color w:val="auto"/>
                <w:sz w:val="24"/>
                <w:szCs w:val="24"/>
                <w:highlight w:val="none"/>
              </w:rPr>
              <w:t>预警处置方案</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由</w:t>
            </w:r>
            <w:r>
              <w:rPr>
                <w:rFonts w:hint="eastAsia" w:ascii="宋体" w:hAnsi="宋体" w:eastAsia="宋体" w:cs="宋体"/>
                <w:b/>
                <w:bCs/>
                <w:color w:val="auto"/>
                <w:sz w:val="24"/>
                <w:szCs w:val="24"/>
                <w:highlight w:val="none"/>
                <w:lang w:val="en-US" w:eastAsia="zh-CN"/>
              </w:rPr>
              <w:t>磋商小组</w:t>
            </w:r>
            <w:r>
              <w:rPr>
                <w:rFonts w:hint="eastAsia" w:ascii="宋体" w:hAnsi="宋体" w:eastAsia="宋体" w:cs="宋体"/>
                <w:b/>
                <w:bCs/>
                <w:color w:val="auto"/>
                <w:sz w:val="24"/>
                <w:szCs w:val="24"/>
                <w:highlight w:val="none"/>
              </w:rPr>
              <w:t>根据方案内容（包括但不限于风险场景、预警处置流程、预警场景设计</w:t>
            </w:r>
            <w:r>
              <w:rPr>
                <w:rFonts w:hint="eastAsia" w:ascii="宋体" w:hAnsi="宋体" w:eastAsia="宋体" w:cs="宋体"/>
                <w:b/>
                <w:bCs/>
                <w:color w:val="auto"/>
                <w:sz w:val="24"/>
                <w:szCs w:val="24"/>
                <w:highlight w:val="none"/>
                <w:lang w:val="en-US" w:eastAsia="zh-CN"/>
              </w:rPr>
              <w:t>等</w:t>
            </w:r>
            <w:r>
              <w:rPr>
                <w:rFonts w:hint="eastAsia" w:ascii="宋体" w:hAnsi="宋体" w:eastAsia="宋体" w:cs="宋体"/>
                <w:b/>
                <w:bCs/>
                <w:color w:val="auto"/>
                <w:sz w:val="24"/>
                <w:szCs w:val="24"/>
                <w:highlight w:val="none"/>
              </w:rPr>
              <w:t>）进行综合评审</w:t>
            </w:r>
            <w:r>
              <w:rPr>
                <w:rFonts w:hint="eastAsia" w:ascii="宋体" w:hAnsi="宋体" w:eastAsia="宋体" w:cs="宋体"/>
                <w:b/>
                <w:bCs/>
                <w:color w:val="auto"/>
                <w:sz w:val="24"/>
                <w:szCs w:val="24"/>
                <w:highlight w:val="none"/>
                <w:lang w:eastAsia="zh-CN"/>
              </w:rPr>
              <w:t>：</w:t>
            </w:r>
          </w:p>
          <w:p w14:paraId="0619BA29">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能够结合本项目消防联动系统典型故障模式梳理多类风险场景，预警触发条件、分级判定阈值设计清晰明确，告警派发、现场核实、联动处置及结果销警闭环流程完整可落地，场景设计与处置机制相互匹配，与本项目全天候消防监测值守履约场景高度适配，得5分；</w:t>
            </w:r>
          </w:p>
          <w:p w14:paraId="75649AFC">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2.方案内容齐全，风险场景覆盖主要故障类型，预警分级与处置流转主线清晰，关键岗位职责明确，能够支撑监测告警触发后的规范化闭环处置，得3分；</w:t>
            </w:r>
          </w:p>
          <w:p w14:paraId="24F4A1FF">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3.方案涵盖风险场景、处置流程及场景设计相关内容，但预警分级阈值模糊，告警核实、销警反馈等关键环节描述简略，流程衔接存在明显断点，得1分；</w:t>
            </w:r>
          </w:p>
          <w:p w14:paraId="52BF0CAB">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4.方案不可行或未提供方案的，得0分。</w:t>
            </w:r>
          </w:p>
        </w:tc>
        <w:tc>
          <w:tcPr>
            <w:tcW w:w="713" w:type="pct"/>
            <w:tcBorders>
              <w:top w:val="single" w:color="auto" w:sz="4" w:space="0"/>
              <w:left w:val="single" w:color="auto" w:sz="4" w:space="0"/>
              <w:bottom w:val="single" w:color="auto" w:sz="4" w:space="0"/>
              <w:right w:val="single" w:color="auto" w:sz="4" w:space="0"/>
            </w:tcBorders>
            <w:vAlign w:val="center"/>
          </w:tcPr>
          <w:p w14:paraId="102A689D">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b w:val="0"/>
                <w:bCs w:val="0"/>
                <w:color w:val="auto"/>
                <w:sz w:val="24"/>
                <w:highlight w:val="none"/>
                <w:lang w:val="en-US" w:eastAsia="zh-CN"/>
              </w:rPr>
              <w:t>0-5分</w:t>
            </w:r>
          </w:p>
        </w:tc>
      </w:tr>
      <w:tr w14:paraId="337E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1F7E5724">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020AEC92">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培训方案</w:t>
            </w:r>
          </w:p>
        </w:tc>
        <w:tc>
          <w:tcPr>
            <w:tcW w:w="2594" w:type="pct"/>
            <w:tcBorders>
              <w:top w:val="single" w:color="auto" w:sz="4" w:space="0"/>
              <w:left w:val="single" w:color="auto" w:sz="4" w:space="0"/>
              <w:bottom w:val="single" w:color="auto" w:sz="4" w:space="0"/>
              <w:right w:val="single" w:color="auto" w:sz="4" w:space="0"/>
            </w:tcBorders>
            <w:vAlign w:val="center"/>
          </w:tcPr>
          <w:p w14:paraId="5A21A287">
            <w:pPr>
              <w:pStyle w:val="15"/>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rightChars="0"/>
              <w:jc w:val="both"/>
              <w:textAlignment w:val="baseline"/>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供应商针对本项目提供培训方案，由磋商小组根据方案内容（包括但不限于培训对象与目标、培训方式、培训课程等内容）进行综合评审：</w:t>
            </w:r>
          </w:p>
          <w:p w14:paraId="563F32E1">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精准区分采购人消防值班人员、设施运维对接人等不同参训群体并匹配差异化学习目标，线上理论讲授与现场实操演练相结合方式清晰可行，课程覆盖消防联动系统日常监测、告警识别、基础故障判别及应急处置等核心内容，授课安排、实操演练及培训效果核验机制完整闭环，与本项目交付后采购人自主值守履约需求高度适配，得5分；</w:t>
            </w:r>
          </w:p>
          <w:p w14:paraId="2DA59FCE">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2.方案内容要素齐全，培训对象与学习定位清晰，授课形式与课程框架完整，能够支撑采购人相关岗位人员掌握系统基础操作与常规告警处置能力，得3分；</w:t>
            </w:r>
          </w:p>
          <w:p w14:paraId="094A32A4">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3.方案涵盖培训对象、培训方式及课程相关内容，但分层培训目标模糊，实操演练安排或效果检验机制缺位，课程内容与本项目消防设施实际运维场景衔接不足，得1分；</w:t>
            </w:r>
          </w:p>
          <w:p w14:paraId="4A0B2A75">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4.方案不可行或未提供方案的，得0分。</w:t>
            </w:r>
          </w:p>
        </w:tc>
        <w:tc>
          <w:tcPr>
            <w:tcW w:w="713" w:type="pct"/>
            <w:tcBorders>
              <w:top w:val="single" w:color="auto" w:sz="4" w:space="0"/>
              <w:left w:val="single" w:color="auto" w:sz="4" w:space="0"/>
              <w:bottom w:val="single" w:color="auto" w:sz="4" w:space="0"/>
              <w:right w:val="single" w:color="auto" w:sz="4" w:space="0"/>
            </w:tcBorders>
            <w:vAlign w:val="center"/>
          </w:tcPr>
          <w:p w14:paraId="18E1DACC">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b w:val="0"/>
                <w:bCs w:val="0"/>
                <w:color w:val="auto"/>
                <w:sz w:val="24"/>
                <w:highlight w:val="none"/>
                <w:lang w:val="en-US" w:eastAsia="zh-CN"/>
              </w:rPr>
              <w:t>0-5分</w:t>
            </w:r>
          </w:p>
        </w:tc>
      </w:tr>
      <w:tr w14:paraId="6DF4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142E11B4">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4F190B20">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售后服务方案</w:t>
            </w:r>
          </w:p>
        </w:tc>
        <w:tc>
          <w:tcPr>
            <w:tcW w:w="2594" w:type="pct"/>
            <w:tcBorders>
              <w:top w:val="single" w:color="auto" w:sz="4" w:space="0"/>
              <w:left w:val="single" w:color="auto" w:sz="4" w:space="0"/>
              <w:bottom w:val="single" w:color="auto" w:sz="4" w:space="0"/>
              <w:right w:val="single" w:color="auto" w:sz="4" w:space="0"/>
            </w:tcBorders>
            <w:vAlign w:val="center"/>
          </w:tcPr>
          <w:p w14:paraId="0AE3ED94">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供应商针对本项目提供售后服务方案，由磋商小组根据方案内容（包括但不限于售后服务承诺、售后服务流程、售后人员配备等）进行综合评审：</w:t>
            </w:r>
          </w:p>
          <w:p w14:paraId="7AA89F95">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售后服务承诺内容详实、量化可执行，服务响应时效分级明确，故障修复时限、服务质保期及延续服务安排具体可落地；售后服务流程闭环完整，涵盖故障受理、工单派发、现场处置、结果反馈及验收归档全环节，流转节点与时效要求清晰；售后人员配备结构合理，项目负责人、技术工程师、现场值守人员等岗位设置齐全，与本项目履约规模高度匹配，得5分；</w:t>
            </w:r>
          </w:p>
          <w:p w14:paraId="3E1A8CFD">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 售后服务承诺</w:t>
            </w:r>
            <w:r>
              <w:rPr>
                <w:rFonts w:hint="eastAsia" w:ascii="宋体" w:hAnsi="宋体" w:cs="宋体"/>
                <w:color w:val="auto"/>
                <w:sz w:val="24"/>
                <w:szCs w:val="24"/>
                <w:highlight w:val="none"/>
                <w:lang w:val="en-US" w:eastAsia="zh-CN"/>
              </w:rPr>
              <w:t>内容</w:t>
            </w:r>
            <w:r>
              <w:rPr>
                <w:rFonts w:hint="eastAsia" w:ascii="宋体" w:hAnsi="宋体" w:eastAsia="宋体" w:cs="宋体"/>
                <w:color w:val="auto"/>
                <w:sz w:val="24"/>
                <w:szCs w:val="24"/>
                <w:highlight w:val="none"/>
                <w:lang w:val="en-US" w:eastAsia="zh-CN"/>
              </w:rPr>
              <w:t>基本齐全，响应时效与修复时限有明确要求，能够支撑日常运维保障；服务流程框架完整，故障受理、派单、处置、反馈等核心环节清晰，关键岗位职责与流转机制明确；人员配备满足项目基本需求，主要岗位设置合理，得3分；</w:t>
            </w:r>
          </w:p>
          <w:p w14:paraId="3A923848">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3.方案内容较为简略，服务承诺量化不足，响应时效或修复标准模糊，服务流程中故障受理、派单处置或结果反馈等关键环节描述缺位，人员配备岗位设置不完整或资质要求不清晰，得1分；</w:t>
            </w:r>
          </w:p>
          <w:p w14:paraId="37FC56E3">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4.方案不可行或未提供方案的，得0分。</w:t>
            </w:r>
          </w:p>
        </w:tc>
        <w:tc>
          <w:tcPr>
            <w:tcW w:w="713" w:type="pct"/>
            <w:tcBorders>
              <w:top w:val="single" w:color="auto" w:sz="4" w:space="0"/>
              <w:left w:val="single" w:color="auto" w:sz="4" w:space="0"/>
              <w:bottom w:val="single" w:color="auto" w:sz="4" w:space="0"/>
              <w:right w:val="single" w:color="auto" w:sz="4" w:space="0"/>
            </w:tcBorders>
            <w:vAlign w:val="center"/>
          </w:tcPr>
          <w:p w14:paraId="330F2DE4">
            <w:pPr>
              <w:keepNext w:val="0"/>
              <w:keepLines w:val="0"/>
              <w:pageBreakBefore w:val="0"/>
              <w:wordWrap/>
              <w:overflowPunct/>
              <w:topLinePunct w:val="0"/>
              <w:bidi w:val="0"/>
              <w:spacing w:line="460" w:lineRule="exact"/>
              <w:ind w:left="0" w:leftChars="0" w:right="0" w:rightChars="0"/>
              <w:jc w:val="center"/>
              <w:rPr>
                <w:rFonts w:hint="default" w:ascii="宋体" w:hAnsi="宋体" w:eastAsia="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0-5分</w:t>
            </w:r>
          </w:p>
        </w:tc>
      </w:tr>
      <w:tr w14:paraId="3B33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5C692DEB">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31774E89">
            <w:pPr>
              <w:keepNext w:val="0"/>
              <w:keepLines w:val="0"/>
              <w:pageBreakBefore w:val="0"/>
              <w:wordWrap/>
              <w:overflowPunct/>
              <w:topLinePunct w:val="0"/>
              <w:bidi w:val="0"/>
              <w:spacing w:line="460" w:lineRule="exact"/>
              <w:ind w:left="0" w:leftChars="0" w:right="0" w:rightChars="0"/>
              <w:jc w:val="center"/>
              <w:rPr>
                <w:rFonts w:hint="eastAsia" w:ascii="宋体" w:hAnsi="宋体" w:cs="宋体"/>
                <w:color w:val="auto"/>
                <w:sz w:val="24"/>
                <w:szCs w:val="24"/>
                <w:highlight w:val="none"/>
                <w:lang w:val="en-US" w:eastAsia="zh-CN"/>
              </w:rPr>
            </w:pPr>
            <w:r>
              <w:rPr>
                <w:rFonts w:hint="eastAsia" w:ascii="宋体" w:hAnsi="宋体" w:eastAsia="宋体" w:cs="宋体"/>
                <w:color w:val="auto"/>
                <w:sz w:val="24"/>
                <w:highlight w:val="none"/>
                <w:lang w:val="en-US" w:eastAsia="zh-CN"/>
              </w:rPr>
              <w:t>合理化建议</w:t>
            </w:r>
          </w:p>
        </w:tc>
        <w:tc>
          <w:tcPr>
            <w:tcW w:w="2594" w:type="pct"/>
            <w:tcBorders>
              <w:top w:val="single" w:color="auto" w:sz="4" w:space="0"/>
              <w:left w:val="single" w:color="auto" w:sz="4" w:space="0"/>
              <w:bottom w:val="single" w:color="auto" w:sz="4" w:space="0"/>
              <w:right w:val="single" w:color="auto" w:sz="4" w:space="0"/>
            </w:tcBorders>
            <w:vAlign w:val="center"/>
          </w:tcPr>
          <w:p w14:paraId="54A4628B">
            <w:pPr>
              <w:keepNext w:val="0"/>
              <w:keepLines w:val="0"/>
              <w:pageBreakBefore w:val="0"/>
              <w:wordWrap/>
              <w:overflowPunct/>
              <w:topLinePunct w:val="0"/>
              <w:bidi w:val="0"/>
              <w:spacing w:line="460" w:lineRule="exact"/>
              <w:ind w:left="0" w:leftChars="0" w:right="0" w:rightChars="0"/>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磋商小组根据供应商针对本项目提供合理化建议进行综合评审：</w:t>
            </w:r>
          </w:p>
          <w:p w14:paraId="77ACFB09">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auto"/>
                <w:sz w:val="24"/>
                <w:highlight w:val="none"/>
                <w:lang w:val="en-US" w:eastAsia="zh-CN"/>
              </w:rPr>
            </w:pPr>
            <w:r>
              <w:rPr>
                <w:rFonts w:hint="eastAsia" w:ascii="宋体" w:hAnsi="宋体" w:eastAsia="宋体" w:cs="宋体"/>
                <w:bCs/>
                <w:color w:val="auto"/>
                <w:sz w:val="24"/>
                <w:highlight w:val="none"/>
                <w:lang w:val="en-US" w:eastAsia="zh-CN"/>
              </w:rPr>
              <w:t>1.对本项目特点和难点理解准确，合理化建议优于本项目采购需求，完整详细，可行性、实用性、针对性强，得3分；</w:t>
            </w:r>
          </w:p>
          <w:p w14:paraId="0A15A965">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auto"/>
                <w:sz w:val="24"/>
                <w:highlight w:val="none"/>
                <w:lang w:val="en-US" w:eastAsia="zh-CN"/>
              </w:rPr>
            </w:pPr>
            <w:r>
              <w:rPr>
                <w:rFonts w:hint="eastAsia" w:ascii="宋体" w:hAnsi="宋体" w:eastAsia="宋体" w:cs="宋体"/>
                <w:bCs/>
                <w:color w:val="auto"/>
                <w:sz w:val="24"/>
                <w:highlight w:val="none"/>
                <w:lang w:val="en-US" w:eastAsia="zh-CN"/>
              </w:rPr>
              <w:t>2.对本项目特点和难点理解基本准确，合理化建议适合本项目采购需求，完整详细，具有可行性、实用性和针对性，得2分；</w:t>
            </w:r>
          </w:p>
          <w:p w14:paraId="16B44649">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auto"/>
                <w:sz w:val="24"/>
                <w:highlight w:val="none"/>
                <w:lang w:val="en-US" w:eastAsia="zh-CN"/>
              </w:rPr>
            </w:pPr>
            <w:r>
              <w:rPr>
                <w:rFonts w:hint="eastAsia" w:ascii="宋体" w:hAnsi="宋体" w:eastAsia="宋体" w:cs="宋体"/>
                <w:bCs/>
                <w:color w:val="auto"/>
                <w:sz w:val="24"/>
                <w:highlight w:val="none"/>
                <w:lang w:val="en-US" w:eastAsia="zh-CN"/>
              </w:rPr>
              <w:t>3.对本项目特点和难点理解有待提升，合理化建议基本适合本项目采购需求，可行性、实用性、针对性有待改善，得1分；</w:t>
            </w:r>
          </w:p>
          <w:p w14:paraId="5F922F51">
            <w:pPr>
              <w:keepNext w:val="0"/>
              <w:keepLines w:val="0"/>
              <w:pageBreakBefore w:val="0"/>
              <w:wordWrap/>
              <w:overflowPunct/>
              <w:topLinePunct w:val="0"/>
              <w:bidi w:val="0"/>
              <w:spacing w:line="46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highlight w:val="none"/>
                <w:lang w:val="en-US" w:eastAsia="zh-CN"/>
              </w:rPr>
              <w:t>4.方案不可行或者未提供得0分。</w:t>
            </w:r>
          </w:p>
        </w:tc>
        <w:tc>
          <w:tcPr>
            <w:tcW w:w="713" w:type="pct"/>
            <w:tcBorders>
              <w:top w:val="single" w:color="auto" w:sz="4" w:space="0"/>
              <w:left w:val="single" w:color="auto" w:sz="4" w:space="0"/>
              <w:bottom w:val="single" w:color="auto" w:sz="4" w:space="0"/>
              <w:right w:val="single" w:color="auto" w:sz="4" w:space="0"/>
            </w:tcBorders>
            <w:vAlign w:val="center"/>
          </w:tcPr>
          <w:p w14:paraId="69F5F94B">
            <w:pPr>
              <w:keepNext w:val="0"/>
              <w:keepLines w:val="0"/>
              <w:pageBreakBefore w:val="0"/>
              <w:wordWrap/>
              <w:overflowPunct/>
              <w:topLinePunct w:val="0"/>
              <w:bidi w:val="0"/>
              <w:spacing w:line="460" w:lineRule="exact"/>
              <w:ind w:left="0" w:leftChars="0" w:right="0" w:rightChars="0"/>
              <w:jc w:val="center"/>
              <w:rPr>
                <w:rFonts w:hint="eastAsia" w:ascii="宋体" w:hAnsi="宋体" w:cs="宋体"/>
                <w:color w:val="auto"/>
                <w:sz w:val="24"/>
                <w:szCs w:val="24"/>
                <w:highlight w:val="none"/>
                <w:lang w:val="en-US" w:eastAsia="zh-CN"/>
              </w:rPr>
            </w:pPr>
            <w:r>
              <w:rPr>
                <w:rFonts w:hint="eastAsia" w:ascii="宋体" w:hAnsi="宋体" w:eastAsia="宋体" w:cs="宋体"/>
                <w:b w:val="0"/>
                <w:bCs w:val="0"/>
                <w:color w:val="auto"/>
                <w:sz w:val="24"/>
                <w:highlight w:val="none"/>
                <w:lang w:val="en-US" w:eastAsia="zh-CN"/>
              </w:rPr>
              <w:t>0-3分</w:t>
            </w:r>
          </w:p>
        </w:tc>
      </w:tr>
      <w:tr w14:paraId="29DD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5DC3A3E9">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6BE3350D">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项目团队</w:t>
            </w:r>
          </w:p>
        </w:tc>
        <w:tc>
          <w:tcPr>
            <w:tcW w:w="2594" w:type="pct"/>
            <w:tcBorders>
              <w:top w:val="single" w:color="auto" w:sz="4" w:space="0"/>
              <w:left w:val="single" w:color="auto" w:sz="4" w:space="0"/>
              <w:bottom w:val="single" w:color="auto" w:sz="4" w:space="0"/>
              <w:right w:val="single" w:color="auto" w:sz="4" w:space="0"/>
            </w:tcBorders>
            <w:vAlign w:val="center"/>
          </w:tcPr>
          <w:p w14:paraId="05586177">
            <w:pPr>
              <w:pStyle w:val="15"/>
              <w:keepNext w:val="0"/>
              <w:keepLines w:val="0"/>
              <w:pageBreakBefore w:val="0"/>
              <w:numPr>
                <w:ilvl w:val="0"/>
                <w:numId w:val="0"/>
              </w:numPr>
              <w:wordWrap/>
              <w:overflowPunct/>
              <w:topLinePunct w:val="0"/>
              <w:bidi w:val="0"/>
              <w:spacing w:line="460" w:lineRule="exact"/>
              <w:ind w:right="0" w:rightChars="0"/>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val="en-US" w:eastAsia="zh-CN"/>
              </w:rPr>
              <w:t>一、</w:t>
            </w:r>
            <w:r>
              <w:rPr>
                <w:rFonts w:hint="eastAsia" w:ascii="宋体" w:hAnsi="宋体" w:eastAsia="宋体" w:cs="宋体"/>
                <w:b/>
                <w:bCs/>
                <w:snapToGrid w:val="0"/>
                <w:color w:val="auto"/>
                <w:spacing w:val="6"/>
                <w:kern w:val="0"/>
                <w:sz w:val="24"/>
                <w:szCs w:val="24"/>
                <w:lang w:val="en-US" w:eastAsia="zh-CN" w:bidi="ar-SA"/>
              </w:rPr>
              <w:t>拟派本项目</w:t>
            </w:r>
            <w:r>
              <w:rPr>
                <w:rFonts w:hint="eastAsia" w:ascii="宋体" w:hAnsi="宋体" w:eastAsia="宋体" w:cs="宋体"/>
                <w:b/>
                <w:bCs/>
                <w:color w:val="auto"/>
                <w:sz w:val="24"/>
                <w:highlight w:val="none"/>
                <w:lang w:val="en-US" w:eastAsia="zh-CN"/>
              </w:rPr>
              <w:t>负责人（1人</w:t>
            </w:r>
            <w:r>
              <w:rPr>
                <w:rFonts w:hint="eastAsia" w:ascii="宋体" w:hAnsi="宋体" w:cs="宋体"/>
                <w:b/>
                <w:bCs/>
                <w:color w:val="auto"/>
                <w:sz w:val="24"/>
                <w:highlight w:val="none"/>
                <w:lang w:val="en-US" w:eastAsia="zh-CN"/>
              </w:rPr>
              <w:t>，4分</w:t>
            </w:r>
            <w:r>
              <w:rPr>
                <w:rFonts w:hint="eastAsia" w:ascii="宋体" w:hAnsi="宋体" w:eastAsia="宋体" w:cs="宋体"/>
                <w:b/>
                <w:bCs/>
                <w:color w:val="auto"/>
                <w:sz w:val="24"/>
                <w:highlight w:val="none"/>
                <w:lang w:val="en-US" w:eastAsia="zh-CN"/>
              </w:rPr>
              <w:t>）：</w:t>
            </w:r>
          </w:p>
          <w:p w14:paraId="1490EE59">
            <w:pPr>
              <w:pStyle w:val="15"/>
              <w:keepNext w:val="0"/>
              <w:keepLines w:val="0"/>
              <w:pageBreakBefore w:val="0"/>
              <w:numPr>
                <w:ilvl w:val="0"/>
                <w:numId w:val="0"/>
              </w:numPr>
              <w:wordWrap/>
              <w:overflowPunct/>
              <w:topLinePunct w:val="0"/>
              <w:bidi w:val="0"/>
              <w:spacing w:line="460" w:lineRule="exact"/>
              <w:ind w:left="0" w:leftChars="0" w:right="0" w:rightChars="0"/>
              <w:jc w:val="lef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具有一级注册消防工程师证书</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得2分；具有二级注册消防工程师证书，得1分；最高得2分。</w:t>
            </w:r>
          </w:p>
          <w:p w14:paraId="3C8B1BA5">
            <w:pPr>
              <w:pStyle w:val="15"/>
              <w:keepNext w:val="0"/>
              <w:keepLines w:val="0"/>
              <w:pageBreakBefore w:val="0"/>
              <w:numPr>
                <w:ilvl w:val="0"/>
                <w:numId w:val="0"/>
              </w:numPr>
              <w:wordWrap/>
              <w:overflowPunct/>
              <w:topLinePunct w:val="0"/>
              <w:bidi w:val="0"/>
              <w:spacing w:line="460" w:lineRule="exact"/>
              <w:ind w:left="0" w:leftChars="0" w:right="0" w:right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2.具有机电工程</w:t>
            </w:r>
            <w:r>
              <w:rPr>
                <w:rFonts w:hint="eastAsia" w:ascii="宋体" w:hAnsi="宋体" w:cs="宋体"/>
                <w:color w:val="auto"/>
                <w:sz w:val="24"/>
                <w:highlight w:val="none"/>
                <w:lang w:val="en-US" w:eastAsia="zh-CN"/>
              </w:rPr>
              <w:t>专业</w:t>
            </w:r>
            <w:r>
              <w:rPr>
                <w:rFonts w:hint="eastAsia" w:ascii="宋体" w:hAnsi="宋体" w:eastAsia="宋体" w:cs="宋体"/>
                <w:color w:val="auto"/>
                <w:sz w:val="24"/>
                <w:highlight w:val="none"/>
                <w:lang w:val="en-US" w:eastAsia="zh-CN"/>
              </w:rPr>
              <w:t>或机电安装</w:t>
            </w:r>
            <w:r>
              <w:rPr>
                <w:rFonts w:hint="eastAsia" w:ascii="宋体" w:hAnsi="宋体" w:cs="宋体"/>
                <w:color w:val="auto"/>
                <w:sz w:val="24"/>
                <w:highlight w:val="none"/>
                <w:lang w:val="en-US" w:eastAsia="zh-CN"/>
              </w:rPr>
              <w:t>专业</w:t>
            </w:r>
            <w:r>
              <w:rPr>
                <w:rFonts w:hint="eastAsia" w:ascii="宋体" w:hAnsi="宋体" w:eastAsia="宋体" w:cs="宋体"/>
                <w:color w:val="auto"/>
                <w:sz w:val="24"/>
                <w:highlight w:val="none"/>
                <w:lang w:val="en-US" w:eastAsia="zh-CN"/>
              </w:rPr>
              <w:t>高级及以上职称证书，得2分；具有机电工程</w:t>
            </w:r>
            <w:r>
              <w:rPr>
                <w:rFonts w:hint="eastAsia" w:ascii="宋体" w:hAnsi="宋体" w:cs="宋体"/>
                <w:color w:val="auto"/>
                <w:sz w:val="24"/>
                <w:highlight w:val="none"/>
                <w:lang w:val="en-US" w:eastAsia="zh-CN"/>
              </w:rPr>
              <w:t>专业</w:t>
            </w:r>
            <w:r>
              <w:rPr>
                <w:rFonts w:hint="eastAsia" w:ascii="宋体" w:hAnsi="宋体" w:eastAsia="宋体" w:cs="宋体"/>
                <w:color w:val="auto"/>
                <w:sz w:val="24"/>
                <w:highlight w:val="none"/>
                <w:lang w:val="en-US" w:eastAsia="zh-CN"/>
              </w:rPr>
              <w:t>或机电安装</w:t>
            </w:r>
            <w:r>
              <w:rPr>
                <w:rFonts w:hint="eastAsia" w:ascii="宋体" w:hAnsi="宋体" w:cs="宋体"/>
                <w:color w:val="auto"/>
                <w:sz w:val="24"/>
                <w:highlight w:val="none"/>
                <w:lang w:val="en-US" w:eastAsia="zh-CN"/>
              </w:rPr>
              <w:t>专业</w:t>
            </w:r>
            <w:r>
              <w:rPr>
                <w:rFonts w:hint="eastAsia" w:ascii="宋体" w:hAnsi="宋体" w:eastAsia="宋体" w:cs="宋体"/>
                <w:color w:val="auto"/>
                <w:sz w:val="24"/>
                <w:highlight w:val="none"/>
                <w:lang w:val="en-US" w:eastAsia="zh-CN"/>
              </w:rPr>
              <w:t>中级职称证书，得1分；最高得2分</w:t>
            </w:r>
            <w:r>
              <w:rPr>
                <w:rFonts w:hint="eastAsia" w:ascii="宋体" w:hAnsi="宋体" w:cs="宋体"/>
                <w:color w:val="auto"/>
                <w:sz w:val="24"/>
                <w:highlight w:val="none"/>
                <w:lang w:val="en-US" w:eastAsia="zh-CN"/>
              </w:rPr>
              <w:t>。</w:t>
            </w:r>
          </w:p>
          <w:p w14:paraId="48FF197A">
            <w:pPr>
              <w:pStyle w:val="15"/>
              <w:keepNext w:val="0"/>
              <w:keepLines w:val="0"/>
              <w:pageBreakBefore w:val="0"/>
              <w:numPr>
                <w:ilvl w:val="0"/>
                <w:numId w:val="0"/>
              </w:numPr>
              <w:wordWrap/>
              <w:overflowPunct/>
              <w:topLinePunct w:val="0"/>
              <w:bidi w:val="0"/>
              <w:spacing w:line="460" w:lineRule="exact"/>
              <w:ind w:leftChars="0" w:right="0" w:rightChars="0"/>
              <w:jc w:val="left"/>
              <w:rPr>
                <w:rFonts w:hint="eastAsia" w:ascii="宋体" w:hAnsi="宋体" w:eastAsia="宋体" w:cs="宋体"/>
                <w:color w:val="auto"/>
                <w:sz w:val="24"/>
                <w:highlight w:val="none"/>
                <w:lang w:val="en-US" w:eastAsia="zh-CN"/>
              </w:rPr>
            </w:pPr>
            <w:r>
              <w:rPr>
                <w:rFonts w:hint="eastAsia" w:ascii="宋体" w:hAnsi="宋体" w:cs="宋体"/>
                <w:b/>
                <w:bCs/>
                <w:color w:val="auto"/>
                <w:sz w:val="24"/>
                <w:highlight w:val="none"/>
                <w:lang w:val="en-US" w:eastAsia="zh-CN"/>
              </w:rPr>
              <w:t>二</w:t>
            </w:r>
            <w:r>
              <w:rPr>
                <w:rFonts w:hint="eastAsia" w:ascii="宋体" w:hAnsi="宋体" w:eastAsia="宋体" w:cs="宋体"/>
                <w:b/>
                <w:bCs/>
                <w:color w:val="auto"/>
                <w:sz w:val="24"/>
                <w:highlight w:val="none"/>
                <w:lang w:val="en-US" w:eastAsia="zh-CN"/>
              </w:rPr>
              <w:t>、</w:t>
            </w:r>
            <w:r>
              <w:rPr>
                <w:rFonts w:hint="eastAsia" w:ascii="宋体" w:hAnsi="宋体" w:eastAsia="宋体" w:cs="宋体"/>
                <w:b/>
                <w:bCs/>
                <w:snapToGrid w:val="0"/>
                <w:color w:val="auto"/>
                <w:spacing w:val="6"/>
                <w:kern w:val="0"/>
                <w:sz w:val="24"/>
                <w:szCs w:val="24"/>
                <w:lang w:val="en-US" w:eastAsia="zh-CN" w:bidi="ar-SA"/>
              </w:rPr>
              <w:t>拟派本项目</w:t>
            </w:r>
            <w:r>
              <w:rPr>
                <w:rFonts w:hint="eastAsia" w:ascii="宋体" w:hAnsi="宋体" w:cs="宋体"/>
                <w:b/>
                <w:bCs/>
                <w:snapToGrid w:val="0"/>
                <w:color w:val="auto"/>
                <w:spacing w:val="6"/>
                <w:kern w:val="0"/>
                <w:sz w:val="24"/>
                <w:szCs w:val="24"/>
                <w:lang w:val="en-US" w:eastAsia="zh-CN" w:bidi="ar-SA"/>
              </w:rPr>
              <w:t>技术</w:t>
            </w:r>
            <w:r>
              <w:rPr>
                <w:rFonts w:hint="eastAsia" w:ascii="宋体" w:hAnsi="宋体" w:eastAsia="宋体" w:cs="宋体"/>
                <w:b/>
                <w:bCs/>
                <w:color w:val="auto"/>
                <w:sz w:val="24"/>
                <w:highlight w:val="none"/>
                <w:lang w:val="en-US" w:eastAsia="zh-CN"/>
              </w:rPr>
              <w:t>负责人（1人</w:t>
            </w:r>
            <w:r>
              <w:rPr>
                <w:rFonts w:hint="eastAsia" w:ascii="宋体" w:hAnsi="宋体" w:cs="宋体"/>
                <w:b/>
                <w:bCs/>
                <w:color w:val="auto"/>
                <w:sz w:val="24"/>
                <w:highlight w:val="none"/>
                <w:lang w:val="en-US" w:eastAsia="zh-CN"/>
              </w:rPr>
              <w:t>，4分</w:t>
            </w:r>
            <w:r>
              <w:rPr>
                <w:rFonts w:hint="eastAsia" w:ascii="宋体" w:hAnsi="宋体" w:eastAsia="宋体" w:cs="宋体"/>
                <w:b/>
                <w:bCs/>
                <w:color w:val="auto"/>
                <w:sz w:val="24"/>
                <w:highlight w:val="none"/>
                <w:lang w:val="en-US" w:eastAsia="zh-CN"/>
              </w:rPr>
              <w:t>）</w:t>
            </w:r>
          </w:p>
          <w:p w14:paraId="5C00E291">
            <w:pPr>
              <w:pStyle w:val="15"/>
              <w:keepNext w:val="0"/>
              <w:keepLines w:val="0"/>
              <w:pageBreakBefore w:val="0"/>
              <w:numPr>
                <w:ilvl w:val="0"/>
                <w:numId w:val="0"/>
              </w:numPr>
              <w:wordWrap/>
              <w:overflowPunct/>
              <w:topLinePunct w:val="0"/>
              <w:bidi w:val="0"/>
              <w:spacing w:line="460" w:lineRule="exact"/>
              <w:ind w:left="0" w:leftChars="0" w:right="0" w:right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1.具有机电</w:t>
            </w:r>
            <w:r>
              <w:rPr>
                <w:rFonts w:hint="eastAsia" w:ascii="宋体" w:hAnsi="宋体" w:cs="宋体"/>
                <w:color w:val="auto"/>
                <w:sz w:val="24"/>
                <w:highlight w:val="none"/>
                <w:lang w:val="en-US" w:eastAsia="zh-CN"/>
              </w:rPr>
              <w:t>工程专业二级及以上注册</w:t>
            </w:r>
            <w:r>
              <w:rPr>
                <w:rFonts w:hint="eastAsia" w:ascii="宋体" w:hAnsi="宋体" w:eastAsia="宋体" w:cs="宋体"/>
                <w:color w:val="auto"/>
                <w:sz w:val="24"/>
                <w:highlight w:val="none"/>
                <w:lang w:val="en-US" w:eastAsia="zh-CN"/>
              </w:rPr>
              <w:t>建造师证书，得2分</w:t>
            </w:r>
            <w:r>
              <w:rPr>
                <w:rFonts w:hint="eastAsia" w:ascii="宋体" w:hAnsi="宋体" w:cs="宋体"/>
                <w:color w:val="auto"/>
                <w:sz w:val="24"/>
                <w:highlight w:val="none"/>
                <w:lang w:val="en-US" w:eastAsia="zh-CN"/>
              </w:rPr>
              <w:t>，最高得2分</w:t>
            </w:r>
            <w:r>
              <w:rPr>
                <w:rFonts w:hint="eastAsia" w:ascii="宋体" w:hAnsi="宋体" w:eastAsia="宋体" w:cs="宋体"/>
                <w:color w:val="auto"/>
                <w:sz w:val="24"/>
                <w:highlight w:val="none"/>
                <w:lang w:val="en-US" w:eastAsia="zh-CN"/>
              </w:rPr>
              <w:t>；</w:t>
            </w:r>
          </w:p>
          <w:p w14:paraId="456B0AD0">
            <w:pPr>
              <w:pStyle w:val="15"/>
              <w:keepNext w:val="0"/>
              <w:keepLines w:val="0"/>
              <w:pageBreakBefore w:val="0"/>
              <w:numPr>
                <w:ilvl w:val="0"/>
                <w:numId w:val="0"/>
              </w:numPr>
              <w:wordWrap/>
              <w:overflowPunct/>
              <w:topLinePunct w:val="0"/>
              <w:bidi w:val="0"/>
              <w:spacing w:line="460" w:lineRule="exact"/>
              <w:ind w:left="0" w:leftChars="0" w:right="0" w:right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2.具有注册安全工程师证书的得2分，最高得2分</w:t>
            </w:r>
            <w:r>
              <w:rPr>
                <w:rFonts w:hint="eastAsia" w:ascii="宋体" w:hAnsi="宋体" w:cs="宋体"/>
                <w:color w:val="auto"/>
                <w:sz w:val="24"/>
                <w:highlight w:val="none"/>
                <w:lang w:val="en-US" w:eastAsia="zh-CN"/>
              </w:rPr>
              <w:t>。</w:t>
            </w:r>
          </w:p>
          <w:p w14:paraId="4CD4A4C6">
            <w:pPr>
              <w:pStyle w:val="15"/>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三、其他人员</w:t>
            </w:r>
            <w:r>
              <w:rPr>
                <w:rFonts w:hint="eastAsia" w:ascii="宋体" w:hAnsi="宋体" w:eastAsia="宋体" w:cs="宋体"/>
                <w:b/>
                <w:bCs/>
                <w:color w:val="auto"/>
                <w:sz w:val="24"/>
                <w:highlight w:val="none"/>
              </w:rPr>
              <w:t>（项目负责人</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lang w:val="en-US" w:eastAsia="zh-CN"/>
              </w:rPr>
              <w:t>技术负责</w:t>
            </w:r>
            <w:bookmarkStart w:id="0" w:name="_GoBack"/>
            <w:bookmarkEnd w:id="0"/>
            <w:r>
              <w:rPr>
                <w:rFonts w:hint="eastAsia" w:ascii="宋体" w:hAnsi="宋体" w:eastAsia="宋体" w:cs="宋体"/>
                <w:b/>
                <w:bCs/>
                <w:color w:val="auto"/>
                <w:sz w:val="24"/>
                <w:highlight w:val="none"/>
                <w:lang w:val="en-US" w:eastAsia="zh-CN"/>
              </w:rPr>
              <w:t>人除外</w:t>
            </w:r>
            <w:r>
              <w:rPr>
                <w:rFonts w:hint="eastAsia" w:ascii="宋体" w:hAnsi="宋体" w:eastAsia="宋体" w:cs="宋体"/>
                <w:b/>
                <w:bCs/>
                <w:color w:val="auto"/>
                <w:sz w:val="24"/>
                <w:highlight w:val="none"/>
              </w:rPr>
              <w:t>）：</w:t>
            </w:r>
          </w:p>
          <w:p w14:paraId="36ACC76C">
            <w:pPr>
              <w:pStyle w:val="15"/>
              <w:keepNext w:val="0"/>
              <w:keepLines w:val="0"/>
              <w:pageBreakBefore w:val="0"/>
              <w:wordWrap/>
              <w:overflowPunct/>
              <w:topLinePunct w:val="0"/>
              <w:bidi w:val="0"/>
              <w:spacing w:line="460" w:lineRule="exact"/>
              <w:ind w:left="0" w:leftChars="0" w:right="0" w:rightChars="0"/>
              <w:jc w:val="left"/>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具有注册消防工程师，</w:t>
            </w:r>
            <w:r>
              <w:rPr>
                <w:rFonts w:hint="eastAsia" w:ascii="宋体" w:hAnsi="宋体" w:eastAsia="宋体" w:cs="宋体"/>
                <w:color w:val="auto"/>
                <w:sz w:val="24"/>
                <w:highlight w:val="none"/>
                <w:lang w:val="en-US" w:eastAsia="zh-CN"/>
              </w:rPr>
              <w:t>每提供1人</w:t>
            </w:r>
            <w:r>
              <w:rPr>
                <w:rFonts w:hint="eastAsia" w:ascii="宋体" w:hAnsi="宋体" w:eastAsia="宋体" w:cs="宋体"/>
                <w:color w:val="auto"/>
                <w:sz w:val="24"/>
                <w:highlight w:val="none"/>
              </w:rPr>
              <w:t>得</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分，满分</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分。</w:t>
            </w:r>
          </w:p>
          <w:p w14:paraId="1D02FA5C">
            <w:pPr>
              <w:pStyle w:val="15"/>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lang w:val="en-US" w:eastAsia="zh-CN"/>
              </w:rPr>
              <w:t>具有计算机技术与软件专业技术资格（水平）考试</w:t>
            </w:r>
            <w:r>
              <w:rPr>
                <w:rFonts w:hint="eastAsia" w:ascii="宋体" w:hAnsi="宋体" w:eastAsia="宋体" w:cs="宋体"/>
                <w:color w:val="auto"/>
                <w:sz w:val="24"/>
                <w:highlight w:val="none"/>
              </w:rPr>
              <w:t>高级信息系统项目管理师，</w:t>
            </w:r>
            <w:r>
              <w:rPr>
                <w:rFonts w:hint="eastAsia" w:ascii="宋体" w:hAnsi="宋体" w:eastAsia="宋体" w:cs="宋体"/>
                <w:color w:val="auto"/>
                <w:sz w:val="24"/>
                <w:highlight w:val="none"/>
                <w:lang w:val="en-US" w:eastAsia="zh-CN"/>
              </w:rPr>
              <w:t>每提供1人</w:t>
            </w:r>
            <w:r>
              <w:rPr>
                <w:rFonts w:hint="eastAsia" w:ascii="宋体" w:hAnsi="宋体" w:eastAsia="宋体" w:cs="宋体"/>
                <w:color w:val="auto"/>
                <w:sz w:val="24"/>
                <w:highlight w:val="none"/>
              </w:rPr>
              <w:t>得</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分，满分</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分。</w:t>
            </w:r>
          </w:p>
          <w:p w14:paraId="70F3BFE4">
            <w:pPr>
              <w:pStyle w:val="15"/>
              <w:keepNext w:val="0"/>
              <w:keepLines w:val="0"/>
              <w:pageBreakBefore w:val="0"/>
              <w:numPr>
                <w:ilvl w:val="0"/>
                <w:numId w:val="0"/>
              </w:numPr>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lang w:val="en-US" w:eastAsia="zh-CN"/>
              </w:rPr>
              <w:t>具有</w:t>
            </w:r>
            <w:r>
              <w:rPr>
                <w:rFonts w:hint="eastAsia" w:ascii="宋体" w:hAnsi="宋体" w:eastAsia="宋体" w:cs="宋体"/>
                <w:sz w:val="24"/>
                <w:szCs w:val="24"/>
                <w:highlight w:val="none"/>
              </w:rPr>
              <w:t>建（构）筑物消防员</w:t>
            </w:r>
            <w:r>
              <w:rPr>
                <w:rFonts w:hint="eastAsia" w:ascii="宋体" w:hAnsi="宋体" w:cs="宋体"/>
                <w:sz w:val="24"/>
                <w:szCs w:val="24"/>
                <w:highlight w:val="none"/>
                <w:lang w:val="en-US" w:eastAsia="zh-CN"/>
              </w:rPr>
              <w:t>或</w:t>
            </w:r>
            <w:r>
              <w:rPr>
                <w:rFonts w:hint="eastAsia" w:ascii="宋体" w:hAnsi="宋体" w:eastAsia="宋体" w:cs="宋体"/>
                <w:color w:val="auto"/>
                <w:sz w:val="24"/>
                <w:highlight w:val="none"/>
                <w:lang w:val="en-US" w:eastAsia="zh-CN"/>
              </w:rPr>
              <w:t>消防设施操作员证书，</w:t>
            </w:r>
            <w:r>
              <w:rPr>
                <w:rFonts w:hint="eastAsia" w:ascii="宋体" w:hAnsi="宋体" w:cs="宋体"/>
                <w:color w:val="auto"/>
                <w:sz w:val="24"/>
                <w:highlight w:val="none"/>
                <w:lang w:val="en-US" w:eastAsia="zh-CN"/>
              </w:rPr>
              <w:t>每提供1人</w:t>
            </w:r>
            <w:r>
              <w:rPr>
                <w:rFonts w:hint="eastAsia" w:ascii="宋体" w:hAnsi="宋体" w:eastAsia="宋体" w:cs="宋体"/>
                <w:color w:val="auto"/>
                <w:sz w:val="24"/>
                <w:highlight w:val="none"/>
                <w:lang w:val="en-US" w:eastAsia="zh-CN"/>
              </w:rPr>
              <w:t>得1分，</w:t>
            </w:r>
            <w:r>
              <w:rPr>
                <w:rFonts w:hint="eastAsia" w:ascii="宋体" w:hAnsi="宋体" w:eastAsia="宋体" w:cs="宋体"/>
                <w:color w:val="auto"/>
                <w:sz w:val="24"/>
                <w:highlight w:val="none"/>
              </w:rPr>
              <w:t>满分</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分</w:t>
            </w:r>
            <w:r>
              <w:rPr>
                <w:rFonts w:hint="eastAsia" w:ascii="宋体" w:hAnsi="宋体" w:eastAsia="宋体" w:cs="宋体"/>
                <w:color w:val="auto"/>
                <w:sz w:val="24"/>
                <w:highlight w:val="none"/>
                <w:lang w:val="en-US" w:eastAsia="zh-CN"/>
              </w:rPr>
              <w:t>。</w:t>
            </w:r>
          </w:p>
          <w:p w14:paraId="07FEEE19">
            <w:pPr>
              <w:pStyle w:val="15"/>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具有低压</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或高压</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电工</w:t>
            </w:r>
            <w:r>
              <w:rPr>
                <w:rFonts w:hint="eastAsia" w:ascii="宋体" w:hAnsi="宋体" w:eastAsia="宋体" w:cs="宋体"/>
                <w:color w:val="auto"/>
                <w:sz w:val="24"/>
                <w:highlight w:val="none"/>
                <w:lang w:val="en-US" w:eastAsia="zh-CN"/>
              </w:rPr>
              <w:t>证书</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每提供1人</w:t>
            </w:r>
            <w:r>
              <w:rPr>
                <w:rFonts w:hint="eastAsia" w:ascii="宋体" w:hAnsi="宋体" w:eastAsia="宋体" w:cs="宋体"/>
                <w:color w:val="auto"/>
                <w:sz w:val="24"/>
                <w:highlight w:val="none"/>
              </w:rPr>
              <w:t>得</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分，满分</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分。</w:t>
            </w:r>
          </w:p>
          <w:p w14:paraId="00FDCF5B">
            <w:pPr>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注：</w:t>
            </w:r>
            <w:r>
              <w:rPr>
                <w:rFonts w:hint="eastAsia" w:ascii="宋体" w:hAnsi="宋体" w:eastAsia="宋体" w:cs="宋体"/>
                <w:b/>
                <w:color w:val="auto"/>
                <w:sz w:val="24"/>
                <w:szCs w:val="24"/>
                <w:highlight w:val="none"/>
              </w:rPr>
              <w:t>响应文件中提供以下证明材料：</w:t>
            </w:r>
          </w:p>
          <w:p w14:paraId="062D09EF">
            <w:pPr>
              <w:numPr>
                <w:ilvl w:val="0"/>
                <w:numId w:val="0"/>
              </w:numPr>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人员名单</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格式自拟</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w:t>
            </w:r>
          </w:p>
          <w:p w14:paraId="3DDCD2C5">
            <w:pPr>
              <w:numPr>
                <w:ilvl w:val="0"/>
                <w:numId w:val="0"/>
              </w:numPr>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上述人员证书扫描件</w:t>
            </w:r>
            <w:r>
              <w:rPr>
                <w:rFonts w:hint="eastAsia" w:ascii="宋体" w:hAnsi="宋体" w:eastAsia="宋体" w:cs="宋体"/>
                <w:b/>
                <w:color w:val="auto"/>
                <w:sz w:val="24"/>
                <w:szCs w:val="24"/>
                <w:highlight w:val="none"/>
                <w:lang w:val="en-US" w:eastAsia="zh-CN"/>
              </w:rPr>
              <w:t>或影印件</w:t>
            </w:r>
            <w:r>
              <w:rPr>
                <w:rFonts w:hint="eastAsia" w:ascii="宋体" w:hAnsi="宋体" w:eastAsia="宋体" w:cs="宋体"/>
                <w:b/>
                <w:color w:val="auto"/>
                <w:sz w:val="24"/>
                <w:szCs w:val="24"/>
                <w:highlight w:val="none"/>
              </w:rPr>
              <w:t>；</w:t>
            </w:r>
          </w:p>
          <w:p w14:paraId="1A929EB2">
            <w:pPr>
              <w:pStyle w:val="15"/>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lang w:val="en-US"/>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供应商为上述人员缴纳的近3个月内（任意1个月即可）社保证明材料</w:t>
            </w:r>
            <w:r>
              <w:rPr>
                <w:rFonts w:hint="eastAsia" w:ascii="宋体" w:hAnsi="宋体" w:eastAsia="宋体" w:cs="宋体"/>
                <w:b/>
                <w:bCs/>
                <w:color w:val="auto"/>
                <w:sz w:val="24"/>
                <w:szCs w:val="24"/>
                <w:highlight w:val="none"/>
              </w:rPr>
              <w:t>扫描件或影印件</w:t>
            </w:r>
            <w:r>
              <w:rPr>
                <w:rFonts w:hint="eastAsia" w:ascii="宋体" w:hAnsi="宋体" w:eastAsia="宋体" w:cs="宋体"/>
                <w:b/>
                <w:color w:val="auto"/>
                <w:sz w:val="24"/>
                <w:szCs w:val="24"/>
                <w:highlight w:val="none"/>
              </w:rPr>
              <w:t>，具体详见供应商须知前附表，未提供或提供不全的不得分（</w:t>
            </w:r>
            <w:r>
              <w:rPr>
                <w:rFonts w:hint="eastAsia" w:ascii="宋体" w:hAnsi="宋体" w:eastAsia="宋体" w:cs="宋体"/>
                <w:b/>
                <w:color w:val="auto"/>
                <w:sz w:val="24"/>
                <w:szCs w:val="24"/>
                <w:highlight w:val="none"/>
                <w:lang w:val="en-US" w:eastAsia="zh-CN"/>
              </w:rPr>
              <w:t>注：</w:t>
            </w:r>
            <w:r>
              <w:rPr>
                <w:rFonts w:hint="eastAsia" w:ascii="宋体" w:hAnsi="宋体" w:eastAsia="宋体" w:cs="宋体"/>
                <w:b/>
                <w:color w:val="auto"/>
                <w:sz w:val="24"/>
                <w:szCs w:val="24"/>
                <w:highlight w:val="none"/>
              </w:rPr>
              <w:t>社保证明材料至少含养老保险</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w:t>
            </w:r>
          </w:p>
        </w:tc>
        <w:tc>
          <w:tcPr>
            <w:tcW w:w="713" w:type="pct"/>
            <w:tcBorders>
              <w:top w:val="single" w:color="auto" w:sz="4" w:space="0"/>
              <w:left w:val="single" w:color="auto" w:sz="4" w:space="0"/>
              <w:bottom w:val="single" w:color="auto" w:sz="4" w:space="0"/>
              <w:right w:val="single" w:color="auto" w:sz="4" w:space="0"/>
            </w:tcBorders>
            <w:vAlign w:val="center"/>
          </w:tcPr>
          <w:p w14:paraId="32F39B7A">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b w:val="0"/>
                <w:bCs w:val="0"/>
                <w:color w:val="auto"/>
                <w:sz w:val="24"/>
                <w:highlight w:val="none"/>
                <w:lang w:val="en-US" w:eastAsia="zh-CN"/>
              </w:rPr>
              <w:t>0-20分</w:t>
            </w:r>
          </w:p>
        </w:tc>
      </w:tr>
      <w:tr w14:paraId="1898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37C02272">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5300CCCF">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eastAsia="zh-CN"/>
              </w:rPr>
              <w:t>项目负责人业绩</w:t>
            </w:r>
          </w:p>
        </w:tc>
        <w:tc>
          <w:tcPr>
            <w:tcW w:w="2594" w:type="pct"/>
            <w:tcBorders>
              <w:top w:val="single" w:color="auto" w:sz="4" w:space="0"/>
              <w:left w:val="single" w:color="auto" w:sz="4" w:space="0"/>
              <w:bottom w:val="single" w:color="auto" w:sz="4" w:space="0"/>
              <w:right w:val="single" w:color="auto" w:sz="4" w:space="0"/>
            </w:tcBorders>
            <w:vAlign w:val="center"/>
          </w:tcPr>
          <w:p w14:paraId="53C9AD4F">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自</w:t>
            </w:r>
            <w:r>
              <w:rPr>
                <w:rFonts w:hint="eastAsia" w:ascii="宋体" w:hAnsi="宋体" w:eastAsia="宋体" w:cs="宋体"/>
                <w:color w:val="auto"/>
                <w:sz w:val="24"/>
                <w:highlight w:val="none"/>
              </w:rPr>
              <w:t>202</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年 1 月 1 日以来</w:t>
            </w:r>
            <w:r>
              <w:rPr>
                <w:rFonts w:hint="eastAsia" w:ascii="宋体" w:hAnsi="宋体" w:eastAsia="宋体" w:cs="宋体"/>
                <w:b/>
                <w:bCs/>
                <w:color w:val="auto"/>
                <w:sz w:val="24"/>
                <w:highlight w:val="none"/>
              </w:rPr>
              <w:t>（以合同签订时间为准）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项目负责人</w:t>
            </w:r>
            <w:r>
              <w:rPr>
                <w:rFonts w:hint="eastAsia" w:ascii="宋体" w:hAnsi="宋体" w:cs="宋体"/>
                <w:color w:val="auto"/>
                <w:sz w:val="24"/>
                <w:highlight w:val="none"/>
                <w:lang w:val="en-US" w:eastAsia="zh-CN"/>
              </w:rPr>
              <w:t>具有</w:t>
            </w:r>
            <w:r>
              <w:rPr>
                <w:rFonts w:hint="eastAsia" w:ascii="宋体" w:hAnsi="宋体" w:eastAsia="宋体" w:cs="宋体"/>
                <w:color w:val="auto"/>
                <w:sz w:val="24"/>
                <w:highlight w:val="none"/>
                <w:lang w:val="en-US" w:eastAsia="zh-CN"/>
              </w:rPr>
              <w:t>消防云服务类似</w:t>
            </w:r>
            <w:r>
              <w:rPr>
                <w:rFonts w:hint="eastAsia" w:ascii="宋体" w:hAnsi="宋体" w:cs="宋体"/>
                <w:color w:val="auto"/>
                <w:sz w:val="24"/>
                <w:highlight w:val="none"/>
                <w:lang w:val="en-US" w:eastAsia="zh-CN"/>
              </w:rPr>
              <w:t>业绩</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合同内容</w:t>
            </w:r>
            <w:r>
              <w:rPr>
                <w:rFonts w:hint="eastAsia" w:ascii="宋体" w:hAnsi="宋体" w:eastAsia="宋体" w:cs="宋体"/>
                <w:color w:val="auto"/>
                <w:sz w:val="24"/>
                <w:highlight w:val="none"/>
              </w:rPr>
              <w:t>应</w:t>
            </w:r>
            <w:r>
              <w:rPr>
                <w:rFonts w:hint="eastAsia" w:ascii="宋体" w:hAnsi="宋体" w:eastAsia="宋体" w:cs="宋体"/>
                <w:color w:val="auto"/>
                <w:sz w:val="24"/>
                <w:highlight w:val="none"/>
                <w:lang w:val="en-US" w:eastAsia="zh-CN"/>
              </w:rPr>
              <w:t>同时</w:t>
            </w:r>
            <w:r>
              <w:rPr>
                <w:rFonts w:hint="eastAsia" w:ascii="宋体" w:hAnsi="宋体" w:eastAsia="宋体" w:cs="宋体"/>
                <w:color w:val="auto"/>
                <w:sz w:val="24"/>
                <w:highlight w:val="none"/>
              </w:rPr>
              <w:t>包含</w:t>
            </w:r>
            <w:r>
              <w:rPr>
                <w:rFonts w:hint="eastAsia" w:ascii="宋体" w:hAnsi="宋体" w:cs="宋体"/>
                <w:color w:val="auto"/>
                <w:sz w:val="24"/>
                <w:highlight w:val="none"/>
                <w:lang w:val="en-US" w:eastAsia="zh-CN"/>
              </w:rPr>
              <w:t>以下不少于两项</w:t>
            </w:r>
            <w:r>
              <w:rPr>
                <w:rFonts w:hint="eastAsia" w:ascii="宋体" w:hAnsi="宋体" w:eastAsia="宋体" w:cs="宋体"/>
                <w:color w:val="auto"/>
                <w:sz w:val="24"/>
                <w:highlight w:val="none"/>
              </w:rPr>
              <w:t>：</w:t>
            </w:r>
          </w:p>
          <w:p w14:paraId="62FFDA1F">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1.消防工程或消防设施功能恢复；</w:t>
            </w:r>
          </w:p>
          <w:p w14:paraId="46DFEAEE">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2.消防安全平台或消防社会化平台或智慧消防平台</w:t>
            </w:r>
            <w:r>
              <w:rPr>
                <w:rFonts w:hint="eastAsia" w:ascii="宋体" w:hAnsi="宋体" w:eastAsia="宋体" w:cs="宋体"/>
                <w:color w:val="auto"/>
                <w:sz w:val="24"/>
                <w:highlight w:val="none"/>
                <w:lang w:eastAsia="zh-CN"/>
              </w:rPr>
              <w:t>；</w:t>
            </w:r>
          </w:p>
          <w:p w14:paraId="016BFB37">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.消防监测服务或</w:t>
            </w:r>
            <w:r>
              <w:rPr>
                <w:rFonts w:hint="eastAsia" w:ascii="宋体" w:hAnsi="宋体" w:eastAsia="宋体" w:cs="宋体"/>
                <w:color w:val="000000"/>
                <w:kern w:val="0"/>
                <w:sz w:val="24"/>
                <w:szCs w:val="24"/>
                <w:highlight w:val="none"/>
                <w:lang w:eastAsia="zh-CN" w:bidi="ar"/>
              </w:rPr>
              <w:t>7×24</w:t>
            </w:r>
            <w:r>
              <w:rPr>
                <w:rFonts w:hint="eastAsia" w:ascii="宋体" w:hAnsi="宋体" w:eastAsia="宋体" w:cs="宋体"/>
                <w:color w:val="auto"/>
                <w:sz w:val="24"/>
                <w:highlight w:val="none"/>
              </w:rPr>
              <w:t xml:space="preserve"> 小时</w:t>
            </w:r>
            <w:r>
              <w:rPr>
                <w:rFonts w:hint="eastAsia" w:ascii="宋体" w:hAnsi="宋体" w:eastAsia="宋体" w:cs="宋体"/>
                <w:color w:val="auto"/>
                <w:sz w:val="24"/>
                <w:highlight w:val="none"/>
                <w:lang w:val="en-US" w:eastAsia="zh-CN"/>
              </w:rPr>
              <w:t>/全天</w:t>
            </w:r>
            <w:r>
              <w:rPr>
                <w:rFonts w:hint="eastAsia" w:ascii="宋体" w:hAnsi="宋体" w:eastAsia="宋体" w:cs="宋体"/>
                <w:color w:val="auto"/>
                <w:sz w:val="24"/>
                <w:highlight w:val="none"/>
              </w:rPr>
              <w:t>监测服务</w:t>
            </w:r>
            <w:r>
              <w:rPr>
                <w:rFonts w:hint="eastAsia" w:ascii="宋体" w:hAnsi="宋体" w:eastAsia="宋体" w:cs="宋体"/>
                <w:color w:val="auto"/>
                <w:sz w:val="24"/>
                <w:highlight w:val="none"/>
                <w:lang w:val="en-US" w:eastAsia="zh-CN"/>
              </w:rPr>
              <w:t>或</w:t>
            </w:r>
            <w:r>
              <w:rPr>
                <w:rFonts w:hint="eastAsia" w:ascii="宋体" w:hAnsi="宋体" w:eastAsia="宋体" w:cs="宋体"/>
                <w:color w:val="000000"/>
                <w:kern w:val="0"/>
                <w:sz w:val="24"/>
                <w:szCs w:val="24"/>
                <w:highlight w:val="none"/>
                <w:lang w:eastAsia="zh-CN" w:bidi="ar"/>
              </w:rPr>
              <w:t>7×24</w:t>
            </w:r>
            <w:r>
              <w:rPr>
                <w:rFonts w:hint="eastAsia" w:ascii="宋体" w:hAnsi="宋体" w:eastAsia="宋体" w:cs="宋体"/>
                <w:color w:val="auto"/>
                <w:sz w:val="24"/>
                <w:highlight w:val="none"/>
              </w:rPr>
              <w:t xml:space="preserve"> 小时</w:t>
            </w:r>
            <w:r>
              <w:rPr>
                <w:rFonts w:hint="eastAsia" w:ascii="宋体" w:hAnsi="宋体" w:eastAsia="宋体" w:cs="宋体"/>
                <w:color w:val="auto"/>
                <w:sz w:val="24"/>
                <w:highlight w:val="none"/>
                <w:lang w:val="en-US" w:eastAsia="zh-CN"/>
              </w:rPr>
              <w:t>/全天</w:t>
            </w:r>
            <w:r>
              <w:rPr>
                <w:rFonts w:hint="eastAsia" w:ascii="宋体" w:hAnsi="宋体" w:eastAsia="宋体" w:cs="宋体"/>
                <w:color w:val="auto"/>
                <w:sz w:val="24"/>
                <w:highlight w:val="none"/>
              </w:rPr>
              <w:t>接报警服务</w:t>
            </w:r>
            <w:r>
              <w:rPr>
                <w:rFonts w:hint="eastAsia" w:ascii="宋体" w:hAnsi="宋体" w:eastAsia="宋体" w:cs="宋体"/>
                <w:color w:val="auto"/>
                <w:sz w:val="24"/>
                <w:highlight w:val="none"/>
                <w:lang w:eastAsia="zh-CN"/>
              </w:rPr>
              <w:t>；</w:t>
            </w:r>
          </w:p>
          <w:p w14:paraId="6E53367E">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.隐患管理服务。</w:t>
            </w:r>
          </w:p>
          <w:p w14:paraId="7FF25750">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每提供一个</w:t>
            </w:r>
            <w:r>
              <w:rPr>
                <w:rFonts w:hint="eastAsia" w:ascii="宋体" w:hAnsi="宋体" w:eastAsia="宋体" w:cs="宋体"/>
                <w:color w:val="auto"/>
                <w:sz w:val="24"/>
                <w:highlight w:val="none"/>
                <w:lang w:val="en-US" w:eastAsia="zh-CN"/>
              </w:rPr>
              <w:t>业绩</w:t>
            </w:r>
            <w:r>
              <w:rPr>
                <w:rFonts w:hint="eastAsia" w:ascii="宋体" w:hAnsi="宋体" w:eastAsia="宋体" w:cs="宋体"/>
                <w:color w:val="auto"/>
                <w:sz w:val="24"/>
                <w:highlight w:val="none"/>
              </w:rPr>
              <w:t>得</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分，满分</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分。</w:t>
            </w:r>
          </w:p>
          <w:p w14:paraId="5F9583A2">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注：</w:t>
            </w:r>
          </w:p>
          <w:p w14:paraId="25ECF2ED">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1.</w:t>
            </w:r>
            <w:r>
              <w:rPr>
                <w:rFonts w:hint="eastAsia" w:ascii="宋体" w:hAnsi="宋体" w:eastAsia="宋体" w:cs="宋体"/>
                <w:b/>
                <w:bCs/>
                <w:color w:val="auto"/>
                <w:sz w:val="24"/>
                <w:highlight w:val="none"/>
                <w:u w:val="none"/>
              </w:rPr>
              <w:t>响应文件须同时提供以下证明材料：</w:t>
            </w:r>
          </w:p>
          <w:p w14:paraId="56D143BB">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（1）</w:t>
            </w:r>
            <w:r>
              <w:rPr>
                <w:rFonts w:hint="eastAsia" w:ascii="宋体" w:hAnsi="宋体" w:eastAsia="宋体" w:cs="宋体"/>
                <w:b/>
                <w:bCs/>
                <w:color w:val="auto"/>
                <w:sz w:val="24"/>
                <w:highlight w:val="none"/>
                <w:lang w:val="en-US" w:eastAsia="zh-CN"/>
              </w:rPr>
              <w:t>中标</w:t>
            </w:r>
            <w:r>
              <w:rPr>
                <w:rFonts w:hint="eastAsia" w:ascii="宋体" w:hAnsi="宋体" w:cs="宋体"/>
                <w:b/>
                <w:bCs/>
                <w:color w:val="auto"/>
                <w:sz w:val="24"/>
                <w:highlight w:val="none"/>
                <w:lang w:val="en-US" w:eastAsia="zh-CN"/>
              </w:rPr>
              <w:t>（成交）</w:t>
            </w:r>
            <w:r>
              <w:rPr>
                <w:rFonts w:hint="eastAsia" w:ascii="宋体" w:hAnsi="宋体" w:eastAsia="宋体" w:cs="宋体"/>
                <w:b/>
                <w:bCs/>
                <w:color w:val="auto"/>
                <w:sz w:val="24"/>
                <w:highlight w:val="none"/>
                <w:lang w:val="en-US" w:eastAsia="zh-CN"/>
              </w:rPr>
              <w:t>通知书；</w:t>
            </w:r>
          </w:p>
          <w:p w14:paraId="3A340EFC">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（2）</w:t>
            </w:r>
            <w:r>
              <w:rPr>
                <w:rFonts w:hint="eastAsia" w:ascii="宋体" w:hAnsi="宋体" w:eastAsia="宋体" w:cs="宋体"/>
                <w:b/>
                <w:bCs/>
                <w:color w:val="auto"/>
                <w:sz w:val="24"/>
                <w:highlight w:val="none"/>
              </w:rPr>
              <w:t>合同</w:t>
            </w:r>
            <w:r>
              <w:rPr>
                <w:rFonts w:hint="eastAsia" w:ascii="宋体" w:hAnsi="宋体" w:eastAsia="宋体" w:cs="宋体"/>
                <w:b/>
                <w:bCs/>
                <w:color w:val="auto"/>
                <w:sz w:val="24"/>
                <w:highlight w:val="none"/>
                <w:lang w:eastAsia="zh-CN"/>
              </w:rPr>
              <w:t>。</w:t>
            </w:r>
          </w:p>
          <w:p w14:paraId="44AE68DB">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lang w:val="en-US" w:eastAsia="zh-CN"/>
              </w:rPr>
              <w:t>2.</w:t>
            </w:r>
            <w:r>
              <w:rPr>
                <w:rFonts w:hint="eastAsia" w:ascii="宋体" w:hAnsi="宋体" w:eastAsia="宋体" w:cs="宋体"/>
                <w:b/>
                <w:bCs/>
                <w:color w:val="auto"/>
                <w:sz w:val="24"/>
                <w:highlight w:val="none"/>
              </w:rPr>
              <w:t>正在履约或已完成的项目业绩均予以认可</w:t>
            </w:r>
            <w:r>
              <w:rPr>
                <w:rFonts w:hint="eastAsia" w:ascii="宋体" w:hAnsi="宋体" w:cs="宋体"/>
                <w:b/>
                <w:bCs/>
                <w:color w:val="auto"/>
                <w:sz w:val="24"/>
                <w:highlight w:val="none"/>
                <w:lang w:eastAsia="zh-CN"/>
              </w:rPr>
              <w:t>，</w:t>
            </w:r>
            <w:r>
              <w:rPr>
                <w:rFonts w:hint="eastAsia" w:ascii="宋体" w:hAnsi="宋体" w:eastAsia="宋体" w:cs="宋体"/>
                <w:b/>
                <w:bCs/>
                <w:color w:val="auto"/>
                <w:kern w:val="0"/>
                <w:sz w:val="24"/>
              </w:rPr>
              <w:t>如评审材料中无法体现签订时间</w:t>
            </w:r>
            <w:r>
              <w:rPr>
                <w:rFonts w:hint="eastAsia" w:ascii="宋体" w:hAnsi="宋体" w:eastAsia="宋体" w:cs="宋体"/>
                <w:b/>
                <w:bCs/>
                <w:color w:val="auto"/>
                <w:kern w:val="0"/>
                <w:sz w:val="24"/>
                <w:szCs w:val="24"/>
                <w:lang w:bidi="ar"/>
              </w:rPr>
              <w:t>、</w:t>
            </w:r>
            <w:r>
              <w:rPr>
                <w:rFonts w:hint="eastAsia" w:ascii="宋体" w:hAnsi="宋体" w:eastAsia="宋体" w:cs="宋体"/>
                <w:b/>
                <w:bCs/>
                <w:color w:val="auto"/>
                <w:kern w:val="0"/>
                <w:sz w:val="24"/>
                <w:szCs w:val="24"/>
                <w:lang w:val="en-US" w:eastAsia="zh-CN" w:bidi="ar"/>
              </w:rPr>
              <w:t>项目负责人名称、</w:t>
            </w:r>
            <w:r>
              <w:rPr>
                <w:rFonts w:hint="eastAsia" w:ascii="宋体" w:hAnsi="宋体" w:eastAsia="宋体" w:cs="宋体"/>
                <w:b/>
                <w:bCs/>
                <w:color w:val="auto"/>
                <w:kern w:val="0"/>
                <w:sz w:val="24"/>
                <w:szCs w:val="24"/>
                <w:lang w:bidi="ar"/>
              </w:rPr>
              <w:t>项目内容等主要评审要素，另须提供业主单位（合同甲方）出具的加盖公章的相关证明材料，未提供或提供不全的不得分</w:t>
            </w:r>
            <w:r>
              <w:rPr>
                <w:rFonts w:hint="eastAsia" w:ascii="宋体" w:hAnsi="宋体" w:eastAsia="宋体" w:cs="宋体"/>
                <w:b/>
                <w:bCs/>
                <w:color w:val="auto"/>
                <w:kern w:val="0"/>
                <w:sz w:val="24"/>
                <w:szCs w:val="24"/>
                <w:lang w:eastAsia="zh-CN" w:bidi="ar"/>
              </w:rPr>
              <w:t>。</w:t>
            </w:r>
            <w:r>
              <w:rPr>
                <w:rFonts w:hint="eastAsia" w:ascii="宋体" w:hAnsi="宋体" w:eastAsia="宋体" w:cs="宋体"/>
                <w:b/>
                <w:bCs/>
                <w:color w:val="auto"/>
                <w:sz w:val="24"/>
                <w:highlight w:val="none"/>
              </w:rPr>
              <w:t>同一业绩</w:t>
            </w:r>
            <w:r>
              <w:rPr>
                <w:rFonts w:hint="eastAsia" w:ascii="宋体" w:hAnsi="宋体" w:cs="宋体"/>
                <w:b/>
                <w:bCs/>
                <w:color w:val="auto"/>
                <w:sz w:val="24"/>
                <w:highlight w:val="none"/>
                <w:lang w:val="en-US" w:eastAsia="zh-CN"/>
              </w:rPr>
              <w:t>多项内容</w:t>
            </w:r>
            <w:r>
              <w:rPr>
                <w:rFonts w:hint="eastAsia" w:ascii="宋体" w:hAnsi="宋体" w:eastAsia="宋体" w:cs="宋体"/>
                <w:b/>
                <w:bCs/>
                <w:color w:val="auto"/>
                <w:sz w:val="24"/>
                <w:highlight w:val="none"/>
              </w:rPr>
              <w:t>不重复计分</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仅计一次分</w:t>
            </w:r>
            <w:r>
              <w:rPr>
                <w:rFonts w:hint="eastAsia" w:ascii="宋体" w:hAnsi="宋体" w:eastAsia="宋体" w:cs="宋体"/>
                <w:b/>
                <w:bCs/>
                <w:color w:val="auto"/>
                <w:sz w:val="24"/>
                <w:highlight w:val="none"/>
                <w:lang w:eastAsia="zh-CN"/>
              </w:rPr>
              <w:t>；</w:t>
            </w:r>
          </w:p>
          <w:p w14:paraId="686539E7">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z w:val="24"/>
                <w:highlight w:val="none"/>
              </w:rPr>
            </w:pPr>
            <w:r>
              <w:rPr>
                <w:rFonts w:hint="eastAsia" w:ascii="宋体" w:hAnsi="宋体" w:cs="宋体"/>
                <w:b/>
                <w:bCs/>
                <w:color w:val="auto"/>
                <w:sz w:val="24"/>
                <w:highlight w:val="none"/>
                <w:lang w:val="en-US" w:eastAsia="zh-CN"/>
              </w:rPr>
              <w:t>3.</w:t>
            </w:r>
            <w:r>
              <w:rPr>
                <w:rFonts w:hint="eastAsia" w:ascii="宋体" w:hAnsi="宋体" w:eastAsia="宋体" w:cs="宋体"/>
                <w:b/>
                <w:bCs/>
                <w:color w:val="auto"/>
                <w:sz w:val="24"/>
                <w:highlight w:val="none"/>
              </w:rPr>
              <w:t>采购人在签订合同后可根据实际情况对</w:t>
            </w:r>
            <w:r>
              <w:rPr>
                <w:rFonts w:hint="eastAsia" w:ascii="宋体" w:hAnsi="宋体" w:eastAsia="宋体" w:cs="宋体"/>
                <w:b/>
                <w:bCs/>
                <w:color w:val="auto"/>
                <w:sz w:val="24"/>
                <w:highlight w:val="none"/>
                <w:lang w:eastAsia="zh-CN"/>
              </w:rPr>
              <w:t>成交供应商</w:t>
            </w:r>
            <w:r>
              <w:rPr>
                <w:rFonts w:hint="eastAsia" w:ascii="宋体" w:hAnsi="宋体" w:eastAsia="宋体" w:cs="宋体"/>
                <w:b/>
                <w:bCs/>
                <w:color w:val="auto"/>
                <w:sz w:val="24"/>
                <w:highlight w:val="none"/>
              </w:rPr>
              <w:t>所投业绩进行考察，一旦发现弄虚作假，</w:t>
            </w:r>
            <w:r>
              <w:rPr>
                <w:rFonts w:hint="eastAsia" w:ascii="宋体" w:hAnsi="宋体" w:eastAsia="宋体" w:cs="宋体"/>
                <w:b/>
                <w:bCs/>
                <w:color w:val="auto"/>
                <w:sz w:val="24"/>
                <w:highlight w:val="none"/>
                <w:lang w:eastAsia="zh-CN"/>
              </w:rPr>
              <w:t>成交供应商</w:t>
            </w:r>
            <w:r>
              <w:rPr>
                <w:rFonts w:hint="eastAsia" w:ascii="宋体" w:hAnsi="宋体" w:eastAsia="宋体" w:cs="宋体"/>
                <w:b/>
                <w:bCs/>
                <w:color w:val="auto"/>
                <w:sz w:val="24"/>
                <w:highlight w:val="none"/>
              </w:rPr>
              <w:t>承担全部违约责任。</w:t>
            </w:r>
          </w:p>
        </w:tc>
        <w:tc>
          <w:tcPr>
            <w:tcW w:w="713" w:type="pct"/>
            <w:tcBorders>
              <w:top w:val="single" w:color="auto" w:sz="4" w:space="0"/>
              <w:left w:val="single" w:color="auto" w:sz="4" w:space="0"/>
              <w:bottom w:val="single" w:color="auto" w:sz="4" w:space="0"/>
              <w:right w:val="single" w:color="auto" w:sz="4" w:space="0"/>
            </w:tcBorders>
            <w:vAlign w:val="center"/>
          </w:tcPr>
          <w:p w14:paraId="6204965E">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lang w:val="en-US" w:eastAsia="zh-CN"/>
              </w:rPr>
            </w:pPr>
            <w:r>
              <w:rPr>
                <w:rFonts w:hint="eastAsia" w:ascii="宋体" w:hAnsi="宋体" w:eastAsia="宋体" w:cs="宋体"/>
                <w:b w:val="0"/>
                <w:bCs w:val="0"/>
                <w:color w:val="auto"/>
                <w:sz w:val="24"/>
                <w:highlight w:val="none"/>
                <w:lang w:val="en-US" w:eastAsia="zh-CN"/>
              </w:rPr>
              <w:t>0-6分</w:t>
            </w:r>
          </w:p>
        </w:tc>
      </w:tr>
      <w:tr w14:paraId="1E8D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557606D9">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2C8DB1CE">
            <w:pPr>
              <w:pStyle w:val="15"/>
              <w:keepNext w:val="0"/>
              <w:keepLines w:val="0"/>
              <w:pageBreakBefore w:val="0"/>
              <w:wordWrap/>
              <w:overflowPunct/>
              <w:topLinePunct w:val="0"/>
              <w:bidi w:val="0"/>
              <w:spacing w:line="460" w:lineRule="exact"/>
              <w:ind w:left="0" w:leftChars="0" w:right="0" w:rightChars="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项目业绩</w:t>
            </w:r>
          </w:p>
        </w:tc>
        <w:tc>
          <w:tcPr>
            <w:tcW w:w="2594" w:type="pct"/>
            <w:tcBorders>
              <w:top w:val="single" w:color="auto" w:sz="4" w:space="0"/>
              <w:left w:val="single" w:color="auto" w:sz="4" w:space="0"/>
              <w:bottom w:val="single" w:color="auto" w:sz="4" w:space="0"/>
              <w:right w:val="single" w:color="auto" w:sz="4" w:space="0"/>
            </w:tcBorders>
            <w:vAlign w:val="center"/>
          </w:tcPr>
          <w:p w14:paraId="2B7419CA">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自</w:t>
            </w:r>
            <w:r>
              <w:rPr>
                <w:rFonts w:hint="eastAsia" w:ascii="宋体" w:hAnsi="宋体" w:eastAsia="宋体" w:cs="宋体"/>
                <w:color w:val="auto"/>
                <w:sz w:val="24"/>
                <w:highlight w:val="none"/>
              </w:rPr>
              <w:t>202</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年 1 月 1 日以来</w:t>
            </w:r>
            <w:r>
              <w:rPr>
                <w:rFonts w:hint="eastAsia" w:ascii="宋体" w:hAnsi="宋体" w:eastAsia="宋体" w:cs="宋体"/>
                <w:b/>
                <w:bCs/>
                <w:color w:val="auto"/>
                <w:sz w:val="24"/>
                <w:highlight w:val="none"/>
              </w:rPr>
              <w:t>（以合同签订时间为准）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供应商</w:t>
            </w:r>
            <w:r>
              <w:rPr>
                <w:rFonts w:hint="eastAsia" w:ascii="宋体" w:hAnsi="宋体" w:cs="宋体"/>
                <w:color w:val="auto"/>
                <w:sz w:val="24"/>
                <w:highlight w:val="none"/>
                <w:lang w:val="en-US" w:eastAsia="zh-CN"/>
              </w:rPr>
              <w:t>具有</w:t>
            </w:r>
            <w:r>
              <w:rPr>
                <w:rFonts w:hint="eastAsia" w:ascii="宋体" w:hAnsi="宋体" w:eastAsia="宋体" w:cs="宋体"/>
                <w:color w:val="auto"/>
                <w:sz w:val="24"/>
                <w:highlight w:val="none"/>
                <w:lang w:val="en-US" w:eastAsia="zh-CN"/>
              </w:rPr>
              <w:t>消防云服务类似</w:t>
            </w:r>
            <w:r>
              <w:rPr>
                <w:rFonts w:hint="eastAsia" w:ascii="宋体" w:hAnsi="宋体" w:cs="宋体"/>
                <w:color w:val="auto"/>
                <w:sz w:val="24"/>
                <w:highlight w:val="none"/>
                <w:lang w:val="en-US" w:eastAsia="zh-CN"/>
              </w:rPr>
              <w:t>业绩</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合同内容</w:t>
            </w:r>
            <w:r>
              <w:rPr>
                <w:rFonts w:hint="eastAsia" w:ascii="宋体" w:hAnsi="宋体" w:eastAsia="宋体" w:cs="宋体"/>
                <w:color w:val="auto"/>
                <w:sz w:val="24"/>
                <w:highlight w:val="none"/>
              </w:rPr>
              <w:t>应</w:t>
            </w:r>
            <w:r>
              <w:rPr>
                <w:rFonts w:hint="eastAsia" w:ascii="宋体" w:hAnsi="宋体" w:eastAsia="宋体" w:cs="宋体"/>
                <w:color w:val="auto"/>
                <w:sz w:val="24"/>
                <w:highlight w:val="none"/>
                <w:lang w:val="en-US" w:eastAsia="zh-CN"/>
              </w:rPr>
              <w:t>同时</w:t>
            </w:r>
            <w:r>
              <w:rPr>
                <w:rFonts w:hint="eastAsia" w:ascii="宋体" w:hAnsi="宋体" w:eastAsia="宋体" w:cs="宋体"/>
                <w:color w:val="auto"/>
                <w:sz w:val="24"/>
                <w:highlight w:val="none"/>
              </w:rPr>
              <w:t>包含</w:t>
            </w:r>
            <w:r>
              <w:rPr>
                <w:rFonts w:hint="eastAsia" w:ascii="宋体" w:hAnsi="宋体" w:cs="宋体"/>
                <w:color w:val="auto"/>
                <w:sz w:val="24"/>
                <w:highlight w:val="none"/>
                <w:lang w:val="en-US" w:eastAsia="zh-CN"/>
              </w:rPr>
              <w:t>以下不少于两项</w:t>
            </w:r>
            <w:r>
              <w:rPr>
                <w:rFonts w:hint="eastAsia" w:ascii="宋体" w:hAnsi="宋体" w:eastAsia="宋体" w:cs="宋体"/>
                <w:color w:val="auto"/>
                <w:sz w:val="24"/>
                <w:highlight w:val="none"/>
              </w:rPr>
              <w:t>：</w:t>
            </w:r>
          </w:p>
          <w:p w14:paraId="7416616E">
            <w:pPr>
              <w:pStyle w:val="15"/>
              <w:keepNext w:val="0"/>
              <w:keepLines w:val="0"/>
              <w:pageBreakBefore w:val="0"/>
              <w:widowControl w:val="0"/>
              <w:kinsoku/>
              <w:wordWrap/>
              <w:overflowPunct/>
              <w:topLinePunct w:val="0"/>
              <w:autoSpaceDE/>
              <w:autoSpaceDN/>
              <w:bidi w:val="0"/>
              <w:spacing w:line="360" w:lineRule="auto"/>
              <w:ind w:left="0" w:leftChars="0" w:right="0" w:rightChars="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1.消防工程或消防设施功能恢复；</w:t>
            </w:r>
          </w:p>
          <w:p w14:paraId="6710546E">
            <w:pPr>
              <w:pStyle w:val="15"/>
              <w:keepNext w:val="0"/>
              <w:keepLines w:val="0"/>
              <w:pageBreakBefore w:val="0"/>
              <w:widowControl w:val="0"/>
              <w:kinsoku/>
              <w:wordWrap/>
              <w:overflowPunct/>
              <w:topLinePunct w:val="0"/>
              <w:autoSpaceDE/>
              <w:autoSpaceDN/>
              <w:bidi w:val="0"/>
              <w:spacing w:line="360" w:lineRule="auto"/>
              <w:ind w:left="0" w:leftChars="0" w:right="0" w:rightChars="0"/>
              <w:jc w:val="left"/>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2.消防安全平台或消防社会化平台或智慧消防平台</w:t>
            </w:r>
            <w:r>
              <w:rPr>
                <w:rFonts w:hint="eastAsia" w:ascii="宋体" w:hAnsi="宋体" w:eastAsia="宋体" w:cs="宋体"/>
                <w:color w:val="auto"/>
                <w:sz w:val="24"/>
                <w:highlight w:val="none"/>
                <w:lang w:eastAsia="zh-CN"/>
              </w:rPr>
              <w:t>；</w:t>
            </w:r>
          </w:p>
          <w:p w14:paraId="3EC14CFD">
            <w:pPr>
              <w:pStyle w:val="15"/>
              <w:keepNext w:val="0"/>
              <w:keepLines w:val="0"/>
              <w:pageBreakBefore w:val="0"/>
              <w:widowControl w:val="0"/>
              <w:kinsoku/>
              <w:wordWrap/>
              <w:overflowPunct/>
              <w:topLinePunct w:val="0"/>
              <w:autoSpaceDE/>
              <w:autoSpaceDN/>
              <w:bidi w:val="0"/>
              <w:spacing w:line="360" w:lineRule="auto"/>
              <w:ind w:left="0" w:leftChars="0" w:right="0" w:rightChars="0"/>
              <w:jc w:val="left"/>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.消防监测服务或</w:t>
            </w:r>
            <w:r>
              <w:rPr>
                <w:rFonts w:hint="eastAsia" w:ascii="宋体" w:hAnsi="宋体" w:eastAsia="宋体" w:cs="宋体"/>
                <w:color w:val="000000"/>
                <w:kern w:val="0"/>
                <w:sz w:val="24"/>
                <w:szCs w:val="24"/>
                <w:highlight w:val="none"/>
                <w:lang w:eastAsia="zh-CN" w:bidi="ar"/>
              </w:rPr>
              <w:t>7×24</w:t>
            </w:r>
            <w:r>
              <w:rPr>
                <w:rFonts w:hint="eastAsia" w:ascii="宋体" w:hAnsi="宋体" w:eastAsia="宋体" w:cs="宋体"/>
                <w:color w:val="auto"/>
                <w:sz w:val="24"/>
                <w:highlight w:val="none"/>
              </w:rPr>
              <w:t xml:space="preserve"> 小时</w:t>
            </w:r>
            <w:r>
              <w:rPr>
                <w:rFonts w:hint="eastAsia" w:ascii="宋体" w:hAnsi="宋体" w:eastAsia="宋体" w:cs="宋体"/>
                <w:color w:val="auto"/>
                <w:sz w:val="24"/>
                <w:highlight w:val="none"/>
                <w:lang w:val="en-US" w:eastAsia="zh-CN"/>
              </w:rPr>
              <w:t>/全天</w:t>
            </w:r>
            <w:r>
              <w:rPr>
                <w:rFonts w:hint="eastAsia" w:ascii="宋体" w:hAnsi="宋体" w:eastAsia="宋体" w:cs="宋体"/>
                <w:color w:val="auto"/>
                <w:sz w:val="24"/>
                <w:highlight w:val="none"/>
              </w:rPr>
              <w:t>监测服务</w:t>
            </w:r>
            <w:r>
              <w:rPr>
                <w:rFonts w:hint="eastAsia" w:ascii="宋体" w:hAnsi="宋体" w:eastAsia="宋体" w:cs="宋体"/>
                <w:color w:val="auto"/>
                <w:sz w:val="24"/>
                <w:highlight w:val="none"/>
                <w:lang w:val="en-US" w:eastAsia="zh-CN"/>
              </w:rPr>
              <w:t>或</w:t>
            </w:r>
            <w:r>
              <w:rPr>
                <w:rFonts w:hint="eastAsia" w:ascii="宋体" w:hAnsi="宋体" w:eastAsia="宋体" w:cs="宋体"/>
                <w:color w:val="000000"/>
                <w:kern w:val="0"/>
                <w:sz w:val="24"/>
                <w:szCs w:val="24"/>
                <w:highlight w:val="none"/>
                <w:lang w:eastAsia="zh-CN" w:bidi="ar"/>
              </w:rPr>
              <w:t>7×24</w:t>
            </w:r>
            <w:r>
              <w:rPr>
                <w:rFonts w:hint="eastAsia" w:ascii="宋体" w:hAnsi="宋体" w:eastAsia="宋体" w:cs="宋体"/>
                <w:color w:val="auto"/>
                <w:sz w:val="24"/>
                <w:highlight w:val="none"/>
              </w:rPr>
              <w:t xml:space="preserve"> 小时</w:t>
            </w:r>
            <w:r>
              <w:rPr>
                <w:rFonts w:hint="eastAsia" w:ascii="宋体" w:hAnsi="宋体" w:eastAsia="宋体" w:cs="宋体"/>
                <w:color w:val="auto"/>
                <w:sz w:val="24"/>
                <w:highlight w:val="none"/>
                <w:lang w:val="en-US" w:eastAsia="zh-CN"/>
              </w:rPr>
              <w:t>/全天</w:t>
            </w:r>
            <w:r>
              <w:rPr>
                <w:rFonts w:hint="eastAsia" w:ascii="宋体" w:hAnsi="宋体" w:eastAsia="宋体" w:cs="宋体"/>
                <w:color w:val="auto"/>
                <w:sz w:val="24"/>
                <w:highlight w:val="none"/>
              </w:rPr>
              <w:t>接报警服务</w:t>
            </w:r>
            <w:r>
              <w:rPr>
                <w:rFonts w:hint="eastAsia" w:ascii="宋体" w:hAnsi="宋体" w:eastAsia="宋体" w:cs="宋体"/>
                <w:color w:val="auto"/>
                <w:sz w:val="24"/>
                <w:highlight w:val="none"/>
                <w:lang w:eastAsia="zh-CN"/>
              </w:rPr>
              <w:t>；</w:t>
            </w:r>
          </w:p>
          <w:p w14:paraId="591222C1">
            <w:pPr>
              <w:pStyle w:val="15"/>
              <w:keepNext w:val="0"/>
              <w:keepLines w:val="0"/>
              <w:pageBreakBefore w:val="0"/>
              <w:widowControl w:val="0"/>
              <w:kinsoku/>
              <w:wordWrap/>
              <w:overflowPunct/>
              <w:topLinePunct w:val="0"/>
              <w:autoSpaceDE/>
              <w:autoSpaceDN/>
              <w:bidi w:val="0"/>
              <w:spacing w:line="360" w:lineRule="auto"/>
              <w:ind w:left="0" w:leftChars="0" w:right="0" w:rightChars="0"/>
              <w:jc w:val="left"/>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.隐患管理服务。</w:t>
            </w:r>
          </w:p>
          <w:p w14:paraId="666B573F">
            <w:pPr>
              <w:pStyle w:val="15"/>
              <w:keepNext w:val="0"/>
              <w:keepLines w:val="0"/>
              <w:pageBreakBefore w:val="0"/>
              <w:widowControl w:val="0"/>
              <w:kinsoku/>
              <w:wordWrap/>
              <w:overflowPunct/>
              <w:topLinePunct w:val="0"/>
              <w:autoSpaceDE/>
              <w:autoSpaceDN/>
              <w:bidi w:val="0"/>
              <w:spacing w:line="360" w:lineRule="auto"/>
              <w:ind w:left="0" w:leftChars="0" w:right="0" w:rightChars="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每提供一个</w:t>
            </w:r>
            <w:r>
              <w:rPr>
                <w:rFonts w:hint="eastAsia" w:ascii="宋体" w:hAnsi="宋体" w:eastAsia="宋体" w:cs="宋体"/>
                <w:color w:val="auto"/>
                <w:sz w:val="24"/>
                <w:highlight w:val="none"/>
                <w:lang w:val="en-US" w:eastAsia="zh-CN"/>
              </w:rPr>
              <w:t>业绩材料</w:t>
            </w:r>
            <w:r>
              <w:rPr>
                <w:rFonts w:hint="eastAsia" w:ascii="宋体" w:hAnsi="宋体" w:eastAsia="宋体" w:cs="宋体"/>
                <w:color w:val="auto"/>
                <w:sz w:val="24"/>
                <w:highlight w:val="none"/>
              </w:rPr>
              <w:t>得</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分，满分</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分。</w:t>
            </w:r>
          </w:p>
          <w:p w14:paraId="68AD3B10">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注：</w:t>
            </w:r>
          </w:p>
          <w:p w14:paraId="3CE2081F">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1.</w:t>
            </w:r>
            <w:r>
              <w:rPr>
                <w:rFonts w:hint="eastAsia" w:ascii="宋体" w:hAnsi="宋体" w:eastAsia="宋体" w:cs="宋体"/>
                <w:b/>
                <w:bCs/>
                <w:color w:val="auto"/>
                <w:sz w:val="24"/>
                <w:highlight w:val="none"/>
                <w:u w:val="none"/>
              </w:rPr>
              <w:t>响应文件须同时提供以下证明材料：</w:t>
            </w:r>
          </w:p>
          <w:p w14:paraId="48B7933B">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（1）</w:t>
            </w:r>
            <w:r>
              <w:rPr>
                <w:rFonts w:hint="eastAsia" w:ascii="宋体" w:hAnsi="宋体" w:eastAsia="宋体" w:cs="宋体"/>
                <w:b/>
                <w:bCs/>
                <w:color w:val="auto"/>
                <w:sz w:val="24"/>
                <w:highlight w:val="none"/>
                <w:lang w:val="en-US" w:eastAsia="zh-CN"/>
              </w:rPr>
              <w:t>中标</w:t>
            </w:r>
            <w:r>
              <w:rPr>
                <w:rFonts w:hint="eastAsia" w:ascii="宋体" w:hAnsi="宋体" w:cs="宋体"/>
                <w:b/>
                <w:bCs/>
                <w:color w:val="auto"/>
                <w:sz w:val="24"/>
                <w:highlight w:val="none"/>
                <w:lang w:val="en-US" w:eastAsia="zh-CN"/>
              </w:rPr>
              <w:t>（成交）</w:t>
            </w:r>
            <w:r>
              <w:rPr>
                <w:rFonts w:hint="eastAsia" w:ascii="宋体" w:hAnsi="宋体" w:eastAsia="宋体" w:cs="宋体"/>
                <w:b/>
                <w:bCs/>
                <w:color w:val="auto"/>
                <w:sz w:val="24"/>
                <w:highlight w:val="none"/>
                <w:lang w:val="en-US" w:eastAsia="zh-CN"/>
              </w:rPr>
              <w:t>通知书；</w:t>
            </w:r>
          </w:p>
          <w:p w14:paraId="3679A8B9">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（2）</w:t>
            </w:r>
            <w:r>
              <w:rPr>
                <w:rFonts w:hint="eastAsia" w:ascii="宋体" w:hAnsi="宋体" w:eastAsia="宋体" w:cs="宋体"/>
                <w:b/>
                <w:bCs/>
                <w:color w:val="auto"/>
                <w:sz w:val="24"/>
                <w:highlight w:val="none"/>
              </w:rPr>
              <w:t>合同</w:t>
            </w:r>
            <w:r>
              <w:rPr>
                <w:rFonts w:hint="eastAsia" w:ascii="宋体" w:hAnsi="宋体" w:eastAsia="宋体" w:cs="宋体"/>
                <w:b/>
                <w:bCs/>
                <w:color w:val="auto"/>
                <w:sz w:val="24"/>
                <w:highlight w:val="none"/>
                <w:lang w:eastAsia="zh-CN"/>
              </w:rPr>
              <w:t>。</w:t>
            </w:r>
          </w:p>
          <w:p w14:paraId="2D9FA8B2">
            <w:pPr>
              <w:pStyle w:val="15"/>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lang w:val="en-US" w:eastAsia="zh-CN"/>
              </w:rPr>
              <w:t>2.</w:t>
            </w:r>
            <w:r>
              <w:rPr>
                <w:rFonts w:hint="eastAsia" w:ascii="宋体" w:hAnsi="宋体" w:eastAsia="宋体" w:cs="宋体"/>
                <w:b/>
                <w:bCs/>
                <w:color w:val="auto"/>
                <w:sz w:val="24"/>
                <w:highlight w:val="none"/>
              </w:rPr>
              <w:t>正在履约或已完成的项目业绩均予以认可</w:t>
            </w:r>
            <w:r>
              <w:rPr>
                <w:rFonts w:hint="eastAsia" w:ascii="宋体" w:hAnsi="宋体" w:cs="宋体"/>
                <w:b/>
                <w:bCs/>
                <w:color w:val="auto"/>
                <w:sz w:val="24"/>
                <w:highlight w:val="none"/>
                <w:lang w:eastAsia="zh-CN"/>
              </w:rPr>
              <w:t>，</w:t>
            </w:r>
            <w:r>
              <w:rPr>
                <w:rFonts w:hint="eastAsia" w:ascii="宋体" w:hAnsi="宋体" w:eastAsia="宋体" w:cs="宋体"/>
                <w:b/>
                <w:bCs/>
                <w:color w:val="auto"/>
                <w:kern w:val="0"/>
                <w:sz w:val="24"/>
              </w:rPr>
              <w:t>如评审材料中无法体现签订时间</w:t>
            </w:r>
            <w:r>
              <w:rPr>
                <w:rFonts w:hint="eastAsia" w:ascii="宋体" w:hAnsi="宋体" w:eastAsia="宋体" w:cs="宋体"/>
                <w:b/>
                <w:bCs/>
                <w:color w:val="auto"/>
                <w:kern w:val="0"/>
                <w:sz w:val="24"/>
                <w:szCs w:val="24"/>
                <w:lang w:val="en-US" w:eastAsia="zh-CN" w:bidi="ar"/>
              </w:rPr>
              <w:t>、</w:t>
            </w:r>
            <w:r>
              <w:rPr>
                <w:rFonts w:hint="eastAsia" w:ascii="宋体" w:hAnsi="宋体" w:eastAsia="宋体" w:cs="宋体"/>
                <w:b/>
                <w:bCs/>
                <w:color w:val="auto"/>
                <w:kern w:val="0"/>
                <w:sz w:val="24"/>
                <w:szCs w:val="24"/>
                <w:lang w:bidi="ar"/>
              </w:rPr>
              <w:t>项目内容等主要评审要素，另须提供业主单位（合同甲方）出具的加盖公章的相关证明材料，未提供或提供不全的不得分</w:t>
            </w:r>
            <w:r>
              <w:rPr>
                <w:rFonts w:hint="eastAsia" w:ascii="宋体" w:hAnsi="宋体" w:eastAsia="宋体" w:cs="宋体"/>
                <w:b/>
                <w:bCs/>
                <w:color w:val="auto"/>
                <w:kern w:val="0"/>
                <w:sz w:val="24"/>
                <w:szCs w:val="24"/>
                <w:lang w:eastAsia="zh-CN" w:bidi="ar"/>
              </w:rPr>
              <w:t>。</w:t>
            </w:r>
            <w:r>
              <w:rPr>
                <w:rFonts w:hint="eastAsia" w:ascii="宋体" w:hAnsi="宋体" w:eastAsia="宋体" w:cs="宋体"/>
                <w:b/>
                <w:bCs/>
                <w:color w:val="auto"/>
                <w:sz w:val="24"/>
                <w:highlight w:val="none"/>
              </w:rPr>
              <w:t>同一业绩</w:t>
            </w:r>
            <w:r>
              <w:rPr>
                <w:rFonts w:hint="eastAsia" w:ascii="宋体" w:hAnsi="宋体" w:cs="宋体"/>
                <w:b/>
                <w:bCs/>
                <w:color w:val="auto"/>
                <w:sz w:val="24"/>
                <w:highlight w:val="none"/>
                <w:lang w:val="en-US" w:eastAsia="zh-CN"/>
              </w:rPr>
              <w:t>多项内容</w:t>
            </w:r>
            <w:r>
              <w:rPr>
                <w:rFonts w:hint="eastAsia" w:ascii="宋体" w:hAnsi="宋体" w:eastAsia="宋体" w:cs="宋体"/>
                <w:b/>
                <w:bCs/>
                <w:color w:val="auto"/>
                <w:sz w:val="24"/>
                <w:highlight w:val="none"/>
              </w:rPr>
              <w:t>不重复计分</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仅计一次分</w:t>
            </w:r>
            <w:r>
              <w:rPr>
                <w:rFonts w:hint="eastAsia" w:ascii="宋体" w:hAnsi="宋体" w:eastAsia="宋体" w:cs="宋体"/>
                <w:b/>
                <w:bCs/>
                <w:color w:val="auto"/>
                <w:sz w:val="24"/>
                <w:highlight w:val="none"/>
                <w:lang w:eastAsia="zh-CN"/>
              </w:rPr>
              <w:t>；</w:t>
            </w:r>
          </w:p>
          <w:p w14:paraId="381DA40D">
            <w:pPr>
              <w:keepNext w:val="0"/>
              <w:keepLines w:val="0"/>
              <w:pageBreakBefore w:val="0"/>
              <w:widowControl w:val="0"/>
              <w:kinsoku/>
              <w:wordWrap/>
              <w:overflowPunct/>
              <w:topLinePunct w:val="0"/>
              <w:autoSpaceDE/>
              <w:autoSpaceDN/>
              <w:bidi w:val="0"/>
              <w:spacing w:line="360" w:lineRule="auto"/>
              <w:ind w:left="0" w:leftChars="0" w:right="0" w:rightChars="0"/>
              <w:jc w:val="left"/>
              <w:textAlignment w:val="auto"/>
              <w:rPr>
                <w:rFonts w:hint="eastAsia" w:ascii="宋体" w:hAnsi="宋体" w:eastAsia="宋体" w:cs="宋体"/>
                <w:color w:val="auto"/>
                <w:sz w:val="24"/>
                <w:highlight w:val="none"/>
              </w:rPr>
            </w:pPr>
            <w:r>
              <w:rPr>
                <w:rFonts w:hint="eastAsia" w:ascii="宋体" w:hAnsi="宋体" w:cs="宋体"/>
                <w:b/>
                <w:bCs/>
                <w:color w:val="auto"/>
                <w:sz w:val="24"/>
                <w:highlight w:val="none"/>
                <w:lang w:val="en-US" w:eastAsia="zh-CN"/>
              </w:rPr>
              <w:t>3..</w:t>
            </w:r>
            <w:r>
              <w:rPr>
                <w:rFonts w:hint="eastAsia" w:ascii="宋体" w:hAnsi="宋体" w:eastAsia="宋体" w:cs="宋体"/>
                <w:b/>
                <w:bCs/>
                <w:color w:val="auto"/>
                <w:sz w:val="24"/>
                <w:highlight w:val="none"/>
              </w:rPr>
              <w:t>采购人在签订合同后可根据实际情况对</w:t>
            </w:r>
            <w:r>
              <w:rPr>
                <w:rFonts w:hint="eastAsia" w:ascii="宋体" w:hAnsi="宋体" w:eastAsia="宋体" w:cs="宋体"/>
                <w:b/>
                <w:bCs/>
                <w:color w:val="auto"/>
                <w:sz w:val="24"/>
                <w:highlight w:val="none"/>
                <w:lang w:eastAsia="zh-CN"/>
              </w:rPr>
              <w:t>成交供应商</w:t>
            </w:r>
            <w:r>
              <w:rPr>
                <w:rFonts w:hint="eastAsia" w:ascii="宋体" w:hAnsi="宋体" w:eastAsia="宋体" w:cs="宋体"/>
                <w:b/>
                <w:bCs/>
                <w:color w:val="auto"/>
                <w:sz w:val="24"/>
                <w:highlight w:val="none"/>
              </w:rPr>
              <w:t>所投业绩进行考察，一旦发现弄虚作假，</w:t>
            </w:r>
            <w:r>
              <w:rPr>
                <w:rFonts w:hint="eastAsia" w:ascii="宋体" w:hAnsi="宋体" w:eastAsia="宋体" w:cs="宋体"/>
                <w:b/>
                <w:bCs/>
                <w:color w:val="auto"/>
                <w:sz w:val="24"/>
                <w:highlight w:val="none"/>
                <w:lang w:eastAsia="zh-CN"/>
              </w:rPr>
              <w:t>成交供应商</w:t>
            </w:r>
            <w:r>
              <w:rPr>
                <w:rFonts w:hint="eastAsia" w:ascii="宋体" w:hAnsi="宋体" w:eastAsia="宋体" w:cs="宋体"/>
                <w:b/>
                <w:bCs/>
                <w:color w:val="auto"/>
                <w:sz w:val="24"/>
                <w:highlight w:val="none"/>
              </w:rPr>
              <w:t>承担全部违约责任。</w:t>
            </w:r>
          </w:p>
        </w:tc>
        <w:tc>
          <w:tcPr>
            <w:tcW w:w="713" w:type="pct"/>
            <w:tcBorders>
              <w:top w:val="single" w:color="auto" w:sz="4" w:space="0"/>
              <w:left w:val="single" w:color="auto" w:sz="4" w:space="0"/>
              <w:bottom w:val="single" w:color="auto" w:sz="4" w:space="0"/>
              <w:right w:val="single" w:color="auto" w:sz="4" w:space="0"/>
            </w:tcBorders>
            <w:vAlign w:val="center"/>
          </w:tcPr>
          <w:p w14:paraId="6BFC02EC">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lang w:val="en-US" w:eastAsia="zh-CN"/>
              </w:rPr>
            </w:pPr>
            <w:r>
              <w:rPr>
                <w:rFonts w:hint="eastAsia" w:ascii="宋体" w:hAnsi="宋体" w:eastAsia="宋体" w:cs="宋体"/>
                <w:b w:val="0"/>
                <w:bCs w:val="0"/>
                <w:color w:val="auto"/>
                <w:sz w:val="24"/>
                <w:highlight w:val="none"/>
                <w:lang w:val="en-US" w:eastAsia="zh-CN"/>
              </w:rPr>
              <w:t>0-9分</w:t>
            </w:r>
          </w:p>
        </w:tc>
      </w:tr>
      <w:tr w14:paraId="073B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74FDB5B7">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2AEE00CC">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color w:val="auto"/>
                <w:sz w:val="24"/>
                <w:highlight w:val="none"/>
              </w:rPr>
            </w:pPr>
            <w:r>
              <w:rPr>
                <w:rFonts w:hint="eastAsia" w:ascii="宋体" w:hAnsi="宋体" w:eastAsia="宋体" w:cs="宋体"/>
                <w:bCs/>
                <w:sz w:val="24"/>
                <w:szCs w:val="24"/>
              </w:rPr>
              <w:t>管理体系认证</w:t>
            </w:r>
          </w:p>
        </w:tc>
        <w:tc>
          <w:tcPr>
            <w:tcW w:w="2594" w:type="pct"/>
            <w:tcBorders>
              <w:top w:val="single" w:color="auto" w:sz="4" w:space="0"/>
              <w:left w:val="single" w:color="auto" w:sz="4" w:space="0"/>
              <w:bottom w:val="single" w:color="auto" w:sz="4" w:space="0"/>
              <w:right w:val="single" w:color="auto" w:sz="4" w:space="0"/>
            </w:tcBorders>
            <w:vAlign w:val="center"/>
          </w:tcPr>
          <w:p w14:paraId="5DEDE990">
            <w:pPr>
              <w:pStyle w:val="15"/>
              <w:keepNext w:val="0"/>
              <w:keepLines w:val="0"/>
              <w:pageBreakBefore w:val="0"/>
              <w:numPr>
                <w:ilvl w:val="0"/>
                <w:numId w:val="0"/>
              </w:numPr>
              <w:wordWrap/>
              <w:overflowPunct/>
              <w:topLinePunct w:val="0"/>
              <w:bidi w:val="0"/>
              <w:spacing w:line="460" w:lineRule="exact"/>
              <w:ind w:leftChars="0" w:right="0" w:rightChars="0"/>
              <w:jc w:val="left"/>
              <w:rPr>
                <w:rFonts w:hint="eastAsia" w:ascii="宋体" w:hAnsi="宋体" w:eastAsia="宋体" w:cs="宋体"/>
                <w:color w:val="auto"/>
                <w:sz w:val="24"/>
                <w:highlight w:val="none"/>
                <w:lang w:val="en-US" w:eastAsia="zh-CN"/>
              </w:rPr>
            </w:pPr>
            <w:r>
              <w:rPr>
                <w:rFonts w:hint="eastAsia" w:ascii="宋体" w:hAnsi="宋体" w:eastAsia="宋体" w:cs="宋体"/>
                <w:sz w:val="24"/>
                <w:szCs w:val="24"/>
                <w:highlight w:val="none"/>
              </w:rPr>
              <w:t>供应商具有经中国国家认证认可监督管理委员会认证机构颁发的有效的下列证书：</w:t>
            </w:r>
          </w:p>
          <w:p w14:paraId="6F187F5A">
            <w:pPr>
              <w:pStyle w:val="15"/>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质量管理体系认证；</w:t>
            </w:r>
          </w:p>
          <w:p w14:paraId="6C296309">
            <w:pPr>
              <w:pStyle w:val="15"/>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售后服务体系认证；</w:t>
            </w:r>
          </w:p>
          <w:p w14:paraId="3FB31093">
            <w:pPr>
              <w:pStyle w:val="15"/>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信息技术服务管理体系认证</w:t>
            </w:r>
            <w:r>
              <w:rPr>
                <w:rFonts w:hint="eastAsia" w:ascii="宋体" w:hAnsi="宋体" w:eastAsia="宋体" w:cs="宋体"/>
                <w:color w:val="auto"/>
                <w:sz w:val="24"/>
                <w:highlight w:val="none"/>
                <w:lang w:eastAsia="zh-CN"/>
              </w:rPr>
              <w:t>。</w:t>
            </w:r>
          </w:p>
          <w:p w14:paraId="369A0745">
            <w:pPr>
              <w:pStyle w:val="15"/>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eastAsia="宋体" w:cs="宋体"/>
                <w:sz w:val="24"/>
                <w:szCs w:val="24"/>
              </w:rPr>
              <w:t>每提供一种得2分，最高得6分。</w:t>
            </w:r>
          </w:p>
          <w:p w14:paraId="6BC6A3EB">
            <w:pPr>
              <w:keepNext w:val="0"/>
              <w:keepLines w:val="0"/>
              <w:pageBreakBefore w:val="0"/>
              <w:wordWrap/>
              <w:overflowPunct/>
              <w:topLinePunct w:val="0"/>
              <w:bidi w:val="0"/>
              <w:spacing w:line="460" w:lineRule="exact"/>
              <w:ind w:left="0" w:leftChars="0" w:right="0" w:rightChars="0"/>
              <w:jc w:val="left"/>
              <w:rPr>
                <w:rFonts w:hint="eastAsia" w:ascii="宋体" w:hAnsi="宋体" w:eastAsia="宋体" w:cs="宋体"/>
                <w:color w:val="auto"/>
                <w:sz w:val="24"/>
                <w:highlight w:val="none"/>
              </w:rPr>
            </w:pPr>
            <w:r>
              <w:rPr>
                <w:rFonts w:hint="eastAsia" w:ascii="宋体" w:hAnsi="宋体" w:eastAsia="宋体" w:cs="宋体"/>
                <w:b/>
                <w:bCs/>
                <w:sz w:val="24"/>
                <w:szCs w:val="24"/>
              </w:rPr>
              <w:t>注：响应文件中同时提供证书扫描件及全国认证认可信息公共服务平台官网证书信息查询截图。证书状态为“有效”。</w:t>
            </w:r>
          </w:p>
        </w:tc>
        <w:tc>
          <w:tcPr>
            <w:tcW w:w="713" w:type="pct"/>
            <w:tcBorders>
              <w:top w:val="single" w:color="auto" w:sz="4" w:space="0"/>
              <w:left w:val="single" w:color="auto" w:sz="4" w:space="0"/>
              <w:bottom w:val="single" w:color="auto" w:sz="4" w:space="0"/>
              <w:right w:val="single" w:color="auto" w:sz="4" w:space="0"/>
            </w:tcBorders>
            <w:vAlign w:val="center"/>
          </w:tcPr>
          <w:p w14:paraId="6A0A0BE0">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lang w:val="en-US" w:eastAsia="zh-CN"/>
              </w:rPr>
            </w:pPr>
            <w:r>
              <w:rPr>
                <w:rFonts w:hint="eastAsia" w:ascii="宋体" w:hAnsi="宋体" w:eastAsia="宋体" w:cs="宋体"/>
                <w:b w:val="0"/>
                <w:bCs w:val="0"/>
                <w:color w:val="auto"/>
                <w:sz w:val="24"/>
                <w:highlight w:val="none"/>
                <w:lang w:val="en-US" w:eastAsia="zh-CN"/>
              </w:rPr>
              <w:t>0-6分</w:t>
            </w:r>
          </w:p>
        </w:tc>
      </w:tr>
      <w:tr w14:paraId="7761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vMerge w:val="continue"/>
            <w:tcBorders>
              <w:left w:val="single" w:color="auto" w:sz="4" w:space="0"/>
              <w:right w:val="single" w:color="auto" w:sz="4" w:space="0"/>
            </w:tcBorders>
            <w:vAlign w:val="center"/>
          </w:tcPr>
          <w:p w14:paraId="5B9E0A69">
            <w:pPr>
              <w:keepNext w:val="0"/>
              <w:keepLines w:val="0"/>
              <w:pageBreakBefore w:val="0"/>
              <w:wordWrap/>
              <w:overflowPunct/>
              <w:topLinePunct w:val="0"/>
              <w:bidi w:val="0"/>
              <w:spacing w:line="460" w:lineRule="exact"/>
              <w:ind w:left="0" w:leftChars="0" w:right="0" w:rightChars="0" w:firstLine="435"/>
              <w:jc w:val="center"/>
              <w:rPr>
                <w:rFonts w:hint="eastAsia" w:ascii="宋体" w:hAnsi="宋体" w:eastAsia="宋体" w:cs="宋体"/>
                <w:b/>
                <w:bCs/>
                <w:color w:val="auto"/>
                <w:sz w:val="24"/>
                <w:highlight w:val="none"/>
              </w:rPr>
            </w:pPr>
          </w:p>
        </w:tc>
        <w:tc>
          <w:tcPr>
            <w:tcW w:w="828" w:type="pct"/>
            <w:tcBorders>
              <w:top w:val="single" w:color="auto" w:sz="4" w:space="0"/>
              <w:left w:val="single" w:color="auto" w:sz="4" w:space="0"/>
              <w:bottom w:val="single" w:color="auto" w:sz="4" w:space="0"/>
              <w:right w:val="single" w:color="auto" w:sz="4" w:space="0"/>
            </w:tcBorders>
            <w:vAlign w:val="center"/>
          </w:tcPr>
          <w:p w14:paraId="0FB6E364">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Cs/>
                <w:color w:val="auto"/>
                <w:sz w:val="24"/>
                <w:highlight w:val="none"/>
              </w:rPr>
            </w:pPr>
            <w:r>
              <w:rPr>
                <w:rFonts w:hint="eastAsia" w:ascii="宋体" w:hAnsi="宋体" w:eastAsia="宋体" w:cs="宋体"/>
                <w:color w:val="auto"/>
                <w:sz w:val="24"/>
                <w:highlight w:val="none"/>
                <w:lang w:val="en-US" w:eastAsia="zh-CN"/>
              </w:rPr>
              <w:t>技术指标响应</w:t>
            </w:r>
          </w:p>
        </w:tc>
        <w:tc>
          <w:tcPr>
            <w:tcW w:w="2594" w:type="pct"/>
            <w:tcBorders>
              <w:top w:val="single" w:color="auto" w:sz="4" w:space="0"/>
              <w:left w:val="single" w:color="auto" w:sz="4" w:space="0"/>
              <w:bottom w:val="single" w:color="auto" w:sz="4" w:space="0"/>
              <w:right w:val="single" w:color="auto" w:sz="4" w:space="0"/>
            </w:tcBorders>
            <w:vAlign w:val="center"/>
          </w:tcPr>
          <w:p w14:paraId="29BAED6F">
            <w:pPr>
              <w:pStyle w:val="15"/>
              <w:keepNext w:val="0"/>
              <w:keepLines w:val="0"/>
              <w:pageBreakBefore w:val="0"/>
              <w:numPr>
                <w:ilvl w:val="0"/>
                <w:numId w:val="0"/>
              </w:numPr>
              <w:wordWrap/>
              <w:overflowPunct/>
              <w:topLinePunct w:val="0"/>
              <w:bidi w:val="0"/>
              <w:spacing w:line="460" w:lineRule="exact"/>
              <w:ind w:right="0" w:rightChars="0"/>
              <w:jc w:val="left"/>
              <w:rPr>
                <w:rFonts w:hint="eastAsia" w:ascii="宋体" w:hAnsi="宋体" w:eastAsia="宋体" w:cs="宋体"/>
                <w:b/>
                <w:bCs w:val="0"/>
                <w:color w:val="auto"/>
                <w:sz w:val="24"/>
                <w:szCs w:val="24"/>
                <w:u w:val="none"/>
                <w:lang w:val="en-US" w:eastAsia="zh-CN"/>
              </w:rPr>
            </w:pPr>
            <w:r>
              <w:rPr>
                <w:rFonts w:hint="eastAsia" w:ascii="宋体" w:hAnsi="宋体" w:eastAsia="宋体" w:cs="宋体"/>
                <w:b/>
                <w:bCs w:val="0"/>
                <w:color w:val="auto"/>
                <w:sz w:val="24"/>
                <w:szCs w:val="24"/>
                <w:u w:val="none"/>
                <w:lang w:val="en-US" w:eastAsia="zh-CN"/>
              </w:rPr>
              <w:t>磋商小组根据供应商所投产品技术参数及要求的响应情况进行评分：</w:t>
            </w:r>
          </w:p>
          <w:p w14:paraId="5AA23495">
            <w:pPr>
              <w:pStyle w:val="15"/>
              <w:keepNext w:val="0"/>
              <w:keepLines w:val="0"/>
              <w:pageBreakBefore w:val="0"/>
              <w:numPr>
                <w:ilvl w:val="0"/>
                <w:numId w:val="0"/>
              </w:numPr>
              <w:wordWrap/>
              <w:overflowPunct/>
              <w:topLinePunct w:val="0"/>
              <w:bidi w:val="0"/>
              <w:spacing w:line="460" w:lineRule="exact"/>
              <w:ind w:right="0" w:rightChars="0"/>
              <w:jc w:val="left"/>
              <w:rPr>
                <w:rFonts w:hint="eastAsia" w:ascii="宋体" w:hAnsi="宋体" w:eastAsia="宋体" w:cs="宋体"/>
                <w:i w:val="0"/>
                <w:iCs w:val="0"/>
                <w:color w:val="auto"/>
                <w:sz w:val="24"/>
                <w:highlight w:val="none"/>
              </w:rPr>
            </w:pPr>
            <w:r>
              <w:rPr>
                <w:rFonts w:hint="eastAsia" w:ascii="宋体" w:hAnsi="宋体" w:cs="宋体"/>
                <w:color w:val="auto"/>
                <w:kern w:val="0"/>
                <w:sz w:val="24"/>
                <w:szCs w:val="24"/>
                <w:lang w:val="en-US" w:eastAsia="zh-CN" w:bidi="ar"/>
              </w:rPr>
              <w:t>1.</w:t>
            </w:r>
            <w:r>
              <w:rPr>
                <w:rFonts w:hint="eastAsia" w:ascii="宋体" w:hAnsi="宋体" w:cs="宋体"/>
                <w:color w:val="auto"/>
                <w:kern w:val="0"/>
                <w:sz w:val="24"/>
                <w:szCs w:val="24"/>
                <w:lang w:bidi="ar"/>
              </w:rPr>
              <w:t>“★”号条款为关键指标项，每满足一条得</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分</w:t>
            </w:r>
            <w:r>
              <w:rPr>
                <w:rFonts w:hint="eastAsia" w:ascii="宋体" w:hAnsi="宋体" w:eastAsia="宋体" w:cs="宋体"/>
                <w:i w:val="0"/>
                <w:iCs w:val="0"/>
                <w:color w:val="auto"/>
                <w:sz w:val="24"/>
                <w:highlight w:val="none"/>
              </w:rPr>
              <w:t>，</w:t>
            </w:r>
            <w:r>
              <w:rPr>
                <w:rFonts w:hint="eastAsia" w:ascii="宋体" w:hAnsi="宋体" w:eastAsia="宋体" w:cs="宋体"/>
                <w:i w:val="0"/>
                <w:iCs w:val="0"/>
                <w:color w:val="auto"/>
                <w:sz w:val="24"/>
                <w:highlight w:val="none"/>
                <w:lang w:val="en-US" w:eastAsia="zh-CN"/>
              </w:rPr>
              <w:t>共6项，</w:t>
            </w:r>
            <w:r>
              <w:rPr>
                <w:rFonts w:hint="eastAsia" w:ascii="宋体" w:hAnsi="宋体" w:eastAsia="宋体" w:cs="宋体"/>
                <w:i w:val="0"/>
                <w:iCs w:val="0"/>
                <w:color w:val="auto"/>
                <w:sz w:val="24"/>
                <w:highlight w:val="none"/>
              </w:rPr>
              <w:t>满分</w:t>
            </w:r>
            <w:r>
              <w:rPr>
                <w:rFonts w:hint="eastAsia" w:ascii="宋体" w:hAnsi="宋体" w:eastAsia="宋体" w:cs="宋体"/>
                <w:i w:val="0"/>
                <w:iCs w:val="0"/>
                <w:color w:val="auto"/>
                <w:sz w:val="24"/>
                <w:highlight w:val="none"/>
                <w:lang w:val="en-US" w:eastAsia="zh-CN"/>
              </w:rPr>
              <w:t>6</w:t>
            </w:r>
            <w:r>
              <w:rPr>
                <w:rFonts w:hint="eastAsia" w:ascii="宋体" w:hAnsi="宋体" w:eastAsia="宋体" w:cs="宋体"/>
                <w:i w:val="0"/>
                <w:iCs w:val="0"/>
                <w:color w:val="auto"/>
                <w:sz w:val="24"/>
                <w:highlight w:val="none"/>
              </w:rPr>
              <w:t>分。</w:t>
            </w:r>
          </w:p>
          <w:p w14:paraId="528AD5DC">
            <w:pPr>
              <w:pStyle w:val="15"/>
              <w:keepNext w:val="0"/>
              <w:keepLines w:val="0"/>
              <w:pageBreakBefore w:val="0"/>
              <w:numPr>
                <w:ilvl w:val="0"/>
                <w:numId w:val="0"/>
              </w:numPr>
              <w:wordWrap/>
              <w:overflowPunct/>
              <w:topLinePunct w:val="0"/>
              <w:bidi w:val="0"/>
              <w:spacing w:line="460" w:lineRule="exact"/>
              <w:ind w:right="0" w:rightChars="0"/>
              <w:jc w:val="left"/>
              <w:rPr>
                <w:rFonts w:hint="eastAsia" w:ascii="宋体" w:hAnsi="宋体" w:eastAsia="宋体" w:cs="宋体"/>
                <w:color w:val="auto"/>
                <w:sz w:val="24"/>
                <w:highlight w:val="none"/>
              </w:rPr>
            </w:pPr>
            <w:r>
              <w:rPr>
                <w:rFonts w:hint="eastAsia" w:ascii="宋体" w:hAnsi="宋体" w:cs="宋体"/>
                <w:b/>
                <w:bCs/>
                <w:color w:val="auto"/>
                <w:kern w:val="0"/>
                <w:sz w:val="24"/>
                <w:szCs w:val="24"/>
                <w:lang w:bidi="ar"/>
              </w:rPr>
              <w:t>注：以投标响应表及招标文件中要求提供的证明材料作为评审依据。</w:t>
            </w:r>
          </w:p>
        </w:tc>
        <w:tc>
          <w:tcPr>
            <w:tcW w:w="713" w:type="pct"/>
            <w:tcBorders>
              <w:top w:val="single" w:color="auto" w:sz="4" w:space="0"/>
              <w:left w:val="single" w:color="auto" w:sz="4" w:space="0"/>
              <w:bottom w:val="single" w:color="auto" w:sz="4" w:space="0"/>
              <w:right w:val="single" w:color="auto" w:sz="4" w:space="0"/>
            </w:tcBorders>
            <w:vAlign w:val="center"/>
          </w:tcPr>
          <w:p w14:paraId="571818E8">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lang w:val="en-US" w:eastAsia="zh-CN"/>
              </w:rPr>
            </w:pPr>
            <w:r>
              <w:rPr>
                <w:rFonts w:hint="eastAsia" w:ascii="宋体" w:hAnsi="宋体" w:eastAsia="宋体" w:cs="宋体"/>
                <w:b w:val="0"/>
                <w:bCs w:val="0"/>
                <w:color w:val="auto"/>
                <w:sz w:val="24"/>
                <w:highlight w:val="none"/>
                <w:lang w:val="en-US" w:eastAsia="zh-CN"/>
              </w:rPr>
              <w:t>0-6分</w:t>
            </w:r>
          </w:p>
        </w:tc>
      </w:tr>
      <w:tr w14:paraId="6B37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pct"/>
            <w:tcBorders>
              <w:left w:val="single" w:color="auto" w:sz="4" w:space="0"/>
              <w:right w:val="single" w:color="auto" w:sz="4" w:space="0"/>
            </w:tcBorders>
            <w:vAlign w:val="center"/>
          </w:tcPr>
          <w:p w14:paraId="52E812EC">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价格分</w:t>
            </w:r>
          </w:p>
          <w:p w14:paraId="408D02C6">
            <w:pPr>
              <w:keepNext w:val="0"/>
              <w:keepLines w:val="0"/>
              <w:pageBreakBefore w:val="0"/>
              <w:wordWrap/>
              <w:overflowPunct/>
              <w:topLinePunct w:val="0"/>
              <w:bidi w:val="0"/>
              <w:spacing w:line="460" w:lineRule="exact"/>
              <w:ind w:left="0" w:leftChars="0" w:right="0" w:rightChars="0"/>
              <w:jc w:val="center"/>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rPr>
              <w:t>分）</w:t>
            </w:r>
          </w:p>
        </w:tc>
        <w:tc>
          <w:tcPr>
            <w:tcW w:w="4136" w:type="pct"/>
            <w:gridSpan w:val="3"/>
            <w:tcBorders>
              <w:top w:val="single" w:color="auto" w:sz="4" w:space="0"/>
              <w:left w:val="single" w:color="auto" w:sz="4" w:space="0"/>
              <w:bottom w:val="single" w:color="auto" w:sz="4" w:space="0"/>
              <w:right w:val="single" w:color="auto" w:sz="4" w:space="0"/>
            </w:tcBorders>
            <w:vAlign w:val="center"/>
          </w:tcPr>
          <w:p w14:paraId="3B99C99E">
            <w:pPr>
              <w:keepNext w:val="0"/>
              <w:keepLines w:val="0"/>
              <w:pageBreakBefore w:val="0"/>
              <w:wordWrap/>
              <w:overflowPunct/>
              <w:topLinePunct w:val="0"/>
              <w:bidi w:val="0"/>
              <w:spacing w:line="460" w:lineRule="exact"/>
              <w:ind w:left="0" w:leftChars="0" w:right="0" w:rightChars="0"/>
              <w:rPr>
                <w:rFonts w:hint="eastAsia" w:ascii="宋体" w:hAnsi="宋体" w:eastAsia="宋体" w:cs="宋体"/>
                <w:color w:val="auto"/>
                <w:sz w:val="24"/>
                <w:highlight w:val="none"/>
              </w:rPr>
            </w:pPr>
            <w:r>
              <w:rPr>
                <w:rFonts w:hint="eastAsia" w:ascii="宋体" w:hAnsi="宋体" w:eastAsia="宋体" w:cs="宋体"/>
                <w:color w:val="auto"/>
                <w:sz w:val="24"/>
                <w:highlight w:val="none"/>
              </w:rPr>
              <w:t>价格分统一采用低价优先法，即满足磋商文件要求且最后报价最低的供应商的价格为磋商基准价，其价格分为满分</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rPr>
              <w:t>分。其他供应商的价格分统一按照下列公式计算：</w:t>
            </w:r>
          </w:p>
          <w:p w14:paraId="1938C197">
            <w:pPr>
              <w:keepNext w:val="0"/>
              <w:keepLines w:val="0"/>
              <w:pageBreakBefore w:val="0"/>
              <w:wordWrap/>
              <w:overflowPunct/>
              <w:topLinePunct w:val="0"/>
              <w:bidi w:val="0"/>
              <w:spacing w:line="460" w:lineRule="exact"/>
              <w:ind w:left="0" w:leftChars="0" w:right="0" w:rightChars="0"/>
              <w:rPr>
                <w:rFonts w:hint="eastAsia" w:ascii="宋体" w:hAnsi="宋体" w:eastAsia="宋体" w:cs="宋体"/>
                <w:color w:val="auto"/>
                <w:sz w:val="24"/>
                <w:highlight w:val="none"/>
              </w:rPr>
            </w:pPr>
            <w:r>
              <w:rPr>
                <w:rFonts w:hint="eastAsia" w:ascii="宋体" w:hAnsi="宋体" w:eastAsia="宋体" w:cs="宋体"/>
                <w:color w:val="auto"/>
                <w:sz w:val="24"/>
                <w:highlight w:val="none"/>
              </w:rPr>
              <w:t>磋商报价得分＝（磋商基准价/最后磋商报价）×</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rPr>
              <w:t>％×100</w:t>
            </w:r>
          </w:p>
        </w:tc>
      </w:tr>
    </w:tbl>
    <w:p w14:paraId="12208A85">
      <w:pPr>
        <w:keepNext w:val="0"/>
        <w:keepLines w:val="0"/>
        <w:pageBreakBefore w:val="0"/>
        <w:wordWrap/>
        <w:overflowPunct/>
        <w:topLinePunct w:val="0"/>
        <w:bidi w:val="0"/>
        <w:spacing w:line="600" w:lineRule="exact"/>
        <w:rPr>
          <w:rFonts w:hint="eastAsia" w:ascii="宋体" w:hAnsi="宋体" w:eastAsia="宋体" w:cs="宋体"/>
        </w:rPr>
      </w:pPr>
    </w:p>
    <w:p w14:paraId="048AE53D">
      <w:pPr>
        <w:keepNext w:val="0"/>
        <w:keepLines w:val="0"/>
        <w:pageBreakBefore w:val="0"/>
        <w:wordWrap/>
        <w:overflowPunct/>
        <w:topLinePunct w:val="0"/>
        <w:bidi w:val="0"/>
        <w:spacing w:line="600" w:lineRule="exact"/>
        <w:rPr>
          <w:rFonts w:hint="eastAsia" w:ascii="宋体" w:hAnsi="宋体" w:eastAsia="宋体" w:cs="宋体"/>
        </w:rPr>
      </w:pPr>
    </w:p>
    <w:p w14:paraId="77F9AC37">
      <w:pPr>
        <w:rPr>
          <w:rFonts w:hint="eastAsia" w:ascii="宋体" w:hAnsi="宋体" w:eastAsia="宋体" w:cs="宋体"/>
        </w:rPr>
      </w:pPr>
    </w:p>
    <w:p w14:paraId="3F2FC304"/>
    <w:p w14:paraId="2BF2DACE"/>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简标宋">
    <w:altName w:val="宋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9D0D02"/>
    <w:multiLevelType w:val="multilevel"/>
    <w:tmpl w:val="319D0D02"/>
    <w:lvl w:ilvl="0" w:tentative="0">
      <w:start w:val="1"/>
      <w:numFmt w:val="decimal"/>
      <w:pStyle w:val="12"/>
      <w:suff w:val="space"/>
      <w:lvlText w:val="图%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DD6739"/>
    <w:rsid w:val="33DE722D"/>
    <w:rsid w:val="3CF96E86"/>
    <w:rsid w:val="3F487C50"/>
    <w:rsid w:val="40B90E06"/>
    <w:rsid w:val="41962EF5"/>
    <w:rsid w:val="52DD6739"/>
    <w:rsid w:val="570B618C"/>
    <w:rsid w:val="6D4C37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lang w:val="en-US" w:eastAsia="zh-CN" w:bidi="ar-SA"/>
    </w:rPr>
  </w:style>
  <w:style w:type="character" w:default="1" w:styleId="9">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rFonts w:ascii="@微软简标宋" w:hAnsi="@微软简标宋" w:eastAsia="@微软简标宋" w:cs="@微软简标宋"/>
      <w:szCs w:val="24"/>
      <w:lang w:val="zh-CN"/>
    </w:rPr>
  </w:style>
  <w:style w:type="paragraph" w:styleId="3">
    <w:name w:val="Body Text Indent"/>
    <w:basedOn w:val="1"/>
    <w:next w:val="4"/>
    <w:qFormat/>
    <w:uiPriority w:val="0"/>
    <w:pPr>
      <w:ind w:firstLine="645"/>
    </w:pPr>
    <w:rPr>
      <w:rFonts w:ascii="楷体_GB2312" w:eastAsia="楷体_GB2312"/>
      <w:sz w:val="32"/>
    </w:rPr>
  </w:style>
  <w:style w:type="paragraph" w:styleId="4">
    <w:name w:val="envelope return"/>
    <w:basedOn w:val="1"/>
    <w:unhideWhenUsed/>
    <w:qFormat/>
    <w:uiPriority w:val="0"/>
    <w:pPr>
      <w:snapToGrid w:val="0"/>
    </w:pPr>
    <w:rPr>
      <w:rFonts w:ascii="Arial" w:hAnsi="Arial"/>
    </w:rPr>
  </w:style>
  <w:style w:type="paragraph" w:styleId="5">
    <w:name w:val="Body Text First Indent"/>
    <w:basedOn w:val="2"/>
    <w:next w:val="6"/>
    <w:unhideWhenUsed/>
    <w:qFormat/>
    <w:uiPriority w:val="99"/>
    <w:pPr>
      <w:ind w:firstLine="420" w:firstLineChars="100"/>
    </w:pPr>
  </w:style>
  <w:style w:type="paragraph" w:styleId="6">
    <w:name w:val="Body Text First Indent 2"/>
    <w:basedOn w:val="3"/>
    <w:next w:val="5"/>
    <w:qFormat/>
    <w:uiPriority w:val="0"/>
    <w:pPr>
      <w:ind w:firstLine="420" w:firstLineChars="200"/>
    </w:p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标书正文"/>
    <w:basedOn w:val="1"/>
    <w:autoRedefine/>
    <w:qFormat/>
    <w:uiPriority w:val="0"/>
    <w:pPr>
      <w:spacing w:line="360" w:lineRule="auto"/>
      <w:ind w:firstLine="200" w:firstLineChars="200"/>
    </w:pPr>
    <w:rPr>
      <w:rFonts w:ascii="宋体" w:hAnsi="宋体" w:eastAsia="华文中宋"/>
      <w:sz w:val="24"/>
      <w:szCs w:val="24"/>
    </w:rPr>
  </w:style>
  <w:style w:type="paragraph" w:customStyle="1" w:styleId="11">
    <w:name w:val="表内文字"/>
    <w:basedOn w:val="12"/>
    <w:autoRedefine/>
    <w:qFormat/>
    <w:uiPriority w:val="0"/>
    <w:pPr>
      <w:numPr>
        <w:numId w:val="0"/>
      </w:numPr>
      <w:spacing w:line="240" w:lineRule="auto"/>
    </w:pPr>
    <w:rPr>
      <w:b w:val="0"/>
      <w:sz w:val="24"/>
    </w:rPr>
  </w:style>
  <w:style w:type="paragraph" w:customStyle="1" w:styleId="12">
    <w:name w:val="图片"/>
    <w:basedOn w:val="13"/>
    <w:autoRedefine/>
    <w:qFormat/>
    <w:uiPriority w:val="0"/>
    <w:pPr>
      <w:numPr>
        <w:ilvl w:val="0"/>
        <w:numId w:val="1"/>
      </w:numPr>
      <w:ind w:firstLineChars="0"/>
      <w:jc w:val="center"/>
    </w:pPr>
    <w:rPr>
      <w:b/>
      <w:sz w:val="21"/>
    </w:rPr>
  </w:style>
  <w:style w:type="paragraph" w:styleId="13">
    <w:name w:val="List Paragraph"/>
    <w:basedOn w:val="1"/>
    <w:autoRedefine/>
    <w:qFormat/>
    <w:uiPriority w:val="34"/>
    <w:pPr>
      <w:ind w:firstLine="420" w:firstLineChars="200"/>
    </w:pPr>
  </w:style>
  <w:style w:type="character" w:customStyle="1" w:styleId="14">
    <w:name w:val="UserStyle_0"/>
    <w:autoRedefine/>
    <w:qFormat/>
    <w:uiPriority w:val="0"/>
    <w:rPr>
      <w:rFonts w:ascii="Times New Roman" w:hAnsi="Times New Roman" w:eastAsia="宋体"/>
      <w:kern w:val="2"/>
      <w:sz w:val="21"/>
      <w:szCs w:val="24"/>
      <w:lang w:val="en-US" w:eastAsia="zh-CN" w:bidi="ar-SA"/>
    </w:rPr>
  </w:style>
  <w:style w:type="paragraph" w:customStyle="1" w:styleId="15">
    <w:name w:val="8-居中表格"/>
    <w:basedOn w:val="1"/>
    <w:autoRedefine/>
    <w:qFormat/>
    <w:uiPriority w:val="0"/>
    <w:pPr>
      <w:adjustRightInd w:val="0"/>
      <w:snapToGrid w:val="0"/>
      <w:jc w:val="center"/>
    </w:pPr>
    <w:rPr>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922</Words>
  <Characters>972</Characters>
  <Lines>0</Lines>
  <Paragraphs>0</Paragraphs>
  <TotalTime>17</TotalTime>
  <ScaleCrop>false</ScaleCrop>
  <LinksUpToDate>false</LinksUpToDate>
  <CharactersWithSpaces>975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2026-10-21T01:35:00Z</dcterms:created>
  <dc:creator>唐晶晶</dc:creator>
  <cp:lastModifiedBy>唐晶晶</cp:lastModifiedBy>
  <dcterms:modified xsi:type="dcterms:W3CDTF">2026-10-21T02:13:06Z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355348745B374924A84BFF9C77393CC3_11</vt:lpwstr>
  </property>
  <property fmtid="{D5CDD505-2E9C-101B-9397-08002B2CF9AE}" pid="4" name="KSOTemplateDocerSaveRecord">
    <vt:lpwstr>eyJoZGlkIjoiNGNlMGMwZDBhYWZhOTllNjljOGQ4MzE3OWEwNDRhMWMiLCJ1c2VySWQiOiIxNTY2MDI5NTY5In0=</vt:lpwstr>
  </property>
</Properties>
</file>