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EA0944">
      <w:pPr>
        <w:spacing w:before="480" w:beforeLines="200" w:after="480" w:afterLines="200"/>
        <w:ind w:firstLine="0" w:firstLineChars="0"/>
        <w:jc w:val="center"/>
        <w:rPr>
          <w:rFonts w:hint="eastAsia"/>
          <w:b/>
          <w:bCs/>
          <w:color w:val="auto"/>
          <w:sz w:val="36"/>
          <w:szCs w:val="36"/>
          <w:highlight w:val="none"/>
          <w:lang w:val="en-US" w:eastAsia="zh-CN"/>
        </w:rPr>
      </w:pPr>
      <w:bookmarkStart w:id="0" w:name="_Toc152042287"/>
      <w:bookmarkStart w:id="1" w:name="_Toc152045511"/>
      <w:bookmarkStart w:id="2" w:name="_Toc144974479"/>
      <w:r>
        <w:rPr>
          <w:rFonts w:hint="eastAsia"/>
          <w:b/>
          <w:bCs/>
          <w:color w:val="auto"/>
          <w:sz w:val="36"/>
          <w:szCs w:val="36"/>
          <w:highlight w:val="none"/>
          <w:lang w:eastAsia="zh-CN"/>
        </w:rPr>
        <w:t xml:space="preserve"> 肥西紫云湖汽车配套产业园项目监理工程</w:t>
      </w:r>
    </w:p>
    <w:p w14:paraId="7D0937CB">
      <w:pPr>
        <w:spacing w:before="480" w:beforeLines="200" w:after="480" w:afterLines="200"/>
        <w:ind w:firstLine="0" w:firstLineChars="0"/>
        <w:jc w:val="center"/>
        <w:rPr>
          <w:color w:val="auto"/>
          <w:szCs w:val="21"/>
          <w:highlight w:val="none"/>
        </w:rPr>
      </w:pPr>
      <w:r>
        <w:rPr>
          <w:b/>
          <w:bCs/>
          <w:color w:val="auto"/>
          <w:sz w:val="36"/>
          <w:szCs w:val="36"/>
          <w:highlight w:val="none"/>
        </w:rPr>
        <w:t>（</w:t>
      </w:r>
      <w:r>
        <w:rPr>
          <w:b/>
          <w:bCs/>
          <w:color w:val="auto"/>
          <w:spacing w:val="20"/>
          <w:sz w:val="36"/>
          <w:szCs w:val="36"/>
          <w:highlight w:val="none"/>
        </w:rPr>
        <w:t>招标项目编号：</w:t>
      </w:r>
      <w:r>
        <w:rPr>
          <w:rFonts w:hint="eastAsia"/>
          <w:b/>
          <w:bCs/>
          <w:color w:val="auto"/>
          <w:spacing w:val="20"/>
          <w:sz w:val="36"/>
          <w:szCs w:val="36"/>
          <w:highlight w:val="none"/>
          <w:lang w:eastAsia="zh-CN"/>
        </w:rPr>
        <w:t xml:space="preserve">XXXXX </w:t>
      </w:r>
      <w:r>
        <w:rPr>
          <w:b/>
          <w:bCs/>
          <w:color w:val="auto"/>
          <w:sz w:val="36"/>
          <w:szCs w:val="36"/>
          <w:highlight w:val="none"/>
        </w:rPr>
        <w:t>）</w:t>
      </w:r>
    </w:p>
    <w:p w14:paraId="3FEBDC49">
      <w:pPr>
        <w:ind w:firstLine="0" w:firstLineChars="0"/>
        <w:jc w:val="center"/>
        <w:rPr>
          <w:color w:val="auto"/>
          <w:szCs w:val="21"/>
          <w:highlight w:val="none"/>
        </w:rPr>
      </w:pPr>
      <w:r>
        <w:rPr>
          <w:rFonts w:hint="eastAsia" w:eastAsia="黑体"/>
          <w:color w:val="auto"/>
          <w:sz w:val="72"/>
          <w:szCs w:val="72"/>
          <w:highlight w:val="none"/>
        </w:rPr>
        <w:t>招 标 文 件</w:t>
      </w:r>
    </w:p>
    <w:p w14:paraId="0AB13590">
      <w:pPr>
        <w:spacing w:before="4800" w:beforeLines="2000"/>
        <w:ind w:left="0" w:leftChars="0" w:firstLine="640" w:firstLineChars="20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招</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 标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肥西工投战新产业园管理有限公司</w:t>
      </w:r>
    </w:p>
    <w:p w14:paraId="6E1E2B4A">
      <w:pPr>
        <w:spacing w:before="240" w:beforeLines="100"/>
        <w:ind w:left="0" w:leftChars="0" w:firstLine="640" w:firstLineChars="200"/>
        <w:jc w:val="both"/>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招标代理机构：</w:t>
      </w:r>
      <w:r>
        <w:rPr>
          <w:rFonts w:hint="eastAsia" w:ascii="黑体" w:hAnsi="黑体" w:eastAsia="黑体" w:cs="黑体"/>
          <w:color w:val="auto"/>
          <w:sz w:val="32"/>
          <w:szCs w:val="32"/>
          <w:highlight w:val="none"/>
          <w:u w:val="single"/>
        </w:rPr>
        <w:t>肥西县公共资源交易有限责任公司</w:t>
      </w:r>
    </w:p>
    <w:p w14:paraId="1C4650FC">
      <w:pPr>
        <w:spacing w:line="540" w:lineRule="exact"/>
        <w:ind w:left="0" w:leftChars="0" w:firstLine="640" w:firstLineChars="200"/>
        <w:jc w:val="both"/>
        <w:rPr>
          <w:color w:val="auto"/>
          <w:highlight w:val="none"/>
          <w:lang w:val="zh-CN"/>
        </w:rPr>
      </w:pPr>
      <w:r>
        <w:rPr>
          <w:rFonts w:hint="eastAsia" w:ascii="黑体" w:hAnsi="黑体" w:eastAsia="黑体" w:cs="黑体"/>
          <w:color w:val="auto"/>
          <w:sz w:val="32"/>
          <w:szCs w:val="32"/>
          <w:highlight w:val="none"/>
        </w:rPr>
        <w:t>日</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    期：</w:t>
      </w:r>
      <w:r>
        <w:rPr>
          <w:rFonts w:hint="eastAsia" w:ascii="黑体" w:hAnsi="黑体" w:eastAsia="黑体" w:cs="黑体"/>
          <w:color w:val="auto"/>
          <w:sz w:val="32"/>
          <w:szCs w:val="32"/>
          <w:highlight w:val="none"/>
          <w:u w:val="single"/>
        </w:rPr>
        <w:t>202</w:t>
      </w:r>
      <w:r>
        <w:rPr>
          <w:rFonts w:hint="eastAsia" w:ascii="黑体" w:hAnsi="黑体" w:eastAsia="黑体" w:cs="黑体"/>
          <w:color w:val="auto"/>
          <w:sz w:val="32"/>
          <w:szCs w:val="32"/>
          <w:highlight w:val="none"/>
          <w:u w:val="single"/>
          <w:lang w:val="en-US" w:eastAsia="zh-CN"/>
        </w:rPr>
        <w:t>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11</w:t>
      </w:r>
      <w:r>
        <w:rPr>
          <w:rFonts w:hint="eastAsia" w:ascii="黑体" w:hAnsi="黑体" w:eastAsia="黑体" w:cs="黑体"/>
          <w:color w:val="auto"/>
          <w:sz w:val="32"/>
          <w:szCs w:val="32"/>
          <w:highlight w:val="none"/>
        </w:rPr>
        <w:t>月</w:t>
      </w:r>
    </w:p>
    <w:p w14:paraId="5703B232">
      <w:pPr>
        <w:pStyle w:val="92"/>
        <w:spacing w:before="240" w:after="150" w:afterLines="0"/>
        <w:ind w:firstLine="0" w:firstLineChars="0"/>
        <w:jc w:val="center"/>
        <w:rPr>
          <w:bCs/>
          <w:color w:val="auto"/>
          <w:sz w:val="44"/>
          <w:szCs w:val="44"/>
          <w:highlight w:val="none"/>
          <w:lang w:val="zh-CN"/>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pgSz w:w="12240" w:h="15840"/>
          <w:pgMar w:top="1440" w:right="1803" w:bottom="1440" w:left="1803" w:header="850" w:footer="850" w:gutter="0"/>
          <w:pgNumType w:start="1"/>
          <w:cols w:space="720" w:num="1"/>
          <w:docGrid w:linePitch="286" w:charSpace="0"/>
        </w:sectPr>
      </w:pPr>
      <w:bookmarkStart w:id="3" w:name="_Toc4193"/>
      <w:bookmarkStart w:id="4" w:name="_Toc9663"/>
      <w:bookmarkStart w:id="5" w:name="_Toc5758"/>
      <w:bookmarkStart w:id="6" w:name="_Toc12153"/>
      <w:bookmarkStart w:id="7" w:name="_Toc14660"/>
      <w:bookmarkStart w:id="8" w:name="_Toc14567"/>
      <w:bookmarkStart w:id="9" w:name="_Toc31722"/>
      <w:bookmarkStart w:id="10" w:name="_Toc18254"/>
      <w:bookmarkStart w:id="11" w:name="_Toc4735"/>
    </w:p>
    <w:p w14:paraId="460597F1">
      <w:pPr>
        <w:pStyle w:val="30"/>
        <w:tabs>
          <w:tab w:val="right" w:leader="dot" w:pos="8624"/>
        </w:tabs>
        <w:ind w:left="0" w:leftChars="0" w:firstLine="0" w:firstLineChars="0"/>
        <w:jc w:val="center"/>
        <w:rPr>
          <w:color w:val="auto"/>
          <w:kern w:val="2"/>
          <w:sz w:val="24"/>
          <w:szCs w:val="22"/>
          <w:highlight w:val="none"/>
          <w:lang w:val="en-US" w:eastAsia="zh-CN" w:bidi="ar-SA"/>
        </w:rPr>
      </w:pPr>
      <w:r>
        <w:rPr>
          <w:bCs/>
          <w:color w:val="auto"/>
          <w:sz w:val="44"/>
          <w:szCs w:val="44"/>
          <w:highlight w:val="none"/>
          <w:lang w:val="zh-CN"/>
        </w:rPr>
        <w:t>目  录</w:t>
      </w:r>
      <w:bookmarkEnd w:id="3"/>
      <w:bookmarkEnd w:id="4"/>
      <w:bookmarkEnd w:id="5"/>
      <w:bookmarkEnd w:id="6"/>
      <w:bookmarkEnd w:id="7"/>
      <w:bookmarkEnd w:id="8"/>
      <w:bookmarkEnd w:id="9"/>
      <w:bookmarkEnd w:id="10"/>
      <w:bookmarkEnd w:id="11"/>
      <w:bookmarkStart w:id="12" w:name="_Toc686"/>
      <w:bookmarkStart w:id="13" w:name="_Toc8034"/>
      <w:bookmarkStart w:id="14" w:name="_Toc28381"/>
      <w:bookmarkStart w:id="15" w:name="_Toc19518"/>
      <w:bookmarkStart w:id="16" w:name="_Toc12462186"/>
      <w:bookmarkStart w:id="17" w:name="_Toc20312"/>
      <w:r>
        <w:rPr>
          <w:color w:val="auto"/>
          <w:highlight w:val="none"/>
        </w:rPr>
        <w:fldChar w:fldCharType="begin"/>
      </w:r>
      <w:r>
        <w:rPr>
          <w:color w:val="auto"/>
          <w:highlight w:val="none"/>
        </w:rPr>
        <w:instrText xml:space="preserve"> TOC \o "1-1" \h \z \u </w:instrText>
      </w:r>
      <w:r>
        <w:rPr>
          <w:color w:val="auto"/>
          <w:highlight w:val="none"/>
        </w:rPr>
        <w:fldChar w:fldCharType="separate"/>
      </w:r>
    </w:p>
    <w:p w14:paraId="24E1F13B">
      <w:pPr>
        <w:pStyle w:val="30"/>
        <w:tabs>
          <w:tab w:val="right" w:leader="dot" w:pos="8634"/>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_Toc4374 </w:instrText>
      </w:r>
      <w:r>
        <w:rPr>
          <w:color w:val="auto"/>
          <w:highlight w:val="none"/>
        </w:rPr>
        <w:fldChar w:fldCharType="separate"/>
      </w:r>
      <w:r>
        <w:rPr>
          <w:rFonts w:hint="eastAsia" w:ascii="黑体" w:hAnsi="黑体" w:eastAsia="黑体" w:cs="黑体"/>
          <w:bCs/>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_Toc4374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FD5BF23">
      <w:pPr>
        <w:pStyle w:val="30"/>
        <w:tabs>
          <w:tab w:val="right" w:leader="dot" w:pos="8634"/>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_Toc5190 </w:instrText>
      </w:r>
      <w:r>
        <w:rPr>
          <w:color w:val="auto"/>
          <w:highlight w:val="none"/>
        </w:rPr>
        <w:fldChar w:fldCharType="separate"/>
      </w:r>
      <w:r>
        <w:rPr>
          <w:rFonts w:ascii="黑体" w:hAnsi="黑体" w:eastAsia="黑体"/>
          <w:color w:val="auto"/>
          <w:szCs w:val="32"/>
          <w:highlight w:val="none"/>
        </w:rPr>
        <w:t>第二章</w:t>
      </w:r>
      <w:r>
        <w:rPr>
          <w:rFonts w:hint="eastAsia" w:ascii="黑体" w:hAnsi="黑体" w:eastAsia="黑体"/>
          <w:color w:val="auto"/>
          <w:szCs w:val="32"/>
          <w:highlight w:val="none"/>
        </w:rPr>
        <w:t xml:space="preserve"> </w:t>
      </w:r>
      <w:r>
        <w:rPr>
          <w:rFonts w:ascii="黑体" w:hAnsi="黑体" w:eastAsia="黑体"/>
          <w:color w:val="auto"/>
          <w:szCs w:val="32"/>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_Toc5190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27BEE2D">
      <w:pPr>
        <w:pStyle w:val="30"/>
        <w:tabs>
          <w:tab w:val="right" w:leader="dot" w:pos="8634"/>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_Toc3053 </w:instrText>
      </w:r>
      <w:r>
        <w:rPr>
          <w:color w:val="auto"/>
          <w:highlight w:val="none"/>
        </w:rPr>
        <w:fldChar w:fldCharType="separate"/>
      </w:r>
      <w:r>
        <w:rPr>
          <w:rFonts w:hint="eastAsia" w:ascii="黑体" w:hAnsi="黑体" w:eastAsia="黑体"/>
          <w:color w:val="auto"/>
          <w:szCs w:val="32"/>
          <w:highlight w:val="none"/>
        </w:rPr>
        <w:t>第三章  评标办法</w:t>
      </w:r>
      <w:r>
        <w:rPr>
          <w:rFonts w:hint="eastAsia" w:ascii="黑体" w:hAnsi="黑体" w:eastAsia="黑体"/>
          <w:color w:val="auto"/>
          <w:szCs w:val="32"/>
          <w:highlight w:val="none"/>
          <w:lang w:val="en-US" w:eastAsia="zh-CN"/>
        </w:rPr>
        <w:t xml:space="preserve"> </w:t>
      </w:r>
      <w:r>
        <w:rPr>
          <w:rFonts w:hint="eastAsia" w:ascii="黑体" w:hAnsi="黑体" w:eastAsia="黑体"/>
          <w:color w:val="auto"/>
          <w:szCs w:val="32"/>
          <w:highlight w:val="none"/>
        </w:rPr>
        <w:t>综合评估法（一次平均）</w:t>
      </w:r>
      <w:r>
        <w:rPr>
          <w:color w:val="auto"/>
          <w:highlight w:val="none"/>
        </w:rPr>
        <w:tab/>
      </w:r>
      <w:r>
        <w:rPr>
          <w:color w:val="auto"/>
          <w:highlight w:val="none"/>
        </w:rPr>
        <w:fldChar w:fldCharType="begin"/>
      </w:r>
      <w:r>
        <w:rPr>
          <w:color w:val="auto"/>
          <w:highlight w:val="none"/>
        </w:rPr>
        <w:instrText xml:space="preserve"> PAGEREF _Toc3053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FB2FC35">
      <w:pPr>
        <w:pStyle w:val="30"/>
        <w:tabs>
          <w:tab w:val="right" w:leader="dot" w:pos="8634"/>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_Toc25722 </w:instrText>
      </w:r>
      <w:r>
        <w:rPr>
          <w:color w:val="auto"/>
          <w:highlight w:val="none"/>
        </w:rPr>
        <w:fldChar w:fldCharType="separate"/>
      </w:r>
      <w:r>
        <w:rPr>
          <w:rFonts w:hint="eastAsia" w:ascii="黑体" w:hAnsi="黑体" w:eastAsia="黑体"/>
          <w:color w:val="auto"/>
          <w:highlight w:val="none"/>
        </w:rPr>
        <w:t xml:space="preserve">第四章 </w:t>
      </w:r>
      <w:r>
        <w:rPr>
          <w:rFonts w:ascii="黑体" w:hAnsi="黑体" w:eastAsia="黑体"/>
          <w:color w:val="auto"/>
          <w:highlight w:val="none"/>
        </w:rPr>
        <w:t xml:space="preserve"> </w:t>
      </w:r>
      <w:r>
        <w:rPr>
          <w:rFonts w:hint="eastAsia" w:ascii="黑体" w:hAnsi="黑体" w:eastAsia="黑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_Toc25722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0867FCE7">
      <w:pPr>
        <w:pStyle w:val="30"/>
        <w:tabs>
          <w:tab w:val="right" w:leader="dot" w:pos="8634"/>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_Toc1678 </w:instrText>
      </w:r>
      <w:r>
        <w:rPr>
          <w:color w:val="auto"/>
          <w:highlight w:val="none"/>
        </w:rPr>
        <w:fldChar w:fldCharType="separate"/>
      </w:r>
      <w:r>
        <w:rPr>
          <w:rFonts w:hint="eastAsia" w:ascii="黑体" w:hAnsi="黑体" w:eastAsia="黑体" w:cs="黑体"/>
          <w:bCs/>
          <w:color w:val="auto"/>
          <w:szCs w:val="32"/>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_Toc1678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4D2113DB">
      <w:pPr>
        <w:pStyle w:val="30"/>
        <w:tabs>
          <w:tab w:val="right" w:leader="dot" w:pos="8634"/>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_Toc15613 </w:instrText>
      </w:r>
      <w:r>
        <w:rPr>
          <w:color w:val="auto"/>
          <w:highlight w:val="none"/>
        </w:rPr>
        <w:fldChar w:fldCharType="separate"/>
      </w:r>
      <w:r>
        <w:rPr>
          <w:rFonts w:hint="eastAsia" w:ascii="黑体" w:hAnsi="黑体" w:eastAsia="黑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_Toc15613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2ECD788B">
      <w:pPr>
        <w:pStyle w:val="92"/>
        <w:tabs>
          <w:tab w:val="right" w:leader="dot" w:pos="8624"/>
        </w:tabs>
        <w:spacing w:before="240" w:after="150" w:afterLines="0"/>
        <w:ind w:left="0" w:leftChars="0" w:firstLine="0" w:firstLineChars="0"/>
        <w:jc w:val="center"/>
        <w:rPr>
          <w:color w:val="auto"/>
          <w:highlight w:val="none"/>
        </w:rPr>
      </w:pPr>
      <w:r>
        <w:rPr>
          <w:color w:val="auto"/>
          <w:highlight w:val="none"/>
        </w:rPr>
        <w:fldChar w:fldCharType="end"/>
      </w:r>
    </w:p>
    <w:p w14:paraId="2A9EFAC8">
      <w:pPr>
        <w:keepNext/>
        <w:keepLines/>
        <w:widowControl/>
        <w:spacing w:before="240" w:beforeLines="100" w:after="240" w:afterLines="100" w:line="560" w:lineRule="exact"/>
        <w:ind w:firstLine="0" w:firstLineChars="0"/>
        <w:jc w:val="center"/>
        <w:outlineLvl w:val="0"/>
        <w:rPr>
          <w:rStyle w:val="55"/>
          <w:rFonts w:hint="eastAsia" w:ascii="黑体" w:hAnsi="黑体" w:eastAsia="黑体" w:cs="黑体"/>
          <w:b w:val="0"/>
          <w:bCs/>
          <w:color w:val="auto"/>
          <w:highlight w:val="none"/>
        </w:rPr>
        <w:sectPr>
          <w:footnotePr>
            <w:numFmt w:val="decimalEnclosedCircleChinese"/>
            <w:numRestart w:val="eachPage"/>
          </w:footnotePr>
          <w:pgSz w:w="12240" w:h="15840"/>
          <w:pgMar w:top="1440" w:right="1803" w:bottom="1440" w:left="1803" w:header="850" w:footer="850" w:gutter="0"/>
          <w:pgNumType w:start="1"/>
          <w:cols w:space="720" w:num="1"/>
          <w:docGrid w:linePitch="286" w:charSpace="0"/>
        </w:sectPr>
      </w:pPr>
    </w:p>
    <w:p w14:paraId="28FD7656">
      <w:pPr>
        <w:keepNext/>
        <w:keepLines/>
        <w:widowControl/>
        <w:spacing w:before="240" w:beforeLines="100" w:after="240" w:afterLines="100" w:line="560" w:lineRule="exact"/>
        <w:ind w:firstLine="0" w:firstLineChars="0"/>
        <w:jc w:val="center"/>
        <w:outlineLvl w:val="0"/>
        <w:rPr>
          <w:color w:val="auto"/>
          <w:szCs w:val="32"/>
          <w:highlight w:val="none"/>
          <w:u w:val="single"/>
        </w:rPr>
      </w:pPr>
      <w:bookmarkStart w:id="18" w:name="_Toc4374"/>
      <w:r>
        <w:rPr>
          <w:rStyle w:val="55"/>
          <w:rFonts w:hint="eastAsia" w:ascii="黑体" w:hAnsi="黑体" w:eastAsia="黑体" w:cs="黑体"/>
          <w:b w:val="0"/>
          <w:bCs/>
          <w:color w:val="auto"/>
          <w:highlight w:val="none"/>
        </w:rPr>
        <w:t>第一章  招标公告</w:t>
      </w:r>
      <w:bookmarkEnd w:id="12"/>
      <w:bookmarkEnd w:id="13"/>
      <w:bookmarkEnd w:id="14"/>
      <w:bookmarkEnd w:id="15"/>
      <w:bookmarkEnd w:id="16"/>
      <w:bookmarkEnd w:id="17"/>
      <w:bookmarkEnd w:id="18"/>
    </w:p>
    <w:bookmarkEnd w:id="0"/>
    <w:bookmarkEnd w:id="1"/>
    <w:bookmarkEnd w:id="2"/>
    <w:p w14:paraId="3B57E591">
      <w:pPr>
        <w:keepNext w:val="0"/>
        <w:keepLines w:val="0"/>
        <w:widowControl/>
        <w:suppressLineNumbers w:val="0"/>
        <w:shd w:val="clear" w:fill="FFFFFF"/>
        <w:spacing w:before="0" w:beforeAutospacing="0" w:after="0" w:afterAutospacing="0" w:line="560" w:lineRule="exact"/>
        <w:ind w:left="0" w:right="0"/>
        <w:jc w:val="center"/>
        <w:outlineLvl w:val="0"/>
        <w:rPr>
          <w:color w:val="auto"/>
          <w:highlight w:val="none"/>
        </w:rPr>
      </w:pPr>
      <w:bookmarkStart w:id="19" w:name="_Toc10827"/>
      <w:bookmarkStart w:id="20" w:name="_Toc29561"/>
      <w:bookmarkStart w:id="21" w:name="_Toc21186"/>
      <w:bookmarkStart w:id="22" w:name="_Toc460226716"/>
      <w:bookmarkStart w:id="23" w:name="_Toc460660058"/>
      <w:bookmarkStart w:id="24" w:name="_Toc460226985"/>
      <w:r>
        <w:rPr>
          <w:rFonts w:hint="eastAsia" w:eastAsia="黑体" w:cs="黑体"/>
          <w:color w:val="auto"/>
          <w:sz w:val="32"/>
          <w:szCs w:val="32"/>
          <w:highlight w:val="none"/>
          <w:lang w:eastAsia="zh-CN"/>
        </w:rPr>
        <w:t xml:space="preserve"> </w:t>
      </w:r>
      <w:bookmarkEnd w:id="19"/>
      <w:bookmarkEnd w:id="20"/>
      <w:bookmarkEnd w:id="21"/>
      <w:bookmarkEnd w:id="22"/>
      <w:bookmarkEnd w:id="23"/>
      <w:bookmarkEnd w:id="24"/>
      <w:r>
        <w:rPr>
          <w:rFonts w:hint="eastAsia" w:ascii="宋体" w:hAnsi="宋体" w:cs="宋体"/>
          <w:b/>
          <w:bCs/>
          <w:color w:val="auto"/>
          <w:kern w:val="0"/>
          <w:sz w:val="44"/>
          <w:szCs w:val="44"/>
          <w:highlight w:val="none"/>
          <w:shd w:val="clear" w:fill="FFFFFF"/>
          <w:lang w:val="en-US" w:eastAsia="zh-CN" w:bidi="ar"/>
        </w:rPr>
        <w:t>肥西紫云湖汽车配套产业园项目监理工程</w:t>
      </w:r>
      <w:r>
        <w:rPr>
          <w:rFonts w:hint="eastAsia" w:ascii="宋体" w:hAnsi="宋体" w:eastAsia="宋体" w:cs="宋体"/>
          <w:b/>
          <w:bCs/>
          <w:color w:val="auto"/>
          <w:kern w:val="0"/>
          <w:sz w:val="44"/>
          <w:szCs w:val="44"/>
          <w:highlight w:val="none"/>
          <w:shd w:val="clear" w:fill="FFFFFF"/>
          <w:lang w:val="en-US" w:eastAsia="zh-CN" w:bidi="ar"/>
        </w:rPr>
        <w:t>招标公告</w:t>
      </w:r>
      <w:r>
        <w:rPr>
          <w:rFonts w:hint="eastAsia" w:ascii="宋体" w:hAnsi="宋体" w:eastAsia="宋体" w:cs="宋体"/>
          <w:color w:val="auto"/>
          <w:kern w:val="0"/>
          <w:sz w:val="24"/>
          <w:szCs w:val="24"/>
          <w:highlight w:val="none"/>
          <w:shd w:val="clear" w:fill="FFFFFF"/>
          <w:lang w:val="en-US" w:eastAsia="zh-CN" w:bidi="ar"/>
        </w:rPr>
        <w:t xml:space="preserve"> </w:t>
      </w:r>
    </w:p>
    <w:p w14:paraId="5BAABEE1">
      <w:pPr>
        <w:keepNext w:val="0"/>
        <w:keepLines w:val="0"/>
        <w:widowControl/>
        <w:suppressLineNumbers w:val="0"/>
        <w:spacing w:before="0" w:beforeAutospacing="0" w:after="0" w:afterAutospacing="0" w:line="560" w:lineRule="exact"/>
        <w:ind w:left="0" w:right="0" w:firstLine="0" w:firstLineChars="0"/>
        <w:jc w:val="left"/>
        <w:rPr>
          <w:color w:val="auto"/>
          <w:highlight w:val="none"/>
        </w:rPr>
      </w:pPr>
      <w:r>
        <w:rPr>
          <w:rFonts w:hint="eastAsia" w:ascii="黑体" w:hAnsi="宋体" w:eastAsia="黑体" w:cs="黑体"/>
          <w:color w:val="auto"/>
          <w:kern w:val="0"/>
          <w:sz w:val="28"/>
          <w:szCs w:val="28"/>
          <w:highlight w:val="none"/>
          <w:lang w:val="en-US" w:eastAsia="zh-CN" w:bidi="ar"/>
        </w:rPr>
        <w:t> </w:t>
      </w:r>
      <w:r>
        <w:rPr>
          <w:rFonts w:hint="eastAsia" w:ascii="宋体" w:hAnsi="宋体" w:eastAsia="宋体" w:cs="宋体"/>
          <w:color w:val="auto"/>
          <w:kern w:val="0"/>
          <w:sz w:val="24"/>
          <w:szCs w:val="24"/>
          <w:highlight w:val="none"/>
          <w:lang w:val="en-US" w:eastAsia="zh-CN" w:bidi="ar"/>
        </w:rPr>
        <w:t xml:space="preserve"> </w:t>
      </w:r>
      <w:bookmarkStart w:id="695" w:name="_GoBack"/>
      <w:bookmarkEnd w:id="695"/>
    </w:p>
    <w:p w14:paraId="4FE64002">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1. 招标条件</w:t>
      </w:r>
      <w:r>
        <w:rPr>
          <w:rFonts w:hint="eastAsia" w:ascii="宋体" w:hAnsi="宋体" w:eastAsia="宋体" w:cs="宋体"/>
          <w:color w:val="auto"/>
          <w:kern w:val="0"/>
          <w:sz w:val="24"/>
          <w:szCs w:val="24"/>
          <w:highlight w:val="none"/>
          <w:lang w:val="en-US" w:eastAsia="zh-CN" w:bidi="ar"/>
        </w:rPr>
        <w:t xml:space="preserve"> </w:t>
      </w:r>
    </w:p>
    <w:p w14:paraId="501AF7AC">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1.1 项目名称：肥西紫云湖汽车配套产业园项目监理工程</w:t>
      </w:r>
      <w:r>
        <w:rPr>
          <w:rFonts w:hint="eastAsia" w:ascii="宋体" w:hAnsi="宋体" w:eastAsia="宋体" w:cs="宋体"/>
          <w:color w:val="auto"/>
          <w:kern w:val="0"/>
          <w:sz w:val="24"/>
          <w:szCs w:val="24"/>
          <w:highlight w:val="none"/>
          <w:lang w:val="en-US" w:eastAsia="zh-CN" w:bidi="ar"/>
        </w:rPr>
        <w:t xml:space="preserve"> </w:t>
      </w:r>
    </w:p>
    <w:p w14:paraId="0F441F13">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1.2 项目审批、核准或备案机关名称：肥西县发展和改革委员会</w:t>
      </w:r>
      <w:r>
        <w:rPr>
          <w:rFonts w:hint="eastAsia" w:ascii="宋体" w:hAnsi="宋体" w:eastAsia="宋体" w:cs="宋体"/>
          <w:color w:val="auto"/>
          <w:kern w:val="0"/>
          <w:sz w:val="24"/>
          <w:szCs w:val="24"/>
          <w:highlight w:val="none"/>
          <w:lang w:val="en-US" w:eastAsia="zh-CN" w:bidi="ar"/>
        </w:rPr>
        <w:t xml:space="preserve"> </w:t>
      </w:r>
    </w:p>
    <w:p w14:paraId="0613D59F">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1.3 批文名称及编</w:t>
      </w:r>
      <w:r>
        <w:rPr>
          <w:rFonts w:hint="eastAsia" w:ascii="仿宋" w:hAnsi="仿宋" w:eastAsia="仿宋" w:cs="仿宋"/>
          <w:color w:val="auto"/>
          <w:kern w:val="0"/>
          <w:sz w:val="28"/>
          <w:szCs w:val="28"/>
          <w:highlight w:val="none"/>
          <w:lang w:val="en-US" w:eastAsia="zh-CN" w:bidi="ar"/>
        </w:rPr>
        <w:t>号：关于肥西县紫云湖片区汽车产业基地及配套工程项目立项的批复，发改投资字〔2025〕61号</w:t>
      </w:r>
    </w:p>
    <w:p w14:paraId="2D52A022">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1.4 招标人：肥西工投战新产业园管理有限公司</w:t>
      </w:r>
      <w:r>
        <w:rPr>
          <w:rFonts w:hint="eastAsia" w:ascii="宋体" w:hAnsi="宋体" w:eastAsia="宋体" w:cs="宋体"/>
          <w:color w:val="auto"/>
          <w:kern w:val="0"/>
          <w:sz w:val="24"/>
          <w:szCs w:val="24"/>
          <w:highlight w:val="none"/>
          <w:lang w:val="en-US" w:eastAsia="zh-CN" w:bidi="ar"/>
        </w:rPr>
        <w:t xml:space="preserve"> </w:t>
      </w:r>
    </w:p>
    <w:p w14:paraId="648BA93E">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1.5 项目业主：肥西工投战新产业园管理有限公司</w:t>
      </w:r>
      <w:r>
        <w:rPr>
          <w:rFonts w:hint="eastAsia" w:ascii="宋体" w:hAnsi="宋体" w:eastAsia="宋体" w:cs="宋体"/>
          <w:color w:val="auto"/>
          <w:kern w:val="0"/>
          <w:sz w:val="24"/>
          <w:szCs w:val="24"/>
          <w:highlight w:val="none"/>
          <w:lang w:val="en-US" w:eastAsia="zh-CN" w:bidi="ar"/>
        </w:rPr>
        <w:t xml:space="preserve"> </w:t>
      </w:r>
    </w:p>
    <w:p w14:paraId="35FDB6C7">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1.6 资金来源：企业自筹</w:t>
      </w:r>
      <w:r>
        <w:rPr>
          <w:rFonts w:hint="eastAsia" w:ascii="宋体" w:hAnsi="宋体" w:eastAsia="宋体" w:cs="宋体"/>
          <w:color w:val="auto"/>
          <w:kern w:val="0"/>
          <w:sz w:val="24"/>
          <w:szCs w:val="24"/>
          <w:highlight w:val="none"/>
          <w:lang w:val="en-US" w:eastAsia="zh-CN" w:bidi="ar"/>
        </w:rPr>
        <w:t xml:space="preserve"> </w:t>
      </w:r>
    </w:p>
    <w:p w14:paraId="4BEADAAD">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1.7 项目出资比例：100%</w:t>
      </w:r>
      <w:r>
        <w:rPr>
          <w:rFonts w:hint="eastAsia" w:ascii="宋体" w:hAnsi="宋体" w:eastAsia="宋体" w:cs="宋体"/>
          <w:color w:val="auto"/>
          <w:kern w:val="0"/>
          <w:sz w:val="24"/>
          <w:szCs w:val="24"/>
          <w:highlight w:val="none"/>
          <w:lang w:val="en-US" w:eastAsia="zh-CN" w:bidi="ar"/>
        </w:rPr>
        <w:t xml:space="preserve"> </w:t>
      </w:r>
    </w:p>
    <w:p w14:paraId="256343A8">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1.8 资金落实情况: 已落实</w:t>
      </w:r>
      <w:r>
        <w:rPr>
          <w:rFonts w:hint="eastAsia" w:ascii="宋体" w:hAnsi="宋体" w:eastAsia="宋体" w:cs="宋体"/>
          <w:color w:val="auto"/>
          <w:kern w:val="0"/>
          <w:sz w:val="24"/>
          <w:szCs w:val="24"/>
          <w:highlight w:val="none"/>
          <w:lang w:val="en-US" w:eastAsia="zh-CN" w:bidi="ar"/>
        </w:rPr>
        <w:t xml:space="preserve"> </w:t>
      </w:r>
    </w:p>
    <w:p w14:paraId="43398C59">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2. 项目概况与招标范围</w:t>
      </w:r>
      <w:r>
        <w:rPr>
          <w:rFonts w:hint="eastAsia" w:ascii="宋体" w:hAnsi="宋体" w:eastAsia="宋体" w:cs="宋体"/>
          <w:color w:val="auto"/>
          <w:kern w:val="0"/>
          <w:sz w:val="24"/>
          <w:szCs w:val="24"/>
          <w:highlight w:val="none"/>
          <w:lang w:val="en-US" w:eastAsia="zh-CN" w:bidi="ar"/>
        </w:rPr>
        <w:t xml:space="preserve"> </w:t>
      </w:r>
    </w:p>
    <w:p w14:paraId="7D76007A">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2.1 招标项目名称：肥西紫云湖汽车配套产业园项目监理工程</w:t>
      </w:r>
      <w:r>
        <w:rPr>
          <w:rFonts w:hint="eastAsia" w:ascii="宋体" w:hAnsi="宋体" w:eastAsia="宋体" w:cs="宋体"/>
          <w:color w:val="auto"/>
          <w:kern w:val="0"/>
          <w:sz w:val="24"/>
          <w:szCs w:val="24"/>
          <w:highlight w:val="none"/>
          <w:lang w:val="en-US" w:eastAsia="zh-CN" w:bidi="ar"/>
        </w:rPr>
        <w:t xml:space="preserve"> </w:t>
      </w:r>
    </w:p>
    <w:p w14:paraId="1EF976F0">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2.2 招标项目编号：XXXXX</w:t>
      </w:r>
      <w:r>
        <w:rPr>
          <w:rFonts w:hint="eastAsia" w:ascii="宋体" w:hAnsi="宋体" w:eastAsia="宋体" w:cs="宋体"/>
          <w:color w:val="auto"/>
          <w:kern w:val="0"/>
          <w:sz w:val="24"/>
          <w:szCs w:val="24"/>
          <w:highlight w:val="none"/>
          <w:lang w:val="en-US" w:eastAsia="zh-CN" w:bidi="ar"/>
        </w:rPr>
        <w:t xml:space="preserve"> </w:t>
      </w:r>
    </w:p>
    <w:p w14:paraId="6AD6DDD5">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2.3 标段划分：本招标项目共划分1个标段。</w:t>
      </w:r>
      <w:r>
        <w:rPr>
          <w:rFonts w:hint="eastAsia" w:ascii="宋体" w:hAnsi="宋体" w:eastAsia="宋体" w:cs="宋体"/>
          <w:color w:val="auto"/>
          <w:kern w:val="0"/>
          <w:sz w:val="24"/>
          <w:szCs w:val="24"/>
          <w:highlight w:val="none"/>
          <w:lang w:val="en-US" w:eastAsia="zh-CN" w:bidi="ar"/>
        </w:rPr>
        <w:t xml:space="preserve"> </w:t>
      </w:r>
    </w:p>
    <w:p w14:paraId="42C1C328">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2.4 招标项目标段编号：XXXXX </w:t>
      </w:r>
    </w:p>
    <w:p w14:paraId="5D65EF8C">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2.5 建设地点：安徽省合肥市肥西县 </w:t>
      </w:r>
    </w:p>
    <w:p w14:paraId="0C80E7CD">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2.6 建设规模：</w:t>
      </w:r>
      <w:r>
        <w:rPr>
          <w:rFonts w:hint="eastAsia" w:ascii="仿宋" w:hAnsi="仿宋" w:eastAsia="仿宋" w:cs="仿宋"/>
          <w:color w:val="auto"/>
          <w:kern w:val="0"/>
          <w:sz w:val="28"/>
          <w:szCs w:val="28"/>
          <w:highlight w:val="none"/>
          <w:lang w:val="en-US" w:eastAsia="zh-CN" w:bidi="ar"/>
        </w:rPr>
        <w:t>本项目位于肥西县紫蓬山路与迎江寺路交口西北角，总占地面积约168亩，总建筑面积约11.5万平方米。</w:t>
      </w:r>
      <w:r>
        <w:rPr>
          <w:rFonts w:hint="eastAsia" w:ascii="仿宋" w:hAnsi="仿宋" w:eastAsia="仿宋" w:cs="仿宋"/>
          <w:color w:val="auto"/>
          <w:kern w:val="0"/>
          <w:sz w:val="28"/>
          <w:szCs w:val="28"/>
          <w:highlight w:val="none"/>
          <w:lang w:val="en-US" w:eastAsia="zh-CN" w:bidi="ar"/>
        </w:rPr>
        <w:t>主要建设内容包括单层厂房、多层厂房及相关配套设施等。</w:t>
      </w:r>
    </w:p>
    <w:p w14:paraId="70B598DE">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2.7 建筑安装工程费/工程概算投资</w:t>
      </w:r>
      <w:r>
        <w:rPr>
          <w:rFonts w:hint="eastAsia" w:ascii="仿宋" w:hAnsi="仿宋" w:eastAsia="仿宋" w:cs="仿宋"/>
          <w:color w:val="auto"/>
          <w:kern w:val="0"/>
          <w:sz w:val="28"/>
          <w:szCs w:val="28"/>
          <w:highlight w:val="none"/>
          <w:lang w:val="en-US" w:eastAsia="zh-CN" w:bidi="ar"/>
        </w:rPr>
        <w:t>额：4</w:t>
      </w:r>
      <w:r>
        <w:rPr>
          <w:rFonts w:hint="eastAsia" w:ascii="仿宋" w:hAnsi="仿宋" w:eastAsia="仿宋" w:cs="仿宋"/>
          <w:color w:val="auto"/>
          <w:kern w:val="0"/>
          <w:sz w:val="28"/>
          <w:szCs w:val="28"/>
          <w:highlight w:val="none"/>
          <w:lang w:val="en-US" w:eastAsia="zh-CN" w:bidi="ar"/>
        </w:rPr>
        <w:t>0000万元</w:t>
      </w:r>
      <w:r>
        <w:rPr>
          <w:rFonts w:hint="eastAsia" w:ascii="宋体" w:hAnsi="宋体" w:eastAsia="宋体" w:cs="宋体"/>
          <w:color w:val="auto"/>
          <w:kern w:val="0"/>
          <w:sz w:val="24"/>
          <w:szCs w:val="24"/>
          <w:highlight w:val="none"/>
          <w:lang w:val="en-US" w:eastAsia="zh-CN" w:bidi="ar"/>
        </w:rPr>
        <w:t xml:space="preserve"> </w:t>
      </w:r>
    </w:p>
    <w:p w14:paraId="04634EA3">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2.8 监理服务期限: 自监理合同签订之日起至缺陷责任期满止（其中施工工期</w:t>
      </w:r>
      <w:r>
        <w:rPr>
          <w:rFonts w:hint="eastAsia" w:ascii="仿宋" w:hAnsi="仿宋" w:eastAsia="仿宋" w:cs="仿宋"/>
          <w:color w:val="auto"/>
          <w:kern w:val="0"/>
          <w:sz w:val="28"/>
          <w:szCs w:val="28"/>
          <w:highlight w:val="none"/>
          <w:lang w:val="en-US" w:eastAsia="zh-CN" w:bidi="ar"/>
        </w:rPr>
        <w:t>730</w:t>
      </w:r>
      <w:r>
        <w:rPr>
          <w:rFonts w:hint="eastAsia" w:ascii="仿宋" w:hAnsi="仿宋" w:eastAsia="仿宋" w:cs="仿宋"/>
          <w:color w:val="auto"/>
          <w:kern w:val="0"/>
          <w:sz w:val="28"/>
          <w:szCs w:val="28"/>
          <w:highlight w:val="none"/>
          <w:lang w:val="en-US" w:eastAsia="zh-CN" w:bidi="ar"/>
        </w:rPr>
        <w:t>日历天）</w:t>
      </w:r>
      <w:r>
        <w:rPr>
          <w:rFonts w:hint="eastAsia" w:ascii="宋体" w:hAnsi="宋体" w:eastAsia="宋体" w:cs="宋体"/>
          <w:color w:val="auto"/>
          <w:kern w:val="0"/>
          <w:sz w:val="24"/>
          <w:szCs w:val="24"/>
          <w:highlight w:val="none"/>
          <w:lang w:val="en-US" w:eastAsia="zh-CN" w:bidi="ar"/>
        </w:rPr>
        <w:t xml:space="preserve"> </w:t>
      </w:r>
    </w:p>
    <w:p w14:paraId="06D34645">
      <w:pPr>
        <w:keepNext w:val="0"/>
        <w:keepLines w:val="0"/>
        <w:widowControl/>
        <w:suppressLineNumbers w:val="0"/>
        <w:spacing w:before="0" w:beforeAutospacing="0" w:after="0" w:afterAutospacing="0" w:line="560" w:lineRule="exact"/>
        <w:ind w:left="0" w:right="0" w:firstLine="560" w:firstLineChars="200"/>
        <w:jc w:val="left"/>
        <w:rPr>
          <w:rFonts w:hint="default"/>
          <w:color w:val="auto"/>
          <w:highlight w:val="none"/>
          <w:lang w:val="en-US"/>
        </w:rPr>
      </w:pPr>
      <w:r>
        <w:rPr>
          <w:rFonts w:hint="eastAsia" w:ascii="仿宋" w:hAnsi="仿宋" w:eastAsia="仿宋" w:cs="仿宋"/>
          <w:color w:val="auto"/>
          <w:kern w:val="0"/>
          <w:sz w:val="28"/>
          <w:szCs w:val="28"/>
          <w:highlight w:val="none"/>
          <w:lang w:val="en-US" w:eastAsia="zh-CN" w:bidi="ar"/>
        </w:rPr>
        <w:t>2.9 招标范围：</w:t>
      </w:r>
      <w:r>
        <w:rPr>
          <w:rFonts w:hint="eastAsia" w:ascii="宋体" w:hAnsi="宋体" w:eastAsia="宋体" w:cs="宋体"/>
          <w:color w:val="auto"/>
          <w:kern w:val="0"/>
          <w:sz w:val="24"/>
          <w:szCs w:val="24"/>
          <w:highlight w:val="none"/>
          <w:lang w:val="en-US" w:eastAsia="zh-CN" w:bidi="ar"/>
        </w:rPr>
        <w:t xml:space="preserve"> </w:t>
      </w:r>
      <w:r>
        <w:rPr>
          <w:rFonts w:hint="eastAsia" w:ascii="仿宋" w:hAnsi="仿宋" w:eastAsia="仿宋" w:cs="仿宋"/>
          <w:color w:val="auto"/>
          <w:kern w:val="0"/>
          <w:sz w:val="28"/>
          <w:szCs w:val="28"/>
          <w:highlight w:val="none"/>
          <w:lang w:val="en-US" w:eastAsia="zh-CN" w:bidi="ar"/>
        </w:rPr>
        <w:t>项目位于肥西县紫蓬山路与迎江寺路交口西北角，总占地面积约168亩，总建筑面积约11.5万平方米，主要建设内容包括单层厂房、多层厂房及相关配套设施等。本次招标为监理服务。</w:t>
      </w:r>
    </w:p>
    <w:p w14:paraId="371B0871">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2.10 项目类别：工程服务</w:t>
      </w:r>
      <w:r>
        <w:rPr>
          <w:rFonts w:hint="eastAsia" w:ascii="宋体" w:hAnsi="宋体" w:eastAsia="宋体" w:cs="宋体"/>
          <w:color w:val="auto"/>
          <w:kern w:val="0"/>
          <w:sz w:val="24"/>
          <w:szCs w:val="24"/>
          <w:highlight w:val="none"/>
          <w:lang w:val="en-US" w:eastAsia="zh-CN" w:bidi="ar"/>
        </w:rPr>
        <w:t xml:space="preserve"> </w:t>
      </w:r>
    </w:p>
    <w:p w14:paraId="2D4B1119">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2.11 质量标准：合格</w:t>
      </w:r>
      <w:r>
        <w:rPr>
          <w:rFonts w:hint="eastAsia" w:ascii="宋体" w:hAnsi="宋体" w:eastAsia="宋体" w:cs="宋体"/>
          <w:color w:val="auto"/>
          <w:kern w:val="0"/>
          <w:sz w:val="24"/>
          <w:szCs w:val="24"/>
          <w:highlight w:val="none"/>
          <w:lang w:val="en-US" w:eastAsia="zh-CN" w:bidi="ar"/>
        </w:rPr>
        <w:t xml:space="preserve"> </w:t>
      </w:r>
    </w:p>
    <w:p w14:paraId="22266D16">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2.12 合同估算价：318万元</w:t>
      </w:r>
      <w:r>
        <w:rPr>
          <w:rFonts w:hint="eastAsia" w:ascii="宋体" w:hAnsi="宋体" w:eastAsia="宋体" w:cs="宋体"/>
          <w:color w:val="auto"/>
          <w:kern w:val="0"/>
          <w:sz w:val="24"/>
          <w:szCs w:val="24"/>
          <w:highlight w:val="none"/>
          <w:lang w:val="en-US" w:eastAsia="zh-CN" w:bidi="ar"/>
        </w:rPr>
        <w:t xml:space="preserve"> </w:t>
      </w:r>
    </w:p>
    <w:p w14:paraId="3DFC2B62">
      <w:pPr>
        <w:keepNext w:val="0"/>
        <w:keepLines w:val="0"/>
        <w:widowControl/>
        <w:suppressLineNumbers w:val="0"/>
        <w:spacing w:before="0" w:beforeAutospacing="0" w:after="0" w:afterAutospacing="0" w:line="560" w:lineRule="exact"/>
        <w:ind w:left="0" w:right="0" w:firstLine="560" w:firstLineChars="200"/>
        <w:jc w:val="left"/>
        <w:rPr>
          <w:rFonts w:hint="default"/>
          <w:color w:val="auto"/>
          <w:highlight w:val="none"/>
          <w:lang w:val="en-US"/>
        </w:rPr>
      </w:pPr>
      <w:r>
        <w:rPr>
          <w:rFonts w:hint="eastAsia" w:ascii="仿宋" w:hAnsi="仿宋" w:eastAsia="仿宋" w:cs="仿宋"/>
          <w:color w:val="auto"/>
          <w:kern w:val="0"/>
          <w:sz w:val="28"/>
          <w:szCs w:val="28"/>
          <w:highlight w:val="none"/>
          <w:lang w:val="en-US" w:eastAsia="zh-CN" w:bidi="ar"/>
        </w:rPr>
        <w:t>2.13 其他: /</w:t>
      </w:r>
    </w:p>
    <w:p w14:paraId="009A34B1">
      <w:pPr>
        <w:keepNext w:val="0"/>
        <w:keepLines w:val="0"/>
        <w:widowControl/>
        <w:suppressLineNumbers w:val="0"/>
        <w:spacing w:before="0" w:beforeAutospacing="0" w:after="0" w:afterAutospacing="0" w:line="560" w:lineRule="exact"/>
        <w:ind w:left="0" w:right="0" w:firstLine="0" w:firstLineChars="0"/>
        <w:jc w:val="left"/>
        <w:outlineLvl w:val="0"/>
        <w:rPr>
          <w:rFonts w:hint="eastAsia" w:ascii="黑体" w:hAnsi="宋体" w:eastAsia="黑体" w:cs="黑体"/>
          <w:color w:val="auto"/>
          <w:kern w:val="0"/>
          <w:sz w:val="28"/>
          <w:szCs w:val="28"/>
          <w:highlight w:val="none"/>
          <w:lang w:val="en-US" w:eastAsia="zh-CN" w:bidi="ar"/>
        </w:rPr>
      </w:pPr>
      <w:r>
        <w:rPr>
          <w:rFonts w:hint="eastAsia" w:ascii="黑体" w:hAnsi="宋体" w:eastAsia="黑体" w:cs="黑体"/>
          <w:color w:val="auto"/>
          <w:kern w:val="0"/>
          <w:sz w:val="28"/>
          <w:szCs w:val="28"/>
          <w:highlight w:val="none"/>
          <w:lang w:val="en-US" w:eastAsia="zh-CN" w:bidi="ar"/>
        </w:rPr>
        <w:t xml:space="preserve">3. 投标人资格要求 </w:t>
      </w:r>
    </w:p>
    <w:p w14:paraId="0D3F5DF3">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3.1 投标人应依法设立并具备承担本招标项目的如下条件：</w:t>
      </w:r>
    </w:p>
    <w:p w14:paraId="04DA8A9B">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3.1.1 投标人资质要求：具备有效的住建部门颁发的房屋建筑工程专业监理乙级及以上资质或工程监理综合资质。</w:t>
      </w:r>
    </w:p>
    <w:p w14:paraId="5F1D9FB3">
      <w:pPr>
        <w:keepNext w:val="0"/>
        <w:keepLines w:val="0"/>
        <w:widowControl/>
        <w:suppressLineNumbers w:val="0"/>
        <w:spacing w:before="0" w:beforeAutospacing="0" w:after="0" w:afterAutospacing="0" w:line="560" w:lineRule="exact"/>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3.1.2 总监理工程师要求：具备房屋建筑工程专业国家注册监理工程师执业资格。</w:t>
      </w:r>
    </w:p>
    <w:p w14:paraId="5D8E639E">
      <w:pPr>
        <w:keepNext w:val="0"/>
        <w:keepLines w:val="0"/>
        <w:widowControl w:val="0"/>
        <w:suppressLineNumbers w:val="0"/>
        <w:spacing w:before="0" w:beforeAutospacing="0" w:after="0" w:afterAutospacing="0" w:line="560" w:lineRule="exact"/>
        <w:ind w:left="0" w:right="0" w:firstLine="480"/>
        <w:jc w:val="left"/>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3.1.3 </w:t>
      </w:r>
      <w:r>
        <w:rPr>
          <w:rFonts w:hint="eastAsia" w:ascii="仿宋" w:hAnsi="仿宋" w:eastAsia="仿宋" w:cs="仿宋"/>
          <w:b w:val="0"/>
          <w:bCs w:val="0"/>
          <w:color w:val="auto"/>
          <w:kern w:val="2"/>
          <w:sz w:val="28"/>
          <w:szCs w:val="28"/>
          <w:highlight w:val="none"/>
          <w:lang w:val="en-US" w:eastAsia="zh-CN" w:bidi="ar"/>
        </w:rPr>
        <w:t>投标人业绩要求：满足下列情况之一：</w:t>
      </w:r>
    </w:p>
    <w:p w14:paraId="5B8E06F8">
      <w:pPr>
        <w:keepNext w:val="0"/>
        <w:keepLines w:val="0"/>
        <w:widowControl w:val="0"/>
        <w:suppressLineNumbers w:val="0"/>
        <w:spacing w:before="0" w:beforeAutospacing="0" w:after="0" w:afterAutospacing="0" w:line="560" w:lineRule="exact"/>
        <w:ind w:left="0" w:right="0" w:firstLine="480"/>
        <w:jc w:val="left"/>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  ①自2020年1月1日以来（</w:t>
      </w:r>
      <w:r>
        <w:rPr>
          <w:rFonts w:hint="eastAsia" w:ascii="仿宋" w:hAnsi="仿宋" w:eastAsia="仿宋" w:cs="仿宋"/>
          <w:color w:val="000000"/>
          <w:kern w:val="0"/>
          <w:sz w:val="28"/>
          <w:szCs w:val="28"/>
          <w:highlight w:val="none"/>
          <w:lang w:val="en-US" w:eastAsia="zh-CN" w:bidi="ar"/>
        </w:rPr>
        <w:t>以合同签订时间为准</w:t>
      </w:r>
      <w:r>
        <w:rPr>
          <w:rFonts w:hint="eastAsia" w:ascii="仿宋" w:hAnsi="仿宋" w:eastAsia="仿宋" w:cs="仿宋"/>
          <w:b w:val="0"/>
          <w:bCs w:val="0"/>
          <w:color w:val="auto"/>
          <w:kern w:val="2"/>
          <w:sz w:val="28"/>
          <w:szCs w:val="28"/>
          <w:highlight w:val="none"/>
          <w:lang w:val="en-US" w:eastAsia="zh-CN" w:bidi="ar"/>
        </w:rPr>
        <w:t>），投标人具备单个合同中工程总投资额不低于2.5</w:t>
      </w:r>
      <w:r>
        <w:rPr>
          <w:rFonts w:hint="eastAsia" w:ascii="仿宋" w:hAnsi="仿宋" w:eastAsia="仿宋" w:cs="仿宋"/>
          <w:b w:val="0"/>
          <w:bCs w:val="0"/>
          <w:color w:val="auto"/>
          <w:kern w:val="2"/>
          <w:sz w:val="28"/>
          <w:szCs w:val="28"/>
          <w:highlight w:val="none"/>
          <w:lang w:val="en-US" w:eastAsia="zh-CN" w:bidi="ar"/>
        </w:rPr>
        <w:t>亿</w:t>
      </w:r>
      <w:r>
        <w:rPr>
          <w:rFonts w:hint="eastAsia" w:ascii="仿宋" w:hAnsi="仿宋" w:eastAsia="仿宋" w:cs="仿宋"/>
          <w:b w:val="0"/>
          <w:bCs w:val="0"/>
          <w:color w:val="auto"/>
          <w:kern w:val="2"/>
          <w:sz w:val="28"/>
          <w:szCs w:val="28"/>
          <w:highlight w:val="none"/>
          <w:lang w:val="en-US" w:eastAsia="zh-CN" w:bidi="ar"/>
        </w:rPr>
        <w:t>元的建筑工程监理业绩。</w:t>
      </w:r>
    </w:p>
    <w:p w14:paraId="12668BBE">
      <w:pPr>
        <w:keepNext w:val="0"/>
        <w:keepLines w:val="0"/>
        <w:widowControl w:val="0"/>
        <w:suppressLineNumbers w:val="0"/>
        <w:spacing w:before="0" w:beforeAutospacing="0" w:after="0" w:afterAutospacing="0" w:line="560" w:lineRule="exact"/>
        <w:ind w:left="0" w:right="0" w:firstLine="480"/>
        <w:jc w:val="left"/>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  ②自2020年1月1日以来（</w:t>
      </w:r>
      <w:r>
        <w:rPr>
          <w:rFonts w:hint="eastAsia" w:ascii="仿宋" w:hAnsi="仿宋" w:eastAsia="仿宋" w:cs="仿宋"/>
          <w:color w:val="000000"/>
          <w:kern w:val="0"/>
          <w:sz w:val="28"/>
          <w:szCs w:val="28"/>
          <w:highlight w:val="none"/>
          <w:lang w:val="en-US" w:eastAsia="zh-CN" w:bidi="ar"/>
        </w:rPr>
        <w:t>以合同签订时间为准</w:t>
      </w:r>
      <w:r>
        <w:rPr>
          <w:rFonts w:hint="eastAsia" w:ascii="仿宋" w:hAnsi="仿宋" w:eastAsia="仿宋" w:cs="仿宋"/>
          <w:b w:val="0"/>
          <w:bCs w:val="0"/>
          <w:color w:val="auto"/>
          <w:kern w:val="2"/>
          <w:sz w:val="28"/>
          <w:szCs w:val="28"/>
          <w:highlight w:val="none"/>
          <w:lang w:val="en-US" w:eastAsia="zh-CN" w:bidi="ar"/>
        </w:rPr>
        <w:t>），投标人具备单个合同中总建筑面积不少于8</w:t>
      </w:r>
      <w:r>
        <w:rPr>
          <w:rFonts w:hint="eastAsia" w:ascii="仿宋" w:hAnsi="仿宋" w:eastAsia="仿宋" w:cs="仿宋"/>
          <w:b w:val="0"/>
          <w:bCs w:val="0"/>
          <w:color w:val="auto"/>
          <w:kern w:val="2"/>
          <w:sz w:val="28"/>
          <w:szCs w:val="28"/>
          <w:highlight w:val="none"/>
          <w:lang w:val="en-US" w:eastAsia="zh-CN" w:bidi="ar"/>
        </w:rPr>
        <w:t>万</w:t>
      </w:r>
      <w:r>
        <w:rPr>
          <w:rFonts w:hint="eastAsia" w:ascii="仿宋" w:hAnsi="仿宋" w:eastAsia="仿宋" w:cs="仿宋"/>
          <w:b w:val="0"/>
          <w:bCs w:val="0"/>
          <w:color w:val="auto"/>
          <w:kern w:val="2"/>
          <w:sz w:val="28"/>
          <w:szCs w:val="28"/>
          <w:highlight w:val="none"/>
          <w:lang w:val="en-US" w:eastAsia="zh-CN" w:bidi="ar"/>
        </w:rPr>
        <w:t>平方米的建筑工程监理业绩。</w:t>
      </w:r>
    </w:p>
    <w:p w14:paraId="3DF7C777">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3.1.4 总监理工程师业绩要求：</w:t>
      </w:r>
      <w:r>
        <w:rPr>
          <w:rFonts w:hint="eastAsia" w:ascii="仿宋" w:hAnsi="仿宋" w:eastAsia="仿宋" w:cs="仿宋"/>
          <w:color w:val="auto"/>
          <w:kern w:val="0"/>
          <w:sz w:val="28"/>
          <w:szCs w:val="28"/>
          <w:highlight w:val="none"/>
          <w:lang w:val="en-US" w:eastAsia="zh-CN" w:bidi="ar"/>
        </w:rPr>
        <w:t>不要求</w:t>
      </w:r>
      <w:r>
        <w:rPr>
          <w:rFonts w:hint="eastAsia" w:ascii="仿宋" w:hAnsi="仿宋" w:eastAsia="仿宋" w:cs="仿宋"/>
          <w:color w:val="auto"/>
          <w:kern w:val="2"/>
          <w:sz w:val="28"/>
          <w:szCs w:val="28"/>
          <w:highlight w:val="none"/>
          <w:lang w:val="en-US" w:eastAsia="zh-CN" w:bidi="ar"/>
        </w:rPr>
        <w:t>。</w:t>
      </w:r>
    </w:p>
    <w:p w14:paraId="6BDA77AB">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3.1.5 信誉要求：投标人未被合肥市及其所辖县（市）、区（开发区）公共资源交易监督管理部门记不良行为记录的；或被记不良行为记录（以公布日期为准），但同时符合下列情形的：</w:t>
      </w:r>
    </w:p>
    <w:p w14:paraId="2E9324E0">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（1）开标日前（含当日）6个月内记分累计未满10分的；</w:t>
      </w:r>
    </w:p>
    <w:p w14:paraId="3A9C197D">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（2）开标日前（含当日）12个月内记分累计未满15分的；</w:t>
      </w:r>
    </w:p>
    <w:p w14:paraId="502AD213">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（3）开标日前（含当日）18个月内记分累计未满20分的；</w:t>
      </w:r>
    </w:p>
    <w:p w14:paraId="5D59A22E">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（4）开标日前（含当日）24个月内记分累计未满25分的。</w:t>
      </w:r>
    </w:p>
    <w:p w14:paraId="0C912323">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3.1.6 本招标项目</w:t>
      </w:r>
      <w:r>
        <w:rPr>
          <w:rFonts w:hint="eastAsia" w:ascii="仿宋" w:hAnsi="仿宋" w:eastAsia="仿宋" w:cs="仿宋"/>
          <w:b w:val="0"/>
          <w:bCs w:val="0"/>
          <w:color w:val="auto"/>
          <w:kern w:val="2"/>
          <w:sz w:val="28"/>
          <w:szCs w:val="28"/>
          <w:highlight w:val="none"/>
          <w:lang w:val="en-US" w:eastAsia="zh-CN" w:bidi="ar"/>
        </w:rPr>
        <w:t>不接受</w:t>
      </w:r>
      <w:r>
        <w:rPr>
          <w:rFonts w:hint="eastAsia" w:ascii="仿宋" w:hAnsi="仿宋" w:eastAsia="仿宋" w:cs="仿宋"/>
          <w:color w:val="auto"/>
          <w:kern w:val="2"/>
          <w:sz w:val="28"/>
          <w:szCs w:val="28"/>
          <w:highlight w:val="none"/>
          <w:lang w:val="en-US" w:eastAsia="zh-CN" w:bidi="ar"/>
        </w:rPr>
        <w:t>联合体投标。</w:t>
      </w:r>
    </w:p>
    <w:p w14:paraId="2270592D">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3.2  投标人不得存在招标文件第二章投标人须知第1.4.3项、第1.4.4项规定的情形。</w:t>
      </w:r>
    </w:p>
    <w:p w14:paraId="5424B1B4">
      <w:pPr>
        <w:keepNext w:val="0"/>
        <w:keepLines w:val="0"/>
        <w:widowControl w:val="0"/>
        <w:suppressLineNumbers w:val="0"/>
        <w:spacing w:before="0" w:beforeAutospacing="0" w:after="0" w:afterAutospacing="0" w:line="560" w:lineRule="exact"/>
        <w:ind w:left="0" w:right="0" w:firstLine="480"/>
        <w:jc w:val="left"/>
        <w:rPr>
          <w:color w:val="auto"/>
          <w:highlight w:val="none"/>
        </w:rPr>
      </w:pPr>
      <w:r>
        <w:rPr>
          <w:rFonts w:hint="eastAsia" w:ascii="仿宋" w:hAnsi="仿宋" w:eastAsia="仿宋" w:cs="仿宋"/>
          <w:color w:val="auto"/>
          <w:kern w:val="2"/>
          <w:sz w:val="28"/>
          <w:szCs w:val="28"/>
          <w:highlight w:val="none"/>
          <w:lang w:val="en-US" w:eastAsia="zh-CN" w:bidi="ar"/>
        </w:rPr>
        <w:t>3.3 其他要求：无</w:t>
      </w:r>
    </w:p>
    <w:p w14:paraId="57BB2BAD">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4. 招标文件的获取</w:t>
      </w:r>
      <w:r>
        <w:rPr>
          <w:rFonts w:hint="eastAsia" w:ascii="宋体" w:hAnsi="宋体" w:eastAsia="宋体" w:cs="宋体"/>
          <w:color w:val="auto"/>
          <w:kern w:val="0"/>
          <w:sz w:val="24"/>
          <w:szCs w:val="24"/>
          <w:highlight w:val="none"/>
          <w:lang w:val="en-US" w:eastAsia="zh-CN" w:bidi="ar"/>
        </w:rPr>
        <w:t xml:space="preserve"> </w:t>
      </w:r>
    </w:p>
    <w:p w14:paraId="4D023625">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4.1 获取时间：2025</w:t>
      </w:r>
      <w:r>
        <w:rPr>
          <w:rFonts w:hint="eastAsia" w:ascii="仿宋" w:hAnsi="仿宋" w:eastAsia="仿宋" w:cs="仿宋"/>
          <w:color w:val="auto"/>
          <w:kern w:val="0"/>
          <w:sz w:val="28"/>
          <w:szCs w:val="28"/>
          <w:highlight w:val="none"/>
          <w:lang w:val="en-US" w:eastAsia="zh-CN" w:bidi="ar"/>
        </w:rPr>
        <w:t>年  月  日</w:t>
      </w:r>
      <w:r>
        <w:rPr>
          <w:rFonts w:hint="eastAsia" w:ascii="仿宋" w:hAnsi="仿宋" w:eastAsia="仿宋" w:cs="仿宋"/>
          <w:color w:val="auto"/>
          <w:kern w:val="0"/>
          <w:sz w:val="28"/>
          <w:szCs w:val="28"/>
          <w:highlight w:val="none"/>
          <w:lang w:val="en-US" w:eastAsia="zh-CN" w:bidi="ar"/>
        </w:rPr>
        <w:t xml:space="preserve"> 至 投标截止时间。</w:t>
      </w:r>
      <w:r>
        <w:rPr>
          <w:rFonts w:hint="eastAsia" w:ascii="宋体" w:hAnsi="宋体" w:eastAsia="宋体" w:cs="宋体"/>
          <w:color w:val="auto"/>
          <w:kern w:val="0"/>
          <w:sz w:val="24"/>
          <w:szCs w:val="24"/>
          <w:highlight w:val="none"/>
          <w:lang w:val="en-US" w:eastAsia="zh-CN" w:bidi="ar"/>
        </w:rPr>
        <w:t xml:space="preserve"> </w:t>
      </w:r>
    </w:p>
    <w:p w14:paraId="6A53572D">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4.2 获取方式：</w:t>
      </w:r>
      <w:r>
        <w:rPr>
          <w:rFonts w:hint="eastAsia" w:ascii="宋体" w:hAnsi="宋体" w:eastAsia="宋体" w:cs="宋体"/>
          <w:color w:val="auto"/>
          <w:kern w:val="0"/>
          <w:sz w:val="24"/>
          <w:szCs w:val="24"/>
          <w:highlight w:val="none"/>
          <w:lang w:val="en-US" w:eastAsia="zh-CN" w:bidi="ar"/>
        </w:rPr>
        <w:t xml:space="preserve"> </w:t>
      </w:r>
    </w:p>
    <w:p w14:paraId="2C8365E7">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 （1）本招标项目实行全流程电子化交易。</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8"/>
          <w:szCs w:val="28"/>
          <w:highlight w:val="none"/>
          <w:lang w:val="en-US" w:eastAsia="zh-CN" w:bidi="ar"/>
        </w:rPr>
        <w:t>     （2）潜在投标人可登录安徽合肥公共资源交易电子服务系统（以下简称“电子服务系统”）查阅招标文件，如参与投标，则须在本条第4.1款规定的招标文件获取时间内通过安徽合肥公共资源交易中心电子交易系统获取招标文件。</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8"/>
          <w:szCs w:val="28"/>
          <w:highlight w:val="none"/>
          <w:lang w:val="en-US" w:eastAsia="zh-CN" w:bidi="ar"/>
        </w:rPr>
        <w:t>     （3）招标文件获取过程中有任何疑问，请在工作时间（9：00-17：30，节假日休息）拨打技术支持热线（非项目咨询）：0512-58188516。项目咨询请拨打电话：0551-68825056。</w:t>
      </w:r>
    </w:p>
    <w:p w14:paraId="0223F40A">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4.3 招标文件价格：每套人民币0元。</w:t>
      </w:r>
      <w:r>
        <w:rPr>
          <w:rFonts w:hint="eastAsia" w:ascii="宋体" w:hAnsi="宋体" w:eastAsia="宋体" w:cs="宋体"/>
          <w:color w:val="auto"/>
          <w:kern w:val="0"/>
          <w:sz w:val="24"/>
          <w:szCs w:val="24"/>
          <w:highlight w:val="none"/>
          <w:lang w:val="en-US" w:eastAsia="zh-CN" w:bidi="ar"/>
        </w:rPr>
        <w:t xml:space="preserve"> </w:t>
      </w:r>
    </w:p>
    <w:p w14:paraId="0513D84C">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5. 投标文件的递交</w:t>
      </w:r>
      <w:r>
        <w:rPr>
          <w:rFonts w:hint="eastAsia" w:ascii="宋体" w:hAnsi="宋体" w:eastAsia="宋体" w:cs="宋体"/>
          <w:color w:val="auto"/>
          <w:kern w:val="0"/>
          <w:sz w:val="24"/>
          <w:szCs w:val="24"/>
          <w:highlight w:val="none"/>
          <w:lang w:val="en-US" w:eastAsia="zh-CN" w:bidi="ar"/>
        </w:rPr>
        <w:t xml:space="preserve"> </w:t>
      </w:r>
    </w:p>
    <w:p w14:paraId="7F98030E">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投标文件递交的截止时间（投标截止时间，下同）为2025年</w:t>
      </w:r>
      <w:r>
        <w:rPr>
          <w:rFonts w:hint="eastAsia" w:ascii="仿宋" w:hAnsi="仿宋" w:eastAsia="仿宋" w:cs="仿宋"/>
          <w:color w:val="auto"/>
          <w:kern w:val="0"/>
          <w:sz w:val="28"/>
          <w:szCs w:val="28"/>
          <w:highlight w:val="none"/>
          <w:lang w:val="en-US" w:eastAsia="zh-CN" w:bidi="ar"/>
        </w:rPr>
        <w:t xml:space="preserve"> 月 日</w:t>
      </w:r>
      <w:r>
        <w:rPr>
          <w:rFonts w:hint="eastAsia" w:ascii="仿宋" w:hAnsi="仿宋" w:eastAsia="仿宋" w:cs="仿宋"/>
          <w:color w:val="auto"/>
          <w:kern w:val="0"/>
          <w:sz w:val="28"/>
          <w:szCs w:val="28"/>
          <w:highlight w:val="none"/>
          <w:lang w:val="en-US" w:eastAsia="zh-CN" w:bidi="ar"/>
        </w:rPr>
        <w:t>10时00分，投标人应在截止时间前通过安徽合肥公共资源交易中心电子交易系统递交电子投标文件。</w:t>
      </w:r>
      <w:r>
        <w:rPr>
          <w:rFonts w:hint="eastAsia" w:ascii="宋体" w:hAnsi="宋体" w:eastAsia="宋体" w:cs="宋体"/>
          <w:color w:val="auto"/>
          <w:kern w:val="0"/>
          <w:sz w:val="24"/>
          <w:szCs w:val="24"/>
          <w:highlight w:val="none"/>
          <w:lang w:val="en-US" w:eastAsia="zh-CN" w:bidi="ar"/>
        </w:rPr>
        <w:t xml:space="preserve"> </w:t>
      </w:r>
    </w:p>
    <w:p w14:paraId="061E70C6">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6. 资格审查方式</w:t>
      </w:r>
      <w:r>
        <w:rPr>
          <w:rFonts w:hint="eastAsia" w:ascii="宋体" w:hAnsi="宋体" w:eastAsia="宋体" w:cs="宋体"/>
          <w:color w:val="auto"/>
          <w:kern w:val="0"/>
          <w:sz w:val="24"/>
          <w:szCs w:val="24"/>
          <w:highlight w:val="none"/>
          <w:lang w:val="en-US" w:eastAsia="zh-CN" w:bidi="ar"/>
        </w:rPr>
        <w:t xml:space="preserve"> </w:t>
      </w:r>
    </w:p>
    <w:p w14:paraId="6141D455">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本项目采用资格后审方式进行资格审查。</w:t>
      </w:r>
      <w:r>
        <w:rPr>
          <w:rFonts w:hint="eastAsia" w:ascii="宋体" w:hAnsi="宋体" w:eastAsia="宋体" w:cs="宋体"/>
          <w:color w:val="auto"/>
          <w:kern w:val="0"/>
          <w:sz w:val="24"/>
          <w:szCs w:val="24"/>
          <w:highlight w:val="none"/>
          <w:lang w:val="en-US" w:eastAsia="zh-CN" w:bidi="ar"/>
        </w:rPr>
        <w:t xml:space="preserve"> </w:t>
      </w:r>
    </w:p>
    <w:p w14:paraId="139A993E">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7. 评标办法</w:t>
      </w:r>
    </w:p>
    <w:p w14:paraId="15EC5B79">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本招标项目评标办法采用综合评估法（一次平均）。（见招标文件第三章“评标办法”） </w:t>
      </w:r>
    </w:p>
    <w:p w14:paraId="4F94AB8B">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8. 开标时间及地点</w:t>
      </w:r>
      <w:r>
        <w:rPr>
          <w:rFonts w:hint="eastAsia" w:ascii="宋体" w:hAnsi="宋体" w:eastAsia="宋体" w:cs="宋体"/>
          <w:color w:val="auto"/>
          <w:kern w:val="0"/>
          <w:sz w:val="24"/>
          <w:szCs w:val="24"/>
          <w:highlight w:val="none"/>
          <w:lang w:val="en-US" w:eastAsia="zh-CN" w:bidi="ar"/>
        </w:rPr>
        <w:t xml:space="preserve"> </w:t>
      </w:r>
    </w:p>
    <w:p w14:paraId="4B2315BD">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8.1 开标时间：2025年</w:t>
      </w:r>
      <w:r>
        <w:rPr>
          <w:rFonts w:hint="eastAsia" w:ascii="仿宋" w:hAnsi="仿宋" w:eastAsia="仿宋" w:cs="仿宋"/>
          <w:color w:val="auto"/>
          <w:kern w:val="0"/>
          <w:sz w:val="28"/>
          <w:szCs w:val="28"/>
          <w:highlight w:val="none"/>
          <w:lang w:val="en-US" w:eastAsia="zh-CN" w:bidi="ar"/>
        </w:rPr>
        <w:t xml:space="preserve">  月  日</w:t>
      </w:r>
      <w:r>
        <w:rPr>
          <w:rFonts w:hint="eastAsia" w:ascii="仿宋" w:hAnsi="仿宋" w:eastAsia="仿宋" w:cs="仿宋"/>
          <w:color w:val="auto"/>
          <w:kern w:val="0"/>
          <w:sz w:val="28"/>
          <w:szCs w:val="28"/>
          <w:highlight w:val="none"/>
          <w:lang w:val="en-US" w:eastAsia="zh-CN" w:bidi="ar"/>
        </w:rPr>
        <w:t>10时00分</w:t>
      </w:r>
      <w:r>
        <w:rPr>
          <w:rFonts w:hint="eastAsia" w:ascii="宋体" w:hAnsi="宋体" w:eastAsia="宋体" w:cs="宋体"/>
          <w:color w:val="auto"/>
          <w:kern w:val="0"/>
          <w:sz w:val="24"/>
          <w:szCs w:val="24"/>
          <w:highlight w:val="none"/>
          <w:lang w:val="en-US" w:eastAsia="zh-CN" w:bidi="ar"/>
        </w:rPr>
        <w:t xml:space="preserve"> </w:t>
      </w:r>
    </w:p>
    <w:p w14:paraId="3AB7482F">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8.2 开标地点：</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val="en-US" w:eastAsia="zh-CN" w:bidi="ar"/>
        </w:rPr>
        <mc:AlternateContent>
          <mc:Choice Requires="wps">
            <w:drawing>
              <wp:inline distT="0" distB="0" distL="114300" distR="114300">
                <wp:extent cx="635" cy="0"/>
                <wp:effectExtent l="0" t="4445" r="0" b="508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MFQoPr/AQAAGAQAAA4AAAAAAAAAAQAgAAAAHQEAAGRycy9lMm9Eb2MueG1s&#10;UEsFBgAAAAAGAAYAWQEAAI4FAAAAAA==&#10;">
                <v:fill on="f" focussize="0,0"/>
                <v:stroke color="#000000" joinstyle="miter"/>
                <v:imagedata o:title=""/>
                <o:lock v:ext="edit" aspectratio="t"/>
                <w10:wrap type="none"/>
                <w10:anchorlock/>
              </v:rect>
            </w:pict>
          </mc:Fallback>
        </mc:AlternateContent>
      </w:r>
      <w:r>
        <w:rPr>
          <w:rFonts w:hint="eastAsia" w:ascii="仿宋" w:hAnsi="仿宋" w:eastAsia="仿宋" w:cs="仿宋"/>
          <w:color w:val="auto"/>
          <w:kern w:val="0"/>
          <w:sz w:val="28"/>
          <w:szCs w:val="28"/>
          <w:highlight w:val="none"/>
          <w:lang w:val="en-US" w:eastAsia="zh-CN" w:bidi="ar"/>
        </w:rPr>
        <w:t>肥西县上派镇紫石路与佛光路交叉口肥光办公区3号楼2楼</w:t>
      </w:r>
      <w:r>
        <w:rPr>
          <w:rFonts w:hint="eastAsia" w:ascii="仿宋" w:hAnsi="仿宋" w:eastAsia="仿宋" w:cs="仿宋"/>
          <w:color w:val="auto"/>
          <w:kern w:val="0"/>
          <w:sz w:val="28"/>
          <w:szCs w:val="28"/>
          <w:highlight w:val="none"/>
          <w:lang w:val="en-US" w:eastAsia="zh-CN" w:bidi="ar"/>
        </w:rPr>
        <w:t xml:space="preserve"> 号</w:t>
      </w:r>
      <w:r>
        <w:rPr>
          <w:rFonts w:hint="eastAsia" w:ascii="仿宋" w:hAnsi="仿宋" w:eastAsia="仿宋" w:cs="仿宋"/>
          <w:color w:val="auto"/>
          <w:kern w:val="0"/>
          <w:sz w:val="28"/>
          <w:szCs w:val="28"/>
          <w:highlight w:val="none"/>
          <w:lang w:val="en-US" w:eastAsia="zh-CN" w:bidi="ar"/>
        </w:rPr>
        <w:t>开标室</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8"/>
          <w:szCs w:val="28"/>
          <w:highlight w:val="none"/>
          <w:lang w:val="en-US" w:eastAsia="zh-CN" w:bidi="ar"/>
        </w:rPr>
        <w:t>     </w:t>
      </w:r>
      <w:r>
        <w:rPr>
          <w:rFonts w:hint="eastAsia" w:ascii="仿宋" w:hAnsi="仿宋" w:eastAsia="仿宋" w:cs="仿宋"/>
          <w:color w:val="auto"/>
          <w:kern w:val="0"/>
          <w:sz w:val="28"/>
          <w:szCs w:val="28"/>
          <w:highlight w:val="none"/>
          <w:lang w:val="en-US" w:eastAsia="zh-CN" w:bidi="ar"/>
        </w:rPr>
        <mc:AlternateContent>
          <mc:Choice Requires="wps">
            <w:drawing>
              <wp:inline distT="0" distB="0" distL="114300" distR="114300">
                <wp:extent cx="635" cy="0"/>
                <wp:effectExtent l="0" t="4445" r="0" b="508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EqW55X/AQAAGAQAAA4AAAAAAAAAAQAgAAAAHQEAAGRycy9lMm9Eb2MueG1s&#10;UEsFBgAAAAAGAAYAWQEAAI4FAAAAAA==&#10;">
                <v:fill on="f" focussize="0,0"/>
                <v:stroke color="#000000" joinstyle="miter"/>
                <v:imagedata o:title=""/>
                <o:lock v:ext="edit" aspectratio="t"/>
                <w10:wrap type="none"/>
                <w10:anchorlock/>
              </v:rect>
            </w:pict>
          </mc:Fallback>
        </mc:AlternateContent>
      </w:r>
      <w:r>
        <w:rPr>
          <w:rFonts w:hint="eastAsia" w:ascii="仿宋" w:hAnsi="仿宋" w:eastAsia="仿宋" w:cs="仿宋"/>
          <w:color w:val="auto"/>
          <w:kern w:val="0"/>
          <w:sz w:val="28"/>
          <w:szCs w:val="28"/>
          <w:highlight w:val="none"/>
          <w:lang w:val="en-US" w:eastAsia="zh-CN" w:bidi="ar"/>
        </w:rPr>
        <w:t xml:space="preserve"> 本招标项目采用“</w:t>
      </w:r>
      <w:r>
        <w:rPr>
          <w:rFonts w:hint="eastAsia" w:ascii="仿宋" w:hAnsi="仿宋" w:eastAsia="仿宋" w:cs="仿宋"/>
          <w:color w:val="auto"/>
          <w:kern w:val="0"/>
          <w:sz w:val="28"/>
          <w:szCs w:val="28"/>
          <w:highlight w:val="none"/>
          <w:lang w:val="en-US" w:eastAsia="zh-CN" w:bidi="ar"/>
        </w:rPr>
        <w:t>不见面云上开标大厅</w:t>
      </w:r>
      <w:r>
        <w:rPr>
          <w:rFonts w:hint="eastAsia" w:ascii="仿宋" w:hAnsi="仿宋" w:eastAsia="仿宋" w:cs="仿宋"/>
          <w:color w:val="auto"/>
          <w:kern w:val="0"/>
          <w:sz w:val="28"/>
          <w:szCs w:val="28"/>
          <w:highlight w:val="none"/>
          <w:lang w:val="en-US" w:eastAsia="zh-CN" w:bidi="ar"/>
        </w:rPr>
        <w:t>”方式开标</w:t>
      </w:r>
      <w:r>
        <w:rPr>
          <w:rFonts w:hint="eastAsia" w:ascii="宋体" w:hAnsi="宋体" w:eastAsia="宋体" w:cs="宋体"/>
          <w:color w:val="auto"/>
          <w:kern w:val="0"/>
          <w:sz w:val="24"/>
          <w:szCs w:val="24"/>
          <w:highlight w:val="none"/>
          <w:lang w:val="en-US" w:eastAsia="zh-CN" w:bidi="ar"/>
        </w:rPr>
        <w:t xml:space="preserve"> </w:t>
      </w:r>
    </w:p>
    <w:p w14:paraId="3FE86853">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9. 招标文件的异议、投诉</w:t>
      </w:r>
      <w:r>
        <w:rPr>
          <w:rFonts w:hint="eastAsia" w:ascii="宋体" w:hAnsi="宋体" w:eastAsia="宋体" w:cs="宋体"/>
          <w:color w:val="auto"/>
          <w:kern w:val="0"/>
          <w:sz w:val="24"/>
          <w:szCs w:val="24"/>
          <w:highlight w:val="none"/>
          <w:lang w:val="en-US" w:eastAsia="zh-CN" w:bidi="ar"/>
        </w:rPr>
        <w:t xml:space="preserve"> </w:t>
      </w:r>
    </w:p>
    <w:p w14:paraId="145ED416">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9.1 投标人或者其他利害关系人对招标文件有异议的，应当在规定时间通过电子交易系统在线提出或以其他书面形式提出。</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8"/>
          <w:szCs w:val="28"/>
          <w:highlight w:val="none"/>
          <w:lang w:val="en-US" w:eastAsia="zh-CN" w:bidi="ar"/>
        </w:rPr>
        <w:t>    9.2 投标人或者其他利害关系人对招标人、招标代理机构的答复不满意，或者招标人、招标代理机构未在规定时间内作出答复的，可以在规定时间内通过网上投诉系统或以其他书面形式向监管部门提出投诉。</w:t>
      </w:r>
      <w:r>
        <w:rPr>
          <w:rFonts w:hint="eastAsia" w:ascii="仿宋" w:hAnsi="仿宋" w:eastAsia="仿宋" w:cs="仿宋"/>
          <w:color w:val="auto"/>
          <w:kern w:val="0"/>
          <w:sz w:val="24"/>
          <w:szCs w:val="24"/>
          <w:highlight w:val="none"/>
          <w:lang w:val="en-US" w:eastAsia="zh-CN" w:bidi="ar"/>
        </w:rPr>
        <w:br w:type="textWrapping"/>
      </w:r>
      <w:r>
        <w:rPr>
          <w:rFonts w:hint="eastAsia" w:ascii="仿宋" w:hAnsi="仿宋" w:eastAsia="仿宋" w:cs="仿宋"/>
          <w:color w:val="auto"/>
          <w:kern w:val="0"/>
          <w:sz w:val="28"/>
          <w:szCs w:val="28"/>
          <w:highlight w:val="none"/>
          <w:lang w:val="en-US" w:eastAsia="zh-CN" w:bidi="ar"/>
        </w:rPr>
        <w:t>    9.3 受理异议的联系人和联系方式见招标公告11.1和11.2。</w:t>
      </w:r>
    </w:p>
    <w:p w14:paraId="1E497C1D">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10.发布公告的媒介</w:t>
      </w:r>
      <w:r>
        <w:rPr>
          <w:rFonts w:hint="eastAsia" w:ascii="宋体" w:hAnsi="宋体" w:eastAsia="宋体" w:cs="宋体"/>
          <w:color w:val="auto"/>
          <w:kern w:val="0"/>
          <w:sz w:val="24"/>
          <w:szCs w:val="24"/>
          <w:highlight w:val="none"/>
          <w:lang w:val="en-US" w:eastAsia="zh-CN" w:bidi="ar"/>
        </w:rPr>
        <w:t xml:space="preserve"> </w:t>
      </w:r>
    </w:p>
    <w:p w14:paraId="12C7DF5A">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本次招标公告同时在安徽合肥公共资源交易中心网站、安徽省公共资源交易监管网、全国公共资源交易平台上发布。</w:t>
      </w:r>
      <w:r>
        <w:rPr>
          <w:rFonts w:hint="eastAsia" w:ascii="宋体" w:hAnsi="宋体" w:eastAsia="宋体" w:cs="宋体"/>
          <w:color w:val="auto"/>
          <w:kern w:val="0"/>
          <w:sz w:val="24"/>
          <w:szCs w:val="24"/>
          <w:highlight w:val="none"/>
          <w:lang w:val="en-US" w:eastAsia="zh-CN" w:bidi="ar"/>
        </w:rPr>
        <w:t xml:space="preserve"> </w:t>
      </w:r>
    </w:p>
    <w:p w14:paraId="663C6463">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11.联系方式</w:t>
      </w:r>
      <w:r>
        <w:rPr>
          <w:rFonts w:hint="eastAsia" w:ascii="宋体" w:hAnsi="宋体" w:eastAsia="宋体" w:cs="宋体"/>
          <w:color w:val="auto"/>
          <w:kern w:val="0"/>
          <w:sz w:val="24"/>
          <w:szCs w:val="24"/>
          <w:highlight w:val="none"/>
          <w:lang w:val="en-US" w:eastAsia="zh-CN" w:bidi="ar"/>
        </w:rPr>
        <w:t xml:space="preserve"> </w:t>
      </w:r>
    </w:p>
    <w:p w14:paraId="4BB7C831">
      <w:pPr>
        <w:keepNext w:val="0"/>
        <w:keepLines w:val="0"/>
        <w:widowControl/>
        <w:suppressLineNumbers w:val="0"/>
        <w:spacing w:before="0" w:beforeAutospacing="0" w:after="0" w:afterAutospacing="0" w:line="560" w:lineRule="exact"/>
        <w:ind w:left="0" w:right="0" w:firstLine="560" w:firstLineChars="200"/>
        <w:jc w:val="left"/>
        <w:outlineLvl w:val="1"/>
        <w:rPr>
          <w:color w:val="auto"/>
          <w:highlight w:val="none"/>
        </w:rPr>
      </w:pPr>
      <w:r>
        <w:rPr>
          <w:rFonts w:hint="eastAsia" w:ascii="仿宋" w:hAnsi="仿宋" w:eastAsia="仿宋" w:cs="仿宋"/>
          <w:color w:val="auto"/>
          <w:kern w:val="0"/>
          <w:sz w:val="28"/>
          <w:szCs w:val="28"/>
          <w:highlight w:val="none"/>
          <w:lang w:val="en-US" w:eastAsia="zh-CN" w:bidi="ar"/>
        </w:rPr>
        <w:t>11.1 招标人</w:t>
      </w:r>
      <w:r>
        <w:rPr>
          <w:rFonts w:hint="eastAsia" w:ascii="宋体" w:hAnsi="宋体" w:eastAsia="宋体" w:cs="宋体"/>
          <w:color w:val="auto"/>
          <w:kern w:val="0"/>
          <w:sz w:val="24"/>
          <w:szCs w:val="24"/>
          <w:highlight w:val="none"/>
          <w:lang w:val="en-US" w:eastAsia="zh-CN" w:bidi="ar"/>
        </w:rPr>
        <w:t xml:space="preserve"> </w:t>
      </w:r>
    </w:p>
    <w:p w14:paraId="2F9595B9">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招标人：肥西工投战新产业园管理有限公司</w:t>
      </w:r>
      <w:r>
        <w:rPr>
          <w:rFonts w:hint="eastAsia" w:ascii="宋体" w:hAnsi="宋体" w:eastAsia="宋体" w:cs="宋体"/>
          <w:color w:val="auto"/>
          <w:kern w:val="0"/>
          <w:sz w:val="24"/>
          <w:szCs w:val="24"/>
          <w:highlight w:val="none"/>
          <w:lang w:val="en-US" w:eastAsia="zh-CN" w:bidi="ar"/>
        </w:rPr>
        <w:t xml:space="preserve"> </w:t>
      </w:r>
    </w:p>
    <w:p w14:paraId="78836E40">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地 址：安徽省合肥市肥西县</w:t>
      </w:r>
    </w:p>
    <w:p w14:paraId="7C85EC72">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邮 编：231200</w:t>
      </w:r>
      <w:r>
        <w:rPr>
          <w:rFonts w:hint="eastAsia" w:ascii="宋体" w:hAnsi="宋体" w:eastAsia="宋体" w:cs="宋体"/>
          <w:color w:val="auto"/>
          <w:kern w:val="0"/>
          <w:sz w:val="24"/>
          <w:szCs w:val="24"/>
          <w:highlight w:val="none"/>
          <w:lang w:val="en-US" w:eastAsia="zh-CN" w:bidi="ar"/>
        </w:rPr>
        <w:t xml:space="preserve"> </w:t>
      </w:r>
    </w:p>
    <w:p w14:paraId="1C7C9F3F">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联系人：</w:t>
      </w:r>
    </w:p>
    <w:p w14:paraId="3DCB7CE4">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电 话：</w:t>
      </w:r>
    </w:p>
    <w:p w14:paraId="2DE75994">
      <w:pPr>
        <w:keepNext w:val="0"/>
        <w:keepLines w:val="0"/>
        <w:widowControl/>
        <w:suppressLineNumbers w:val="0"/>
        <w:spacing w:before="0" w:beforeAutospacing="0" w:after="0" w:afterAutospacing="0" w:line="560" w:lineRule="exact"/>
        <w:ind w:left="0" w:right="0" w:firstLine="560" w:firstLineChars="200"/>
        <w:jc w:val="left"/>
        <w:outlineLvl w:val="1"/>
        <w:rPr>
          <w:color w:val="auto"/>
          <w:highlight w:val="none"/>
        </w:rPr>
      </w:pPr>
      <w:r>
        <w:rPr>
          <w:rFonts w:hint="eastAsia" w:ascii="仿宋" w:hAnsi="仿宋" w:eastAsia="仿宋" w:cs="仿宋"/>
          <w:color w:val="auto"/>
          <w:kern w:val="0"/>
          <w:sz w:val="28"/>
          <w:szCs w:val="28"/>
          <w:highlight w:val="none"/>
          <w:lang w:val="en-US" w:eastAsia="zh-CN" w:bidi="ar"/>
        </w:rPr>
        <w:t>11.2 招标代理机构</w:t>
      </w:r>
      <w:r>
        <w:rPr>
          <w:rFonts w:hint="eastAsia" w:ascii="宋体" w:hAnsi="宋体" w:eastAsia="宋体" w:cs="宋体"/>
          <w:color w:val="auto"/>
          <w:kern w:val="0"/>
          <w:sz w:val="24"/>
          <w:szCs w:val="24"/>
          <w:highlight w:val="none"/>
          <w:lang w:val="en-US" w:eastAsia="zh-CN" w:bidi="ar"/>
        </w:rPr>
        <w:t xml:space="preserve"> </w:t>
      </w:r>
    </w:p>
    <w:p w14:paraId="74C9F393">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招标代理机构：肥西县公共资源交易有限责任公司</w:t>
      </w:r>
      <w:r>
        <w:rPr>
          <w:rFonts w:hint="eastAsia" w:ascii="宋体" w:hAnsi="宋体" w:eastAsia="宋体" w:cs="宋体"/>
          <w:color w:val="auto"/>
          <w:kern w:val="0"/>
          <w:sz w:val="24"/>
          <w:szCs w:val="24"/>
          <w:highlight w:val="none"/>
          <w:lang w:val="en-US" w:eastAsia="zh-CN" w:bidi="ar"/>
        </w:rPr>
        <w:t xml:space="preserve"> </w:t>
      </w:r>
    </w:p>
    <w:p w14:paraId="3FBED44D">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地 址：肥西县上派镇佛光路与紫石路交叉口肥光办公区3号楼2楼</w:t>
      </w:r>
      <w:r>
        <w:rPr>
          <w:rFonts w:hint="eastAsia" w:ascii="宋体" w:hAnsi="宋体" w:eastAsia="宋体" w:cs="宋体"/>
          <w:color w:val="auto"/>
          <w:kern w:val="0"/>
          <w:sz w:val="24"/>
          <w:szCs w:val="24"/>
          <w:highlight w:val="none"/>
          <w:lang w:val="en-US" w:eastAsia="zh-CN" w:bidi="ar"/>
        </w:rPr>
        <w:t xml:space="preserve"> </w:t>
      </w:r>
    </w:p>
    <w:p w14:paraId="54033843">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邮 编：231200</w:t>
      </w:r>
      <w:r>
        <w:rPr>
          <w:rFonts w:hint="eastAsia" w:ascii="宋体" w:hAnsi="宋体" w:eastAsia="宋体" w:cs="宋体"/>
          <w:color w:val="auto"/>
          <w:kern w:val="0"/>
          <w:sz w:val="24"/>
          <w:szCs w:val="24"/>
          <w:highlight w:val="none"/>
          <w:lang w:val="en-US" w:eastAsia="zh-CN" w:bidi="ar"/>
        </w:rPr>
        <w:t xml:space="preserve"> </w:t>
      </w:r>
    </w:p>
    <w:p w14:paraId="4DD013F9">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联系人：朱启杭</w:t>
      </w:r>
    </w:p>
    <w:p w14:paraId="3A97975E">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电 话：0551-68825056</w:t>
      </w:r>
      <w:r>
        <w:rPr>
          <w:rFonts w:hint="eastAsia" w:ascii="宋体" w:hAnsi="宋体" w:eastAsia="宋体" w:cs="宋体"/>
          <w:color w:val="auto"/>
          <w:kern w:val="0"/>
          <w:sz w:val="24"/>
          <w:szCs w:val="24"/>
          <w:highlight w:val="none"/>
          <w:lang w:val="en-US" w:eastAsia="zh-CN" w:bidi="ar"/>
        </w:rPr>
        <w:t xml:space="preserve"> </w:t>
      </w:r>
    </w:p>
    <w:p w14:paraId="503C06B1">
      <w:pPr>
        <w:keepNext w:val="0"/>
        <w:keepLines w:val="0"/>
        <w:widowControl/>
        <w:suppressLineNumbers w:val="0"/>
        <w:spacing w:before="0" w:beforeAutospacing="0" w:after="0" w:afterAutospacing="0" w:line="560" w:lineRule="exact"/>
        <w:ind w:left="0" w:right="0" w:firstLine="560" w:firstLineChars="200"/>
        <w:jc w:val="left"/>
        <w:outlineLvl w:val="1"/>
        <w:rPr>
          <w:color w:val="auto"/>
          <w:highlight w:val="none"/>
        </w:rPr>
      </w:pPr>
      <w:r>
        <w:rPr>
          <w:rFonts w:hint="eastAsia" w:ascii="仿宋" w:hAnsi="仿宋" w:eastAsia="仿宋" w:cs="仿宋"/>
          <w:color w:val="auto"/>
          <w:kern w:val="0"/>
          <w:sz w:val="28"/>
          <w:szCs w:val="28"/>
          <w:highlight w:val="none"/>
          <w:lang w:val="en-US" w:eastAsia="zh-CN" w:bidi="ar"/>
        </w:rPr>
        <w:t>11.3 电子交易系统</w:t>
      </w:r>
      <w:r>
        <w:rPr>
          <w:rFonts w:hint="eastAsia" w:ascii="宋体" w:hAnsi="宋体" w:eastAsia="宋体" w:cs="宋体"/>
          <w:color w:val="auto"/>
          <w:kern w:val="0"/>
          <w:sz w:val="24"/>
          <w:szCs w:val="24"/>
          <w:highlight w:val="none"/>
          <w:lang w:val="en-US" w:eastAsia="zh-CN" w:bidi="ar"/>
        </w:rPr>
        <w:t xml:space="preserve"> </w:t>
      </w:r>
    </w:p>
    <w:p w14:paraId="0EE774E9">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电子交易系统名称：安徽合肥公共资源交易中心电子交易系统</w:t>
      </w:r>
      <w:r>
        <w:rPr>
          <w:rFonts w:hint="eastAsia" w:ascii="宋体" w:hAnsi="宋体" w:eastAsia="宋体" w:cs="宋体"/>
          <w:color w:val="auto"/>
          <w:kern w:val="0"/>
          <w:sz w:val="24"/>
          <w:szCs w:val="24"/>
          <w:highlight w:val="none"/>
          <w:lang w:val="en-US" w:eastAsia="zh-CN" w:bidi="ar"/>
        </w:rPr>
        <w:t xml:space="preserve"> </w:t>
      </w:r>
    </w:p>
    <w:p w14:paraId="46099E06">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电子交易系统电话：0512-58188516</w:t>
      </w:r>
      <w:r>
        <w:rPr>
          <w:rFonts w:hint="eastAsia" w:ascii="宋体" w:hAnsi="宋体" w:eastAsia="宋体" w:cs="宋体"/>
          <w:color w:val="auto"/>
          <w:kern w:val="0"/>
          <w:sz w:val="24"/>
          <w:szCs w:val="24"/>
          <w:highlight w:val="none"/>
          <w:lang w:val="en-US" w:eastAsia="zh-CN" w:bidi="ar"/>
        </w:rPr>
        <w:t xml:space="preserve"> </w:t>
      </w:r>
    </w:p>
    <w:p w14:paraId="500328C3">
      <w:pPr>
        <w:keepNext w:val="0"/>
        <w:keepLines w:val="0"/>
        <w:widowControl/>
        <w:suppressLineNumbers w:val="0"/>
        <w:spacing w:before="0" w:beforeAutospacing="0" w:after="0" w:afterAutospacing="0" w:line="560" w:lineRule="exact"/>
        <w:ind w:left="0" w:right="0" w:firstLine="560" w:firstLineChars="200"/>
        <w:jc w:val="left"/>
        <w:outlineLvl w:val="1"/>
        <w:rPr>
          <w:color w:val="auto"/>
          <w:highlight w:val="none"/>
        </w:rPr>
      </w:pPr>
      <w:r>
        <w:rPr>
          <w:rFonts w:hint="eastAsia" w:ascii="仿宋" w:hAnsi="仿宋" w:eastAsia="仿宋" w:cs="仿宋"/>
          <w:color w:val="auto"/>
          <w:kern w:val="0"/>
          <w:sz w:val="28"/>
          <w:szCs w:val="28"/>
          <w:highlight w:val="none"/>
          <w:lang w:val="en-US" w:eastAsia="zh-CN" w:bidi="ar"/>
        </w:rPr>
        <w:t>11.4 电子服务系统</w:t>
      </w:r>
      <w:r>
        <w:rPr>
          <w:rFonts w:hint="eastAsia" w:ascii="宋体" w:hAnsi="宋体" w:eastAsia="宋体" w:cs="宋体"/>
          <w:color w:val="auto"/>
          <w:kern w:val="0"/>
          <w:sz w:val="24"/>
          <w:szCs w:val="24"/>
          <w:highlight w:val="none"/>
          <w:lang w:val="en-US" w:eastAsia="zh-CN" w:bidi="ar"/>
        </w:rPr>
        <w:t xml:space="preserve"> </w:t>
      </w:r>
    </w:p>
    <w:p w14:paraId="2A1A8B7C">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电子服务系统名称：安徽合肥公共资源交易电子服务系统</w:t>
      </w:r>
      <w:r>
        <w:rPr>
          <w:rFonts w:hint="eastAsia" w:ascii="宋体" w:hAnsi="宋体" w:eastAsia="宋体" w:cs="宋体"/>
          <w:color w:val="auto"/>
          <w:kern w:val="0"/>
          <w:sz w:val="24"/>
          <w:szCs w:val="24"/>
          <w:highlight w:val="none"/>
          <w:lang w:val="en-US" w:eastAsia="zh-CN" w:bidi="ar"/>
        </w:rPr>
        <w:t xml:space="preserve"> </w:t>
      </w:r>
    </w:p>
    <w:p w14:paraId="25007643">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电子服务系统电话：0551-66223830、0512-58188516</w:t>
      </w:r>
      <w:r>
        <w:rPr>
          <w:rFonts w:hint="eastAsia" w:ascii="宋体" w:hAnsi="宋体" w:eastAsia="宋体" w:cs="宋体"/>
          <w:color w:val="auto"/>
          <w:kern w:val="0"/>
          <w:sz w:val="24"/>
          <w:szCs w:val="24"/>
          <w:highlight w:val="none"/>
          <w:lang w:val="en-US" w:eastAsia="zh-CN" w:bidi="ar"/>
        </w:rPr>
        <w:t xml:space="preserve"> </w:t>
      </w:r>
    </w:p>
    <w:p w14:paraId="43E2613A">
      <w:pPr>
        <w:keepNext w:val="0"/>
        <w:keepLines w:val="0"/>
        <w:widowControl/>
        <w:suppressLineNumbers w:val="0"/>
        <w:spacing w:before="0" w:beforeAutospacing="0" w:after="0" w:afterAutospacing="0" w:line="560" w:lineRule="exact"/>
        <w:ind w:left="0" w:right="0" w:firstLine="560" w:firstLineChars="200"/>
        <w:jc w:val="left"/>
        <w:outlineLvl w:val="1"/>
        <w:rPr>
          <w:color w:val="auto"/>
          <w:highlight w:val="none"/>
        </w:rPr>
      </w:pPr>
      <w:r>
        <w:rPr>
          <w:rFonts w:hint="eastAsia" w:ascii="仿宋" w:hAnsi="仿宋" w:eastAsia="仿宋" w:cs="仿宋"/>
          <w:color w:val="auto"/>
          <w:kern w:val="0"/>
          <w:sz w:val="28"/>
          <w:szCs w:val="28"/>
          <w:highlight w:val="none"/>
          <w:lang w:val="en-US" w:eastAsia="zh-CN" w:bidi="ar"/>
        </w:rPr>
        <w:t>11.5 公共资源交易监督管理部门</w:t>
      </w:r>
      <w:r>
        <w:rPr>
          <w:rFonts w:hint="eastAsia" w:ascii="宋体" w:hAnsi="宋体" w:eastAsia="宋体" w:cs="宋体"/>
          <w:color w:val="auto"/>
          <w:kern w:val="0"/>
          <w:sz w:val="24"/>
          <w:szCs w:val="24"/>
          <w:highlight w:val="none"/>
          <w:lang w:val="en-US" w:eastAsia="zh-CN" w:bidi="ar"/>
        </w:rPr>
        <w:t xml:space="preserve"> </w:t>
      </w:r>
    </w:p>
    <w:p w14:paraId="02CAE374">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公共资源交易监督管理部门：肥西县发展和改革委员会（肥西县粮食局）</w:t>
      </w:r>
      <w:r>
        <w:rPr>
          <w:rFonts w:hint="eastAsia" w:ascii="宋体" w:hAnsi="宋体" w:eastAsia="宋体" w:cs="宋体"/>
          <w:color w:val="auto"/>
          <w:kern w:val="0"/>
          <w:sz w:val="24"/>
          <w:szCs w:val="24"/>
          <w:highlight w:val="none"/>
          <w:lang w:val="en-US" w:eastAsia="zh-CN" w:bidi="ar"/>
        </w:rPr>
        <w:t xml:space="preserve"> </w:t>
      </w:r>
    </w:p>
    <w:p w14:paraId="3F0E0251">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地    址：安徽省合肥市肥西县新站翡翠苑东北门4号商业楼2楼1号办公室</w:t>
      </w:r>
      <w:r>
        <w:rPr>
          <w:rFonts w:hint="eastAsia" w:ascii="宋体" w:hAnsi="宋体" w:eastAsia="宋体" w:cs="宋体"/>
          <w:color w:val="auto"/>
          <w:kern w:val="0"/>
          <w:sz w:val="24"/>
          <w:szCs w:val="24"/>
          <w:highlight w:val="none"/>
          <w:lang w:val="en-US" w:eastAsia="zh-CN" w:bidi="ar"/>
        </w:rPr>
        <w:t xml:space="preserve"> </w:t>
      </w:r>
    </w:p>
    <w:p w14:paraId="68062AB7">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电    话：0551-68841335</w:t>
      </w:r>
      <w:r>
        <w:rPr>
          <w:rFonts w:hint="eastAsia" w:ascii="宋体" w:hAnsi="宋体" w:eastAsia="宋体" w:cs="宋体"/>
          <w:color w:val="auto"/>
          <w:kern w:val="0"/>
          <w:sz w:val="24"/>
          <w:szCs w:val="24"/>
          <w:highlight w:val="none"/>
          <w:lang w:val="en-US" w:eastAsia="zh-CN" w:bidi="ar"/>
        </w:rPr>
        <w:t xml:space="preserve"> </w:t>
      </w:r>
    </w:p>
    <w:p w14:paraId="276465D7">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12.其他事项说明</w:t>
      </w:r>
      <w:r>
        <w:rPr>
          <w:rFonts w:hint="eastAsia" w:ascii="宋体" w:hAnsi="宋体" w:eastAsia="宋体" w:cs="宋体"/>
          <w:color w:val="auto"/>
          <w:kern w:val="0"/>
          <w:sz w:val="24"/>
          <w:szCs w:val="24"/>
          <w:highlight w:val="none"/>
          <w:lang w:val="en-US" w:eastAsia="zh-CN" w:bidi="ar"/>
        </w:rPr>
        <w:t xml:space="preserve"> </w:t>
      </w:r>
    </w:p>
    <w:p w14:paraId="76657913">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12.1 投标人应合理安排招标文件获取时间，特别是网络速度慢的地区防止在系统关闭前网络拥堵无法操作。如果因计算机及网络故障造成无法完成招标文件获取，责任自负。</w:t>
      </w:r>
    </w:p>
    <w:p w14:paraId="419AEB9F">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12.2 招标文件中有任何疑问或问题，请在工作时间（周一至周五，上午8:30-11:30，下午14:30-17:30，节假日休息）与项目联系人联系。</w:t>
      </w:r>
    </w:p>
    <w:p w14:paraId="3E75A487">
      <w:pPr>
        <w:keepNext w:val="0"/>
        <w:keepLines w:val="0"/>
        <w:widowControl/>
        <w:suppressLineNumbers w:val="0"/>
        <w:spacing w:before="0" w:beforeAutospacing="0" w:after="0" w:afterAutospacing="0" w:line="560" w:lineRule="exact"/>
        <w:ind w:left="0" w:right="0" w:firstLine="0" w:firstLineChars="0"/>
        <w:jc w:val="left"/>
        <w:outlineLvl w:val="0"/>
        <w:rPr>
          <w:color w:val="auto"/>
          <w:highlight w:val="none"/>
        </w:rPr>
      </w:pPr>
      <w:r>
        <w:rPr>
          <w:rFonts w:hint="eastAsia" w:ascii="黑体" w:hAnsi="宋体" w:eastAsia="黑体" w:cs="黑体"/>
          <w:color w:val="auto"/>
          <w:kern w:val="0"/>
          <w:sz w:val="28"/>
          <w:szCs w:val="28"/>
          <w:highlight w:val="none"/>
          <w:lang w:val="en-US" w:eastAsia="zh-CN" w:bidi="ar"/>
        </w:rPr>
        <w:t>13.投标保证金账户</w:t>
      </w:r>
      <w:r>
        <w:rPr>
          <w:rFonts w:hint="eastAsia" w:ascii="宋体" w:hAnsi="宋体" w:eastAsia="宋体" w:cs="宋体"/>
          <w:color w:val="auto"/>
          <w:kern w:val="0"/>
          <w:sz w:val="24"/>
          <w:szCs w:val="24"/>
          <w:highlight w:val="none"/>
          <w:lang w:val="en-US" w:eastAsia="zh-CN" w:bidi="ar"/>
        </w:rPr>
        <w:t xml:space="preserve"> </w:t>
      </w:r>
    </w:p>
    <w:p w14:paraId="24440F89">
      <w:pPr>
        <w:keepNext w:val="0"/>
        <w:keepLines w:val="0"/>
        <w:widowControl/>
        <w:suppressLineNumbers w:val="0"/>
        <w:spacing w:before="0" w:beforeAutospacing="0" w:after="0" w:afterAutospacing="0" w:line="560" w:lineRule="exact"/>
        <w:ind w:left="0" w:right="0"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标段简称:1标段</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中国农业银行</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户名：肥西县公共资源交易中心保证金专户</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账号：</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开户银行：中国农业银行肥西县支行</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中国银行</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户名：肥西县公共资源交易中心保证金专户</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账号：</w:t>
      </w:r>
      <w:r>
        <w:rPr>
          <w:rFonts w:hint="eastAsia" w:ascii="仿宋" w:hAnsi="仿宋" w:eastAsia="仿宋" w:cs="仿宋"/>
          <w:color w:val="auto"/>
          <w:kern w:val="0"/>
          <w:sz w:val="28"/>
          <w:szCs w:val="28"/>
          <w:highlight w:val="none"/>
          <w:lang w:val="en-US" w:eastAsia="zh-CN" w:bidi="ar"/>
        </w:rPr>
        <w:br w:type="textWrapping"/>
      </w:r>
      <w:r>
        <w:rPr>
          <w:rFonts w:hint="eastAsia" w:ascii="仿宋" w:hAnsi="仿宋" w:eastAsia="仿宋" w:cs="仿宋"/>
          <w:color w:val="auto"/>
          <w:kern w:val="0"/>
          <w:sz w:val="24"/>
          <w:szCs w:val="24"/>
          <w:highlight w:val="none"/>
          <w:lang w:val="en-US" w:eastAsia="zh-CN" w:bidi="ar"/>
        </w:rPr>
        <w:t>    </w:t>
      </w:r>
      <w:r>
        <w:rPr>
          <w:rFonts w:hint="eastAsia" w:ascii="仿宋" w:hAnsi="仿宋" w:eastAsia="仿宋" w:cs="仿宋"/>
          <w:color w:val="auto"/>
          <w:kern w:val="0"/>
          <w:sz w:val="28"/>
          <w:szCs w:val="28"/>
          <w:highlight w:val="none"/>
          <w:lang w:val="en-US" w:eastAsia="zh-CN" w:bidi="ar"/>
        </w:rPr>
        <w:t>开户银行：中国银行肥西支行</w:t>
      </w:r>
    </w:p>
    <w:p w14:paraId="2C6DD04C">
      <w:pPr>
        <w:ind w:firstLine="480"/>
        <w:rPr>
          <w:rFonts w:hint="eastAsia" w:ascii="宋体" w:hAnsi="宋体" w:cs="宋体"/>
          <w:color w:val="auto"/>
          <w:szCs w:val="24"/>
          <w:highlight w:val="none"/>
        </w:rPr>
      </w:pPr>
    </w:p>
    <w:p w14:paraId="41E4DF7B">
      <w:pPr>
        <w:pStyle w:val="5"/>
        <w:spacing w:before="240" w:after="240"/>
        <w:ind w:firstLine="643"/>
        <w:rPr>
          <w:rFonts w:ascii="黑体" w:hAnsi="黑体" w:eastAsia="黑体"/>
          <w:color w:val="auto"/>
          <w:szCs w:val="32"/>
          <w:highlight w:val="none"/>
        </w:rPr>
      </w:pPr>
      <w:bookmarkStart w:id="25" w:name="_Toc18791"/>
      <w:bookmarkStart w:id="26" w:name="_Toc16365"/>
      <w:bookmarkStart w:id="27" w:name="_Toc1383"/>
      <w:bookmarkStart w:id="28" w:name="_Toc4272"/>
      <w:bookmarkStart w:id="29" w:name="_Toc31561"/>
      <w:r>
        <w:rPr>
          <w:color w:val="auto"/>
          <w:szCs w:val="32"/>
          <w:highlight w:val="none"/>
        </w:rPr>
        <w:br w:type="page"/>
      </w:r>
      <w:bookmarkStart w:id="30" w:name="_Toc5190"/>
      <w:r>
        <w:rPr>
          <w:rFonts w:ascii="黑体" w:hAnsi="黑体" w:eastAsia="黑体"/>
          <w:color w:val="auto"/>
          <w:szCs w:val="32"/>
          <w:highlight w:val="none"/>
        </w:rPr>
        <w:t>第二章</w:t>
      </w:r>
      <w:r>
        <w:rPr>
          <w:rFonts w:hint="eastAsia" w:ascii="黑体" w:hAnsi="黑体" w:eastAsia="黑体"/>
          <w:color w:val="auto"/>
          <w:szCs w:val="32"/>
          <w:highlight w:val="none"/>
        </w:rPr>
        <w:t xml:space="preserve"> </w:t>
      </w:r>
      <w:r>
        <w:rPr>
          <w:rFonts w:ascii="黑体" w:hAnsi="黑体" w:eastAsia="黑体"/>
          <w:color w:val="auto"/>
          <w:szCs w:val="32"/>
          <w:highlight w:val="none"/>
        </w:rPr>
        <w:t xml:space="preserve"> 投标人须知</w:t>
      </w:r>
      <w:bookmarkEnd w:id="25"/>
      <w:bookmarkEnd w:id="26"/>
      <w:bookmarkEnd w:id="27"/>
      <w:bookmarkEnd w:id="28"/>
      <w:bookmarkEnd w:id="29"/>
      <w:bookmarkEnd w:id="30"/>
    </w:p>
    <w:p w14:paraId="4E875B86">
      <w:pPr>
        <w:pStyle w:val="6"/>
        <w:spacing w:before="240" w:after="240"/>
        <w:ind w:firstLine="640"/>
        <w:jc w:val="center"/>
        <w:rPr>
          <w:color w:val="auto"/>
          <w:highlight w:val="none"/>
        </w:rPr>
      </w:pPr>
      <w:bookmarkStart w:id="31" w:name="_Toc5605"/>
      <w:bookmarkStart w:id="32" w:name="_Toc14905"/>
      <w:bookmarkStart w:id="33" w:name="_Toc22069"/>
      <w:bookmarkStart w:id="34" w:name="_Toc24764"/>
      <w:r>
        <w:rPr>
          <w:color w:val="auto"/>
          <w:highlight w:val="none"/>
        </w:rPr>
        <w:t>投标人须知前附表</w:t>
      </w:r>
      <w:bookmarkEnd w:id="31"/>
      <w:bookmarkEnd w:id="32"/>
      <w:bookmarkEnd w:id="33"/>
      <w:bookmarkEnd w:id="34"/>
    </w:p>
    <w:tbl>
      <w:tblPr>
        <w:tblStyle w:val="44"/>
        <w:tblW w:w="9322" w:type="dxa"/>
        <w:tblInd w:w="0" w:type="dxa"/>
        <w:tblLayout w:type="fixed"/>
        <w:tblCellMar>
          <w:top w:w="0" w:type="dxa"/>
          <w:left w:w="108" w:type="dxa"/>
          <w:bottom w:w="0" w:type="dxa"/>
          <w:right w:w="108" w:type="dxa"/>
        </w:tblCellMar>
      </w:tblPr>
      <w:tblGrid>
        <w:gridCol w:w="1165"/>
        <w:gridCol w:w="1821"/>
        <w:gridCol w:w="6336"/>
      </w:tblGrid>
      <w:tr w14:paraId="143008D6">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noWrap w:val="0"/>
            <w:vAlign w:val="center"/>
          </w:tcPr>
          <w:p w14:paraId="5AD8D71F">
            <w:pPr>
              <w:ind w:firstLine="0" w:firstLineChars="0"/>
              <w:jc w:val="center"/>
              <w:rPr>
                <w:b/>
                <w:color w:val="auto"/>
                <w:szCs w:val="24"/>
                <w:highlight w:val="none"/>
              </w:rPr>
            </w:pPr>
            <w:r>
              <w:rPr>
                <w:b/>
                <w:color w:val="auto"/>
                <w:szCs w:val="24"/>
                <w:highlight w:val="none"/>
              </w:rPr>
              <w:t>条款号</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1C1C008">
            <w:pPr>
              <w:ind w:firstLine="0" w:firstLineChars="0"/>
              <w:jc w:val="center"/>
              <w:rPr>
                <w:b/>
                <w:color w:val="auto"/>
                <w:szCs w:val="24"/>
                <w:highlight w:val="none"/>
              </w:rPr>
            </w:pPr>
            <w:r>
              <w:rPr>
                <w:b/>
                <w:color w:val="auto"/>
                <w:szCs w:val="24"/>
                <w:highlight w:val="none"/>
              </w:rPr>
              <w:t>条款名称</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189E43E3">
            <w:pPr>
              <w:ind w:firstLine="0" w:firstLineChars="0"/>
              <w:jc w:val="center"/>
              <w:rPr>
                <w:b/>
                <w:color w:val="auto"/>
                <w:szCs w:val="24"/>
                <w:highlight w:val="none"/>
              </w:rPr>
            </w:pPr>
            <w:r>
              <w:rPr>
                <w:b/>
                <w:color w:val="auto"/>
                <w:szCs w:val="24"/>
                <w:highlight w:val="none"/>
              </w:rPr>
              <w:t>编列内容</w:t>
            </w:r>
          </w:p>
        </w:tc>
      </w:tr>
      <w:tr w14:paraId="120CBB4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D047788">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1.4.1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49962D1">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投标人资质条件、能力和信誉</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77632656">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（1）资质条件：见附录1</w:t>
            </w:r>
          </w:p>
          <w:p w14:paraId="6B048BD1">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（2）业绩要求：见附录2</w:t>
            </w:r>
          </w:p>
          <w:p w14:paraId="7627A639">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（3）信誉要求：见附录3</w:t>
            </w:r>
          </w:p>
          <w:p w14:paraId="6F89BC88">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（4）总监理工程师的资格及业绩要求：见附录4</w:t>
            </w:r>
          </w:p>
          <w:p w14:paraId="53A3C32C">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（5）其他主要人员要求：见附录5</w:t>
            </w:r>
          </w:p>
          <w:p w14:paraId="772531C0">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（6）试验检测仪器设备要求：见附录6</w:t>
            </w:r>
          </w:p>
          <w:p w14:paraId="0CE586F6">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（7）其他要求：见附录7</w:t>
            </w:r>
          </w:p>
        </w:tc>
      </w:tr>
      <w:tr w14:paraId="4863DAE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D765C83">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1.4.2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798AA17">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是否接受联合体投标</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6D9F475A">
            <w:pPr>
              <w:topLinePunct/>
              <w:ind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☑不接受</w:t>
            </w:r>
          </w:p>
          <w:p w14:paraId="3A6DEF93">
            <w:pPr>
              <w:ind w:firstLine="0" w:firstLineChars="0"/>
              <w:rPr>
                <w:rFonts w:hint="eastAsia" w:ascii="宋体" w:hAnsi="宋体" w:cs="宋体"/>
                <w:color w:val="auto"/>
                <w:szCs w:val="24"/>
                <w:highlight w:val="none"/>
              </w:rPr>
            </w:pPr>
            <w:r>
              <w:rPr>
                <w:rFonts w:hint="eastAsia" w:ascii="宋体" w:hAnsi="宋体" w:cs="宋体"/>
                <w:color w:val="auto"/>
                <w:szCs w:val="24"/>
                <w:highlight w:val="none"/>
              </w:rPr>
              <w:t>□接受，应满足下列要求：</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w:t>
            </w:r>
            <w:r>
              <w:rPr>
                <w:rFonts w:hint="eastAsia" w:ascii="宋体" w:hAnsi="宋体" w:cs="宋体"/>
                <w:color w:val="auto"/>
                <w:szCs w:val="24"/>
                <w:highlight w:val="none"/>
                <w:u w:val="single"/>
              </w:rPr>
              <w:t xml:space="preserve"> </w:t>
            </w:r>
          </w:p>
        </w:tc>
      </w:tr>
      <w:tr w14:paraId="05CF8F7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BA8FADA">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1.4.3（16）</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8CC3FCE">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投标人不得存在的其他情形</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7E42A464">
            <w:pPr>
              <w:snapToGrid w:val="0"/>
              <w:ind w:firstLine="0" w:firstLineChars="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tc>
      </w:tr>
      <w:tr w14:paraId="078346E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30C1F50">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1.4.4（4）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65C2113">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投标人不得存在的其他不良状况或不良信用记录</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13D87B5C">
            <w:pPr>
              <w:snapToGrid w:val="0"/>
              <w:ind w:firstLine="0" w:firstLineChars="0"/>
              <w:rPr>
                <w:rFonts w:hint="eastAsia" w:cs="宋体"/>
                <w:bCs/>
                <w:color w:val="auto"/>
                <w:szCs w:val="24"/>
                <w:highlight w:val="none"/>
              </w:rPr>
            </w:pPr>
            <w:r>
              <w:rPr>
                <w:rFonts w:hint="eastAsia" w:cs="宋体"/>
                <w:bCs/>
                <w:color w:val="auto"/>
                <w:szCs w:val="24"/>
                <w:highlight w:val="none"/>
              </w:rPr>
              <w:t>（1）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14:paraId="32CDD70D">
            <w:pPr>
              <w:snapToGrid w:val="0"/>
              <w:ind w:firstLine="0" w:firstLineChars="0"/>
              <w:rPr>
                <w:rFonts w:hint="eastAsia" w:ascii="宋体" w:hAnsi="宋体" w:cs="宋体"/>
                <w:color w:val="auto"/>
                <w:szCs w:val="24"/>
                <w:highlight w:val="none"/>
              </w:rPr>
            </w:pPr>
            <w:r>
              <w:rPr>
                <w:rFonts w:hint="eastAsia" w:cs="宋体"/>
                <w:bCs/>
                <w:color w:val="auto"/>
                <w:szCs w:val="24"/>
                <w:highlight w:val="none"/>
              </w:rPr>
              <w:t>（2）查询要求：评标委员会仅通过“电子服务系统”查询拟推荐中标候选人是否存在上述情形，并将查询截图及查询结果在评标报告中予以记录。</w:t>
            </w:r>
          </w:p>
        </w:tc>
      </w:tr>
      <w:tr w14:paraId="405E651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F5DF4A2">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1.9.1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3A2191">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踏勘现场</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743DCFFE">
            <w:pPr>
              <w:pStyle w:val="18"/>
              <w:topLinePunct/>
              <w:ind w:firstLine="0" w:firstLineChars="0"/>
              <w:rPr>
                <w:rFonts w:hint="eastAsia" w:hAnsi="宋体" w:cs="宋体"/>
                <w:color w:val="auto"/>
                <w:szCs w:val="24"/>
                <w:highlight w:val="none"/>
              </w:rPr>
            </w:pPr>
            <w:r>
              <w:rPr>
                <w:rFonts w:hint="eastAsia" w:hAnsi="宋体" w:cs="宋体"/>
                <w:color w:val="auto"/>
                <w:szCs w:val="24"/>
                <w:highlight w:val="none"/>
              </w:rPr>
              <w:t>☑不组织，投标人自行踏勘。</w:t>
            </w:r>
          </w:p>
          <w:p w14:paraId="27C08C08">
            <w:pPr>
              <w:pStyle w:val="18"/>
              <w:topLinePunct/>
              <w:ind w:firstLine="0" w:firstLineChars="0"/>
              <w:rPr>
                <w:rFonts w:hint="eastAsia" w:hAnsi="宋体" w:cs="宋体"/>
                <w:color w:val="auto"/>
                <w:szCs w:val="24"/>
                <w:highlight w:val="none"/>
              </w:rPr>
            </w:pPr>
            <w:r>
              <w:rPr>
                <w:rFonts w:hint="eastAsia" w:hAnsi="宋体" w:cs="宋体"/>
                <w:color w:val="auto"/>
                <w:szCs w:val="24"/>
                <w:highlight w:val="none"/>
              </w:rPr>
              <w:t>□组织，踏勘时间：</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p w14:paraId="76A79022">
            <w:pPr>
              <w:pStyle w:val="18"/>
              <w:topLinePunct/>
              <w:ind w:firstLine="960" w:firstLineChars="400"/>
              <w:rPr>
                <w:rFonts w:hint="eastAsia" w:hAnsi="宋体" w:cs="宋体"/>
                <w:color w:val="auto"/>
                <w:szCs w:val="24"/>
                <w:highlight w:val="none"/>
                <w:u w:val="single"/>
              </w:rPr>
            </w:pPr>
            <w:r>
              <w:rPr>
                <w:rFonts w:hint="eastAsia" w:hAnsi="宋体" w:cs="宋体"/>
                <w:color w:val="auto"/>
                <w:szCs w:val="24"/>
                <w:highlight w:val="none"/>
              </w:rPr>
              <w:t>踏勘集中地点：</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tc>
      </w:tr>
      <w:tr w14:paraId="133E374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571568E">
            <w:pPr>
              <w:snapToGrid w:val="0"/>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1.10.1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6E71A42">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投标预备会</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AB82240">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☑不召开。</w:t>
            </w:r>
          </w:p>
          <w:p w14:paraId="49BD379C">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□召开，召开时间：</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p w14:paraId="74F9CCC3">
            <w:pPr>
              <w:snapToGrid w:val="0"/>
              <w:ind w:firstLine="960" w:firstLineChars="400"/>
              <w:jc w:val="left"/>
              <w:rPr>
                <w:rFonts w:hint="eastAsia" w:ascii="宋体" w:hAnsi="宋体" w:cs="宋体"/>
                <w:color w:val="auto"/>
                <w:szCs w:val="24"/>
                <w:highlight w:val="none"/>
              </w:rPr>
            </w:pPr>
            <w:r>
              <w:rPr>
                <w:rFonts w:hint="eastAsia" w:ascii="宋体" w:hAnsi="宋体" w:cs="宋体"/>
                <w:color w:val="auto"/>
                <w:szCs w:val="24"/>
                <w:highlight w:val="none"/>
              </w:rPr>
              <w:t>召开形式：</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tc>
      </w:tr>
      <w:tr w14:paraId="2263CDB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9A0DABA">
            <w:pPr>
              <w:snapToGrid w:val="0"/>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1.10.2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7197D14">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投标人在投标预备会前提出问题</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3D75EA8D">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时间：</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p w14:paraId="682405B6">
            <w:pPr>
              <w:snapToGrid w:val="0"/>
              <w:ind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形式：</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tc>
      </w:tr>
      <w:tr w14:paraId="3827B78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28729CA">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2.1（7）</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E7A0988">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构成招标文件的其他材料</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37EFF0E1">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val="en-US" w:eastAsia="zh-CN"/>
              </w:rPr>
              <w:t xml:space="preserve"> </w:t>
            </w:r>
          </w:p>
        </w:tc>
      </w:tr>
      <w:tr w14:paraId="5F061436">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5E92706">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2.2.1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FC111FD">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投标人要求澄清招标文件</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05FB9FEF">
            <w:pPr>
              <w:ind w:firstLine="0" w:firstLineChars="0"/>
              <w:rPr>
                <w:rFonts w:hint="eastAsia" w:ascii="宋体" w:hAnsi="宋体" w:cs="宋体"/>
                <w:color w:val="auto"/>
                <w:szCs w:val="24"/>
                <w:highlight w:val="none"/>
              </w:rPr>
            </w:pPr>
            <w:r>
              <w:rPr>
                <w:rFonts w:hint="eastAsia" w:ascii="宋体" w:hAnsi="宋体" w:cs="宋体"/>
                <w:color w:val="auto"/>
                <w:szCs w:val="24"/>
                <w:highlight w:val="none"/>
              </w:rPr>
              <w:t>时间：</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202</w:t>
            </w:r>
            <w:r>
              <w:rPr>
                <w:rFonts w:hint="eastAsia" w:ascii="宋体" w:hAnsi="宋体" w:cs="宋体"/>
                <w:bCs/>
                <w:snapToGrid w:val="0"/>
                <w:color w:val="auto"/>
                <w:kern w:val="0"/>
                <w:szCs w:val="24"/>
                <w:highlight w:val="none"/>
                <w:u w:val="single"/>
                <w:lang w:val="en-US" w:eastAsia="zh-CN"/>
              </w:rPr>
              <w:t xml:space="preserve">5 </w:t>
            </w:r>
            <w:r>
              <w:rPr>
                <w:rFonts w:hint="eastAsia" w:ascii="宋体" w:hAnsi="宋体" w:cs="宋体"/>
                <w:bCs/>
                <w:snapToGrid w:val="0"/>
                <w:color w:val="auto"/>
                <w:kern w:val="0"/>
                <w:szCs w:val="24"/>
                <w:highlight w:val="none"/>
              </w:rPr>
              <w:t>年</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月</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日</w:t>
            </w:r>
            <w:r>
              <w:rPr>
                <w:rFonts w:hint="eastAsia" w:ascii="宋体" w:hAnsi="宋体" w:cs="宋体"/>
                <w:bCs/>
                <w:snapToGrid w:val="0"/>
                <w:color w:val="auto"/>
                <w:kern w:val="0"/>
                <w:szCs w:val="24"/>
                <w:highlight w:val="none"/>
                <w:u w:val="single"/>
              </w:rPr>
              <w:t>17</w:t>
            </w:r>
            <w:r>
              <w:rPr>
                <w:rFonts w:hint="eastAsia" w:ascii="宋体" w:hAnsi="宋体" w:cs="宋体"/>
                <w:bCs/>
                <w:snapToGrid w:val="0"/>
                <w:color w:val="auto"/>
                <w:kern w:val="0"/>
                <w:szCs w:val="24"/>
                <w:highlight w:val="none"/>
              </w:rPr>
              <w:t>时</w:t>
            </w:r>
            <w:r>
              <w:rPr>
                <w:rFonts w:hint="eastAsia" w:ascii="宋体" w:hAnsi="宋体" w:cs="宋体"/>
                <w:bCs/>
                <w:snapToGrid w:val="0"/>
                <w:color w:val="auto"/>
                <w:kern w:val="0"/>
                <w:szCs w:val="24"/>
                <w:highlight w:val="none"/>
                <w:u w:val="single"/>
              </w:rPr>
              <w:t>30</w:t>
            </w:r>
            <w:r>
              <w:rPr>
                <w:rFonts w:hint="eastAsia" w:ascii="宋体" w:hAnsi="宋体" w:cs="宋体"/>
                <w:bCs/>
                <w:snapToGrid w:val="0"/>
                <w:color w:val="auto"/>
                <w:kern w:val="0"/>
                <w:szCs w:val="24"/>
                <w:highlight w:val="none"/>
              </w:rPr>
              <w:t>分前</w:t>
            </w:r>
            <w:r>
              <w:rPr>
                <w:rFonts w:hint="eastAsia" w:ascii="宋体" w:hAnsi="宋体" w:cs="宋体"/>
                <w:color w:val="auto"/>
                <w:szCs w:val="24"/>
                <w:highlight w:val="none"/>
              </w:rPr>
              <w:t>。</w:t>
            </w:r>
          </w:p>
          <w:p w14:paraId="7ACB4390">
            <w:pPr>
              <w:ind w:firstLine="0" w:firstLineChars="0"/>
              <w:rPr>
                <w:rFonts w:hint="eastAsia" w:ascii="宋体" w:hAnsi="宋体" w:cs="宋体"/>
                <w:color w:val="auto"/>
                <w:szCs w:val="24"/>
                <w:highlight w:val="none"/>
              </w:rPr>
            </w:pPr>
            <w:r>
              <w:rPr>
                <w:rFonts w:hint="eastAsia" w:ascii="宋体" w:hAnsi="宋体" w:cs="宋体"/>
                <w:bCs/>
                <w:snapToGrid w:val="0"/>
                <w:color w:val="auto"/>
                <w:kern w:val="0"/>
                <w:szCs w:val="24"/>
                <w:highlight w:val="none"/>
              </w:rPr>
              <w:t>形式：</w:t>
            </w:r>
            <w:r>
              <w:rPr>
                <w:rFonts w:hint="eastAsia" w:ascii="宋体" w:hAnsi="宋体" w:cs="宋体"/>
                <w:color w:val="auto"/>
                <w:szCs w:val="24"/>
                <w:highlight w:val="none"/>
              </w:rPr>
              <w:t>通过电子交易系统在线提出。</w:t>
            </w:r>
          </w:p>
        </w:tc>
      </w:tr>
      <w:tr w14:paraId="6994BE0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D1E5AA4">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2.2.2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1D75460">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招标文件澄清发出的形式</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9222B8D">
            <w:pPr>
              <w:ind w:firstLine="0" w:firstLineChars="0"/>
              <w:rPr>
                <w:rFonts w:hint="eastAsia" w:ascii="宋体" w:hAnsi="宋体" w:cs="宋体"/>
                <w:color w:val="auto"/>
                <w:szCs w:val="24"/>
                <w:highlight w:val="none"/>
              </w:rPr>
            </w:pPr>
            <w:r>
              <w:rPr>
                <w:rFonts w:hint="eastAsia" w:ascii="宋体" w:hAnsi="宋体" w:cs="宋体"/>
                <w:color w:val="auto"/>
                <w:szCs w:val="24"/>
                <w:highlight w:val="none"/>
              </w:rPr>
              <w:t>通过电子服务系统发出</w:t>
            </w:r>
          </w:p>
        </w:tc>
      </w:tr>
      <w:tr w14:paraId="0B4E274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70E6273">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2.3.1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1C1818F">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招标文件修改发出的形式</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195C380">
            <w:pPr>
              <w:ind w:firstLine="0" w:firstLineChars="0"/>
              <w:rPr>
                <w:rFonts w:hint="eastAsia" w:ascii="宋体" w:hAnsi="宋体" w:cs="宋体"/>
                <w:color w:val="auto"/>
                <w:szCs w:val="24"/>
                <w:highlight w:val="none"/>
              </w:rPr>
            </w:pPr>
            <w:r>
              <w:rPr>
                <w:rFonts w:hint="eastAsia" w:ascii="宋体" w:hAnsi="宋体" w:cs="宋体"/>
                <w:color w:val="auto"/>
                <w:szCs w:val="24"/>
                <w:highlight w:val="none"/>
              </w:rPr>
              <w:t>通过电子服务系统发出</w:t>
            </w:r>
          </w:p>
        </w:tc>
      </w:tr>
      <w:tr w14:paraId="3CBBEF4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F551D68">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3.2.1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C96CC50">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增值税税金相关要求</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2E547C50">
            <w:pPr>
              <w:snapToGrid w:val="0"/>
              <w:ind w:firstLine="0" w:firstLineChars="0"/>
              <w:rPr>
                <w:rFonts w:hint="eastAsia" w:ascii="宋体" w:hAnsi="宋体" w:cs="宋体"/>
                <w:bCs/>
                <w:snapToGrid w:val="0"/>
                <w:color w:val="auto"/>
                <w:szCs w:val="24"/>
                <w:highlight w:val="none"/>
              </w:rPr>
            </w:pPr>
            <w:r>
              <w:rPr>
                <w:rFonts w:hint="eastAsia" w:ascii="宋体" w:hAnsi="宋体" w:cs="宋体"/>
                <w:bCs/>
                <w:snapToGrid w:val="0"/>
                <w:color w:val="auto"/>
                <w:szCs w:val="24"/>
                <w:highlight w:val="none"/>
              </w:rPr>
              <w:t>（1）计税方法：</w:t>
            </w:r>
          </w:p>
          <w:p w14:paraId="54095255">
            <w:pPr>
              <w:snapToGrid w:val="0"/>
              <w:ind w:firstLine="0" w:firstLineChars="0"/>
              <w:rPr>
                <w:rFonts w:hint="eastAsia" w:ascii="宋体" w:hAnsi="宋体" w:cs="宋体"/>
                <w:bCs/>
                <w:snapToGrid w:val="0"/>
                <w:color w:val="auto"/>
                <w:szCs w:val="24"/>
                <w:highlight w:val="none"/>
              </w:rPr>
            </w:pPr>
            <w:r>
              <w:rPr>
                <w:rFonts w:hint="eastAsia" w:ascii="宋体" w:hAnsi="宋体" w:cs="宋体"/>
                <w:color w:val="auto"/>
                <w:szCs w:val="24"/>
                <w:highlight w:val="none"/>
              </w:rPr>
              <w:t>☑</w:t>
            </w:r>
            <w:r>
              <w:rPr>
                <w:rFonts w:hint="eastAsia" w:ascii="宋体" w:hAnsi="宋体" w:cs="宋体"/>
                <w:bCs/>
                <w:snapToGrid w:val="0"/>
                <w:color w:val="auto"/>
                <w:szCs w:val="24"/>
                <w:highlight w:val="none"/>
              </w:rPr>
              <w:t>一般计税方法</w:t>
            </w:r>
          </w:p>
          <w:p w14:paraId="2579E28A">
            <w:pPr>
              <w:snapToGrid w:val="0"/>
              <w:ind w:firstLine="0" w:firstLineChars="0"/>
              <w:rPr>
                <w:rFonts w:hint="eastAsia" w:ascii="宋体" w:hAnsi="宋体" w:cs="宋体"/>
                <w:bCs/>
                <w:snapToGrid w:val="0"/>
                <w:color w:val="auto"/>
                <w:szCs w:val="24"/>
                <w:highlight w:val="none"/>
              </w:rPr>
            </w:pPr>
            <w:r>
              <w:rPr>
                <w:rFonts w:hint="eastAsia" w:ascii="宋体" w:hAnsi="宋体" w:cs="宋体"/>
                <w:bCs/>
                <w:snapToGrid w:val="0"/>
                <w:color w:val="auto"/>
                <w:szCs w:val="24"/>
                <w:highlight w:val="none"/>
              </w:rPr>
              <w:t xml:space="preserve">□简易计算方法 </w:t>
            </w:r>
          </w:p>
          <w:p w14:paraId="4F244839">
            <w:pPr>
              <w:snapToGrid w:val="0"/>
              <w:ind w:firstLine="0" w:firstLineChars="0"/>
              <w:rPr>
                <w:rFonts w:hint="eastAsia" w:ascii="宋体" w:hAnsi="宋体" w:cs="宋体"/>
                <w:bCs/>
                <w:snapToGrid w:val="0"/>
                <w:color w:val="auto"/>
                <w:szCs w:val="24"/>
                <w:highlight w:val="none"/>
              </w:rPr>
            </w:pPr>
            <w:r>
              <w:rPr>
                <w:rFonts w:hint="eastAsia" w:ascii="宋体" w:hAnsi="宋体" w:cs="宋体"/>
                <w:bCs/>
                <w:snapToGrid w:val="0"/>
                <w:color w:val="auto"/>
                <w:szCs w:val="24"/>
                <w:highlight w:val="none"/>
              </w:rPr>
              <w:t>（2）发票类型：</w:t>
            </w:r>
          </w:p>
          <w:p w14:paraId="2BDA7515">
            <w:pPr>
              <w:snapToGrid w:val="0"/>
              <w:ind w:firstLine="0" w:firstLineChars="0"/>
              <w:rPr>
                <w:rFonts w:hint="eastAsia" w:ascii="宋体" w:hAnsi="宋体" w:cs="宋体"/>
                <w:bCs/>
                <w:snapToGrid w:val="0"/>
                <w:color w:val="auto"/>
                <w:szCs w:val="24"/>
                <w:highlight w:val="none"/>
              </w:rPr>
            </w:pPr>
            <w:r>
              <w:rPr>
                <w:rFonts w:hint="eastAsia" w:ascii="宋体" w:hAnsi="宋体" w:cs="宋体"/>
                <w:color w:val="auto"/>
                <w:szCs w:val="24"/>
                <w:highlight w:val="none"/>
              </w:rPr>
              <w:t>☑</w:t>
            </w:r>
            <w:r>
              <w:rPr>
                <w:rFonts w:hint="eastAsia" w:ascii="宋体" w:hAnsi="宋体" w:cs="宋体"/>
                <w:bCs/>
                <w:snapToGrid w:val="0"/>
                <w:color w:val="auto"/>
                <w:szCs w:val="24"/>
                <w:highlight w:val="none"/>
              </w:rPr>
              <w:t>增值税专用发票</w:t>
            </w:r>
          </w:p>
          <w:p w14:paraId="7DFDAD59">
            <w:pPr>
              <w:snapToGrid w:val="0"/>
              <w:ind w:firstLine="0" w:firstLineChars="0"/>
              <w:rPr>
                <w:rFonts w:hint="eastAsia" w:ascii="宋体" w:hAnsi="宋体" w:cs="宋体"/>
                <w:bCs/>
                <w:snapToGrid w:val="0"/>
                <w:color w:val="auto"/>
                <w:szCs w:val="24"/>
                <w:highlight w:val="none"/>
              </w:rPr>
            </w:pPr>
            <w:r>
              <w:rPr>
                <w:rFonts w:hint="eastAsia" w:ascii="宋体" w:hAnsi="宋体" w:cs="宋体"/>
                <w:bCs/>
                <w:snapToGrid w:val="0"/>
                <w:color w:val="auto"/>
                <w:szCs w:val="24"/>
                <w:highlight w:val="none"/>
              </w:rPr>
              <w:t>□增值税普通发票</w:t>
            </w:r>
          </w:p>
          <w:p w14:paraId="18885BC9">
            <w:pPr>
              <w:snapToGrid w:val="0"/>
              <w:ind w:firstLine="0" w:firstLineChars="0"/>
              <w:rPr>
                <w:rFonts w:hint="eastAsia" w:ascii="宋体" w:hAnsi="宋体" w:cs="宋体"/>
                <w:bCs/>
                <w:snapToGrid w:val="0"/>
                <w:color w:val="auto"/>
                <w:szCs w:val="24"/>
                <w:highlight w:val="none"/>
              </w:rPr>
            </w:pPr>
            <w:r>
              <w:rPr>
                <w:rFonts w:hint="eastAsia" w:ascii="宋体" w:hAnsi="宋体" w:cs="宋体"/>
                <w:bCs/>
                <w:snapToGrid w:val="0"/>
                <w:color w:val="auto"/>
                <w:szCs w:val="24"/>
                <w:highlight w:val="none"/>
              </w:rPr>
              <w:t>（3）增值税税率按照国家有关规定执行。</w:t>
            </w:r>
          </w:p>
          <w:p w14:paraId="0CF27D5A">
            <w:pPr>
              <w:snapToGrid w:val="0"/>
              <w:ind w:firstLine="0" w:firstLineChars="0"/>
              <w:rPr>
                <w:rFonts w:hint="eastAsia" w:ascii="宋体" w:hAnsi="宋体" w:cs="宋体"/>
                <w:color w:val="auto"/>
                <w:szCs w:val="24"/>
                <w:highlight w:val="none"/>
              </w:rPr>
            </w:pPr>
            <w:r>
              <w:rPr>
                <w:rFonts w:hint="eastAsia" w:ascii="宋体" w:hAnsi="宋体" w:cs="宋体"/>
                <w:bCs/>
                <w:snapToGrid w:val="0"/>
                <w:color w:val="auto"/>
                <w:szCs w:val="24"/>
                <w:highlight w:val="none"/>
              </w:rPr>
              <w:t>（4）</w:t>
            </w:r>
            <w:r>
              <w:rPr>
                <w:rFonts w:hint="eastAsia"/>
                <w:color w:val="auto"/>
                <w:highlight w:val="none"/>
              </w:rPr>
              <w:t>注册地不在合肥市行政区域范围（含四县一市）的中标人，应按照国家税务总局规定，在建筑服务发生地及时足额预缴增值税。</w:t>
            </w:r>
          </w:p>
        </w:tc>
      </w:tr>
      <w:tr w14:paraId="365E2B1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07D1AF2">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3.2.3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2E3F2C7">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报价方式</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21662466">
            <w:pPr>
              <w:ind w:firstLine="0" w:firstLineChars="0"/>
              <w:rPr>
                <w:rFonts w:hint="eastAsia" w:ascii="宋体" w:hAnsi="宋体" w:cs="宋体"/>
                <w:color w:val="auto"/>
                <w:szCs w:val="24"/>
                <w:highlight w:val="none"/>
              </w:rPr>
            </w:pPr>
            <w:r>
              <w:rPr>
                <w:rFonts w:hint="eastAsia" w:ascii="宋体" w:hAnsi="宋体" w:cs="宋体"/>
                <w:color w:val="auto"/>
                <w:szCs w:val="24"/>
                <w:highlight w:val="none"/>
                <w:lang w:eastAsia="zh-CN"/>
              </w:rPr>
              <w:t>☑</w:t>
            </w:r>
            <w:r>
              <w:rPr>
                <w:rFonts w:hint="eastAsia" w:ascii="宋体" w:hAnsi="宋体" w:cs="宋体"/>
                <w:color w:val="auto"/>
                <w:szCs w:val="24"/>
                <w:highlight w:val="none"/>
              </w:rPr>
              <w:t>总价：</w:t>
            </w:r>
          </w:p>
          <w:p w14:paraId="1D5C35CF">
            <w:pPr>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□单价：</w:t>
            </w:r>
            <w:r>
              <w:rPr>
                <w:rFonts w:hint="eastAsia" w:ascii="宋体" w:hAnsi="宋体" w:cs="宋体"/>
                <w:bCs/>
                <w:snapToGrid w:val="0"/>
                <w:color w:val="auto"/>
                <w:kern w:val="0"/>
                <w:szCs w:val="24"/>
                <w:highlight w:val="none"/>
                <w:u w:val="single"/>
              </w:rPr>
              <w:t xml:space="preserve">      </w:t>
            </w:r>
          </w:p>
          <w:p w14:paraId="6B858BA6">
            <w:pPr>
              <w:ind w:firstLine="0" w:firstLineChars="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eastAsia="zh-CN"/>
              </w:rPr>
              <w:t>□</w:t>
            </w:r>
            <w:r>
              <w:rPr>
                <w:rFonts w:hint="eastAsia" w:ascii="宋体" w:hAnsi="宋体" w:cs="宋体"/>
                <w:color w:val="auto"/>
                <w:szCs w:val="24"/>
                <w:highlight w:val="none"/>
              </w:rPr>
              <w:t>费率：</w:t>
            </w:r>
            <w:r>
              <w:rPr>
                <w:rFonts w:hint="eastAsia" w:ascii="宋体" w:hAnsi="宋体" w:cs="宋体"/>
                <w:bCs/>
                <w:snapToGrid w:val="0"/>
                <w:color w:val="auto"/>
                <w:kern w:val="0"/>
                <w:szCs w:val="24"/>
                <w:highlight w:val="none"/>
                <w:u w:val="single"/>
              </w:rPr>
              <w:t xml:space="preserve"> </w:t>
            </w:r>
            <w:r>
              <w:rPr>
                <w:rFonts w:hint="eastAsia" w:ascii="宋体" w:hAnsi="宋体" w:cs="宋体"/>
                <w:bCs/>
                <w:snapToGrid w:val="0"/>
                <w:color w:val="auto"/>
                <w:kern w:val="0"/>
                <w:szCs w:val="24"/>
                <w:highlight w:val="none"/>
                <w:u w:val="single"/>
                <w:lang w:val="en-US" w:eastAsia="zh-CN"/>
              </w:rPr>
              <w:t xml:space="preserve">     </w:t>
            </w:r>
          </w:p>
          <w:p w14:paraId="6EDD6BEE">
            <w:pPr>
              <w:ind w:firstLine="0" w:firstLineChars="0"/>
              <w:rPr>
                <w:rFonts w:hint="eastAsia" w:ascii="宋体" w:hAnsi="宋体" w:cs="宋体"/>
                <w:color w:val="auto"/>
                <w:szCs w:val="24"/>
                <w:highlight w:val="none"/>
                <w:u w:val="single"/>
              </w:rPr>
            </w:pPr>
            <w:r>
              <w:rPr>
                <w:rFonts w:hint="eastAsia" w:ascii="宋体" w:hAnsi="宋体" w:cs="宋体"/>
                <w:color w:val="auto"/>
                <w:szCs w:val="24"/>
                <w:highlight w:val="none"/>
              </w:rPr>
              <w:t>□定价：</w:t>
            </w:r>
            <w:r>
              <w:rPr>
                <w:rFonts w:hint="eastAsia" w:ascii="宋体" w:hAnsi="宋体" w:cs="宋体"/>
                <w:bCs/>
                <w:snapToGrid w:val="0"/>
                <w:color w:val="auto"/>
                <w:kern w:val="0"/>
                <w:szCs w:val="24"/>
                <w:highlight w:val="none"/>
                <w:u w:val="single"/>
              </w:rPr>
              <w:t xml:space="preserve">      </w:t>
            </w:r>
          </w:p>
        </w:tc>
      </w:tr>
      <w:tr w14:paraId="20A5F67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F34D89D">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3.2.4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6AB1F4B">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最高投标限价</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230DA51B">
            <w:pPr>
              <w:snapToGrid w:val="0"/>
              <w:ind w:firstLine="0" w:firstLineChars="0"/>
              <w:rPr>
                <w:rFonts w:hint="eastAsia" w:ascii="宋体" w:hAnsi="宋体" w:cs="宋体"/>
                <w:bCs/>
                <w:snapToGrid w:val="0"/>
                <w:color w:val="auto"/>
                <w:kern w:val="0"/>
                <w:szCs w:val="24"/>
                <w:highlight w:val="none"/>
              </w:rPr>
            </w:pPr>
            <w:r>
              <w:rPr>
                <w:rFonts w:hint="eastAsia" w:ascii="宋体" w:hAnsi="宋体" w:cs="宋体"/>
                <w:color w:val="auto"/>
                <w:szCs w:val="24"/>
                <w:highlight w:val="none"/>
              </w:rPr>
              <w:t>□</w:t>
            </w:r>
            <w:r>
              <w:rPr>
                <w:rFonts w:hint="eastAsia" w:ascii="宋体" w:hAnsi="宋体" w:cs="宋体"/>
                <w:bCs/>
                <w:snapToGrid w:val="0"/>
                <w:color w:val="auto"/>
                <w:kern w:val="0"/>
                <w:szCs w:val="24"/>
                <w:highlight w:val="none"/>
              </w:rPr>
              <w:t>无</w:t>
            </w:r>
          </w:p>
          <w:p w14:paraId="1717570A">
            <w:pPr>
              <w:snapToGrid w:val="0"/>
              <w:ind w:firstLine="0" w:firstLineChars="0"/>
              <w:rPr>
                <w:rFonts w:hint="eastAsia" w:ascii="宋体" w:hAnsi="宋体" w:cs="宋体"/>
                <w:b w:val="0"/>
                <w:bCs/>
                <w:snapToGrid w:val="0"/>
                <w:color w:val="auto"/>
                <w:kern w:val="0"/>
                <w:szCs w:val="24"/>
                <w:highlight w:val="none"/>
                <w:u w:val="single"/>
                <w:lang w:val="en-US" w:eastAsia="zh-CN"/>
              </w:rPr>
            </w:pPr>
            <w:r>
              <w:rPr>
                <w:rFonts w:hint="eastAsia" w:ascii="宋体" w:hAnsi="宋体" w:cs="宋体"/>
                <w:color w:val="auto"/>
                <w:szCs w:val="24"/>
                <w:highlight w:val="none"/>
              </w:rPr>
              <w:t>☑</w:t>
            </w:r>
            <w:r>
              <w:rPr>
                <w:rFonts w:hint="eastAsia" w:ascii="宋体" w:hAnsi="宋体" w:cs="宋体"/>
                <w:bCs/>
                <w:snapToGrid w:val="0"/>
                <w:color w:val="auto"/>
                <w:kern w:val="0"/>
                <w:szCs w:val="24"/>
                <w:highlight w:val="none"/>
              </w:rPr>
              <w:t>有，最高投标限价</w:t>
            </w:r>
            <w:r>
              <w:rPr>
                <w:rFonts w:hint="eastAsia" w:ascii="宋体" w:hAnsi="宋体" w:cs="宋体"/>
                <w:b w:val="0"/>
                <w:bCs/>
                <w:snapToGrid w:val="0"/>
                <w:color w:val="auto"/>
                <w:kern w:val="0"/>
                <w:szCs w:val="24"/>
                <w:highlight w:val="none"/>
                <w:u w:val="single"/>
              </w:rPr>
              <w:t xml:space="preserve"> </w:t>
            </w:r>
            <w:r>
              <w:rPr>
                <w:rFonts w:hint="eastAsia" w:ascii="宋体" w:hAnsi="宋体" w:cs="宋体"/>
                <w:b w:val="0"/>
                <w:bCs/>
                <w:snapToGrid w:val="0"/>
                <w:color w:val="auto"/>
                <w:kern w:val="0"/>
                <w:szCs w:val="24"/>
                <w:highlight w:val="none"/>
                <w:u w:val="single"/>
                <w:lang w:val="en-US" w:eastAsia="zh-CN"/>
              </w:rPr>
              <w:t>318万</w:t>
            </w:r>
            <w:r>
              <w:rPr>
                <w:rFonts w:hint="eastAsia" w:ascii="宋体" w:hAnsi="宋体" w:cs="宋体"/>
                <w:b w:val="0"/>
                <w:bCs/>
                <w:snapToGrid w:val="0"/>
                <w:color w:val="auto"/>
                <w:kern w:val="0"/>
                <w:szCs w:val="24"/>
                <w:highlight w:val="none"/>
                <w:u w:val="single"/>
                <w:lang w:val="en-US" w:eastAsia="zh-CN"/>
              </w:rPr>
              <w:t xml:space="preserve">元 </w:t>
            </w:r>
          </w:p>
          <w:p w14:paraId="4432BE1A">
            <w:pPr>
              <w:ind w:firstLine="0" w:firstLineChars="0"/>
              <w:rPr>
                <w:color w:val="auto"/>
                <w:highlight w:val="none"/>
              </w:rPr>
            </w:pPr>
            <w:r>
              <w:rPr>
                <w:rFonts w:hint="eastAsia" w:ascii="宋体" w:hAnsi="宋体" w:cs="宋体"/>
                <w:bCs/>
                <w:snapToGrid w:val="0"/>
                <w:color w:val="auto"/>
                <w:kern w:val="0"/>
                <w:szCs w:val="24"/>
                <w:highlight w:val="none"/>
              </w:rPr>
              <w:t>最高投标限价</w:t>
            </w:r>
            <w:r>
              <w:rPr>
                <w:rFonts w:hint="eastAsia" w:ascii="宋体" w:hAnsi="宋体" w:cs="宋体"/>
                <w:bCs/>
                <w:snapToGrid w:val="0"/>
                <w:color w:val="auto"/>
                <w:kern w:val="0"/>
                <w:szCs w:val="24"/>
                <w:highlight w:val="none"/>
                <w:u w:val="single"/>
              </w:rPr>
              <w:t>为</w:t>
            </w:r>
            <w:r>
              <w:rPr>
                <w:rFonts w:hint="eastAsia" w:ascii="宋体" w:hAnsi="宋体" w:cs="宋体"/>
                <w:bCs/>
                <w:snapToGrid w:val="0"/>
                <w:color w:val="auto"/>
                <w:kern w:val="0"/>
                <w:szCs w:val="24"/>
                <w:highlight w:val="none"/>
                <w:u w:val="single"/>
                <w:lang w:val="en-US" w:eastAsia="zh-CN"/>
              </w:rPr>
              <w:t xml:space="preserve"> 318</w:t>
            </w:r>
            <w:r>
              <w:rPr>
                <w:rFonts w:hint="eastAsia" w:ascii="宋体" w:hAnsi="宋体" w:cs="宋体"/>
                <w:bCs/>
                <w:snapToGrid w:val="0"/>
                <w:color w:val="auto"/>
                <w:kern w:val="0"/>
                <w:szCs w:val="24"/>
                <w:highlight w:val="none"/>
                <w:u w:val="single"/>
              </w:rPr>
              <w:t>万元，如投标报价超过</w:t>
            </w:r>
            <w:r>
              <w:rPr>
                <w:rFonts w:hint="eastAsia" w:ascii="宋体" w:hAnsi="宋体" w:cs="宋体"/>
                <w:bCs/>
                <w:snapToGrid w:val="0"/>
                <w:color w:val="auto"/>
                <w:kern w:val="0"/>
                <w:szCs w:val="24"/>
                <w:highlight w:val="none"/>
              </w:rPr>
              <w:t>最高投标限价</w:t>
            </w:r>
            <w:r>
              <w:rPr>
                <w:rFonts w:hint="eastAsia" w:ascii="宋体" w:hAnsi="宋体" w:cs="宋体"/>
                <w:bCs/>
                <w:snapToGrid w:val="0"/>
                <w:color w:val="auto"/>
                <w:kern w:val="0"/>
                <w:szCs w:val="24"/>
                <w:highlight w:val="none"/>
                <w:u w:val="single"/>
              </w:rPr>
              <w:t>将导致投标无效。</w:t>
            </w:r>
          </w:p>
        </w:tc>
      </w:tr>
      <w:tr w14:paraId="78D7B18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54C0F1D">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3.2.5</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3A6CBDB">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投标报价的其他要求</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7D3F7CE">
            <w:pPr>
              <w:numPr>
                <w:ilvl w:val="0"/>
                <w:numId w:val="1"/>
              </w:numPr>
              <w:ind w:firstLine="0" w:firstLineChars="0"/>
              <w:rPr>
                <w:rFonts w:hint="eastAsia" w:ascii="宋体" w:hAnsi="宋体" w:cs="宋体"/>
                <w:color w:val="auto"/>
                <w:szCs w:val="24"/>
                <w:highlight w:val="none"/>
              </w:rPr>
            </w:pPr>
            <w:r>
              <w:rPr>
                <w:rFonts w:hint="eastAsia" w:ascii="宋体" w:hAnsi="宋体" w:cs="宋体"/>
                <w:color w:val="auto"/>
                <w:szCs w:val="24"/>
                <w:highlight w:val="none"/>
              </w:rPr>
              <w:t>投标人应结合本项目的区域特点</w:t>
            </w:r>
            <w:r>
              <w:rPr>
                <w:rFonts w:hint="eastAsia" w:ascii="宋体" w:hAnsi="宋体" w:cs="宋体"/>
                <w:color w:val="auto"/>
                <w:szCs w:val="24"/>
                <w:highlight w:val="none"/>
                <w:lang w:eastAsia="zh-CN"/>
              </w:rPr>
              <w:t>，</w:t>
            </w:r>
            <w:r>
              <w:rPr>
                <w:rFonts w:hint="eastAsia" w:ascii="宋体" w:hAnsi="宋体" w:cs="宋体"/>
                <w:color w:val="auto"/>
                <w:szCs w:val="24"/>
                <w:highlight w:val="none"/>
              </w:rPr>
              <w:t>根据自身综合实力、市场行情等因素综合考虑。</w:t>
            </w:r>
          </w:p>
          <w:p w14:paraId="062C8805">
            <w:pPr>
              <w:ind w:firstLine="0" w:firstLineChars="0"/>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、见“第五章 委托人要求”</w:t>
            </w:r>
          </w:p>
        </w:tc>
      </w:tr>
      <w:tr w14:paraId="384854B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E21FA21">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3.3.1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24E58B1">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投标有效期</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66156083">
            <w:pPr>
              <w:ind w:firstLine="0" w:firstLineChars="0"/>
              <w:rPr>
                <w:rFonts w:hint="eastAsia" w:ascii="宋体" w:hAnsi="宋体" w:cs="宋体"/>
                <w:color w:val="auto"/>
                <w:szCs w:val="24"/>
                <w:highlight w:val="none"/>
              </w:rPr>
            </w:pPr>
            <w:bookmarkStart w:id="35" w:name="_Toc1789"/>
            <w:bookmarkStart w:id="36" w:name="_Toc300834946"/>
            <w:bookmarkStart w:id="37" w:name="_Toc384308207"/>
            <w:bookmarkStart w:id="38" w:name="_Toc352691470"/>
            <w:bookmarkStart w:id="39" w:name="_Toc369531512"/>
            <w:bookmarkStart w:id="40" w:name="_Toc361508582"/>
            <w:r>
              <w:rPr>
                <w:rFonts w:hint="eastAsia" w:ascii="宋体" w:hAnsi="宋体" w:cs="宋体"/>
                <w:snapToGrid w:val="0"/>
                <w:color w:val="auto"/>
                <w:kern w:val="0"/>
                <w:szCs w:val="24"/>
                <w:highlight w:val="none"/>
              </w:rPr>
              <w:t>自投标人递交投标文件截止之日起计算</w:t>
            </w:r>
            <w:r>
              <w:rPr>
                <w:rFonts w:hint="eastAsia" w:ascii="宋体" w:hAnsi="宋体" w:cs="宋体"/>
                <w:snapToGrid w:val="0"/>
                <w:color w:val="auto"/>
                <w:kern w:val="0"/>
                <w:szCs w:val="24"/>
                <w:highlight w:val="none"/>
                <w:u w:val="single"/>
                <w:lang w:val="en-US" w:eastAsia="zh-CN"/>
              </w:rPr>
              <w:t xml:space="preserve"> </w:t>
            </w:r>
            <w:r>
              <w:rPr>
                <w:rFonts w:hint="eastAsia" w:ascii="宋体" w:hAnsi="宋体" w:cs="宋体"/>
                <w:b w:val="0"/>
                <w:bCs w:val="0"/>
                <w:snapToGrid w:val="0"/>
                <w:color w:val="auto"/>
                <w:kern w:val="0"/>
                <w:szCs w:val="24"/>
                <w:highlight w:val="none"/>
                <w:u w:val="single"/>
              </w:rPr>
              <w:t>120</w:t>
            </w:r>
            <w:r>
              <w:rPr>
                <w:rFonts w:hint="eastAsia" w:ascii="宋体" w:hAnsi="宋体" w:cs="宋体"/>
                <w:snapToGrid w:val="0"/>
                <w:color w:val="auto"/>
                <w:kern w:val="0"/>
                <w:szCs w:val="24"/>
                <w:highlight w:val="none"/>
                <w:u w:val="single"/>
                <w:lang w:val="en-US" w:eastAsia="zh-CN"/>
              </w:rPr>
              <w:t xml:space="preserve"> </w:t>
            </w:r>
            <w:r>
              <w:rPr>
                <w:rFonts w:hint="eastAsia" w:ascii="宋体" w:hAnsi="宋体" w:cs="宋体"/>
                <w:snapToGrid w:val="0"/>
                <w:color w:val="auto"/>
                <w:kern w:val="0"/>
                <w:szCs w:val="24"/>
                <w:highlight w:val="none"/>
              </w:rPr>
              <w:t>日</w:t>
            </w:r>
          </w:p>
        </w:tc>
      </w:tr>
      <w:bookmarkEnd w:id="35"/>
      <w:bookmarkEnd w:id="36"/>
      <w:bookmarkEnd w:id="37"/>
      <w:bookmarkEnd w:id="38"/>
      <w:bookmarkEnd w:id="39"/>
      <w:bookmarkEnd w:id="40"/>
      <w:tr w14:paraId="65D1E62B">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BBF2B3A">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3.4.1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B5A963B">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投标保证金</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6644470B">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是否要求投标人提交投标保证金：</w:t>
            </w:r>
          </w:p>
          <w:p w14:paraId="33FB12A2">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不要求</w:t>
            </w:r>
          </w:p>
          <w:p w14:paraId="25D88456">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2" w:char="00A3"/>
            </w:r>
            <w:r>
              <w:rPr>
                <w:rFonts w:hint="eastAsia" w:ascii="宋体" w:hAnsi="宋体" w:eastAsia="宋体" w:cs="宋体"/>
                <w:bCs/>
                <w:color w:val="auto"/>
                <w:sz w:val="24"/>
                <w:szCs w:val="24"/>
                <w:highlight w:val="none"/>
              </w:rPr>
              <w:t>要求，具体如下：</w:t>
            </w:r>
          </w:p>
          <w:p w14:paraId="7366BDC7">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（1）投标保证金的金额：</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16F8B8B">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（2）投标保证金的形式：</w:t>
            </w:r>
          </w:p>
          <w:p w14:paraId="168EB189">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2" w:char="00A3"/>
            </w:r>
            <w:r>
              <w:rPr>
                <w:rFonts w:hint="eastAsia" w:ascii="宋体" w:hAnsi="宋体" w:eastAsia="宋体" w:cs="宋体"/>
                <w:bCs/>
                <w:color w:val="auto"/>
                <w:sz w:val="24"/>
                <w:szCs w:val="24"/>
                <w:highlight w:val="none"/>
              </w:rPr>
              <w:t>电子保函</w:t>
            </w:r>
          </w:p>
          <w:p w14:paraId="2A10CFE1">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2" w:char="00A3"/>
            </w:r>
            <w:r>
              <w:rPr>
                <w:rFonts w:hint="eastAsia" w:ascii="宋体" w:hAnsi="宋体" w:eastAsia="宋体" w:cs="宋体"/>
                <w:bCs/>
                <w:color w:val="auto"/>
                <w:sz w:val="24"/>
                <w:szCs w:val="24"/>
                <w:highlight w:val="none"/>
              </w:rPr>
              <w:t>现金（银行转账、银行电汇）</w:t>
            </w:r>
          </w:p>
          <w:p w14:paraId="141AE0C4">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2" w:char="00A3"/>
            </w:r>
            <w:r>
              <w:rPr>
                <w:rFonts w:hint="eastAsia" w:ascii="宋体" w:hAnsi="宋体" w:eastAsia="宋体" w:cs="宋体"/>
                <w:bCs/>
                <w:color w:val="auto"/>
                <w:sz w:val="24"/>
                <w:szCs w:val="24"/>
                <w:highlight w:val="none"/>
              </w:rPr>
              <w:t>纸质保函（</w:t>
            </w:r>
            <w:r>
              <w:rPr>
                <w:rFonts w:hint="eastAsia" w:ascii="宋体" w:hAnsi="宋体" w:eastAsia="宋体" w:cs="宋体"/>
                <w:bCs/>
                <w:color w:val="auto"/>
                <w:kern w:val="0"/>
                <w:sz w:val="24"/>
                <w:szCs w:val="24"/>
                <w:highlight w:val="none"/>
              </w:rPr>
              <w:t>纸质银行保函、纸质担保机构担保、纸质保证保险</w:t>
            </w:r>
            <w:r>
              <w:rPr>
                <w:rFonts w:hint="eastAsia" w:ascii="宋体" w:hAnsi="宋体" w:eastAsia="宋体" w:cs="宋体"/>
                <w:bCs/>
                <w:color w:val="auto"/>
                <w:sz w:val="24"/>
                <w:szCs w:val="24"/>
                <w:highlight w:val="none"/>
              </w:rPr>
              <w:t>）</w:t>
            </w:r>
          </w:p>
          <w:p w14:paraId="52E511E7">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注：本项目鼓励优先使用电子保函形式提交投标保证金。</w:t>
            </w:r>
          </w:p>
          <w:p w14:paraId="272C596A">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（3）具体要求：</w:t>
            </w:r>
          </w:p>
          <w:p w14:paraId="1531C6C8">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58AE3316">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②采用纸质银行保函的，应为投标人基本存款账户开户行出具的不可撤销、不可转让的见索即付独立保函。</w:t>
            </w:r>
          </w:p>
          <w:p w14:paraId="27BDF1B9">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③采用纸质担保机构担保的，应为经安徽省地方金融监督管理局审查批准，依法取得融资担保业务经营许可证的融资担保机构出具的不可撤销、不可转让的见索即付独立保函。</w:t>
            </w:r>
          </w:p>
          <w:p w14:paraId="4C0D69F1">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④采用纸质保证保险的，应为保险公司出具的不可撤销、不可转让的见索即付保证保险。</w:t>
            </w:r>
          </w:p>
          <w:p w14:paraId="3BF0F90F">
            <w:pPr>
              <w:snapToGrid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5CAB4733">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⑥采用电子保函的，请登录全国公共资源交易平台（安徽省•合肥市）（安徽合肥公共资源交易中心网站）“电子保函”栏目查看《合肥市（信易贷）电子保函平台投标保函操作手册》并按照操作手册规定内容办理。</w:t>
            </w:r>
          </w:p>
          <w:p w14:paraId="5A4E2224">
            <w:pPr>
              <w:snapToGrid w:val="0"/>
              <w:spacing w:line="360" w:lineRule="auto"/>
              <w:ind w:left="0" w:leftChars="0" w:firstLine="0" w:firstLineChars="0"/>
              <w:rPr>
                <w:rFonts w:hint="eastAsia" w:ascii="宋体" w:hAnsi="宋体" w:eastAsia="宋体" w:cs="宋体"/>
                <w:color w:val="auto"/>
                <w:sz w:val="24"/>
                <w:szCs w:val="16"/>
                <w:highlight w:val="none"/>
              </w:rPr>
            </w:pPr>
            <w:r>
              <w:rPr>
                <w:rFonts w:hint="eastAsia" w:ascii="宋体" w:hAnsi="宋体" w:eastAsia="宋体" w:cs="宋体"/>
                <w:color w:val="auto"/>
                <w:sz w:val="24"/>
                <w:szCs w:val="16"/>
                <w:highlight w:val="none"/>
              </w:rPr>
              <w:t>（4）是否</w:t>
            </w:r>
            <w:r>
              <w:rPr>
                <w:rFonts w:hint="eastAsia" w:ascii="宋体" w:hAnsi="宋体" w:eastAsia="宋体" w:cs="宋体"/>
                <w:bCs/>
                <w:color w:val="auto"/>
                <w:sz w:val="24"/>
                <w:szCs w:val="24"/>
                <w:highlight w:val="none"/>
              </w:rPr>
              <w:t>适用</w:t>
            </w:r>
            <w:r>
              <w:rPr>
                <w:rFonts w:hint="eastAsia" w:ascii="宋体" w:hAnsi="宋体" w:eastAsia="宋体" w:cs="宋体"/>
                <w:color w:val="auto"/>
                <w:sz w:val="24"/>
                <w:szCs w:val="16"/>
                <w:highlight w:val="none"/>
              </w:rPr>
              <w:t>免缴投标保证金政策：</w:t>
            </w:r>
          </w:p>
          <w:p w14:paraId="26B71364">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2" w:char="00A3"/>
            </w:r>
            <w:r>
              <w:rPr>
                <w:rFonts w:hint="eastAsia" w:ascii="宋体" w:hAnsi="宋体" w:eastAsia="宋体" w:cs="宋体"/>
                <w:bCs/>
                <w:color w:val="auto"/>
                <w:sz w:val="24"/>
                <w:szCs w:val="24"/>
                <w:highlight w:val="none"/>
              </w:rPr>
              <w:t>不适用</w:t>
            </w:r>
          </w:p>
          <w:p w14:paraId="33710736">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sym w:font="Wingdings 2" w:char="00A3"/>
            </w:r>
            <w:r>
              <w:rPr>
                <w:rFonts w:hint="eastAsia" w:ascii="宋体" w:hAnsi="宋体" w:eastAsia="宋体" w:cs="宋体"/>
                <w:bCs/>
                <w:color w:val="auto"/>
                <w:sz w:val="24"/>
                <w:szCs w:val="24"/>
                <w:highlight w:val="none"/>
              </w:rPr>
              <w:t>适用，适用免缴投标保证金的情形：</w:t>
            </w:r>
            <w:r>
              <w:rPr>
                <w:rFonts w:hint="eastAsia" w:ascii="宋体" w:hAnsi="宋体" w:eastAsia="宋体" w:cs="宋体"/>
                <w:bCs/>
                <w:color w:val="auto"/>
                <w:sz w:val="24"/>
                <w:szCs w:val="24"/>
                <w:highlight w:val="none"/>
                <w:u w:val="single"/>
              </w:rPr>
              <w:t xml:space="preserve">      </w:t>
            </w:r>
          </w:p>
          <w:p w14:paraId="47972A15">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（5）其他要求：</w:t>
            </w:r>
          </w:p>
          <w:p w14:paraId="25A82F11">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①特别提醒</w:t>
            </w:r>
          </w:p>
          <w:p w14:paraId="060E2420">
            <w:pPr>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10A11307">
            <w:pPr>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②投标保证金弄虚作假情形</w:t>
            </w:r>
          </w:p>
          <w:p w14:paraId="646D5A64">
            <w:pPr>
              <w:spacing w:line="360" w:lineRule="auto"/>
              <w:ind w:left="0" w:leftChars="0"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4D14B76B">
            <w:pPr>
              <w:snapToGrid w:val="0"/>
              <w:spacing w:line="360" w:lineRule="auto"/>
              <w:ind w:left="0" w:leftChars="0"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（6）投标保证金注意事项：</w:t>
            </w:r>
          </w:p>
          <w:p w14:paraId="78FD351C">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①投标人采用纸质保函形式的，须提供明确有效的查询途径（网址链接及查询方式），否则无效。</w:t>
            </w:r>
          </w:p>
          <w:p w14:paraId="7FDC573B">
            <w:pPr>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②保函存在明显异常情形的（如多家投标人的保函编号相同；保函存在明显伪造痕迹、内容前后矛盾等情形），评标委员会应根据投标人提供的查询途径进行核查，并在评标报告中予以记录。</w:t>
            </w:r>
          </w:p>
          <w:p w14:paraId="1E5D8500">
            <w:pPr>
              <w:snapToGrid w:val="0"/>
              <w:ind w:left="0" w:leftChars="0" w:firstLine="0" w:firstLineChars="0"/>
              <w:rPr>
                <w:rFonts w:hint="eastAsia" w:ascii="宋体" w:hAnsi="宋体" w:cs="宋体"/>
                <w:color w:val="auto"/>
                <w:szCs w:val="24"/>
                <w:highlight w:val="none"/>
              </w:rPr>
            </w:pPr>
            <w:r>
              <w:rPr>
                <w:rFonts w:hint="eastAsia" w:ascii="宋体" w:hAnsi="宋体" w:eastAsia="宋体" w:cs="宋体"/>
                <w:bCs/>
                <w:color w:val="auto"/>
                <w:sz w:val="24"/>
                <w:szCs w:val="24"/>
                <w:highlight w:val="none"/>
              </w:rPr>
              <w:t>③中标候选人须在中标候选人公示期间将其开具至本招标项目的纸质保函原件提交招标人（或招标代理机构），且原件须与投标文件中提供的扫描件一致，如存在未按照规定提交或提交内容不一致，或发现弄虚作假的，招标人（或招标代理机构）应报公共资源交易监督管理部门。</w:t>
            </w:r>
          </w:p>
        </w:tc>
      </w:tr>
      <w:tr w14:paraId="2463636C">
        <w:tblPrEx>
          <w:tblCellMar>
            <w:top w:w="0" w:type="dxa"/>
            <w:left w:w="108" w:type="dxa"/>
            <w:bottom w:w="0" w:type="dxa"/>
            <w:right w:w="108" w:type="dxa"/>
          </w:tblCellMar>
        </w:tblPrEx>
        <w:trPr>
          <w:trHeight w:val="9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70AB064">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3.4.3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AC17D1">
            <w:pPr>
              <w:snapToGrid w:val="0"/>
              <w:ind w:firstLine="0" w:firstLineChars="0"/>
              <w:jc w:val="center"/>
              <w:rPr>
                <w:rFonts w:hint="eastAsia" w:cs="宋体"/>
                <w:bCs/>
                <w:color w:val="auto"/>
                <w:szCs w:val="24"/>
                <w:highlight w:val="none"/>
              </w:rPr>
            </w:pPr>
            <w:r>
              <w:rPr>
                <w:rFonts w:hint="eastAsia" w:cs="宋体"/>
                <w:bCs/>
                <w:color w:val="auto"/>
                <w:szCs w:val="24"/>
                <w:highlight w:val="none"/>
              </w:rPr>
              <w:t>投标保证金的退还</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2B762314">
            <w:pPr>
              <w:snapToGrid w:val="0"/>
              <w:ind w:firstLine="0" w:firstLineChars="0"/>
              <w:rPr>
                <w:rFonts w:hint="eastAsia" w:cs="宋体"/>
                <w:bCs/>
                <w:color w:val="auto"/>
                <w:szCs w:val="24"/>
                <w:highlight w:val="none"/>
              </w:rPr>
            </w:pPr>
            <w:r>
              <w:rPr>
                <w:rFonts w:hint="eastAsia" w:cs="宋体"/>
                <w:bCs/>
                <w:color w:val="auto"/>
                <w:szCs w:val="24"/>
                <w:highlight w:val="none"/>
              </w:rPr>
              <w:t>按照安徽合肥公共资源交易中心《关于进一步优化投标保证金退还流程的通知》（合公中心〔2023〕3号）执行。</w:t>
            </w:r>
            <w:r>
              <w:rPr>
                <w:rFonts w:hint="eastAsia" w:ascii="Times New Roman" w:cs="宋体"/>
                <w:bCs/>
                <w:color w:val="auto"/>
                <w:sz w:val="24"/>
                <w:szCs w:val="24"/>
                <w:highlight w:val="none"/>
              </w:rPr>
              <w:t>如投标人采用现金</w:t>
            </w:r>
            <w:r>
              <w:rPr>
                <w:rFonts w:hint="eastAsia" w:ascii="Times New Roman" w:cs="宋体"/>
                <w:bCs/>
                <w:color w:val="auto"/>
                <w:sz w:val="24"/>
                <w:szCs w:val="24"/>
                <w:highlight w:val="none"/>
                <w:lang w:eastAsia="zh-CN"/>
              </w:rPr>
              <w:t>（</w:t>
            </w:r>
            <w:r>
              <w:rPr>
                <w:rFonts w:hint="eastAsia" w:ascii="Times New Roman" w:cs="宋体"/>
                <w:bCs/>
                <w:color w:val="auto"/>
                <w:sz w:val="24"/>
                <w:szCs w:val="24"/>
                <w:highlight w:val="none"/>
              </w:rPr>
              <w:t>银行转账、银行电汇</w:t>
            </w:r>
            <w:r>
              <w:rPr>
                <w:rFonts w:hint="eastAsia" w:ascii="Times New Roman" w:cs="宋体"/>
                <w:bCs/>
                <w:color w:val="auto"/>
                <w:sz w:val="24"/>
                <w:szCs w:val="24"/>
                <w:highlight w:val="none"/>
                <w:lang w:eastAsia="zh-CN"/>
              </w:rPr>
              <w:t>）</w:t>
            </w:r>
            <w:r>
              <w:rPr>
                <w:rFonts w:hint="eastAsia" w:ascii="Times New Roman" w:cs="宋体"/>
                <w:bCs/>
                <w:color w:val="auto"/>
                <w:sz w:val="24"/>
                <w:szCs w:val="24"/>
                <w:highlight w:val="none"/>
              </w:rPr>
              <w:t>形式提交保证金的，同时退还银行同期活期存款利息。</w:t>
            </w:r>
            <w:r>
              <w:rPr>
                <w:rFonts w:hint="eastAsia" w:cs="宋体"/>
                <w:bCs/>
                <w:color w:val="auto"/>
                <w:szCs w:val="24"/>
                <w:highlight w:val="none"/>
              </w:rPr>
              <w:t>（如有最新规定，按照最新规定执行）</w:t>
            </w:r>
          </w:p>
        </w:tc>
      </w:tr>
      <w:tr w14:paraId="63C71B6C">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5C0C533">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3.4.4（3）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0173B59">
            <w:pPr>
              <w:snapToGrid w:val="0"/>
              <w:ind w:firstLine="0" w:firstLineChars="0"/>
              <w:jc w:val="center"/>
              <w:rPr>
                <w:rFonts w:hint="eastAsia" w:ascii="宋体" w:hAnsi="宋体" w:cs="宋体"/>
                <w:color w:val="auto"/>
                <w:szCs w:val="24"/>
                <w:highlight w:val="none"/>
              </w:rPr>
            </w:pPr>
            <w:r>
              <w:rPr>
                <w:rFonts w:hint="eastAsia" w:cs="宋体"/>
                <w:bCs/>
                <w:color w:val="auto"/>
                <w:szCs w:val="24"/>
                <w:highlight w:val="none"/>
              </w:rPr>
              <w:t>其他不予退还投标保证金的情形</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09966DC5">
            <w:pPr>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cs="宋体"/>
                <w:color w:val="auto"/>
                <w:szCs w:val="24"/>
                <w:highlight w:val="none"/>
              </w:rPr>
            </w:pPr>
            <w:r>
              <w:rPr>
                <w:rFonts w:hint="eastAsia" w:ascii="宋体" w:hAnsi="宋体" w:eastAsia="宋体" w:cs="宋体"/>
                <w:color w:val="auto"/>
                <w:kern w:val="2"/>
                <w:sz w:val="24"/>
                <w:szCs w:val="24"/>
                <w:highlight w:val="none"/>
                <w:u w:val="single"/>
                <w:lang w:val="en-US" w:eastAsia="zh-CN" w:bidi="ar"/>
              </w:rPr>
              <w:t xml:space="preserve"> / </w:t>
            </w:r>
          </w:p>
        </w:tc>
      </w:tr>
      <w:tr w14:paraId="6F4BCF51">
        <w:tblPrEx>
          <w:tblCellMar>
            <w:top w:w="0" w:type="dxa"/>
            <w:left w:w="108" w:type="dxa"/>
            <w:bottom w:w="0" w:type="dxa"/>
            <w:right w:w="108" w:type="dxa"/>
          </w:tblCellMar>
        </w:tblPrEx>
        <w:trPr>
          <w:trHeight w:val="275"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D4BECB6">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3.6.1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274693C">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是否允许递交备选投标方案</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BCC9C5D">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☑不允许。</w:t>
            </w:r>
          </w:p>
          <w:p w14:paraId="7AEDD6E3">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□允许，具体要求：</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w:t>
            </w:r>
            <w:r>
              <w:rPr>
                <w:rFonts w:hint="eastAsia" w:ascii="宋体" w:hAnsi="宋体" w:cs="宋体"/>
                <w:color w:val="auto"/>
                <w:szCs w:val="24"/>
                <w:highlight w:val="none"/>
                <w:u w:val="single"/>
              </w:rPr>
              <w:t xml:space="preserve"> </w:t>
            </w:r>
          </w:p>
        </w:tc>
      </w:tr>
      <w:tr w14:paraId="2752D477">
        <w:tblPrEx>
          <w:tblCellMar>
            <w:top w:w="0" w:type="dxa"/>
            <w:left w:w="108" w:type="dxa"/>
            <w:bottom w:w="0" w:type="dxa"/>
            <w:right w:w="108" w:type="dxa"/>
          </w:tblCellMar>
        </w:tblPrEx>
        <w:trPr>
          <w:trHeight w:val="162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3717616">
            <w:pPr>
              <w:ind w:firstLine="0" w:firstLineChars="0"/>
              <w:jc w:val="center"/>
              <w:rPr>
                <w:color w:val="auto"/>
                <w:highlight w:val="none"/>
              </w:rPr>
            </w:pPr>
            <w:r>
              <w:rPr>
                <w:rFonts w:hint="eastAsia" w:ascii="宋体" w:hAnsi="宋体" w:cs="宋体"/>
                <w:color w:val="auto"/>
                <w:szCs w:val="24"/>
                <w:highlight w:val="none"/>
              </w:rPr>
              <w:t>3.7.1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6958A79">
            <w:pPr>
              <w:spacing w:line="440" w:lineRule="exact"/>
              <w:ind w:firstLine="0" w:firstLineChars="0"/>
              <w:jc w:val="center"/>
              <w:rPr>
                <w:color w:val="auto"/>
                <w:highlight w:val="none"/>
              </w:rPr>
            </w:pPr>
            <w:r>
              <w:rPr>
                <w:snapToGrid w:val="0"/>
                <w:color w:val="auto"/>
                <w:kern w:val="0"/>
                <w:szCs w:val="21"/>
                <w:highlight w:val="none"/>
                <w:shd w:val="clear" w:color="auto" w:fill="FFFFFF"/>
              </w:rPr>
              <w:t>监理大纲编制的特殊要求</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355A1734">
            <w:pPr>
              <w:snapToGrid w:val="0"/>
              <w:spacing w:line="360" w:lineRule="auto"/>
              <w:ind w:firstLine="0" w:firstLineChars="0"/>
              <w:rPr>
                <w:rFonts w:hint="eastAsia" w:ascii="宋体" w:hAnsi="宋体" w:cs="宋体"/>
                <w:color w:val="auto"/>
                <w:szCs w:val="24"/>
                <w:highlight w:val="none"/>
              </w:rPr>
            </w:pPr>
            <w:r>
              <w:rPr>
                <w:rFonts w:hint="eastAsia" w:ascii="宋体" w:hAnsi="宋体" w:cs="宋体"/>
                <w:color w:val="auto"/>
                <w:szCs w:val="24"/>
                <w:highlight w:val="none"/>
              </w:rPr>
              <w:t>1.本招标项目重点难点：</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rPr>
              <w:t>；</w:t>
            </w:r>
          </w:p>
          <w:p w14:paraId="1742D9F3">
            <w:pPr>
              <w:snapToGrid w:val="0"/>
              <w:spacing w:line="360" w:lineRule="auto"/>
              <w:ind w:firstLine="0" w:firstLineChars="0"/>
              <w:rPr>
                <w:rFonts w:hint="eastAsia" w:ascii="宋体" w:hAnsi="宋体" w:cs="宋体"/>
                <w:color w:val="auto"/>
                <w:szCs w:val="24"/>
                <w:highlight w:val="none"/>
              </w:rPr>
            </w:pPr>
            <w:r>
              <w:rPr>
                <w:rFonts w:hint="eastAsia" w:ascii="宋体" w:hAnsi="宋体" w:cs="宋体"/>
                <w:color w:val="auto"/>
                <w:szCs w:val="24"/>
                <w:highlight w:val="none"/>
              </w:rPr>
              <w:t>2.其他：</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rPr>
              <w:t>；</w:t>
            </w:r>
          </w:p>
          <w:p w14:paraId="3AFAD122">
            <w:pPr>
              <w:snapToGrid w:val="0"/>
              <w:spacing w:line="360" w:lineRule="auto"/>
              <w:ind w:firstLine="0" w:firstLineChars="0"/>
              <w:rPr>
                <w:color w:val="auto"/>
                <w:sz w:val="32"/>
                <w:highlight w:val="none"/>
              </w:rPr>
            </w:pPr>
            <w:r>
              <w:rPr>
                <w:rFonts w:hint="eastAsia" w:ascii="宋体" w:hAnsi="宋体" w:cs="宋体"/>
                <w:color w:val="auto"/>
                <w:sz w:val="24"/>
                <w:szCs w:val="24"/>
                <w:highlight w:val="none"/>
              </w:rPr>
              <w:t>3.监理大纲编制最多不超过</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color w:val="auto"/>
                <w:sz w:val="24"/>
                <w:szCs w:val="24"/>
                <w:highlight w:val="none"/>
              </w:rPr>
              <w:t>页（详见第三章 评标办法 商务、技术及报价文件详细评审标准</w:t>
            </w:r>
            <w:r>
              <w:rPr>
                <w:rFonts w:hint="eastAsia" w:ascii="宋体" w:hAnsi="宋体" w:cs="宋体"/>
                <w:color w:val="auto"/>
                <w:sz w:val="24"/>
                <w:szCs w:val="24"/>
                <w:highlight w:val="none"/>
                <w:lang w:val="en-US" w:eastAsia="zh-CN"/>
              </w:rPr>
              <w:t>-技术评分标准</w:t>
            </w:r>
            <w:r>
              <w:rPr>
                <w:rFonts w:hint="eastAsia" w:ascii="宋体" w:hAnsi="宋体" w:cs="宋体"/>
                <w:color w:val="auto"/>
                <w:sz w:val="24"/>
                <w:szCs w:val="24"/>
                <w:highlight w:val="none"/>
              </w:rPr>
              <w:t>）</w:t>
            </w:r>
            <w:r>
              <w:rPr>
                <w:color w:val="auto"/>
                <w:sz w:val="24"/>
                <w:szCs w:val="24"/>
                <w:highlight w:val="none"/>
              </w:rPr>
              <w:t>。</w:t>
            </w:r>
          </w:p>
        </w:tc>
      </w:tr>
      <w:tr w14:paraId="5B34A324">
        <w:tblPrEx>
          <w:tblCellMar>
            <w:top w:w="0" w:type="dxa"/>
            <w:left w:w="108" w:type="dxa"/>
            <w:bottom w:w="0" w:type="dxa"/>
            <w:right w:w="108" w:type="dxa"/>
          </w:tblCellMar>
        </w:tblPrEx>
        <w:trPr>
          <w:trHeight w:val="41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86A91EA">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3.7.4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FC56291">
            <w:pPr>
              <w:snapToGrid w:val="0"/>
              <w:ind w:firstLine="0" w:firstLineChars="0"/>
              <w:jc w:val="center"/>
              <w:rPr>
                <w:rFonts w:hint="eastAsia" w:ascii="宋体" w:hAnsi="宋体" w:cs="宋体"/>
                <w:color w:val="auto"/>
                <w:szCs w:val="24"/>
                <w:highlight w:val="none"/>
              </w:rPr>
            </w:pPr>
            <w:r>
              <w:rPr>
                <w:rFonts w:hint="eastAsia" w:ascii="宋体" w:hAnsi="宋体" w:cs="宋体"/>
                <w:snapToGrid w:val="0"/>
                <w:color w:val="auto"/>
                <w:szCs w:val="24"/>
                <w:highlight w:val="none"/>
                <w:shd w:val="clear" w:color="auto" w:fill="FFFFFF"/>
              </w:rPr>
              <w:t>非加密投标文件递交</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364AD3BC">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☑不允许。</w:t>
            </w:r>
          </w:p>
          <w:p w14:paraId="394C25D4">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□允许，具体要求如下：</w:t>
            </w:r>
          </w:p>
          <w:p w14:paraId="11D1492F">
            <w:pPr>
              <w:pStyle w:val="96"/>
              <w:ind w:firstLine="0" w:firstLineChars="0"/>
              <w:rPr>
                <w:rFonts w:hint="eastAsia" w:ascii="宋体" w:hAnsi="宋体" w:cs="宋体"/>
                <w:color w:val="auto"/>
                <w:szCs w:val="24"/>
                <w:highlight w:val="none"/>
              </w:rPr>
            </w:pPr>
            <w:r>
              <w:rPr>
                <w:rFonts w:hint="eastAsia" w:ascii="宋体" w:hAnsi="宋体" w:cs="宋体"/>
                <w:color w:val="auto"/>
                <w:szCs w:val="24"/>
                <w:highlight w:val="none"/>
              </w:rPr>
              <w:t>非加密投标文件由投标人自行确定是否递交。</w:t>
            </w:r>
          </w:p>
          <w:p w14:paraId="4F874192">
            <w:pPr>
              <w:pStyle w:val="96"/>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如递交，应在投标截止时间前在开标地点递交，并提供以下证明材料，否则招标人不予接收。</w:t>
            </w:r>
          </w:p>
          <w:p w14:paraId="38E2FC5D">
            <w:pPr>
              <w:pStyle w:val="96"/>
              <w:ind w:firstLine="0" w:firstLineChars="0"/>
              <w:rPr>
                <w:rFonts w:hint="eastAsia" w:ascii="宋体" w:hAnsi="宋体" w:cs="宋体"/>
                <w:color w:val="auto"/>
                <w:szCs w:val="24"/>
                <w:highlight w:val="none"/>
              </w:rPr>
            </w:pPr>
            <w:r>
              <w:rPr>
                <w:rFonts w:hint="eastAsia" w:ascii="宋体" w:hAnsi="宋体" w:cs="宋体"/>
                <w:color w:val="auto"/>
                <w:szCs w:val="24"/>
                <w:highlight w:val="none"/>
              </w:rPr>
              <w:t>（1）法定代表人亲自递交的，应提供法定代表人身份证明和法定代表人的有效身份证件；</w:t>
            </w:r>
          </w:p>
          <w:p w14:paraId="74C02CC0">
            <w:pPr>
              <w:pStyle w:val="96"/>
              <w:ind w:firstLine="0" w:firstLineChars="0"/>
              <w:rPr>
                <w:rFonts w:hint="eastAsia" w:ascii="宋体" w:hAnsi="宋体" w:cs="宋体"/>
                <w:color w:val="auto"/>
                <w:szCs w:val="24"/>
                <w:highlight w:val="none"/>
              </w:rPr>
            </w:pPr>
            <w:r>
              <w:rPr>
                <w:rFonts w:hint="eastAsia" w:ascii="宋体" w:hAnsi="宋体" w:cs="宋体"/>
                <w:color w:val="auto"/>
                <w:szCs w:val="24"/>
                <w:highlight w:val="none"/>
              </w:rPr>
              <w:t>（2）委托代理人递交的，应提供授权委托书和委托代理人的有效身份证件。</w:t>
            </w:r>
          </w:p>
          <w:p w14:paraId="7682551D">
            <w:pPr>
              <w:pStyle w:val="96"/>
              <w:ind w:firstLine="0" w:firstLineChars="0"/>
              <w:rPr>
                <w:rFonts w:hint="eastAsia" w:ascii="宋体" w:hAnsi="宋体" w:cs="宋体"/>
                <w:color w:val="auto"/>
                <w:szCs w:val="24"/>
                <w:highlight w:val="none"/>
              </w:rPr>
            </w:pPr>
            <w:r>
              <w:rPr>
                <w:rFonts w:hint="eastAsia" w:ascii="宋体" w:hAnsi="宋体" w:cs="宋体"/>
                <w:color w:val="auto"/>
                <w:szCs w:val="24"/>
                <w:highlight w:val="none"/>
              </w:rPr>
              <w:t>非加密投标文件介质：光盘或U盘</w:t>
            </w:r>
          </w:p>
        </w:tc>
      </w:tr>
      <w:tr w14:paraId="567788A4">
        <w:tblPrEx>
          <w:tblCellMar>
            <w:top w:w="0" w:type="dxa"/>
            <w:left w:w="108" w:type="dxa"/>
            <w:bottom w:w="0" w:type="dxa"/>
            <w:right w:w="108" w:type="dxa"/>
          </w:tblCellMar>
        </w:tblPrEx>
        <w:trPr>
          <w:trHeight w:val="41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1F02243">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4.1.2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CA20F13">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非加密投标文件密封和标记要求</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338D285">
            <w:pPr>
              <w:snapToGrid w:val="0"/>
              <w:ind w:firstLine="0" w:firstLineChars="0"/>
              <w:rPr>
                <w:rFonts w:hint="eastAsia" w:ascii="宋体" w:hAnsi="宋体" w:cs="宋体"/>
                <w:b/>
                <w:bCs/>
                <w:snapToGrid w:val="0"/>
                <w:color w:val="auto"/>
                <w:kern w:val="0"/>
                <w:szCs w:val="24"/>
                <w:highlight w:val="none"/>
              </w:rPr>
            </w:pPr>
            <w:r>
              <w:rPr>
                <w:rFonts w:hint="eastAsia" w:ascii="宋体" w:hAnsi="宋体" w:cs="宋体"/>
                <w:b/>
                <w:bCs/>
                <w:snapToGrid w:val="0"/>
                <w:color w:val="auto"/>
                <w:kern w:val="0"/>
                <w:szCs w:val="24"/>
                <w:highlight w:val="none"/>
              </w:rPr>
              <w:t>非加密投标文件封套：</w:t>
            </w:r>
          </w:p>
          <w:p w14:paraId="0BF82BC9">
            <w:pPr>
              <w:snapToGrid w:val="0"/>
              <w:ind w:firstLine="0" w:firstLineChars="0"/>
              <w:rPr>
                <w:rFonts w:hint="eastAsia" w:ascii="宋体" w:hAnsi="宋体" w:eastAsia="宋体" w:cs="宋体"/>
                <w:bCs/>
                <w:snapToGrid w:val="0"/>
                <w:color w:val="auto"/>
                <w:kern w:val="0"/>
                <w:szCs w:val="24"/>
                <w:highlight w:val="none"/>
                <w:lang w:eastAsia="zh-CN"/>
              </w:rPr>
            </w:pPr>
            <w:r>
              <w:rPr>
                <w:rFonts w:hint="eastAsia" w:ascii="宋体" w:hAnsi="宋体" w:cs="宋体"/>
                <w:bCs/>
                <w:snapToGrid w:val="0"/>
                <w:color w:val="auto"/>
                <w:kern w:val="0"/>
                <w:szCs w:val="24"/>
                <w:highlight w:val="none"/>
              </w:rPr>
              <w:t>投标人名称：</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p>
          <w:p w14:paraId="4F5B881A">
            <w:pPr>
              <w:snapToGrid w:val="0"/>
              <w:ind w:firstLine="0" w:firstLineChars="0"/>
              <w:rPr>
                <w:rFonts w:hint="eastAsia" w:ascii="宋体" w:hAnsi="宋体" w:cs="宋体"/>
                <w:bCs/>
                <w:snapToGrid w:val="0"/>
                <w:color w:val="auto"/>
                <w:kern w:val="0"/>
                <w:szCs w:val="24"/>
                <w:highlight w:val="none"/>
              </w:rPr>
            </w:pP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招标项目名称</w:t>
            </w:r>
            <w:r>
              <w:rPr>
                <w:rFonts w:hint="eastAsia" w:ascii="宋体" w:hAnsi="宋体" w:cs="宋体"/>
                <w:bCs/>
                <w:snapToGrid w:val="0"/>
                <w:color w:val="auto"/>
                <w:kern w:val="0"/>
                <w:szCs w:val="24"/>
                <w:highlight w:val="none"/>
                <w:u w:val="single"/>
                <w:lang w:val="en-US" w:eastAsia="zh-CN"/>
              </w:rPr>
              <w:t>）</w:t>
            </w:r>
            <w:r>
              <w:rPr>
                <w:rFonts w:hint="eastAsia" w:ascii="宋体" w:hAnsi="宋体" w:cs="宋体"/>
                <w:bCs/>
                <w:snapToGrid w:val="0"/>
                <w:color w:val="auto"/>
                <w:kern w:val="0"/>
                <w:szCs w:val="24"/>
                <w:highlight w:val="none"/>
                <w:u w:val="single"/>
              </w:rPr>
              <w:t xml:space="preserve"> </w:t>
            </w:r>
            <w:r>
              <w:rPr>
                <w:rFonts w:hint="eastAsia" w:ascii="宋体" w:hAnsi="宋体" w:cs="宋体"/>
                <w:bCs/>
                <w:snapToGrid w:val="0"/>
                <w:color w:val="auto"/>
                <w:kern w:val="0"/>
                <w:szCs w:val="24"/>
                <w:highlight w:val="none"/>
              </w:rPr>
              <w:t xml:space="preserve"> </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标段投标文件</w:t>
            </w:r>
          </w:p>
          <w:p w14:paraId="5BBBA012">
            <w:pPr>
              <w:snapToGrid w:val="0"/>
              <w:ind w:firstLine="0" w:firstLineChars="0"/>
              <w:rPr>
                <w:rFonts w:hint="eastAsia" w:ascii="宋体" w:hAnsi="宋体" w:cs="宋体"/>
                <w:bCs/>
                <w:snapToGrid w:val="0"/>
                <w:color w:val="auto"/>
                <w:kern w:val="0"/>
                <w:szCs w:val="24"/>
                <w:highlight w:val="none"/>
              </w:rPr>
            </w:pPr>
            <w:r>
              <w:rPr>
                <w:rFonts w:hint="eastAsia" w:ascii="宋体" w:hAnsi="宋体" w:cs="宋体"/>
                <w:bCs/>
                <w:snapToGrid w:val="0"/>
                <w:color w:val="auto"/>
                <w:kern w:val="0"/>
                <w:szCs w:val="24"/>
                <w:highlight w:val="none"/>
              </w:rPr>
              <w:t>（非加密投标文件）</w:t>
            </w:r>
          </w:p>
          <w:p w14:paraId="7BCEEEAF">
            <w:pPr>
              <w:snapToGrid w:val="0"/>
              <w:ind w:firstLine="0" w:firstLineChars="0"/>
              <w:rPr>
                <w:rFonts w:hint="eastAsia" w:ascii="宋体" w:hAnsi="宋体" w:cs="宋体"/>
                <w:color w:val="auto"/>
                <w:szCs w:val="24"/>
                <w:highlight w:val="none"/>
              </w:rPr>
            </w:pPr>
            <w:r>
              <w:rPr>
                <w:rFonts w:hint="eastAsia" w:ascii="宋体" w:hAnsi="宋体" w:cs="宋体"/>
                <w:bCs/>
                <w:snapToGrid w:val="0"/>
                <w:color w:val="auto"/>
                <w:kern w:val="0"/>
                <w:szCs w:val="24"/>
                <w:highlight w:val="none"/>
              </w:rPr>
              <w:t>在</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年</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月</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日</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时</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rPr>
              <w:t>分前不得开启</w:t>
            </w:r>
          </w:p>
        </w:tc>
      </w:tr>
      <w:tr w14:paraId="5EEF8F44">
        <w:tblPrEx>
          <w:tblCellMar>
            <w:top w:w="0" w:type="dxa"/>
            <w:left w:w="108" w:type="dxa"/>
            <w:bottom w:w="0" w:type="dxa"/>
            <w:right w:w="108" w:type="dxa"/>
          </w:tblCellMar>
        </w:tblPrEx>
        <w:trPr>
          <w:trHeight w:val="623"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521D207">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4.2.2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CB45D22">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递交非加密投标文件地点</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5518812">
            <w:pPr>
              <w:pStyle w:val="96"/>
              <w:ind w:firstLine="0" w:firstLineChars="0"/>
              <w:rPr>
                <w:rFonts w:hint="eastAsia" w:ascii="宋体" w:hAnsi="宋体" w:cs="宋体"/>
                <w:color w:val="auto"/>
                <w:szCs w:val="24"/>
                <w:highlight w:val="none"/>
              </w:rPr>
            </w:pPr>
            <w:r>
              <w:rPr>
                <w:rFonts w:hint="eastAsia" w:ascii="宋体" w:hAnsi="宋体" w:cs="宋体"/>
                <w:bCs/>
                <w:snapToGrid w:val="0"/>
                <w:color w:val="auto"/>
                <w:kern w:val="0"/>
                <w:szCs w:val="24"/>
                <w:highlight w:val="none"/>
              </w:rPr>
              <w:t>同开标地点</w:t>
            </w:r>
          </w:p>
        </w:tc>
      </w:tr>
      <w:tr w14:paraId="3393FC0A">
        <w:tblPrEx>
          <w:tblCellMar>
            <w:top w:w="0" w:type="dxa"/>
            <w:left w:w="108" w:type="dxa"/>
            <w:bottom w:w="0" w:type="dxa"/>
            <w:right w:w="108" w:type="dxa"/>
          </w:tblCellMar>
        </w:tblPrEx>
        <w:trPr>
          <w:trHeight w:val="335"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4158770">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4.2.3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B66C856">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是否退还投标文件</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24991EF">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☑否</w:t>
            </w:r>
          </w:p>
          <w:p w14:paraId="78B8299A">
            <w:pPr>
              <w:pStyle w:val="96"/>
              <w:ind w:firstLine="0" w:firstLineChars="0"/>
              <w:rPr>
                <w:rFonts w:hint="eastAsia" w:ascii="宋体" w:hAnsi="宋体" w:cs="宋体"/>
                <w:color w:val="auto"/>
                <w:szCs w:val="24"/>
                <w:highlight w:val="none"/>
              </w:rPr>
            </w:pPr>
            <w:r>
              <w:rPr>
                <w:rFonts w:hint="eastAsia" w:ascii="宋体" w:hAnsi="宋体" w:cs="宋体"/>
                <w:color w:val="auto"/>
                <w:szCs w:val="24"/>
                <w:highlight w:val="none"/>
              </w:rPr>
              <w:t>□是，退还安排：</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p>
        </w:tc>
      </w:tr>
      <w:tr w14:paraId="30825B5D">
        <w:tblPrEx>
          <w:tblCellMar>
            <w:top w:w="0" w:type="dxa"/>
            <w:left w:w="108" w:type="dxa"/>
            <w:bottom w:w="0" w:type="dxa"/>
            <w:right w:w="108" w:type="dxa"/>
          </w:tblCellMar>
        </w:tblPrEx>
        <w:trPr>
          <w:trHeight w:val="133" w:hRule="atLeast"/>
        </w:trPr>
        <w:tc>
          <w:tcPr>
            <w:tcW w:w="1165" w:type="dxa"/>
            <w:tcBorders>
              <w:top w:val="single" w:color="auto" w:sz="4" w:space="0"/>
              <w:left w:val="single" w:color="auto" w:sz="4" w:space="0"/>
              <w:bottom w:val="nil"/>
              <w:right w:val="single" w:color="auto" w:sz="4" w:space="0"/>
            </w:tcBorders>
            <w:noWrap w:val="0"/>
            <w:vAlign w:val="center"/>
          </w:tcPr>
          <w:p w14:paraId="4A868B8B">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5.1</w:t>
            </w:r>
          </w:p>
        </w:tc>
        <w:tc>
          <w:tcPr>
            <w:tcW w:w="1821" w:type="dxa"/>
            <w:tcBorders>
              <w:top w:val="single" w:color="auto" w:sz="4" w:space="0"/>
              <w:left w:val="single" w:color="auto" w:sz="4" w:space="0"/>
              <w:bottom w:val="nil"/>
              <w:right w:val="single" w:color="auto" w:sz="4" w:space="0"/>
            </w:tcBorders>
            <w:noWrap w:val="0"/>
            <w:vAlign w:val="center"/>
          </w:tcPr>
          <w:p w14:paraId="569B9A7D">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开标时间和地点</w:t>
            </w:r>
          </w:p>
        </w:tc>
        <w:tc>
          <w:tcPr>
            <w:tcW w:w="6336" w:type="dxa"/>
            <w:tcBorders>
              <w:top w:val="single" w:color="auto" w:sz="4" w:space="0"/>
              <w:left w:val="single" w:color="auto" w:sz="4" w:space="0"/>
              <w:bottom w:val="nil"/>
              <w:right w:val="single" w:color="auto" w:sz="4" w:space="0"/>
            </w:tcBorders>
            <w:noWrap w:val="0"/>
            <w:vAlign w:val="center"/>
          </w:tcPr>
          <w:p w14:paraId="4C878DF4">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开标时间：同投标截止时间</w:t>
            </w:r>
          </w:p>
          <w:p w14:paraId="7FE5BC07">
            <w:pPr>
              <w:ind w:firstLine="0" w:firstLineChars="0"/>
              <w:rPr>
                <w:rFonts w:hint="eastAsia" w:ascii="宋体" w:hAnsi="宋体" w:cs="宋体"/>
                <w:color w:val="auto"/>
                <w:szCs w:val="24"/>
                <w:highlight w:val="none"/>
              </w:rPr>
            </w:pPr>
            <w:r>
              <w:rPr>
                <w:rFonts w:hint="eastAsia" w:ascii="宋体" w:hAnsi="宋体" w:cs="宋体"/>
                <w:color w:val="auto"/>
                <w:szCs w:val="24"/>
                <w:highlight w:val="none"/>
              </w:rPr>
              <w:t>开标地点：见招标公告</w:t>
            </w:r>
          </w:p>
        </w:tc>
      </w:tr>
      <w:tr w14:paraId="14D07555">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noWrap w:val="0"/>
            <w:vAlign w:val="center"/>
          </w:tcPr>
          <w:p w14:paraId="0A300919">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5.2</w:t>
            </w:r>
          </w:p>
        </w:tc>
        <w:tc>
          <w:tcPr>
            <w:tcW w:w="1821" w:type="dxa"/>
            <w:tcBorders>
              <w:top w:val="single" w:color="auto" w:sz="4" w:space="0"/>
              <w:left w:val="single" w:color="auto" w:sz="4" w:space="0"/>
              <w:bottom w:val="nil"/>
              <w:right w:val="single" w:color="auto" w:sz="4" w:space="0"/>
            </w:tcBorders>
            <w:noWrap w:val="0"/>
            <w:vAlign w:val="center"/>
          </w:tcPr>
          <w:p w14:paraId="06381672">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开标程序</w:t>
            </w:r>
          </w:p>
        </w:tc>
        <w:tc>
          <w:tcPr>
            <w:tcW w:w="6336" w:type="dxa"/>
            <w:tcBorders>
              <w:top w:val="single" w:color="auto" w:sz="4" w:space="0"/>
              <w:left w:val="single" w:color="auto" w:sz="4" w:space="0"/>
              <w:bottom w:val="nil"/>
              <w:right w:val="single" w:color="auto" w:sz="4" w:space="0"/>
            </w:tcBorders>
            <w:noWrap w:val="0"/>
            <w:vAlign w:val="center"/>
          </w:tcPr>
          <w:p w14:paraId="47B8A8BC">
            <w:pPr>
              <w:snapToGrid w:val="0"/>
              <w:ind w:firstLine="0" w:firstLineChars="0"/>
              <w:rPr>
                <w:rFonts w:hint="eastAsia" w:ascii="宋体" w:hAnsi="宋体" w:cs="宋体"/>
                <w:bCs/>
                <w:snapToGrid w:val="0"/>
                <w:color w:val="auto"/>
                <w:szCs w:val="24"/>
                <w:highlight w:val="none"/>
              </w:rPr>
            </w:pPr>
            <w:r>
              <w:rPr>
                <w:rFonts w:hint="eastAsia" w:ascii="宋体" w:hAnsi="宋体" w:cs="宋体"/>
                <w:color w:val="auto"/>
                <w:szCs w:val="24"/>
                <w:highlight w:val="none"/>
              </w:rPr>
              <w:t>（3）解密时间：</w:t>
            </w:r>
            <w:r>
              <w:rPr>
                <w:rFonts w:hint="eastAsia" w:ascii="宋体" w:hAnsi="宋体" w:cs="宋体"/>
                <w:b w:val="0"/>
                <w:bCs w:val="0"/>
                <w:color w:val="auto"/>
                <w:szCs w:val="24"/>
                <w:highlight w:val="none"/>
                <w:u w:val="single"/>
                <w:lang w:val="en-US" w:eastAsia="zh-CN"/>
              </w:rPr>
              <w:t xml:space="preserve"> </w:t>
            </w:r>
            <w:r>
              <w:rPr>
                <w:rFonts w:hint="eastAsia" w:ascii="宋体" w:hAnsi="宋体" w:cs="宋体"/>
                <w:b w:val="0"/>
                <w:bCs w:val="0"/>
                <w:color w:val="auto"/>
                <w:szCs w:val="24"/>
                <w:highlight w:val="none"/>
                <w:u w:val="single"/>
              </w:rPr>
              <w:t>30</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rPr>
              <w:t>分钟</w:t>
            </w:r>
            <w:r>
              <w:rPr>
                <w:rFonts w:hint="eastAsia" w:ascii="宋体" w:hAnsi="宋体" w:cs="宋体"/>
                <w:bCs/>
                <w:snapToGrid w:val="0"/>
                <w:color w:val="auto"/>
                <w:szCs w:val="24"/>
                <w:highlight w:val="none"/>
              </w:rPr>
              <w:t>（以电子交易系统解密倒计时为准）；</w:t>
            </w:r>
          </w:p>
          <w:p w14:paraId="6E7FB31A">
            <w:pPr>
              <w:adjustRightInd w:val="0"/>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□（5）公布投标人名称、标段名称、投标报价</w:t>
            </w:r>
            <w:r>
              <w:rPr>
                <w:rFonts w:hint="eastAsia" w:cs="宋体"/>
                <w:color w:val="auto"/>
                <w:szCs w:val="24"/>
                <w:highlight w:val="none"/>
              </w:rPr>
              <w:t>（或定价）</w:t>
            </w:r>
            <w:r>
              <w:rPr>
                <w:rFonts w:hint="eastAsia" w:ascii="宋体" w:hAnsi="宋体" w:cs="宋体"/>
                <w:color w:val="auto"/>
                <w:szCs w:val="24"/>
                <w:highlight w:val="none"/>
              </w:rPr>
              <w:t>、</w:t>
            </w:r>
            <w:r>
              <w:rPr>
                <w:rFonts w:hint="eastAsia" w:cs="楷体"/>
                <w:bCs/>
                <w:snapToGrid w:val="0"/>
                <w:color w:val="auto"/>
                <w:szCs w:val="24"/>
                <w:highlight w:val="none"/>
              </w:rPr>
              <w:t>质量标准</w:t>
            </w:r>
            <w:r>
              <w:rPr>
                <w:rFonts w:hint="eastAsia" w:ascii="宋体" w:hAnsi="宋体" w:cs="宋体"/>
                <w:color w:val="auto"/>
                <w:szCs w:val="24"/>
                <w:highlight w:val="none"/>
              </w:rPr>
              <w:t>、监理服务期限及其他内容。</w:t>
            </w:r>
          </w:p>
          <w:p w14:paraId="4D03A262">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☑（5）公布投标人名称、标段名称、</w:t>
            </w:r>
            <w:r>
              <w:rPr>
                <w:rFonts w:hint="eastAsia"/>
                <w:color w:val="auto"/>
                <w:highlight w:val="none"/>
              </w:rPr>
              <w:t>质量标准</w:t>
            </w:r>
            <w:r>
              <w:rPr>
                <w:rFonts w:hint="eastAsia" w:ascii="宋体" w:hAnsi="宋体" w:cs="宋体"/>
                <w:color w:val="auto"/>
                <w:szCs w:val="24"/>
                <w:highlight w:val="none"/>
              </w:rPr>
              <w:t>、监理服务期限及其他内容；商务、技术文件评审完成后，根据第三章“评标办法”的规定再公布所有投标人的投标报价。</w:t>
            </w:r>
          </w:p>
          <w:p w14:paraId="65E568E4">
            <w:pPr>
              <w:snapToGrid w:val="0"/>
              <w:ind w:firstLine="0" w:firstLineChars="0"/>
              <w:rPr>
                <w:rFonts w:ascii="宋体" w:hAnsi="宋体" w:cs="宋体"/>
                <w:b/>
                <w:color w:val="auto"/>
                <w:szCs w:val="24"/>
                <w:highlight w:val="none"/>
                <w:u w:val="single"/>
              </w:rPr>
            </w:pPr>
            <w:r>
              <w:rPr>
                <w:rFonts w:hint="eastAsia" w:ascii="宋体" w:hAnsi="宋体" w:cs="宋体"/>
                <w:bCs/>
                <w:color w:val="auto"/>
                <w:szCs w:val="24"/>
                <w:highlight w:val="none"/>
              </w:rPr>
              <w:t>多标段开标顺序：</w:t>
            </w:r>
            <w:r>
              <w:rPr>
                <w:rFonts w:hint="eastAsia" w:ascii="宋体" w:hAnsi="宋体" w:cs="宋体"/>
                <w:bCs/>
                <w:snapToGrid w:val="0"/>
                <w:color w:val="auto"/>
                <w:kern w:val="0"/>
                <w:szCs w:val="24"/>
                <w:highlight w:val="none"/>
                <w:u w:val="single"/>
                <w:lang w:val="en-US" w:eastAsia="zh-CN"/>
              </w:rPr>
              <w:t xml:space="preserve"> </w:t>
            </w:r>
            <w:r>
              <w:rPr>
                <w:rFonts w:hint="eastAsia" w:ascii="宋体" w:hAnsi="宋体" w:cs="宋体"/>
                <w:bCs/>
                <w:snapToGrid w:val="0"/>
                <w:color w:val="auto"/>
                <w:kern w:val="0"/>
                <w:szCs w:val="24"/>
                <w:highlight w:val="none"/>
                <w:u w:val="single"/>
              </w:rPr>
              <w:t>/</w:t>
            </w:r>
            <w:r>
              <w:rPr>
                <w:rFonts w:hint="eastAsia" w:ascii="宋体" w:hAnsi="宋体" w:cs="宋体"/>
                <w:bCs/>
                <w:snapToGrid w:val="0"/>
                <w:color w:val="auto"/>
                <w:kern w:val="0"/>
                <w:szCs w:val="24"/>
                <w:highlight w:val="none"/>
                <w:u w:val="single"/>
                <w:lang w:val="en-US" w:eastAsia="zh-CN"/>
              </w:rPr>
              <w:t xml:space="preserve"> </w:t>
            </w:r>
          </w:p>
        </w:tc>
      </w:tr>
      <w:tr w14:paraId="3BD18EFA">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77AE0A8">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6.3.2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0C2BF96">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评标委员会推荐中标候选人的数量</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60A25FE4">
            <w:pPr>
              <w:snapToGrid w:val="0"/>
              <w:ind w:firstLine="0" w:firstLineChars="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u w:val="single"/>
              </w:rPr>
              <w:t xml:space="preserve"> </w:t>
            </w:r>
            <w:r>
              <w:rPr>
                <w:rFonts w:hint="eastAsia" w:cs="宋体"/>
                <w:b w:val="0"/>
                <w:bCs w:val="0"/>
                <w:color w:val="auto"/>
                <w:szCs w:val="24"/>
                <w:highlight w:val="none"/>
                <w:u w:val="single"/>
              </w:rPr>
              <w:t xml:space="preserve">1 </w:t>
            </w:r>
            <w:r>
              <w:rPr>
                <w:rFonts w:hint="eastAsia" w:cs="宋体"/>
                <w:b w:val="0"/>
                <w:bCs w:val="0"/>
                <w:color w:val="auto"/>
                <w:szCs w:val="24"/>
                <w:highlight w:val="none"/>
                <w:u w:val="none"/>
              </w:rPr>
              <w:t>家</w:t>
            </w:r>
          </w:p>
        </w:tc>
      </w:tr>
      <w:tr w14:paraId="3AC3176A">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E566CC6">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6.4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EEA5C42">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中标候选人公示媒介、期限及其他要求</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0BC17626">
            <w:pPr>
              <w:snapToGrid w:val="0"/>
              <w:ind w:left="0" w:leftChars="0" w:firstLine="0" w:firstLineChars="0"/>
              <w:rPr>
                <w:rFonts w:hint="eastAsia" w:cs="宋体"/>
                <w:b w:val="0"/>
                <w:bCs w:val="0"/>
                <w:color w:val="auto"/>
                <w:szCs w:val="24"/>
                <w:highlight w:val="none"/>
              </w:rPr>
            </w:pPr>
            <w:r>
              <w:rPr>
                <w:rFonts w:hint="eastAsia" w:cs="宋体"/>
                <w:b w:val="0"/>
                <w:bCs w:val="0"/>
                <w:color w:val="auto"/>
                <w:szCs w:val="24"/>
                <w:highlight w:val="none"/>
              </w:rPr>
              <w:t>（1）公示媒介：同招标公告发布媒介</w:t>
            </w:r>
          </w:p>
          <w:p w14:paraId="3402E943">
            <w:pPr>
              <w:snapToGrid w:val="0"/>
              <w:ind w:left="0" w:leftChars="0" w:firstLine="0" w:firstLineChars="0"/>
              <w:rPr>
                <w:rFonts w:hint="eastAsia" w:cs="宋体"/>
                <w:b w:val="0"/>
                <w:bCs w:val="0"/>
                <w:color w:val="auto"/>
                <w:szCs w:val="24"/>
                <w:highlight w:val="none"/>
                <w:u w:val="single"/>
              </w:rPr>
            </w:pPr>
            <w:r>
              <w:rPr>
                <w:rFonts w:hint="eastAsia" w:cs="宋体"/>
                <w:b w:val="0"/>
                <w:bCs w:val="0"/>
                <w:color w:val="auto"/>
                <w:szCs w:val="24"/>
                <w:highlight w:val="none"/>
              </w:rPr>
              <w:t>（2）公示期限：</w:t>
            </w:r>
            <w:r>
              <w:rPr>
                <w:rFonts w:hint="eastAsia" w:cs="宋体"/>
                <w:b w:val="0"/>
                <w:bCs w:val="0"/>
                <w:color w:val="auto"/>
                <w:szCs w:val="24"/>
                <w:highlight w:val="none"/>
                <w:u w:val="none"/>
              </w:rPr>
              <w:t>不少于</w:t>
            </w:r>
            <w:r>
              <w:rPr>
                <w:rFonts w:hint="eastAsia" w:cs="宋体"/>
                <w:b w:val="0"/>
                <w:bCs w:val="0"/>
                <w:color w:val="auto"/>
                <w:szCs w:val="24"/>
                <w:highlight w:val="none"/>
                <w:u w:val="single"/>
              </w:rPr>
              <w:t xml:space="preserve"> 3 </w:t>
            </w:r>
            <w:r>
              <w:rPr>
                <w:rFonts w:hint="eastAsia" w:cs="宋体"/>
                <w:b w:val="0"/>
                <w:bCs w:val="0"/>
                <w:color w:val="auto"/>
                <w:szCs w:val="24"/>
                <w:highlight w:val="none"/>
              </w:rPr>
              <w:t>日（公示期截止时间在法定休息日的应顺延至首个工作日）</w:t>
            </w:r>
          </w:p>
          <w:p w14:paraId="796C59DB">
            <w:pPr>
              <w:snapToGrid w:val="0"/>
              <w:ind w:left="0" w:leftChars="0" w:firstLine="0" w:firstLineChars="0"/>
              <w:rPr>
                <w:rFonts w:hint="eastAsia" w:cs="宋体"/>
                <w:b w:val="0"/>
                <w:bCs w:val="0"/>
                <w:color w:val="auto"/>
                <w:szCs w:val="24"/>
                <w:highlight w:val="none"/>
              </w:rPr>
            </w:pPr>
            <w:r>
              <w:rPr>
                <w:rFonts w:hint="eastAsia" w:cs="宋体"/>
                <w:b w:val="0"/>
                <w:bCs w:val="0"/>
                <w:color w:val="auto"/>
                <w:szCs w:val="24"/>
                <w:highlight w:val="none"/>
              </w:rPr>
              <w:t>（3）其他要求：进入安徽合肥公共资源交易平台交易的工程建设项目，招标人（或委托代理机构）在发布中标候选人公示时应当同时公开以下评标情况：</w:t>
            </w:r>
          </w:p>
          <w:p w14:paraId="3E773D05">
            <w:pPr>
              <w:snapToGrid w:val="0"/>
              <w:ind w:left="0" w:leftChars="0" w:firstLine="0" w:firstLineChars="0"/>
              <w:rPr>
                <w:rFonts w:hint="eastAsia" w:cs="宋体"/>
                <w:b w:val="0"/>
                <w:bCs w:val="0"/>
                <w:color w:val="auto"/>
                <w:szCs w:val="24"/>
                <w:highlight w:val="none"/>
              </w:rPr>
            </w:pPr>
            <w:r>
              <w:rPr>
                <w:rFonts w:hint="eastAsia" w:cs="宋体"/>
                <w:b w:val="0"/>
                <w:bCs w:val="0"/>
                <w:color w:val="auto"/>
                <w:szCs w:val="24"/>
                <w:highlight w:val="none"/>
              </w:rPr>
              <w:t>a.投标人名称、投标报价、投标文件被否决的原因及依据；</w:t>
            </w:r>
          </w:p>
          <w:p w14:paraId="7917865B">
            <w:pPr>
              <w:snapToGrid w:val="0"/>
              <w:ind w:left="0" w:leftChars="0" w:firstLine="0" w:firstLineChars="0"/>
              <w:rPr>
                <w:rFonts w:hint="eastAsia" w:cs="宋体"/>
                <w:b w:val="0"/>
                <w:bCs w:val="0"/>
                <w:color w:val="auto"/>
                <w:szCs w:val="24"/>
                <w:highlight w:val="none"/>
              </w:rPr>
            </w:pPr>
            <w:r>
              <w:rPr>
                <w:rFonts w:hint="eastAsia" w:cs="宋体"/>
                <w:b w:val="0"/>
                <w:bCs w:val="0"/>
                <w:color w:val="auto"/>
                <w:szCs w:val="24"/>
                <w:highlight w:val="none"/>
              </w:rPr>
              <w:t>b</w:t>
            </w:r>
            <w:r>
              <w:rPr>
                <w:rFonts w:cs="宋体"/>
                <w:b w:val="0"/>
                <w:bCs w:val="0"/>
                <w:color w:val="auto"/>
                <w:szCs w:val="24"/>
                <w:highlight w:val="none"/>
              </w:rPr>
              <w:t>.</w:t>
            </w:r>
            <w:r>
              <w:rPr>
                <w:rFonts w:hint="eastAsia" w:cs="宋体"/>
                <w:b w:val="0"/>
                <w:bCs w:val="0"/>
                <w:color w:val="auto"/>
                <w:szCs w:val="24"/>
                <w:highlight w:val="none"/>
              </w:rPr>
              <w:t>评标委员会的评分情况。包括商务文件、技术文件、报价文件评分，其中技术文件还需公开采用编码标注的各评标委员会成员评分；</w:t>
            </w:r>
          </w:p>
          <w:p w14:paraId="6FA44521">
            <w:pPr>
              <w:snapToGrid w:val="0"/>
              <w:ind w:left="0" w:leftChars="0" w:firstLine="0" w:firstLineChars="0"/>
              <w:rPr>
                <w:rFonts w:hint="eastAsia" w:cs="宋体"/>
                <w:b w:val="0"/>
                <w:bCs w:val="0"/>
                <w:color w:val="auto"/>
                <w:szCs w:val="24"/>
                <w:highlight w:val="none"/>
              </w:rPr>
            </w:pPr>
            <w:r>
              <w:rPr>
                <w:rFonts w:hint="eastAsia" w:cs="宋体"/>
                <w:b w:val="0"/>
                <w:bCs w:val="0"/>
                <w:color w:val="auto"/>
                <w:szCs w:val="24"/>
                <w:highlight w:val="none"/>
              </w:rPr>
              <w:t>c.中标候选人经评审通过的投标人业绩</w:t>
            </w:r>
            <w:r>
              <w:rPr>
                <w:rFonts w:hint="eastAsia" w:cs="宋体"/>
                <w:b w:val="0"/>
                <w:bCs w:val="0"/>
                <w:color w:val="auto"/>
                <w:szCs w:val="24"/>
                <w:highlight w:val="none"/>
                <w:lang w:val="en-US" w:eastAsia="zh-CN"/>
              </w:rPr>
              <w:t>名称</w:t>
            </w:r>
            <w:r>
              <w:rPr>
                <w:rFonts w:hint="eastAsia" w:cs="宋体"/>
                <w:b w:val="0"/>
                <w:bCs w:val="0"/>
                <w:color w:val="auto"/>
                <w:szCs w:val="24"/>
                <w:highlight w:val="none"/>
              </w:rPr>
              <w:t>（如要求）、项目总监理工程师信息及项目总监理工程师业绩</w:t>
            </w:r>
            <w:r>
              <w:rPr>
                <w:rFonts w:hint="eastAsia" w:cs="宋体"/>
                <w:b w:val="0"/>
                <w:bCs w:val="0"/>
                <w:color w:val="auto"/>
                <w:szCs w:val="24"/>
                <w:highlight w:val="none"/>
                <w:lang w:val="en-US" w:eastAsia="zh-CN"/>
              </w:rPr>
              <w:t>名称</w:t>
            </w:r>
            <w:r>
              <w:rPr>
                <w:rFonts w:hint="eastAsia" w:cs="宋体"/>
                <w:b w:val="0"/>
                <w:bCs w:val="0"/>
                <w:color w:val="auto"/>
                <w:szCs w:val="24"/>
                <w:highlight w:val="none"/>
              </w:rPr>
              <w:t>（如要求）;</w:t>
            </w:r>
          </w:p>
          <w:p w14:paraId="7DAF8715">
            <w:pPr>
              <w:snapToGrid w:val="0"/>
              <w:ind w:left="0" w:leftChars="0" w:firstLine="0" w:firstLineChars="0"/>
              <w:rPr>
                <w:rFonts w:hint="eastAsia" w:cs="宋体"/>
                <w:b w:val="0"/>
                <w:bCs w:val="0"/>
                <w:color w:val="auto"/>
                <w:szCs w:val="24"/>
                <w:highlight w:val="none"/>
              </w:rPr>
            </w:pPr>
            <w:r>
              <w:rPr>
                <w:rFonts w:hint="eastAsia" w:cs="宋体"/>
                <w:b w:val="0"/>
                <w:bCs w:val="0"/>
                <w:color w:val="auto"/>
                <w:szCs w:val="24"/>
                <w:highlight w:val="none"/>
              </w:rPr>
              <w:t>d.中标候选人通过银行保函或担保机构担保或保证保险形式提交的投标保证金证明材料。</w:t>
            </w:r>
          </w:p>
          <w:p w14:paraId="26150980">
            <w:pPr>
              <w:snapToGrid w:val="0"/>
              <w:ind w:firstLine="0" w:firstLineChars="0"/>
              <w:rPr>
                <w:rFonts w:hint="eastAsia" w:ascii="宋体" w:hAnsi="宋体" w:cs="宋体"/>
                <w:b w:val="0"/>
                <w:bCs w:val="0"/>
                <w:color w:val="auto"/>
                <w:szCs w:val="24"/>
                <w:highlight w:val="none"/>
              </w:rPr>
            </w:pPr>
            <w:r>
              <w:rPr>
                <w:rFonts w:hint="eastAsia" w:cs="宋体"/>
                <w:b w:val="0"/>
                <w:bCs w:val="0"/>
                <w:color w:val="auto"/>
                <w:szCs w:val="24"/>
                <w:highlight w:val="none"/>
              </w:rPr>
              <w:t>（如有最新规定，按照最新规定执行）</w:t>
            </w:r>
          </w:p>
        </w:tc>
      </w:tr>
      <w:tr w14:paraId="3A04C4C5">
        <w:tblPrEx>
          <w:tblCellMar>
            <w:top w:w="0" w:type="dxa"/>
            <w:left w:w="108" w:type="dxa"/>
            <w:bottom w:w="0" w:type="dxa"/>
            <w:right w:w="108" w:type="dxa"/>
          </w:tblCellMar>
        </w:tblPrEx>
        <w:trPr>
          <w:trHeight w:val="827"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1D5F8BE">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7.1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B19AF59">
            <w:pPr>
              <w:snapToGrid w:val="0"/>
              <w:ind w:firstLine="0" w:firstLineChars="0"/>
              <w:jc w:val="center"/>
              <w:rPr>
                <w:rFonts w:hint="eastAsia" w:ascii="宋体" w:hAnsi="宋体" w:cs="宋体"/>
                <w:color w:val="auto"/>
                <w:szCs w:val="24"/>
                <w:highlight w:val="none"/>
              </w:rPr>
            </w:pPr>
            <w:r>
              <w:rPr>
                <w:rFonts w:hint="eastAsia" w:cs="宋体"/>
                <w:bCs/>
                <w:color w:val="auto"/>
                <w:szCs w:val="24"/>
                <w:highlight w:val="none"/>
              </w:rPr>
              <w:t>是否授权评标委员会确定中标人</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3693794A">
            <w:pPr>
              <w:snapToGrid w:val="0"/>
              <w:ind w:firstLine="0" w:firstLineChars="0"/>
              <w:rPr>
                <w:rFonts w:hint="eastAsia" w:cs="宋体"/>
                <w:bCs/>
                <w:color w:val="auto"/>
                <w:szCs w:val="24"/>
                <w:highlight w:val="none"/>
              </w:rPr>
            </w:pPr>
            <w:r>
              <w:rPr>
                <w:rFonts w:hint="eastAsia" w:cs="宋体"/>
                <w:bCs/>
                <w:color w:val="auto"/>
                <w:szCs w:val="24"/>
                <w:highlight w:val="none"/>
                <w:lang w:val="en-US" w:eastAsia="zh-CN"/>
              </w:rPr>
              <w:t>☑</w:t>
            </w:r>
            <w:r>
              <w:rPr>
                <w:rFonts w:hint="eastAsia" w:cs="宋体"/>
                <w:bCs/>
                <w:color w:val="auto"/>
                <w:szCs w:val="24"/>
                <w:highlight w:val="none"/>
              </w:rPr>
              <w:t>是</w:t>
            </w:r>
          </w:p>
          <w:p w14:paraId="6163C6AF">
            <w:pPr>
              <w:snapToGrid w:val="0"/>
              <w:ind w:firstLine="0" w:firstLineChars="0"/>
              <w:rPr>
                <w:rFonts w:hint="eastAsia" w:ascii="宋体" w:hAnsi="宋体" w:cs="宋体"/>
                <w:color w:val="auto"/>
                <w:szCs w:val="24"/>
                <w:highlight w:val="none"/>
              </w:rPr>
            </w:pPr>
            <w:r>
              <w:rPr>
                <w:rFonts w:hint="eastAsia" w:cs="宋体"/>
                <w:bCs/>
                <w:color w:val="auto"/>
                <w:szCs w:val="24"/>
                <w:highlight w:val="none"/>
              </w:rPr>
              <w:sym w:font="Wingdings 2" w:char="00A3"/>
            </w:r>
            <w:r>
              <w:rPr>
                <w:rFonts w:hint="eastAsia" w:cs="宋体"/>
                <w:bCs/>
                <w:color w:val="auto"/>
                <w:szCs w:val="24"/>
                <w:highlight w:val="none"/>
              </w:rPr>
              <w:t>否</w:t>
            </w:r>
          </w:p>
        </w:tc>
      </w:tr>
      <w:tr w14:paraId="04E01A69">
        <w:tblPrEx>
          <w:tblCellMar>
            <w:top w:w="0" w:type="dxa"/>
            <w:left w:w="108" w:type="dxa"/>
            <w:bottom w:w="0" w:type="dxa"/>
            <w:right w:w="108" w:type="dxa"/>
          </w:tblCellMar>
        </w:tblPrEx>
        <w:trPr>
          <w:trHeight w:val="211"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45C15E2">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7.2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15FE311">
            <w:pPr>
              <w:ind w:firstLine="0" w:firstLineChars="0"/>
              <w:jc w:val="center"/>
              <w:rPr>
                <w:rFonts w:hint="eastAsia" w:ascii="宋体" w:hAnsi="宋体" w:cs="宋体"/>
                <w:color w:val="auto"/>
                <w:szCs w:val="24"/>
                <w:highlight w:val="none"/>
              </w:rPr>
            </w:pPr>
            <w:r>
              <w:rPr>
                <w:rFonts w:hint="eastAsia" w:cs="宋体"/>
                <w:color w:val="auto"/>
                <w:szCs w:val="24"/>
                <w:highlight w:val="none"/>
              </w:rPr>
              <w:t>中标结果公示媒介</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0151D5D">
            <w:pPr>
              <w:ind w:firstLine="0" w:firstLineChars="0"/>
              <w:jc w:val="both"/>
              <w:rPr>
                <w:rFonts w:hint="eastAsia" w:ascii="宋体" w:hAnsi="宋体" w:cs="宋体"/>
                <w:color w:val="auto"/>
                <w:szCs w:val="24"/>
                <w:highlight w:val="none"/>
              </w:rPr>
            </w:pPr>
            <w:r>
              <w:rPr>
                <w:rFonts w:hint="eastAsia" w:cs="宋体"/>
                <w:color w:val="auto"/>
                <w:szCs w:val="24"/>
                <w:highlight w:val="none"/>
              </w:rPr>
              <w:t>同招标公告发布媒介</w:t>
            </w:r>
          </w:p>
        </w:tc>
      </w:tr>
      <w:tr w14:paraId="496BF784">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42C523E">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7.3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1EE6BD2">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中标通知书和中标结果通知发出的形式</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353F1018">
            <w:pPr>
              <w:snapToGrid w:val="0"/>
              <w:ind w:firstLine="0" w:firstLineChars="0"/>
              <w:rPr>
                <w:rFonts w:hint="eastAsia" w:ascii="宋体" w:hAnsi="宋体" w:cs="宋体"/>
                <w:color w:val="auto"/>
                <w:szCs w:val="24"/>
                <w:highlight w:val="none"/>
              </w:rPr>
            </w:pPr>
            <w:r>
              <w:rPr>
                <w:rFonts w:hint="eastAsia" w:cs="宋体"/>
                <w:bCs/>
                <w:color w:val="auto"/>
                <w:szCs w:val="24"/>
                <w:highlight w:val="none"/>
              </w:rPr>
              <w:t>（1）</w:t>
            </w:r>
            <w:r>
              <w:rPr>
                <w:rFonts w:hint="eastAsia" w:ascii="宋体" w:hAnsi="宋体" w:cs="宋体"/>
                <w:color w:val="auto"/>
                <w:szCs w:val="24"/>
                <w:highlight w:val="none"/>
              </w:rPr>
              <w:t>中标通知书发出的形式：</w:t>
            </w:r>
            <w:r>
              <w:rPr>
                <w:rFonts w:hint="eastAsia" w:cs="宋体"/>
                <w:bCs/>
                <w:color w:val="auto"/>
                <w:szCs w:val="24"/>
                <w:highlight w:val="none"/>
                <w:lang w:val="en-US" w:eastAsia="zh-CN"/>
              </w:rPr>
              <w:t>☑</w:t>
            </w:r>
            <w:r>
              <w:rPr>
                <w:rFonts w:hint="eastAsia" w:ascii="宋体" w:hAnsi="宋体" w:cs="宋体"/>
                <w:color w:val="auto"/>
                <w:szCs w:val="24"/>
                <w:highlight w:val="none"/>
              </w:rPr>
              <w:t>数据电文  □纸质</w:t>
            </w:r>
          </w:p>
          <w:p w14:paraId="5382F79F">
            <w:pPr>
              <w:snapToGrid w:val="0"/>
              <w:ind w:firstLine="0" w:firstLineChars="0"/>
              <w:rPr>
                <w:rFonts w:hint="eastAsia" w:ascii="宋体" w:hAnsi="宋体" w:cs="宋体"/>
                <w:color w:val="auto"/>
                <w:szCs w:val="24"/>
                <w:highlight w:val="none"/>
              </w:rPr>
            </w:pPr>
            <w:r>
              <w:rPr>
                <w:rFonts w:hint="eastAsia" w:cs="宋体"/>
                <w:bCs/>
                <w:color w:val="auto"/>
                <w:szCs w:val="24"/>
                <w:highlight w:val="none"/>
              </w:rPr>
              <w:t>（2）</w:t>
            </w:r>
            <w:r>
              <w:rPr>
                <w:rFonts w:hint="eastAsia" w:ascii="宋体" w:hAnsi="宋体" w:cs="宋体"/>
                <w:color w:val="auto"/>
                <w:szCs w:val="24"/>
                <w:highlight w:val="none"/>
              </w:rPr>
              <w:t>中标结果通知发出的形式：</w:t>
            </w:r>
            <w:r>
              <w:rPr>
                <w:rFonts w:hint="eastAsia" w:cs="宋体"/>
                <w:bCs/>
                <w:color w:val="auto"/>
                <w:szCs w:val="24"/>
                <w:highlight w:val="none"/>
                <w:lang w:val="en-US" w:eastAsia="zh-CN"/>
              </w:rPr>
              <w:t>☑</w:t>
            </w:r>
            <w:r>
              <w:rPr>
                <w:rFonts w:hint="eastAsia" w:ascii="宋体" w:hAnsi="宋体" w:cs="宋体"/>
                <w:color w:val="auto"/>
                <w:szCs w:val="24"/>
                <w:highlight w:val="none"/>
              </w:rPr>
              <w:t>数据电文  □纸质</w:t>
            </w:r>
          </w:p>
          <w:p w14:paraId="00633842">
            <w:pPr>
              <w:snapToGrid w:val="0"/>
              <w:ind w:firstLine="0" w:firstLineChars="0"/>
              <w:rPr>
                <w:rFonts w:hint="eastAsia" w:ascii="宋体" w:hAnsi="宋体" w:cs="宋体"/>
                <w:color w:val="auto"/>
                <w:szCs w:val="24"/>
                <w:highlight w:val="none"/>
              </w:rPr>
            </w:pPr>
            <w:r>
              <w:rPr>
                <w:rFonts w:hint="eastAsia" w:ascii="宋体" w:hAnsi="宋体" w:cs="宋体"/>
                <w:color w:val="auto"/>
                <w:szCs w:val="24"/>
                <w:highlight w:val="none"/>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0FF6CA01">
        <w:tblPrEx>
          <w:tblCellMar>
            <w:top w:w="0" w:type="dxa"/>
            <w:left w:w="108" w:type="dxa"/>
            <w:bottom w:w="0" w:type="dxa"/>
            <w:right w:w="108" w:type="dxa"/>
          </w:tblCellMar>
        </w:tblPrEx>
        <w:trPr>
          <w:trHeight w:val="394"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E7B206C">
            <w:pPr>
              <w:snapToGrid w:val="0"/>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8.1.1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8EE2618">
            <w:pPr>
              <w:snapToGrid w:val="0"/>
              <w:ind w:firstLine="0" w:firstLineChars="0"/>
              <w:jc w:val="center"/>
              <w:rPr>
                <w:rFonts w:hint="eastAsia" w:ascii="宋体" w:hAnsi="宋体" w:cs="宋体"/>
                <w:color w:val="auto"/>
                <w:szCs w:val="24"/>
                <w:highlight w:val="none"/>
              </w:rPr>
            </w:pPr>
            <w:r>
              <w:rPr>
                <w:rFonts w:hint="eastAsia" w:cs="宋体"/>
                <w:bCs/>
                <w:color w:val="auto"/>
                <w:szCs w:val="24"/>
                <w:highlight w:val="none"/>
              </w:rPr>
              <w:t>履约保证金</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6EBBDE6D">
            <w:pPr>
              <w:snapToGrid w:val="0"/>
              <w:spacing w:line="520" w:lineRule="exact"/>
              <w:ind w:left="0" w:lef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是否要求投标人递交</w:t>
            </w:r>
            <w:r>
              <w:rPr>
                <w:rFonts w:hint="eastAsia" w:ascii="宋体" w:hAnsi="宋体" w:eastAsia="宋体" w:cs="宋体"/>
                <w:bCs/>
                <w:color w:val="auto"/>
                <w:kern w:val="0"/>
                <w:sz w:val="24"/>
                <w:szCs w:val="24"/>
                <w:highlight w:val="none"/>
              </w:rPr>
              <w:t>履约保证金</w:t>
            </w:r>
            <w:r>
              <w:rPr>
                <w:rFonts w:hint="eastAsia" w:ascii="宋体" w:hAnsi="宋体" w:eastAsia="宋体" w:cs="宋体"/>
                <w:bCs/>
                <w:snapToGrid w:val="0"/>
                <w:color w:val="auto"/>
                <w:kern w:val="0"/>
                <w:sz w:val="24"/>
                <w:szCs w:val="24"/>
                <w:highlight w:val="none"/>
              </w:rPr>
              <w:t>：</w:t>
            </w:r>
          </w:p>
          <w:p w14:paraId="462D8268">
            <w:pPr>
              <w:snapToGrid w:val="0"/>
              <w:spacing w:line="520" w:lineRule="exact"/>
              <w:ind w:left="0" w:lef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sym w:font="Wingdings 2" w:char="00A3"/>
            </w:r>
            <w:r>
              <w:rPr>
                <w:rFonts w:hint="eastAsia" w:ascii="宋体" w:hAnsi="宋体" w:eastAsia="宋体" w:cs="宋体"/>
                <w:bCs/>
                <w:snapToGrid w:val="0"/>
                <w:color w:val="auto"/>
                <w:kern w:val="0"/>
                <w:sz w:val="24"/>
                <w:szCs w:val="24"/>
                <w:highlight w:val="none"/>
              </w:rPr>
              <w:t>不要求</w:t>
            </w:r>
          </w:p>
          <w:p w14:paraId="138D3B3D">
            <w:pPr>
              <w:snapToGrid w:val="0"/>
              <w:spacing w:line="520" w:lineRule="exact"/>
              <w:ind w:left="0" w:leftChars="0" w:firstLine="0" w:firstLineChars="0"/>
              <w:rPr>
                <w:rFonts w:hint="eastAsia" w:ascii="宋体" w:hAnsi="宋体" w:eastAsia="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snapToGrid w:val="0"/>
                <w:color w:val="auto"/>
                <w:kern w:val="0"/>
                <w:sz w:val="24"/>
                <w:szCs w:val="24"/>
                <w:highlight w:val="none"/>
              </w:rPr>
              <w:t>要求，具体如下：</w:t>
            </w:r>
          </w:p>
          <w:p w14:paraId="77A2E8B6">
            <w:pPr>
              <w:snapToGrid w:val="0"/>
              <w:spacing w:line="520" w:lineRule="exact"/>
              <w:ind w:left="0" w:leftChars="0" w:firstLine="0" w:firstLineChars="0"/>
              <w:rPr>
                <w:rFonts w:hint="default" w:ascii="宋体" w:hAnsi="宋体" w:eastAsia="宋体" w:cs="宋体"/>
                <w:bCs/>
                <w:snapToGrid w:val="0"/>
                <w:color w:val="auto"/>
                <w:kern w:val="0"/>
                <w:sz w:val="24"/>
                <w:szCs w:val="24"/>
                <w:highlight w:val="none"/>
                <w:lang w:val="en-US"/>
              </w:rPr>
            </w:pPr>
            <w:r>
              <w:rPr>
                <w:rFonts w:hint="eastAsia" w:ascii="宋体" w:hAnsi="宋体" w:eastAsia="宋体" w:cs="宋体"/>
                <w:bCs/>
                <w:snapToGrid w:val="0"/>
                <w:color w:val="auto"/>
                <w:kern w:val="0"/>
                <w:sz w:val="24"/>
                <w:szCs w:val="24"/>
                <w:highlight w:val="none"/>
              </w:rPr>
              <w:t>（1）履约保证金金额：</w:t>
            </w:r>
            <w:r>
              <w:rPr>
                <w:rFonts w:hint="eastAsia" w:ascii="宋体" w:hAnsi="宋体" w:eastAsia="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 xml:space="preserve">合同金额的2% </w:t>
            </w:r>
          </w:p>
          <w:p w14:paraId="4475E49E">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snapToGrid w:val="0"/>
                <w:color w:val="auto"/>
                <w:kern w:val="0"/>
                <w:sz w:val="24"/>
                <w:szCs w:val="24"/>
                <w:highlight w:val="none"/>
              </w:rPr>
              <w:t>（2）履约保证金形式</w:t>
            </w:r>
            <w:r>
              <w:rPr>
                <w:rFonts w:hint="eastAsia" w:ascii="宋体" w:hAnsi="宋体" w:eastAsia="宋体" w:cs="宋体"/>
                <w:bCs/>
                <w:color w:val="auto"/>
                <w:kern w:val="0"/>
                <w:sz w:val="24"/>
                <w:szCs w:val="24"/>
                <w:highlight w:val="none"/>
              </w:rPr>
              <w:t>：</w:t>
            </w:r>
          </w:p>
          <w:p w14:paraId="2A202E1B">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电子保函</w:t>
            </w:r>
          </w:p>
          <w:p w14:paraId="78FD3247">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现金（银行转账、银行电汇）</w:t>
            </w:r>
          </w:p>
          <w:p w14:paraId="17E393D3">
            <w:pPr>
              <w:snapToGrid w:val="0"/>
              <w:spacing w:line="520" w:lineRule="exact"/>
              <w:ind w:left="0" w:leftChars="0" w:firstLine="0" w:firstLineChars="0"/>
              <w:rPr>
                <w:rFonts w:hint="eastAsia" w:ascii="宋体" w:hAnsi="宋体" w:eastAsia="宋体" w:cs="宋体"/>
                <w:bCs/>
                <w:color w:val="auto"/>
                <w:sz w:val="24"/>
                <w:szCs w:val="24"/>
                <w:highlight w:val="none"/>
              </w:rPr>
            </w:pPr>
            <w:r>
              <w:rPr>
                <w:rFonts w:hint="eastAsia" w:ascii="宋体" w:hAnsi="宋体" w:cs="宋体"/>
                <w:bCs/>
                <w:snapToGrid w:val="0"/>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纸质</w:t>
            </w:r>
            <w:r>
              <w:rPr>
                <w:rFonts w:hint="eastAsia" w:ascii="宋体" w:hAnsi="宋体" w:eastAsia="宋体" w:cs="宋体"/>
                <w:bCs/>
                <w:snapToGrid w:val="0"/>
                <w:color w:val="auto"/>
                <w:kern w:val="0"/>
                <w:sz w:val="24"/>
                <w:szCs w:val="24"/>
                <w:highlight w:val="none"/>
              </w:rPr>
              <w:t>保函</w:t>
            </w:r>
            <w:r>
              <w:rPr>
                <w:rFonts w:hint="eastAsia" w:ascii="宋体" w:hAnsi="宋体" w:eastAsia="宋体" w:cs="宋体"/>
                <w:bCs/>
                <w:color w:val="auto"/>
                <w:sz w:val="24"/>
                <w:szCs w:val="24"/>
                <w:highlight w:val="none"/>
              </w:rPr>
              <w:t>（</w:t>
            </w:r>
            <w:r>
              <w:rPr>
                <w:rFonts w:hint="eastAsia" w:ascii="宋体" w:hAnsi="宋体" w:eastAsia="宋体" w:cs="宋体"/>
                <w:bCs/>
                <w:color w:val="auto"/>
                <w:kern w:val="0"/>
                <w:sz w:val="24"/>
                <w:szCs w:val="24"/>
                <w:highlight w:val="none"/>
              </w:rPr>
              <w:t>纸质银行保函、纸质担保机构担保、纸质保证保险</w:t>
            </w:r>
            <w:r>
              <w:rPr>
                <w:rFonts w:hint="eastAsia" w:ascii="宋体" w:hAnsi="宋体" w:eastAsia="宋体" w:cs="宋体"/>
                <w:bCs/>
                <w:color w:val="auto"/>
                <w:sz w:val="24"/>
                <w:szCs w:val="24"/>
                <w:highlight w:val="none"/>
              </w:rPr>
              <w:t>）</w:t>
            </w:r>
          </w:p>
          <w:p w14:paraId="28512D4C">
            <w:pPr>
              <w:snapToGrid w:val="0"/>
              <w:spacing w:line="520" w:lineRule="exact"/>
              <w:ind w:left="0" w:leftChars="0" w:firstLine="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注：本项目鼓励优先使用电子保函形式递交履约保证金。</w:t>
            </w:r>
          </w:p>
          <w:p w14:paraId="4390C1FE">
            <w:pPr>
              <w:snapToGrid w:val="0"/>
              <w:spacing w:line="520" w:lineRule="exact"/>
              <w:ind w:left="0" w:leftChars="0" w:firstLine="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（3）履约保证金提交期限的要求：签订合同前。</w:t>
            </w:r>
          </w:p>
          <w:p w14:paraId="7D2A27C6">
            <w:pPr>
              <w:snapToGrid w:val="0"/>
              <w:spacing w:line="520" w:lineRule="exact"/>
              <w:ind w:left="0" w:leftChars="0" w:firstLine="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（4）履约保证金退还时限：监理范围内的全部工程竣工验</w:t>
            </w:r>
          </w:p>
          <w:p w14:paraId="1B45B11B">
            <w:pPr>
              <w:snapToGrid w:val="0"/>
              <w:spacing w:line="520" w:lineRule="exact"/>
              <w:ind w:left="0" w:leftChars="0" w:firstLine="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收合格后退还。</w:t>
            </w:r>
          </w:p>
          <w:p w14:paraId="046AA46A">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）具体要求：</w:t>
            </w:r>
          </w:p>
          <w:p w14:paraId="165D4A6B">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①采用纸质银行保函的，应为不可撤销、不可转让的见索即付独立保函。</w:t>
            </w:r>
          </w:p>
          <w:p w14:paraId="46E2F590">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②采用纸质担保机构担保的，应为经安徽省地方金融监督管理局审查批准，依法取得融资担保业务经营许可证的融资担保机构出具的不可撤销、不可转让的见索即付独立保函。</w:t>
            </w:r>
          </w:p>
          <w:p w14:paraId="7A0723F9">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③采用纸质保证保险的，应为保险公司出具的不可撤销、不可转让的见索即付保证保险。</w:t>
            </w:r>
          </w:p>
          <w:p w14:paraId="18943AAB">
            <w:pPr>
              <w:snapToGrid w:val="0"/>
              <w:spacing w:line="520" w:lineRule="exact"/>
              <w:ind w:left="0" w:lef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采用电子保函的，请登录全国公共资源交易平台（安徽省•合肥市）（安徽合肥公共资源交易中心网站）“电子保函”栏目查看《合肥市（信易贷）电子保函平台履约保函操作手册》并按照操作手册规定内容办理。</w:t>
            </w:r>
          </w:p>
          <w:p w14:paraId="48C5038C">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）本</w:t>
            </w:r>
            <w:r>
              <w:rPr>
                <w:rFonts w:hint="eastAsia" w:ascii="宋体" w:hAnsi="宋体" w:eastAsia="宋体" w:cs="宋体"/>
                <w:bCs/>
                <w:snapToGrid w:val="0"/>
                <w:color w:val="auto"/>
                <w:kern w:val="0"/>
                <w:sz w:val="24"/>
                <w:szCs w:val="24"/>
                <w:highlight w:val="none"/>
              </w:rPr>
              <w:t>招标</w:t>
            </w:r>
            <w:r>
              <w:rPr>
                <w:rFonts w:hint="eastAsia" w:ascii="宋体" w:hAnsi="宋体" w:eastAsia="宋体" w:cs="宋体"/>
                <w:bCs/>
                <w:color w:val="auto"/>
                <w:kern w:val="0"/>
                <w:sz w:val="24"/>
                <w:szCs w:val="24"/>
                <w:highlight w:val="none"/>
              </w:rPr>
              <w:t>项目是否减免履约保证金：</w:t>
            </w:r>
          </w:p>
          <w:p w14:paraId="145ECE02">
            <w:pPr>
              <w:snapToGrid w:val="0"/>
              <w:spacing w:line="520" w:lineRule="exact"/>
              <w:ind w:left="0" w:leftChars="0" w:firstLine="0" w:firstLineChars="0"/>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不减免</w:t>
            </w:r>
          </w:p>
          <w:p w14:paraId="00691D16">
            <w:pPr>
              <w:snapToGrid w:val="0"/>
              <w:spacing w:line="520" w:lineRule="exact"/>
              <w:ind w:left="0" w:leftChars="0" w:firstLine="0" w:firstLineChars="0"/>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sym w:font="Wingdings 2" w:char="00A3"/>
            </w:r>
            <w:r>
              <w:rPr>
                <w:rFonts w:hint="eastAsia" w:ascii="宋体" w:hAnsi="宋体" w:eastAsia="宋体" w:cs="宋体"/>
                <w:bCs/>
                <w:color w:val="auto"/>
                <w:kern w:val="0"/>
                <w:sz w:val="24"/>
                <w:szCs w:val="24"/>
                <w:highlight w:val="none"/>
              </w:rPr>
              <w:t>减免，适用</w:t>
            </w:r>
            <w:r>
              <w:rPr>
                <w:rFonts w:hint="eastAsia" w:ascii="宋体" w:hAnsi="宋体" w:eastAsia="宋体" w:cs="宋体"/>
                <w:bCs/>
                <w:snapToGrid w:val="0"/>
                <w:color w:val="auto"/>
                <w:kern w:val="0"/>
                <w:sz w:val="24"/>
                <w:szCs w:val="24"/>
                <w:highlight w:val="none"/>
              </w:rPr>
              <w:t>减免</w:t>
            </w:r>
            <w:r>
              <w:rPr>
                <w:rFonts w:hint="eastAsia" w:ascii="宋体" w:hAnsi="宋体" w:eastAsia="宋体" w:cs="宋体"/>
                <w:bCs/>
                <w:color w:val="auto"/>
                <w:kern w:val="0"/>
                <w:sz w:val="24"/>
                <w:szCs w:val="24"/>
                <w:highlight w:val="none"/>
              </w:rPr>
              <w:t>履约保证金的情形：</w:t>
            </w:r>
            <w:r>
              <w:rPr>
                <w:rFonts w:hint="eastAsia" w:ascii="宋体" w:hAnsi="宋体" w:eastAsia="宋体" w:cs="宋体"/>
                <w:bCs/>
                <w:color w:val="auto"/>
                <w:kern w:val="0"/>
                <w:sz w:val="24"/>
                <w:szCs w:val="24"/>
                <w:highlight w:val="none"/>
                <w:u w:val="single"/>
              </w:rPr>
              <w:t xml:space="preserve">      </w:t>
            </w:r>
          </w:p>
          <w:p w14:paraId="064C01A8">
            <w:pPr>
              <w:snapToGrid w:val="0"/>
              <w:spacing w:line="520" w:lineRule="exact"/>
              <w:ind w:left="0" w:leftChars="0" w:firstLine="0" w:firstLineChars="0"/>
              <w:rPr>
                <w:rFonts w:hint="eastAsia" w:ascii="宋体" w:hAnsi="宋体" w:cs="宋体"/>
                <w:bCs/>
                <w:snapToGrid w:val="0"/>
                <w:color w:val="auto"/>
                <w:kern w:val="0"/>
                <w:szCs w:val="24"/>
                <w:highlight w:val="none"/>
              </w:rPr>
            </w:pP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rPr>
              <w:t>）其他要求：</w:t>
            </w:r>
            <w:r>
              <w:rPr>
                <w:rFonts w:hint="eastAsia" w:ascii="宋体" w:hAnsi="宋体" w:eastAsia="宋体" w:cs="宋体"/>
                <w:bCs/>
                <w:color w:val="auto"/>
                <w:kern w:val="0"/>
                <w:sz w:val="24"/>
                <w:szCs w:val="24"/>
                <w:highlight w:val="none"/>
                <w:u w:val="single"/>
              </w:rPr>
              <w:t xml:space="preserve"> 投标人采用现金（银行转账、银行电汇）形式提交履约保证金的，同时退还银行同期活期存款利息</w:t>
            </w:r>
            <w:r>
              <w:rPr>
                <w:rFonts w:hint="eastAsia" w:ascii="宋体" w:hAnsi="宋体" w:cs="宋体"/>
                <w:bCs/>
                <w:color w:val="auto"/>
                <w:kern w:val="0"/>
                <w:sz w:val="24"/>
                <w:szCs w:val="24"/>
                <w:highlight w:val="none"/>
                <w:u w:val="single"/>
                <w:lang w:eastAsia="zh-CN"/>
              </w:rPr>
              <w:t>（</w:t>
            </w:r>
            <w:r>
              <w:rPr>
                <w:rFonts w:hint="eastAsia" w:ascii="宋体" w:hAnsi="宋体" w:cs="宋体"/>
                <w:bCs/>
                <w:color w:val="auto"/>
                <w:kern w:val="0"/>
                <w:sz w:val="24"/>
                <w:szCs w:val="24"/>
                <w:highlight w:val="none"/>
                <w:u w:val="single"/>
                <w:lang w:val="en-US" w:eastAsia="zh-CN"/>
              </w:rPr>
              <w:t>如要求履约保证金的适用此条</w:t>
            </w:r>
            <w:r>
              <w:rPr>
                <w:rFonts w:hint="eastAsia" w:ascii="宋体" w:hAnsi="宋体" w:cs="宋体"/>
                <w:bCs/>
                <w:color w:val="auto"/>
                <w:kern w:val="0"/>
                <w:sz w:val="24"/>
                <w:szCs w:val="24"/>
                <w:highlight w:val="none"/>
                <w:u w:val="single"/>
                <w:lang w:eastAsia="zh-CN"/>
              </w:rPr>
              <w:t>）</w:t>
            </w:r>
            <w:r>
              <w:rPr>
                <w:rFonts w:hint="eastAsia" w:ascii="宋体" w:hAnsi="宋体" w:eastAsia="宋体" w:cs="宋体"/>
                <w:bCs/>
                <w:color w:val="auto"/>
                <w:kern w:val="0"/>
                <w:sz w:val="24"/>
                <w:szCs w:val="24"/>
                <w:highlight w:val="none"/>
                <w:u w:val="single"/>
              </w:rPr>
              <w:t>。</w:t>
            </w:r>
          </w:p>
        </w:tc>
      </w:tr>
      <w:tr w14:paraId="598E64C0">
        <w:tblPrEx>
          <w:tblCellMar>
            <w:top w:w="0" w:type="dxa"/>
            <w:left w:w="108" w:type="dxa"/>
            <w:bottom w:w="0" w:type="dxa"/>
            <w:right w:w="108" w:type="dxa"/>
          </w:tblCellMar>
        </w:tblPrEx>
        <w:trPr>
          <w:trHeight w:val="678" w:hRule="atLeast"/>
        </w:trPr>
        <w:tc>
          <w:tcPr>
            <w:tcW w:w="9322" w:type="dxa"/>
            <w:gridSpan w:val="3"/>
            <w:tcBorders>
              <w:top w:val="single" w:color="auto" w:sz="4" w:space="0"/>
              <w:left w:val="single" w:color="auto" w:sz="4" w:space="0"/>
              <w:bottom w:val="single" w:color="auto" w:sz="4" w:space="0"/>
              <w:right w:val="single" w:color="auto" w:sz="4" w:space="0"/>
            </w:tcBorders>
            <w:noWrap w:val="0"/>
            <w:vAlign w:val="center"/>
          </w:tcPr>
          <w:p w14:paraId="5263E1A0">
            <w:pPr>
              <w:ind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10．需要补充的其他内容</w:t>
            </w:r>
          </w:p>
        </w:tc>
      </w:tr>
      <w:tr w14:paraId="105CC2C1">
        <w:tblPrEx>
          <w:tblCellMar>
            <w:top w:w="0" w:type="dxa"/>
            <w:left w:w="108" w:type="dxa"/>
            <w:bottom w:w="0" w:type="dxa"/>
            <w:right w:w="108" w:type="dxa"/>
          </w:tblCellMar>
        </w:tblPrEx>
        <w:trPr>
          <w:trHeight w:val="827"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FDE7942">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7686997">
            <w:pPr>
              <w:snapToGrid w:val="0"/>
              <w:ind w:firstLine="0" w:firstLineChars="0"/>
              <w:jc w:val="center"/>
              <w:rPr>
                <w:rFonts w:hint="eastAsia" w:ascii="宋体" w:hAnsi="宋体" w:cs="宋体"/>
                <w:color w:val="auto"/>
                <w:szCs w:val="24"/>
                <w:highlight w:val="none"/>
              </w:rPr>
            </w:pPr>
            <w:r>
              <w:rPr>
                <w:rFonts w:hint="eastAsia" w:ascii="宋体" w:hAnsi="宋体" w:cs="宋体"/>
                <w:bCs/>
                <w:snapToGrid w:val="0"/>
                <w:color w:val="auto"/>
                <w:szCs w:val="24"/>
                <w:highlight w:val="none"/>
              </w:rPr>
              <w:t>获取与查看通知</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64A912E">
            <w:pPr>
              <w:widowControl/>
              <w:snapToGrid w:val="0"/>
              <w:ind w:firstLine="0" w:firstLineChars="0"/>
              <w:jc w:val="both"/>
              <w:rPr>
                <w:rFonts w:hint="eastAsia" w:ascii="宋体" w:hAnsi="宋体" w:cs="宋体"/>
                <w:color w:val="auto"/>
                <w:szCs w:val="24"/>
                <w:highlight w:val="none"/>
              </w:rPr>
            </w:pPr>
            <w:r>
              <w:rPr>
                <w:rFonts w:hint="eastAsia" w:ascii="宋体" w:hAnsi="宋体" w:cs="宋体"/>
                <w:color w:val="auto"/>
                <w:szCs w:val="24"/>
                <w:highlight w:val="none"/>
              </w:rPr>
              <w:t>本招标项目的招标文件、澄清及修改等相关资料均通过电子服务系统发布，投标人应当及时登录电子服务系统自行查看并下载。</w:t>
            </w:r>
          </w:p>
        </w:tc>
      </w:tr>
      <w:tr w14:paraId="04A30B0A">
        <w:tblPrEx>
          <w:tblCellMar>
            <w:top w:w="0" w:type="dxa"/>
            <w:left w:w="108" w:type="dxa"/>
            <w:bottom w:w="0" w:type="dxa"/>
            <w:right w:w="108" w:type="dxa"/>
          </w:tblCellMar>
        </w:tblPrEx>
        <w:trPr>
          <w:trHeight w:val="12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59A8147">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D3049CB">
            <w:pPr>
              <w:snapToGrid w:val="0"/>
              <w:ind w:firstLine="0" w:firstLineChars="0"/>
              <w:jc w:val="center"/>
              <w:rPr>
                <w:rFonts w:hint="eastAsia" w:ascii="宋体" w:hAnsi="宋体" w:cs="宋体"/>
                <w:color w:val="auto"/>
                <w:szCs w:val="24"/>
                <w:highlight w:val="none"/>
              </w:rPr>
            </w:pPr>
            <w:r>
              <w:rPr>
                <w:rFonts w:hint="eastAsia" w:ascii="宋体" w:hAnsi="宋体" w:cs="宋体"/>
                <w:bCs/>
                <w:snapToGrid w:val="0"/>
                <w:color w:val="auto"/>
                <w:szCs w:val="24"/>
                <w:highlight w:val="none"/>
              </w:rPr>
              <w:t>电子招标</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08034B4A">
            <w:pPr>
              <w:widowControl/>
              <w:snapToGrid w:val="0"/>
              <w:ind w:firstLine="0" w:firstLineChars="0"/>
              <w:jc w:val="both"/>
              <w:rPr>
                <w:rFonts w:hint="eastAsia" w:ascii="宋体" w:hAnsi="宋体" w:cs="宋体"/>
                <w:color w:val="auto"/>
                <w:szCs w:val="24"/>
                <w:highlight w:val="none"/>
              </w:rPr>
            </w:pPr>
            <w:r>
              <w:rPr>
                <w:rFonts w:hint="eastAsia" w:ascii="宋体" w:hAnsi="宋体" w:cs="宋体"/>
                <w:color w:val="auto"/>
                <w:szCs w:val="24"/>
                <w:highlight w:val="none"/>
              </w:rPr>
              <w:t>本招标项目实行全流程电子化交易，除招标文件另有规定外，电子招标投标操作要求见本章附件《合肥市公共资源交易电子招标投标操作规程》。</w:t>
            </w:r>
          </w:p>
        </w:tc>
      </w:tr>
      <w:tr w14:paraId="41D32C15">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C3FA495">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1D600BD">
            <w:pPr>
              <w:snapToGrid w:val="0"/>
              <w:ind w:firstLine="0" w:firstLineChars="0"/>
              <w:jc w:val="center"/>
              <w:rPr>
                <w:rFonts w:hint="eastAsia" w:ascii="宋体" w:hAnsi="宋体" w:cs="宋体"/>
                <w:color w:val="auto"/>
                <w:szCs w:val="24"/>
                <w:highlight w:val="none"/>
              </w:rPr>
            </w:pPr>
            <w:r>
              <w:rPr>
                <w:color w:val="auto"/>
                <w:highlight w:val="none"/>
              </w:rPr>
              <w:t>相关政策要求</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394BE74">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1）承包人在工程实施过程中的用工行为，必须严格按照《保障农民工工资支付条例》（国令第724号）、《安徽省人民政府办公厅关于全面治理拖欠农民工工资问题的实施意见》（皖政办〔2016〕22号）以及《合肥市人民政府办公厅关于全面治理拖欠农民工工资问题的实施意见》（合政办〔2017〕37号）等文件精神的有关规定，依法与招用的农民工签订劳动合同，并按规定及时足额支付工资。承包人必须在合肥市市域范围内银行设立农民工工资专用账户，专户资金使用、监管严格按照《工程建设领域农民工工资专用账户管理暂行办法》（人社2021（53）号</w:t>
            </w:r>
            <w:r>
              <w:rPr>
                <w:rFonts w:hint="eastAsia" w:cs="宋体"/>
                <w:bCs/>
                <w:color w:val="auto"/>
                <w:szCs w:val="24"/>
                <w:highlight w:val="none"/>
                <w:lang w:val="en-US" w:eastAsia="zh-CN"/>
              </w:rPr>
              <w:t>文</w:t>
            </w:r>
            <w:r>
              <w:rPr>
                <w:rFonts w:hint="eastAsia" w:cs="宋体"/>
                <w:bCs/>
                <w:color w:val="auto"/>
                <w:szCs w:val="24"/>
                <w:highlight w:val="none"/>
              </w:rPr>
              <w:t>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0AE23076">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2）注册地不在合肥市行政区域范围（含四县一市）的中标人，应按照《纳税人跨县（市、区）提供建筑服务增值税征收管理暂行办法》（国家税务总局公告2016年第17号）规定，在建筑服务发生地及时足额预缴增值税。</w:t>
            </w:r>
          </w:p>
          <w:p w14:paraId="3572BF23">
            <w:pPr>
              <w:widowControl/>
              <w:snapToGrid w:val="0"/>
              <w:ind w:left="0" w:leftChars="0" w:firstLine="0" w:firstLineChars="0"/>
              <w:jc w:val="both"/>
              <w:rPr>
                <w:rFonts w:hint="eastAsia" w:eastAsia="宋体" w:cs="宋体"/>
                <w:bCs/>
                <w:color w:val="auto"/>
                <w:szCs w:val="24"/>
                <w:highlight w:val="none"/>
                <w:lang w:val="en-US" w:eastAsia="zh-CN"/>
              </w:rPr>
            </w:pPr>
            <w:r>
              <w:rPr>
                <w:rFonts w:hint="eastAsia" w:eastAsia="宋体" w:cs="宋体"/>
                <w:bCs/>
                <w:color w:val="auto"/>
                <w:szCs w:val="24"/>
                <w:highlight w:val="none"/>
              </w:rPr>
              <w:t>（3）</w:t>
            </w:r>
            <w:r>
              <w:rPr>
                <w:rFonts w:hint="eastAsia" w:eastAsia="宋体" w:cs="宋体"/>
                <w:bCs/>
                <w:color w:val="auto"/>
                <w:szCs w:val="24"/>
                <w:highlight w:val="none"/>
                <w:lang w:val="en-US" w:eastAsia="zh-CN"/>
              </w:rPr>
              <w:t>省外建设工程企业按照《关于优化进皖建设工程企业信息登记服务和管理有关工作的通知》（建市规〔2025〕4</w:t>
            </w:r>
          </w:p>
          <w:p w14:paraId="2D3896DA">
            <w:pPr>
              <w:widowControl/>
              <w:snapToGrid w:val="0"/>
              <w:ind w:left="0" w:leftChars="0" w:firstLine="0" w:firstLineChars="0"/>
              <w:jc w:val="both"/>
              <w:rPr>
                <w:rFonts w:hint="default" w:eastAsia="宋体" w:cs="宋体"/>
                <w:bCs/>
                <w:color w:val="auto"/>
                <w:szCs w:val="24"/>
                <w:highlight w:val="none"/>
                <w:lang w:val="en-US"/>
              </w:rPr>
            </w:pPr>
            <w:r>
              <w:rPr>
                <w:rFonts w:hint="eastAsia" w:eastAsia="宋体" w:cs="宋体"/>
                <w:bCs/>
                <w:color w:val="auto"/>
                <w:szCs w:val="24"/>
                <w:highlight w:val="none"/>
                <w:lang w:val="en-US" w:eastAsia="zh-CN"/>
              </w:rPr>
              <w:t>号）进行相关信息登记。</w:t>
            </w:r>
          </w:p>
          <w:p w14:paraId="72100691">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（4）工程质量保证金执行《关于以保函等方式替代工程质量保证金的通知》（合建〔2020〕29号文件）。</w:t>
            </w:r>
          </w:p>
          <w:p w14:paraId="54A9FF88">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（5）农民工工资保证金保函严格执行转发《关于印发&lt;安徽省工程建设领域农民工工资保证金实施办法&gt;的通知》的通知(合治欠办〔202</w:t>
            </w:r>
            <w:r>
              <w:rPr>
                <w:rFonts w:hint="eastAsia" w:cs="宋体"/>
                <w:bCs/>
                <w:color w:val="auto"/>
                <w:szCs w:val="24"/>
                <w:highlight w:val="none"/>
                <w:lang w:val="en-US" w:eastAsia="zh-CN"/>
              </w:rPr>
              <w:t>2</w:t>
            </w:r>
            <w:r>
              <w:rPr>
                <w:rFonts w:hint="eastAsia" w:cs="宋体"/>
                <w:bCs/>
                <w:color w:val="auto"/>
                <w:szCs w:val="24"/>
                <w:highlight w:val="none"/>
              </w:rPr>
              <w:t>〕5 号)，支持以银行保函、保险机构保单保函方式存储。</w:t>
            </w:r>
          </w:p>
          <w:p w14:paraId="42F8DCA1">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（6）劳资专管员执行《关于加强建设领域劳资专管员管理工作的通知》（合治欠发〔2021〕6号文件）。</w:t>
            </w:r>
          </w:p>
          <w:p w14:paraId="60032DA4">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（7）关于投标保证金、履约保证金、工程质量保证金执行《关于加快推进房屋建筑和市政基础设施工程实行工程担保制度的通知》（建市〔2020〕84号文件）。</w:t>
            </w:r>
          </w:p>
          <w:p w14:paraId="488AF407">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（8）保证保险产品应按《中国银保监会办公厅关于进一步加强和改进财产保险公司产品监管有关问题的通知》执行。</w:t>
            </w:r>
          </w:p>
          <w:p w14:paraId="73ED010A">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（9）采用一级建造师投标的应按《住房和城乡建设部办公厅关于全面实行一级建造师电子注册证书的通知》(建办市〔2021〕40号)执行。</w:t>
            </w:r>
          </w:p>
          <w:p w14:paraId="29798BA1">
            <w:pPr>
              <w:widowControl/>
              <w:snapToGrid w:val="0"/>
              <w:ind w:left="0" w:leftChars="0" w:firstLine="0" w:firstLineChars="0"/>
              <w:jc w:val="both"/>
              <w:rPr>
                <w:rFonts w:cs="宋体"/>
                <w:bCs/>
                <w:color w:val="auto"/>
                <w:szCs w:val="24"/>
                <w:highlight w:val="none"/>
              </w:rPr>
            </w:pPr>
            <w:r>
              <w:rPr>
                <w:rFonts w:hint="eastAsia" w:cs="宋体"/>
                <w:bCs/>
                <w:color w:val="auto"/>
                <w:szCs w:val="24"/>
                <w:highlight w:val="none"/>
              </w:rPr>
              <w:t>（10）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604969E4">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11）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合肥市人民政府关于建立根治欠薪长效工作机制的实施意见》合政〔2022〕204号。</w:t>
            </w:r>
          </w:p>
          <w:p w14:paraId="4B2AD0A1">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（12）投标保证金、履约保证金、预付款担保、质量保证金缴纳执行安徽合肥公共资源交易中心发布的《关于全面推行投标保证金、履约保证金、预付款担保、质量保证金电子保函的通知》。</w:t>
            </w:r>
          </w:p>
          <w:p w14:paraId="2CA16F98">
            <w:pPr>
              <w:widowControl/>
              <w:snapToGrid w:val="0"/>
              <w:ind w:left="0" w:leftChars="0" w:firstLine="0" w:firstLineChars="0"/>
              <w:jc w:val="both"/>
              <w:rPr>
                <w:rFonts w:cs="宋体"/>
                <w:b/>
                <w:bCs w:val="0"/>
                <w:color w:val="auto"/>
                <w:szCs w:val="24"/>
                <w:highlight w:val="none"/>
              </w:rPr>
            </w:pPr>
            <w:r>
              <w:rPr>
                <w:rFonts w:hint="eastAsia" w:cs="宋体"/>
                <w:b/>
                <w:bCs w:val="0"/>
                <w:color w:val="auto"/>
                <w:szCs w:val="24"/>
                <w:highlight w:val="none"/>
              </w:rPr>
              <w:t>注：</w:t>
            </w:r>
          </w:p>
          <w:p w14:paraId="2ABEA950">
            <w:pPr>
              <w:widowControl/>
              <w:snapToGrid w:val="0"/>
              <w:ind w:left="0" w:leftChars="0" w:firstLine="0" w:firstLineChars="0"/>
              <w:jc w:val="both"/>
              <w:rPr>
                <w:rFonts w:cs="宋体"/>
                <w:bCs/>
                <w:color w:val="auto"/>
                <w:szCs w:val="24"/>
                <w:highlight w:val="none"/>
              </w:rPr>
            </w:pPr>
            <w:r>
              <w:rPr>
                <w:rFonts w:hint="eastAsia" w:cs="宋体"/>
                <w:bCs/>
                <w:color w:val="auto"/>
                <w:szCs w:val="24"/>
                <w:highlight w:val="none"/>
              </w:rPr>
              <w:t>①未列明的按照国家、省、市相关政策执行。</w:t>
            </w:r>
          </w:p>
          <w:p w14:paraId="438CEE4E">
            <w:pPr>
              <w:ind w:left="0" w:leftChars="0" w:firstLine="0" w:firstLineChars="0"/>
              <w:jc w:val="both"/>
              <w:rPr>
                <w:rFonts w:hint="eastAsia" w:ascii="宋体" w:hAnsi="宋体" w:cs="宋体"/>
                <w:color w:val="auto"/>
                <w:szCs w:val="24"/>
                <w:highlight w:val="none"/>
              </w:rPr>
            </w:pPr>
            <w:r>
              <w:rPr>
                <w:rFonts w:hint="eastAsia" w:cs="宋体"/>
                <w:bCs/>
                <w:color w:val="auto"/>
                <w:szCs w:val="24"/>
                <w:highlight w:val="none"/>
              </w:rPr>
              <w:t>②如有相关政策文件更新，按照最新政策文件执行。</w:t>
            </w:r>
          </w:p>
        </w:tc>
      </w:tr>
      <w:tr w14:paraId="08236A05">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DFEB8E3">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A071C0">
            <w:pPr>
              <w:snapToGrid w:val="0"/>
              <w:ind w:firstLine="0" w:firstLineChars="0"/>
              <w:jc w:val="center"/>
              <w:rPr>
                <w:rFonts w:hint="eastAsia" w:ascii="宋体" w:hAnsi="宋体" w:cs="宋体"/>
                <w:bCs/>
                <w:snapToGrid w:val="0"/>
                <w:color w:val="auto"/>
                <w:kern w:val="0"/>
                <w:szCs w:val="24"/>
                <w:highlight w:val="none"/>
              </w:rPr>
            </w:pPr>
            <w:r>
              <w:rPr>
                <w:rFonts w:hint="eastAsia" w:ascii="宋体" w:hAnsi="宋体" w:cs="宋体"/>
                <w:bCs/>
                <w:snapToGrid w:val="0"/>
                <w:color w:val="auto"/>
                <w:szCs w:val="24"/>
                <w:highlight w:val="none"/>
              </w:rPr>
              <w:t>评标过程中的澄清、说明或补正</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252612F">
            <w:pPr>
              <w:widowControl/>
              <w:snapToGrid w:val="0"/>
              <w:ind w:firstLine="0" w:firstLineChars="0"/>
              <w:jc w:val="both"/>
              <w:rPr>
                <w:rFonts w:hint="eastAsia" w:ascii="宋体" w:hAnsi="宋体" w:cs="宋体"/>
                <w:color w:val="auto"/>
                <w:szCs w:val="24"/>
                <w:highlight w:val="none"/>
              </w:rPr>
            </w:pPr>
            <w:r>
              <w:rPr>
                <w:rFonts w:hint="eastAsia" w:cs="宋体"/>
                <w:bCs/>
                <w:color w:val="auto"/>
                <w:szCs w:val="24"/>
                <w:highlight w:val="none"/>
              </w:rPr>
              <w:t>（1）</w:t>
            </w:r>
            <w:r>
              <w:rPr>
                <w:rFonts w:hint="eastAsia" w:ascii="宋体" w:hAnsi="宋体" w:cs="宋体"/>
                <w:color w:val="auto"/>
                <w:szCs w:val="24"/>
                <w:highlight w:val="none"/>
              </w:rPr>
              <w:t>评标委员会通过电子交易系统将需要澄清、说明或补正的内容以询标函的形式发送给投标人，投标人应安排专人登录电子交易系统并保持在线状态，以便及时接收评标委员会可能发出的询标函。</w:t>
            </w:r>
          </w:p>
          <w:p w14:paraId="19EA42E2">
            <w:pPr>
              <w:widowControl/>
              <w:snapToGrid w:val="0"/>
              <w:ind w:firstLine="0" w:firstLineChars="0"/>
              <w:jc w:val="both"/>
              <w:rPr>
                <w:rFonts w:hint="eastAsia" w:ascii="宋体" w:hAnsi="宋体" w:cs="宋体"/>
                <w:bCs/>
                <w:snapToGrid w:val="0"/>
                <w:color w:val="auto"/>
                <w:kern w:val="0"/>
                <w:szCs w:val="24"/>
                <w:highlight w:val="none"/>
              </w:rPr>
            </w:pPr>
            <w:r>
              <w:rPr>
                <w:rFonts w:hint="eastAsia" w:cs="宋体"/>
                <w:bCs/>
                <w:color w:val="auto"/>
                <w:szCs w:val="24"/>
                <w:highlight w:val="none"/>
              </w:rPr>
              <w:t>（2）</w:t>
            </w:r>
            <w:r>
              <w:rPr>
                <w:rFonts w:hint="eastAsia" w:ascii="宋体" w:hAnsi="宋体" w:cs="宋体"/>
                <w:color w:val="auto"/>
                <w:szCs w:val="24"/>
                <w:highlight w:val="none"/>
              </w:rPr>
              <w:t>因投标人未登录电子交易系统导致无法及时接收询标函（远程网上询标）或未在规定时间</w:t>
            </w:r>
            <w:r>
              <w:rPr>
                <w:rFonts w:hint="eastAsia" w:hAnsi="宋体" w:cs="宋体"/>
                <w:color w:val="auto"/>
                <w:szCs w:val="24"/>
                <w:highlight w:val="none"/>
              </w:rPr>
              <w:t>（</w:t>
            </w:r>
            <w:r>
              <w:rPr>
                <w:rFonts w:hint="eastAsia" w:hAnsi="宋体" w:cs="宋体"/>
                <w:color w:val="auto"/>
                <w:szCs w:val="24"/>
                <w:highlight w:val="none"/>
                <w:u w:val="single"/>
                <w:lang w:val="en-US" w:eastAsia="zh-CN"/>
              </w:rPr>
              <w:t xml:space="preserve"> </w:t>
            </w:r>
            <w:r>
              <w:rPr>
                <w:rFonts w:hint="eastAsia" w:hAnsi="宋体" w:cs="宋体"/>
                <w:b/>
                <w:bCs/>
                <w:color w:val="auto"/>
                <w:szCs w:val="24"/>
                <w:highlight w:val="none"/>
                <w:u w:val="single"/>
              </w:rPr>
              <w:t>15</w:t>
            </w:r>
            <w:r>
              <w:rPr>
                <w:rFonts w:hint="eastAsia" w:hAnsi="宋体" w:cs="宋体"/>
                <w:color w:val="auto"/>
                <w:szCs w:val="24"/>
                <w:highlight w:val="none"/>
                <w:u w:val="single"/>
                <w:lang w:val="en-US" w:eastAsia="zh-CN"/>
              </w:rPr>
              <w:t xml:space="preserve"> </w:t>
            </w:r>
            <w:r>
              <w:rPr>
                <w:rFonts w:hint="eastAsia" w:cs="宋体"/>
                <w:bCs/>
                <w:color w:val="auto"/>
                <w:szCs w:val="24"/>
                <w:highlight w:val="none"/>
              </w:rPr>
              <w:t>分钟</w:t>
            </w:r>
            <w:r>
              <w:rPr>
                <w:rFonts w:hint="eastAsia" w:hAnsi="宋体" w:cs="宋体"/>
                <w:color w:val="auto"/>
                <w:szCs w:val="24"/>
                <w:highlight w:val="none"/>
              </w:rPr>
              <w:t>）</w:t>
            </w:r>
            <w:r>
              <w:rPr>
                <w:rFonts w:hint="eastAsia" w:ascii="宋体" w:hAnsi="宋体" w:cs="宋体"/>
                <w:color w:val="auto"/>
                <w:szCs w:val="24"/>
                <w:highlight w:val="none"/>
              </w:rPr>
              <w:t>内按照评标委员会要求进行澄清、说明或补正内容的</w:t>
            </w:r>
            <w:r>
              <w:rPr>
                <w:rFonts w:hint="eastAsia" w:hAnsi="宋体" w:cs="宋体"/>
                <w:color w:val="auto"/>
                <w:szCs w:val="24"/>
                <w:highlight w:val="none"/>
              </w:rPr>
              <w:t>，</w:t>
            </w:r>
            <w:r>
              <w:rPr>
                <w:rFonts w:hint="eastAsia" w:ascii="宋体" w:hAnsi="宋体" w:cs="宋体"/>
                <w:color w:val="auto"/>
                <w:szCs w:val="24"/>
                <w:highlight w:val="none"/>
              </w:rPr>
              <w:t>视同投标人放弃澄清、说明或补正内容的权利，评标委员会可按照对投标人不利的解释进行判定。</w:t>
            </w:r>
          </w:p>
        </w:tc>
      </w:tr>
      <w:tr w14:paraId="634A496A">
        <w:tblPrEx>
          <w:tblCellMar>
            <w:top w:w="0" w:type="dxa"/>
            <w:left w:w="108" w:type="dxa"/>
            <w:bottom w:w="0" w:type="dxa"/>
            <w:right w:w="108" w:type="dxa"/>
          </w:tblCellMar>
        </w:tblPrEx>
        <w:trPr>
          <w:trHeight w:val="102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E145BB0">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10.5</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DE710D4">
            <w:pPr>
              <w:snapToGrid w:val="0"/>
              <w:ind w:firstLine="0" w:firstLineChars="0"/>
              <w:jc w:val="center"/>
              <w:rPr>
                <w:rFonts w:hint="eastAsia" w:ascii="宋体" w:hAnsi="宋体" w:cs="宋体"/>
                <w:bCs/>
                <w:snapToGrid w:val="0"/>
                <w:color w:val="auto"/>
                <w:kern w:val="0"/>
                <w:szCs w:val="24"/>
                <w:highlight w:val="none"/>
              </w:rPr>
            </w:pPr>
            <w:r>
              <w:rPr>
                <w:rFonts w:hint="eastAsia" w:ascii="宋体" w:hAnsi="宋体" w:cs="宋体"/>
                <w:bCs/>
                <w:snapToGrid w:val="0"/>
                <w:color w:val="auto"/>
                <w:szCs w:val="24"/>
                <w:highlight w:val="none"/>
              </w:rPr>
              <w:t>投标人对所提供材料应承担的责任</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3A382370">
            <w:pPr>
              <w:widowControl/>
              <w:snapToGrid w:val="0"/>
              <w:ind w:firstLine="0" w:firstLineChars="0"/>
              <w:jc w:val="both"/>
              <w:rPr>
                <w:rFonts w:hint="eastAsia" w:cs="宋体"/>
                <w:bCs/>
                <w:color w:val="auto"/>
                <w:szCs w:val="24"/>
                <w:highlight w:val="none"/>
              </w:rPr>
            </w:pPr>
            <w:r>
              <w:rPr>
                <w:rFonts w:hint="eastAsia" w:cs="宋体"/>
                <w:bCs/>
                <w:color w:val="auto"/>
                <w:szCs w:val="24"/>
                <w:highlight w:val="none"/>
              </w:rPr>
              <w:t>（1）</w:t>
            </w:r>
            <w:r>
              <w:rPr>
                <w:rFonts w:ascii="宋体" w:hAnsi="宋体" w:cs="宋体"/>
                <w:color w:val="auto"/>
                <w:szCs w:val="24"/>
                <w:highlight w:val="none"/>
              </w:rPr>
              <w:t>投标人提供虚假材料谋取中标的，公共资源交易监督管理部门将依法处理，并记入不良行为记录，予以披露</w:t>
            </w:r>
            <w:r>
              <w:rPr>
                <w:rFonts w:hint="eastAsia" w:cs="宋体"/>
                <w:bCs/>
                <w:color w:val="auto"/>
                <w:szCs w:val="24"/>
                <w:highlight w:val="none"/>
              </w:rPr>
              <w:t>。</w:t>
            </w:r>
          </w:p>
          <w:p w14:paraId="5127F95C">
            <w:pPr>
              <w:widowControl/>
              <w:snapToGrid w:val="0"/>
              <w:ind w:firstLine="0" w:firstLineChars="0"/>
              <w:jc w:val="both"/>
              <w:rPr>
                <w:rFonts w:hint="eastAsia" w:ascii="宋体" w:hAnsi="宋体" w:cs="宋体"/>
                <w:color w:val="auto"/>
                <w:szCs w:val="24"/>
                <w:highlight w:val="none"/>
              </w:rPr>
            </w:pPr>
            <w:r>
              <w:rPr>
                <w:rFonts w:hint="eastAsia" w:cs="宋体"/>
                <w:bCs/>
                <w:color w:val="auto"/>
                <w:szCs w:val="24"/>
                <w:highlight w:val="none"/>
              </w:rPr>
              <w:t>（2）投标人对所提供的材料承担缔约过失责任和法律责任。若投诉人或举报人对前述材料存在争议，进行有效投诉或举报，被投诉人、被举报人应当主动配合公共资源交易监督管理部门调查，并在规定期限内举证，提供有关证明材料；拒绝配合</w:t>
            </w:r>
            <w:r>
              <w:rPr>
                <w:rFonts w:cs="宋体"/>
                <w:bCs/>
                <w:color w:val="auto"/>
                <w:szCs w:val="24"/>
                <w:highlight w:val="none"/>
              </w:rPr>
              <w:t>调查</w:t>
            </w:r>
            <w:r>
              <w:rPr>
                <w:rFonts w:hint="eastAsia" w:cs="宋体"/>
                <w:bCs/>
                <w:color w:val="auto"/>
                <w:szCs w:val="24"/>
                <w:highlight w:val="none"/>
              </w:rPr>
              <w:t>，且未在规定期限内举证、提供证明材料的，公共资源交易监督管理部门将依法处理。</w:t>
            </w:r>
          </w:p>
        </w:tc>
      </w:tr>
      <w:tr w14:paraId="05A0B39F">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AE8AEFE">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10.6</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ACE3C21">
            <w:pPr>
              <w:snapToGrid w:val="0"/>
              <w:ind w:firstLine="0" w:firstLineChars="0"/>
              <w:jc w:val="center"/>
              <w:rPr>
                <w:rFonts w:hint="eastAsia" w:ascii="宋体" w:hAnsi="宋体" w:cs="宋体"/>
                <w:bCs/>
                <w:snapToGrid w:val="0"/>
                <w:color w:val="auto"/>
                <w:kern w:val="0"/>
                <w:szCs w:val="24"/>
                <w:highlight w:val="none"/>
              </w:rPr>
            </w:pPr>
            <w:r>
              <w:rPr>
                <w:rFonts w:hint="eastAsia" w:cs="宋体"/>
                <w:bCs/>
                <w:snapToGrid w:val="0"/>
                <w:color w:val="auto"/>
                <w:szCs w:val="24"/>
                <w:highlight w:val="none"/>
              </w:rPr>
              <w:t>中标人未履行相关义务的责任</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199413E5">
            <w:pPr>
              <w:ind w:firstLine="0" w:firstLineChars="0"/>
              <w:jc w:val="both"/>
              <w:rPr>
                <w:color w:val="auto"/>
                <w:highlight w:val="none"/>
              </w:rPr>
            </w:pPr>
            <w:r>
              <w:rPr>
                <w:rFonts w:hint="eastAsia" w:cs="宋体"/>
                <w:bCs/>
                <w:color w:val="auto"/>
                <w:szCs w:val="24"/>
                <w:highlight w:val="none"/>
              </w:rPr>
              <w:t>中标人未履行相关义务的，公共资源交易监督管理部门将依法对中标人进行处理，追究相关责任：</w:t>
            </w:r>
          </w:p>
          <w:p w14:paraId="35E4CB38">
            <w:pPr>
              <w:widowControl/>
              <w:snapToGrid w:val="0"/>
              <w:ind w:firstLine="0" w:firstLineChars="0"/>
              <w:jc w:val="both"/>
              <w:rPr>
                <w:rFonts w:hint="eastAsia" w:cs="宋体"/>
                <w:bCs/>
                <w:color w:val="auto"/>
                <w:szCs w:val="24"/>
                <w:highlight w:val="none"/>
              </w:rPr>
            </w:pPr>
            <w:r>
              <w:rPr>
                <w:rFonts w:hint="eastAsia" w:cs="宋体"/>
                <w:bCs/>
                <w:color w:val="auto"/>
                <w:szCs w:val="24"/>
                <w:highlight w:val="none"/>
              </w:rPr>
              <w:t>（1）中标后，中标人被公共资源交易监督管理部门查实存在违法行为，不满足中标条件的，由招标人取消其中标资格，并做好项目后续工作；</w:t>
            </w:r>
          </w:p>
          <w:p w14:paraId="2BF4ACD0">
            <w:pPr>
              <w:widowControl/>
              <w:snapToGrid w:val="0"/>
              <w:ind w:firstLine="0" w:firstLineChars="0"/>
              <w:jc w:val="both"/>
              <w:rPr>
                <w:rFonts w:hint="eastAsia" w:cs="宋体"/>
                <w:bCs/>
                <w:color w:val="auto"/>
                <w:szCs w:val="24"/>
                <w:highlight w:val="none"/>
              </w:rPr>
            </w:pPr>
            <w:r>
              <w:rPr>
                <w:rFonts w:hint="eastAsia" w:cs="宋体"/>
                <w:bCs/>
                <w:color w:val="auto"/>
                <w:szCs w:val="24"/>
                <w:highlight w:val="none"/>
              </w:rPr>
              <w:t>（2）中标人应在规定期限内提交履约保证金并与招标人签订合同，若中标人未能在规定期限内提交履约保证金或签订合同，招标人有权取消其中标资格，并报公共资源交易监督管理部门</w:t>
            </w:r>
            <w:r>
              <w:rPr>
                <w:rFonts w:hint="eastAsia" w:cs="宋体"/>
                <w:bCs/>
                <w:color w:val="auto"/>
                <w:szCs w:val="24"/>
                <w:highlight w:val="none"/>
                <w:lang w:eastAsia="zh-CN"/>
              </w:rPr>
              <w:t>（</w:t>
            </w:r>
            <w:r>
              <w:rPr>
                <w:rFonts w:hint="eastAsia" w:cs="宋体"/>
                <w:bCs/>
                <w:color w:val="auto"/>
                <w:szCs w:val="24"/>
                <w:highlight w:val="none"/>
                <w:lang w:val="en-US" w:eastAsia="zh-CN"/>
              </w:rPr>
              <w:t>如要求履约保证金的适用此条</w:t>
            </w:r>
            <w:r>
              <w:rPr>
                <w:rFonts w:hint="eastAsia" w:cs="宋体"/>
                <w:bCs/>
                <w:color w:val="auto"/>
                <w:szCs w:val="24"/>
                <w:highlight w:val="none"/>
                <w:lang w:eastAsia="zh-CN"/>
              </w:rPr>
              <w:t>）</w:t>
            </w:r>
            <w:r>
              <w:rPr>
                <w:rFonts w:hint="eastAsia" w:cs="宋体"/>
                <w:bCs/>
                <w:color w:val="auto"/>
                <w:szCs w:val="24"/>
                <w:highlight w:val="none"/>
              </w:rPr>
              <w:t>；</w:t>
            </w:r>
          </w:p>
          <w:p w14:paraId="40C39F7A">
            <w:pPr>
              <w:widowControl/>
              <w:snapToGrid w:val="0"/>
              <w:ind w:firstLine="0" w:firstLineChars="0"/>
              <w:jc w:val="both"/>
              <w:rPr>
                <w:rFonts w:hint="eastAsia" w:ascii="宋体" w:hAnsi="宋体" w:cs="宋体"/>
                <w:bCs/>
                <w:snapToGrid w:val="0"/>
                <w:color w:val="auto"/>
                <w:kern w:val="0"/>
                <w:szCs w:val="24"/>
                <w:highlight w:val="none"/>
              </w:rPr>
            </w:pPr>
            <w:r>
              <w:rPr>
                <w:rFonts w:hint="eastAsia" w:cs="宋体"/>
                <w:bCs/>
                <w:color w:val="auto"/>
                <w:szCs w:val="24"/>
                <w:highlight w:val="none"/>
              </w:rPr>
              <w:t>（3）合同签订后，中标人存在规定时间内不组织人员进场开工、不履行合同义务等情况，招标人有权解除合同，追究其违约责任，并报公共资源交易监督管理部门。</w:t>
            </w:r>
          </w:p>
        </w:tc>
      </w:tr>
      <w:tr w14:paraId="58AA5C9D">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5B964880">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10.7</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AA84CF1">
            <w:pPr>
              <w:snapToGrid w:val="0"/>
              <w:ind w:firstLine="0" w:firstLineChars="0"/>
              <w:jc w:val="center"/>
              <w:rPr>
                <w:rFonts w:hint="eastAsia" w:ascii="宋体" w:hAnsi="宋体" w:cs="宋体"/>
                <w:bCs/>
                <w:snapToGrid w:val="0"/>
                <w:color w:val="auto"/>
                <w:kern w:val="0"/>
                <w:szCs w:val="24"/>
                <w:highlight w:val="none"/>
              </w:rPr>
            </w:pPr>
            <w:r>
              <w:rPr>
                <w:rFonts w:hint="eastAsia" w:ascii="宋体" w:hAnsi="宋体" w:cs="宋体"/>
                <w:bCs/>
                <w:snapToGrid w:val="0"/>
                <w:color w:val="auto"/>
                <w:szCs w:val="24"/>
                <w:highlight w:val="none"/>
              </w:rPr>
              <w:t>同义词语</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8A01BC7">
            <w:pPr>
              <w:widowControl/>
              <w:snapToGrid w:val="0"/>
              <w:ind w:firstLine="0" w:firstLineChars="0"/>
              <w:jc w:val="both"/>
              <w:rPr>
                <w:rFonts w:hint="eastAsia" w:ascii="宋体" w:hAnsi="宋体" w:cs="宋体"/>
                <w:bCs/>
                <w:snapToGrid w:val="0"/>
                <w:color w:val="auto"/>
                <w:kern w:val="0"/>
                <w:szCs w:val="24"/>
                <w:highlight w:val="none"/>
              </w:rPr>
            </w:pPr>
            <w:r>
              <w:rPr>
                <w:rFonts w:hint="eastAsia" w:ascii="宋体" w:hAnsi="宋体" w:cs="宋体"/>
                <w:color w:val="auto"/>
                <w:szCs w:val="24"/>
                <w:highlight w:val="none"/>
              </w:rPr>
              <w:t>构成招标文件组成部分的“通用合同条款”、“专用合同条款”、“委托人要求”等章节中“委托人”和“监理人”，等同于招标投标阶段的“招标人”和“投标人/中标人”。</w:t>
            </w:r>
          </w:p>
        </w:tc>
      </w:tr>
      <w:tr w14:paraId="1EFF3EDD">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16A4D8F">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10.8</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A92C260">
            <w:pPr>
              <w:snapToGrid w:val="0"/>
              <w:ind w:firstLine="480"/>
              <w:rPr>
                <w:rFonts w:hint="eastAsia" w:ascii="宋体" w:hAnsi="宋体" w:cs="宋体"/>
                <w:bCs/>
                <w:snapToGrid w:val="0"/>
                <w:color w:val="auto"/>
                <w:kern w:val="0"/>
                <w:szCs w:val="24"/>
                <w:highlight w:val="none"/>
              </w:rPr>
            </w:pPr>
            <w:r>
              <w:rPr>
                <w:rFonts w:hint="eastAsia" w:cs="宋体"/>
                <w:bCs/>
                <w:snapToGrid w:val="0"/>
                <w:color w:val="auto"/>
                <w:szCs w:val="24"/>
                <w:highlight w:val="none"/>
              </w:rPr>
              <w:t>解释权</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70915F91">
            <w:pPr>
              <w:widowControl/>
              <w:snapToGrid w:val="0"/>
              <w:spacing w:line="360" w:lineRule="auto"/>
              <w:ind w:firstLine="0" w:firstLineChars="0"/>
              <w:jc w:val="both"/>
              <w:rPr>
                <w:rFonts w:hint="eastAsia" w:cs="宋体"/>
                <w:bCs/>
                <w:color w:val="auto"/>
                <w:szCs w:val="24"/>
                <w:highlight w:val="none"/>
              </w:rPr>
            </w:pPr>
            <w:r>
              <w:rPr>
                <w:rFonts w:hint="eastAsia" w:cs="宋体"/>
                <w:bCs/>
                <w:color w:val="auto"/>
                <w:szCs w:val="24"/>
                <w:highlight w:val="none"/>
              </w:rPr>
              <w:t>（1）构成本招标文件的各个组成文件应互为解释，互为说明；</w:t>
            </w:r>
          </w:p>
          <w:p w14:paraId="182F724D">
            <w:pPr>
              <w:widowControl/>
              <w:snapToGrid w:val="0"/>
              <w:spacing w:line="360" w:lineRule="auto"/>
              <w:ind w:firstLine="0" w:firstLineChars="0"/>
              <w:jc w:val="both"/>
              <w:rPr>
                <w:rFonts w:hint="eastAsia" w:cs="宋体"/>
                <w:bCs/>
                <w:color w:val="auto"/>
                <w:szCs w:val="24"/>
                <w:highlight w:val="none"/>
              </w:rPr>
            </w:pPr>
            <w:r>
              <w:rPr>
                <w:rFonts w:hint="eastAsia" w:cs="宋体"/>
                <w:bCs/>
                <w:color w:val="auto"/>
                <w:szCs w:val="24"/>
                <w:highlight w:val="none"/>
              </w:rPr>
              <w:t>（2）同一组成文件中就同一事项的规定或约定不一致的，以编排顺序在后者为准；</w:t>
            </w:r>
          </w:p>
          <w:p w14:paraId="1D9C9698">
            <w:pPr>
              <w:widowControl/>
              <w:snapToGrid w:val="0"/>
              <w:spacing w:line="360" w:lineRule="auto"/>
              <w:ind w:firstLine="0" w:firstLineChars="0"/>
              <w:jc w:val="both"/>
              <w:rPr>
                <w:rFonts w:hint="eastAsia" w:cs="宋体"/>
                <w:bCs/>
                <w:color w:val="auto"/>
                <w:szCs w:val="24"/>
                <w:highlight w:val="none"/>
              </w:rPr>
            </w:pPr>
            <w:r>
              <w:rPr>
                <w:rFonts w:hint="eastAsia" w:cs="宋体"/>
                <w:bCs/>
                <w:color w:val="auto"/>
                <w:szCs w:val="24"/>
                <w:highlight w:val="none"/>
              </w:rPr>
              <w:t>（3）如有不明确或不一致，构成合同文件组成内容的，以合同文件约定内容为准，且以专用合同条款约定的合同文件优先顺序解释；</w:t>
            </w:r>
          </w:p>
          <w:p w14:paraId="23B7248F">
            <w:pPr>
              <w:widowControl/>
              <w:snapToGrid w:val="0"/>
              <w:spacing w:line="360" w:lineRule="auto"/>
              <w:ind w:firstLine="0" w:firstLineChars="0"/>
              <w:jc w:val="both"/>
              <w:rPr>
                <w:rFonts w:hint="eastAsia" w:cs="宋体"/>
                <w:bCs/>
                <w:color w:val="auto"/>
                <w:szCs w:val="24"/>
                <w:highlight w:val="none"/>
              </w:rPr>
            </w:pPr>
            <w:r>
              <w:rPr>
                <w:rFonts w:hint="eastAsia" w:cs="宋体"/>
                <w:bCs/>
                <w:color w:val="auto"/>
                <w:szCs w:val="24"/>
                <w:highlight w:val="none"/>
              </w:rPr>
              <w:t>（4）除招标文件中有特别规定外，仅适用于招标投标阶段的规定，按照招标公告、投标人须知、评标办法、投标文件格式的先后顺序解释；</w:t>
            </w:r>
          </w:p>
          <w:p w14:paraId="7919520D">
            <w:pPr>
              <w:widowControl/>
              <w:snapToGrid w:val="0"/>
              <w:spacing w:line="360" w:lineRule="auto"/>
              <w:ind w:firstLine="0" w:firstLineChars="0"/>
              <w:jc w:val="both"/>
              <w:rPr>
                <w:rFonts w:hint="eastAsia" w:ascii="宋体" w:hAnsi="宋体" w:cs="宋体"/>
                <w:bCs/>
                <w:snapToGrid w:val="0"/>
                <w:color w:val="auto"/>
                <w:kern w:val="0"/>
                <w:szCs w:val="24"/>
                <w:highlight w:val="none"/>
              </w:rPr>
            </w:pPr>
            <w:r>
              <w:rPr>
                <w:rFonts w:hint="eastAsia" w:cs="宋体"/>
                <w:bCs/>
                <w:color w:val="auto"/>
                <w:szCs w:val="24"/>
                <w:highlight w:val="none"/>
              </w:rPr>
              <w:t>（5）按照本款前述规定仍不能形成结论的，由招标人负责解释。</w:t>
            </w:r>
          </w:p>
        </w:tc>
      </w:tr>
      <w:tr w14:paraId="4572094F">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9D2A5D5">
            <w:pPr>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10.9</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149FAAB">
            <w:pPr>
              <w:snapToGrid w:val="0"/>
              <w:ind w:firstLine="0" w:firstLineChars="0"/>
              <w:jc w:val="center"/>
              <w:rPr>
                <w:rFonts w:hint="eastAsia" w:ascii="宋体" w:hAnsi="宋体" w:cs="宋体"/>
                <w:bCs/>
                <w:snapToGrid w:val="0"/>
                <w:color w:val="auto"/>
                <w:kern w:val="0"/>
                <w:szCs w:val="24"/>
                <w:highlight w:val="none"/>
              </w:rPr>
            </w:pPr>
            <w:r>
              <w:rPr>
                <w:rFonts w:hint="eastAsia" w:ascii="宋体" w:hAnsi="宋体" w:cs="宋体"/>
                <w:bCs/>
                <w:snapToGrid w:val="0"/>
                <w:color w:val="auto"/>
                <w:szCs w:val="24"/>
                <w:highlight w:val="none"/>
              </w:rPr>
              <w:t>创优目标</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196EFA7">
            <w:pPr>
              <w:snapToGrid w:val="0"/>
              <w:ind w:firstLine="0" w:firstLineChars="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lang w:eastAsia="zh-CN"/>
              </w:rPr>
              <w:t>□</w:t>
            </w:r>
            <w:r>
              <w:rPr>
                <w:rFonts w:hint="eastAsia" w:ascii="宋体" w:hAnsi="宋体" w:cs="宋体"/>
                <w:b w:val="0"/>
                <w:bCs w:val="0"/>
                <w:color w:val="auto"/>
                <w:szCs w:val="24"/>
                <w:highlight w:val="none"/>
              </w:rPr>
              <w:t>无</w:t>
            </w:r>
          </w:p>
          <w:p w14:paraId="49A61AC1">
            <w:pPr>
              <w:snapToGrid w:val="0"/>
              <w:ind w:firstLine="0" w:firstLineChars="0"/>
              <w:rPr>
                <w:rFonts w:ascii="宋体" w:hAnsi="宋体" w:cs="宋体"/>
                <w:bCs/>
                <w:snapToGrid w:val="0"/>
                <w:color w:val="auto"/>
                <w:kern w:val="0"/>
                <w:szCs w:val="24"/>
                <w:highlight w:val="none"/>
              </w:rPr>
            </w:pPr>
            <w:r>
              <w:rPr>
                <w:rFonts w:hint="eastAsia" w:ascii="宋体" w:hAnsi="宋体" w:cs="宋体"/>
                <w:color w:val="auto"/>
                <w:szCs w:val="24"/>
                <w:highlight w:val="none"/>
                <w:lang w:eastAsia="zh-CN"/>
              </w:rPr>
              <w:t>☑</w:t>
            </w:r>
            <w:r>
              <w:rPr>
                <w:rFonts w:hint="eastAsia" w:ascii="宋体" w:hAnsi="宋体" w:cs="宋体"/>
                <w:bCs/>
                <w:color w:val="auto"/>
                <w:szCs w:val="24"/>
                <w:highlight w:val="none"/>
              </w:rPr>
              <w:t>有，具体要求如下：</w:t>
            </w:r>
            <w:r>
              <w:rPr>
                <w:rFonts w:hint="eastAsia" w:ascii="Times New Roman" w:cs="宋体"/>
                <w:bCs/>
                <w:color w:val="auto"/>
                <w:szCs w:val="24"/>
                <w:highlight w:val="none"/>
                <w:u w:val="single"/>
              </w:rPr>
              <w:t>争创合肥市建筑工程优质结构奖、“琥珀杯”；争创“安徽省建筑安全生产标准化示范工地”称号</w:t>
            </w:r>
            <w:r>
              <w:rPr>
                <w:rFonts w:hint="eastAsia" w:ascii="Times New Roman" w:cs="宋体"/>
                <w:bCs/>
                <w:color w:val="auto"/>
                <w:szCs w:val="24"/>
                <w:highlight w:val="none"/>
                <w:u w:val="single"/>
                <w:lang w:eastAsia="zh-CN"/>
              </w:rPr>
              <w:t>。</w:t>
            </w:r>
          </w:p>
        </w:tc>
      </w:tr>
      <w:tr w14:paraId="492FFD87">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64E469B">
            <w:pPr>
              <w:snapToGrid w:val="0"/>
              <w:ind w:firstLine="0" w:firstLineChars="0"/>
              <w:jc w:val="center"/>
              <w:rPr>
                <w:rFonts w:hint="eastAsia" w:ascii="宋体" w:hAnsi="宋体" w:cs="宋体"/>
                <w:bCs/>
                <w:snapToGrid w:val="0"/>
                <w:color w:val="auto"/>
                <w:kern w:val="0"/>
                <w:szCs w:val="24"/>
                <w:highlight w:val="none"/>
              </w:rPr>
            </w:pPr>
            <w:r>
              <w:rPr>
                <w:rFonts w:hint="eastAsia" w:ascii="宋体" w:hAnsi="宋体" w:cs="宋体"/>
                <w:color w:val="auto"/>
                <w:szCs w:val="24"/>
                <w:highlight w:val="none"/>
              </w:rPr>
              <w:t>10.10</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126B082">
            <w:pPr>
              <w:snapToGrid w:val="0"/>
              <w:ind w:firstLine="0" w:firstLineChars="0"/>
              <w:jc w:val="center"/>
              <w:rPr>
                <w:rFonts w:hint="eastAsia" w:ascii="宋体" w:hAnsi="宋体" w:cs="宋体"/>
                <w:bCs/>
                <w:snapToGrid w:val="0"/>
                <w:color w:val="auto"/>
                <w:kern w:val="0"/>
                <w:szCs w:val="24"/>
                <w:highlight w:val="none"/>
              </w:rPr>
            </w:pPr>
            <w:r>
              <w:rPr>
                <w:rFonts w:hint="eastAsia" w:ascii="宋体" w:hAnsi="宋体" w:cs="宋体"/>
                <w:bCs/>
                <w:snapToGrid w:val="0"/>
                <w:color w:val="auto"/>
                <w:szCs w:val="24"/>
                <w:highlight w:val="none"/>
              </w:rPr>
              <w:t>异议提出方式</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090A1953">
            <w:pPr>
              <w:widowControl/>
              <w:snapToGrid w:val="0"/>
              <w:ind w:firstLine="0" w:firstLineChars="0"/>
              <w:jc w:val="both"/>
              <w:rPr>
                <w:rFonts w:hint="eastAsia" w:ascii="宋体" w:hAnsi="宋体" w:cs="宋体"/>
                <w:bCs/>
                <w:snapToGrid w:val="0"/>
                <w:color w:val="auto"/>
                <w:kern w:val="0"/>
                <w:szCs w:val="24"/>
                <w:highlight w:val="none"/>
              </w:rPr>
            </w:pPr>
            <w:r>
              <w:rPr>
                <w:rFonts w:hint="eastAsia" w:ascii="宋体" w:hAnsi="宋体" w:cs="宋体"/>
                <w:color w:val="auto"/>
                <w:szCs w:val="24"/>
                <w:highlight w:val="none"/>
              </w:rPr>
              <w:t>通过电子交易系统在线提出或以其他书面形式提出</w:t>
            </w:r>
          </w:p>
        </w:tc>
      </w:tr>
      <w:tr w14:paraId="696074E2">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0A2AE03B">
            <w:pPr>
              <w:ind w:firstLine="0" w:firstLineChars="0"/>
              <w:jc w:val="center"/>
              <w:rPr>
                <w:rFonts w:hint="eastAsia" w:ascii="宋体" w:hAnsi="宋体" w:cs="宋体"/>
                <w:bCs/>
                <w:snapToGrid w:val="0"/>
                <w:color w:val="auto"/>
                <w:kern w:val="0"/>
                <w:szCs w:val="24"/>
                <w:highlight w:val="none"/>
              </w:rPr>
            </w:pPr>
            <w:r>
              <w:rPr>
                <w:rFonts w:hint="eastAsia" w:ascii="宋体" w:hAnsi="宋体" w:cs="宋体"/>
                <w:bCs/>
                <w:snapToGrid w:val="0"/>
                <w:color w:val="auto"/>
                <w:kern w:val="0"/>
                <w:szCs w:val="24"/>
                <w:highlight w:val="none"/>
              </w:rPr>
              <w:t>10.</w:t>
            </w:r>
            <w:r>
              <w:rPr>
                <w:rFonts w:hint="eastAsia" w:ascii="宋体" w:hAnsi="宋体" w:cs="宋体"/>
                <w:color w:val="auto"/>
                <w:szCs w:val="24"/>
                <w:highlight w:val="none"/>
              </w:rPr>
              <w:t>11</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C44B92">
            <w:pPr>
              <w:snapToGrid w:val="0"/>
              <w:ind w:firstLine="0" w:firstLineChars="0"/>
              <w:jc w:val="center"/>
              <w:rPr>
                <w:rFonts w:hint="eastAsia" w:ascii="宋体" w:hAnsi="宋体" w:cs="宋体"/>
                <w:bCs/>
                <w:snapToGrid w:val="0"/>
                <w:color w:val="auto"/>
                <w:szCs w:val="24"/>
                <w:highlight w:val="none"/>
              </w:rPr>
            </w:pPr>
            <w:r>
              <w:rPr>
                <w:rFonts w:hint="eastAsia" w:ascii="宋体" w:hAnsi="宋体" w:cs="宋体"/>
                <w:bCs/>
                <w:snapToGrid w:val="0"/>
                <w:color w:val="auto"/>
                <w:szCs w:val="24"/>
                <w:highlight w:val="none"/>
              </w:rPr>
              <w:t>拟任总监理工程师答辩要求</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50FA4338">
            <w:pPr>
              <w:snapToGrid w:val="0"/>
              <w:ind w:firstLine="0" w:firstLineChars="0"/>
              <w:jc w:val="both"/>
              <w:rPr>
                <w:rFonts w:hint="eastAsia" w:ascii="宋体" w:hAnsi="宋体" w:cs="宋体"/>
                <w:b/>
                <w:bCs/>
                <w:snapToGrid w:val="0"/>
                <w:color w:val="auto"/>
                <w:szCs w:val="24"/>
                <w:highlight w:val="none"/>
              </w:rPr>
            </w:pPr>
            <w:r>
              <w:rPr>
                <w:rFonts w:hint="eastAsia" w:ascii="宋体" w:hAnsi="宋体" w:cs="宋体"/>
                <w:b/>
                <w:bCs/>
                <w:color w:val="auto"/>
                <w:szCs w:val="24"/>
                <w:highlight w:val="none"/>
              </w:rPr>
              <w:t>☑</w:t>
            </w:r>
            <w:r>
              <w:rPr>
                <w:rFonts w:hint="eastAsia" w:ascii="宋体" w:hAnsi="宋体" w:cs="宋体"/>
                <w:b/>
                <w:bCs/>
                <w:snapToGrid w:val="0"/>
                <w:color w:val="auto"/>
                <w:szCs w:val="24"/>
                <w:highlight w:val="none"/>
              </w:rPr>
              <w:t>不要求答辩</w:t>
            </w:r>
          </w:p>
          <w:p w14:paraId="2B0408DF">
            <w:pPr>
              <w:snapToGrid w:val="0"/>
              <w:ind w:firstLine="0" w:firstLineChars="0"/>
              <w:jc w:val="both"/>
              <w:rPr>
                <w:rFonts w:ascii="宋体" w:hAnsi="宋体" w:cs="宋体"/>
                <w:bCs/>
                <w:snapToGrid w:val="0"/>
                <w:color w:val="auto"/>
                <w:szCs w:val="24"/>
                <w:highlight w:val="none"/>
              </w:rPr>
            </w:pPr>
            <w:r>
              <w:rPr>
                <w:rFonts w:hint="eastAsia" w:ascii="宋体" w:hAnsi="宋体" w:cs="宋体"/>
                <w:color w:val="auto"/>
                <w:szCs w:val="24"/>
                <w:highlight w:val="none"/>
              </w:rPr>
              <w:t>□</w:t>
            </w:r>
            <w:r>
              <w:rPr>
                <w:rFonts w:hint="eastAsia" w:ascii="宋体" w:hAnsi="宋体" w:cs="宋体"/>
                <w:bCs/>
                <w:snapToGrid w:val="0"/>
                <w:color w:val="auto"/>
                <w:szCs w:val="24"/>
                <w:highlight w:val="none"/>
              </w:rPr>
              <w:t>要求答辩，答辩范围包括：</w:t>
            </w:r>
            <w:r>
              <w:rPr>
                <w:rFonts w:hint="eastAsia" w:ascii="宋体" w:hAnsi="宋体" w:cs="宋体"/>
                <w:bCs/>
                <w:snapToGrid w:val="0"/>
                <w:color w:val="auto"/>
                <w:szCs w:val="24"/>
                <w:highlight w:val="none"/>
                <w:u w:val="single"/>
                <w:lang w:val="en-US" w:eastAsia="zh-CN"/>
              </w:rPr>
              <w:t xml:space="preserve"> </w:t>
            </w:r>
            <w:r>
              <w:rPr>
                <w:rFonts w:hint="eastAsia" w:ascii="宋体" w:hAnsi="宋体" w:cs="宋体"/>
                <w:bCs/>
                <w:snapToGrid w:val="0"/>
                <w:color w:val="auto"/>
                <w:szCs w:val="24"/>
                <w:highlight w:val="none"/>
                <w:u w:val="single"/>
              </w:rPr>
              <w:t xml:space="preserve">/ </w:t>
            </w:r>
            <w:r>
              <w:rPr>
                <w:rFonts w:hint="eastAsia" w:ascii="宋体" w:hAnsi="宋体" w:cs="宋体"/>
                <w:bCs/>
                <w:snapToGrid w:val="0"/>
                <w:color w:val="auto"/>
                <w:szCs w:val="24"/>
                <w:highlight w:val="none"/>
              </w:rPr>
              <w:t>（由招标人根据招标项目具体特点、相关规定和实际需要编写答辩范围，主要包括工程质量、造价、进度控制、安全生产管理及组织协调等方面内容）。答辩时长不超过</w:t>
            </w:r>
            <w:r>
              <w:rPr>
                <w:rFonts w:hint="eastAsia" w:ascii="宋体" w:hAnsi="宋体" w:cs="宋体"/>
                <w:bCs/>
                <w:snapToGrid w:val="0"/>
                <w:color w:val="auto"/>
                <w:szCs w:val="24"/>
                <w:highlight w:val="none"/>
                <w:u w:val="single"/>
                <w:lang w:val="en-US" w:eastAsia="zh-CN"/>
              </w:rPr>
              <w:t xml:space="preserve"> </w:t>
            </w:r>
            <w:r>
              <w:rPr>
                <w:rFonts w:hint="eastAsia" w:ascii="宋体" w:hAnsi="宋体" w:cs="宋体"/>
                <w:bCs/>
                <w:snapToGrid w:val="0"/>
                <w:color w:val="auto"/>
                <w:szCs w:val="24"/>
                <w:highlight w:val="none"/>
                <w:u w:val="single"/>
              </w:rPr>
              <w:t xml:space="preserve">/ </w:t>
            </w:r>
            <w:r>
              <w:rPr>
                <w:rFonts w:hint="eastAsia" w:ascii="宋体" w:hAnsi="宋体" w:cs="宋体"/>
                <w:bCs/>
                <w:snapToGrid w:val="0"/>
                <w:color w:val="auto"/>
                <w:szCs w:val="24"/>
                <w:highlight w:val="none"/>
              </w:rPr>
              <w:t>分钟。</w:t>
            </w:r>
          </w:p>
          <w:p w14:paraId="42D41704">
            <w:pPr>
              <w:snapToGrid w:val="0"/>
              <w:ind w:firstLine="0" w:firstLineChars="0"/>
              <w:jc w:val="both"/>
              <w:rPr>
                <w:rFonts w:hint="eastAsia" w:ascii="宋体" w:hAnsi="宋体" w:cs="宋体"/>
                <w:bCs/>
                <w:snapToGrid w:val="0"/>
                <w:color w:val="auto"/>
                <w:szCs w:val="24"/>
                <w:highlight w:val="none"/>
              </w:rPr>
            </w:pPr>
            <w:r>
              <w:rPr>
                <w:rFonts w:hint="eastAsia" w:ascii="宋体" w:hAnsi="宋体" w:cs="宋体"/>
                <w:bCs/>
                <w:snapToGrid w:val="0"/>
                <w:color w:val="auto"/>
                <w:szCs w:val="24"/>
                <w:highlight w:val="none"/>
              </w:rPr>
              <w:t>评标委员会根据答辩范围编写答辩题目，组织拟任总监理工程师答辩。</w:t>
            </w:r>
          </w:p>
        </w:tc>
      </w:tr>
      <w:tr w14:paraId="1429D5A0">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869511C">
            <w:pPr>
              <w:snapToGrid w:val="0"/>
              <w:ind w:firstLine="240" w:firstLineChars="100"/>
              <w:rPr>
                <w:rFonts w:hint="eastAsia" w:ascii="宋体" w:hAnsi="宋体" w:cs="宋体"/>
                <w:bCs/>
                <w:snapToGrid w:val="0"/>
                <w:color w:val="auto"/>
                <w:kern w:val="0"/>
                <w:szCs w:val="24"/>
                <w:highlight w:val="none"/>
              </w:rPr>
            </w:pPr>
            <w:r>
              <w:rPr>
                <w:rFonts w:hint="eastAsia" w:cs="宋体"/>
                <w:bCs/>
                <w:color w:val="auto"/>
                <w:szCs w:val="24"/>
                <w:highlight w:val="none"/>
              </w:rPr>
              <w:t>10.12</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F85464A">
            <w:pPr>
              <w:snapToGrid w:val="0"/>
              <w:ind w:left="0" w:leftChars="0" w:firstLine="0" w:firstLineChars="0"/>
              <w:jc w:val="center"/>
              <w:rPr>
                <w:rFonts w:ascii="宋体" w:hAnsi="宋体" w:cs="宋体"/>
                <w:color w:val="auto"/>
                <w:szCs w:val="24"/>
                <w:highlight w:val="none"/>
              </w:rPr>
            </w:pPr>
            <w:r>
              <w:rPr>
                <w:rFonts w:hint="eastAsia" w:cs="宋体"/>
                <w:bCs/>
                <w:snapToGrid w:val="0"/>
                <w:color w:val="auto"/>
                <w:szCs w:val="24"/>
                <w:highlight w:val="none"/>
              </w:rPr>
              <w:t>投标所需资料</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70BADA55">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（1）投标人按照招标文件要求编制投标文件并对投标文件</w:t>
            </w:r>
          </w:p>
          <w:p w14:paraId="3BB803F1">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进行电子签章并使用数字证书加密，并于招标文件规定的投</w:t>
            </w:r>
          </w:p>
          <w:p w14:paraId="621DBFCD">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标截止时间前通过电子交易系统完成上传。投标人应合理安</w:t>
            </w:r>
          </w:p>
          <w:p w14:paraId="204C35DF">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排投标文件递交时间，特别是网络速度慢的地区防止在系统</w:t>
            </w:r>
          </w:p>
          <w:p w14:paraId="665110ED">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关闭前网络拥堵无法操作。如果因计算机及网络故障造成无</w:t>
            </w:r>
          </w:p>
          <w:p w14:paraId="34C708EA">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法完成投标文件递交情形，责任自负。</w:t>
            </w:r>
          </w:p>
          <w:p w14:paraId="3F4FFB8E">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（2）投标人应及时查看上传的相关资料，如出现上传的相</w:t>
            </w:r>
          </w:p>
          <w:p w14:paraId="77D789B3">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应投标资料不全、模糊不清、超出有效期等情况，评标委员</w:t>
            </w:r>
          </w:p>
          <w:p w14:paraId="534BFCA3">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会将作出对投标人不利的认定，由此产生的一切后果由投标</w:t>
            </w:r>
          </w:p>
          <w:p w14:paraId="64847E1B">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人自行承担。</w:t>
            </w:r>
          </w:p>
          <w:p w14:paraId="68C36DB2">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（3）投标人提供的证书证件应在有效期内，若法律法规或</w:t>
            </w:r>
          </w:p>
          <w:p w14:paraId="6564CCA8">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发证机构或相关主管部门另有规定的，从其规定。投标人在</w:t>
            </w:r>
          </w:p>
          <w:p w14:paraId="2D504D50">
            <w:pPr>
              <w:widowControl/>
              <w:snapToGrid w:val="0"/>
              <w:ind w:left="0" w:leftChars="0" w:firstLine="0" w:firstLineChars="0"/>
              <w:jc w:val="left"/>
              <w:rPr>
                <w:rFonts w:hint="eastAsia" w:ascii="宋体" w:hAnsi="宋体" w:cs="宋体"/>
                <w:color w:val="auto"/>
                <w:szCs w:val="24"/>
                <w:highlight w:val="none"/>
              </w:rPr>
            </w:pPr>
            <w:r>
              <w:rPr>
                <w:rFonts w:hint="eastAsia" w:ascii="宋体" w:hAnsi="宋体" w:cs="宋体"/>
                <w:color w:val="auto"/>
                <w:szCs w:val="24"/>
                <w:highlight w:val="none"/>
              </w:rPr>
              <w:t>投标文件中提供了相关证明材料，或经询标被评标委员会认</w:t>
            </w:r>
          </w:p>
          <w:p w14:paraId="29502353">
            <w:pPr>
              <w:widowControl/>
              <w:snapToGrid w:val="0"/>
              <w:ind w:left="0" w:leftChars="0" w:firstLine="0" w:firstLineChars="0"/>
              <w:jc w:val="left"/>
              <w:rPr>
                <w:rFonts w:ascii="宋体" w:hAnsi="宋体" w:cs="宋体"/>
                <w:color w:val="auto"/>
                <w:szCs w:val="24"/>
                <w:highlight w:val="none"/>
              </w:rPr>
            </w:pPr>
            <w:r>
              <w:rPr>
                <w:rFonts w:hint="eastAsia" w:ascii="宋体" w:hAnsi="宋体" w:cs="宋体"/>
                <w:color w:val="auto"/>
                <w:szCs w:val="24"/>
                <w:highlight w:val="none"/>
              </w:rPr>
              <w:t>定符合相关规定的，评标委员会应予以认可。</w:t>
            </w:r>
          </w:p>
        </w:tc>
      </w:tr>
      <w:tr w14:paraId="4AC01AB5">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51142D0">
            <w:pPr>
              <w:snapToGrid w:val="0"/>
              <w:ind w:firstLine="240" w:firstLineChars="100"/>
              <w:rPr>
                <w:rFonts w:cs="宋体"/>
                <w:bCs/>
                <w:color w:val="auto"/>
                <w:szCs w:val="24"/>
                <w:highlight w:val="none"/>
              </w:rPr>
            </w:pPr>
            <w:r>
              <w:rPr>
                <w:rFonts w:hint="eastAsia" w:cs="宋体"/>
                <w:bCs/>
                <w:snapToGrid w:val="0"/>
                <w:color w:val="auto"/>
                <w:kern w:val="0"/>
                <w:szCs w:val="24"/>
                <w:highlight w:val="none"/>
              </w:rPr>
              <w:t>10.13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372F679">
            <w:pPr>
              <w:snapToGrid w:val="0"/>
              <w:ind w:firstLine="0" w:firstLineChars="0"/>
              <w:jc w:val="center"/>
              <w:rPr>
                <w:rFonts w:hint="eastAsia" w:cs="宋体"/>
                <w:bCs/>
                <w:snapToGrid w:val="0"/>
                <w:color w:val="auto"/>
                <w:szCs w:val="24"/>
                <w:highlight w:val="none"/>
              </w:rPr>
            </w:pPr>
            <w:r>
              <w:rPr>
                <w:rFonts w:hint="eastAsia" w:cs="宋体"/>
                <w:bCs/>
                <w:snapToGrid w:val="0"/>
                <w:color w:val="auto"/>
                <w:szCs w:val="24"/>
                <w:highlight w:val="none"/>
              </w:rPr>
              <w:t>招标代理服务费</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4DB9A76B">
            <w:pPr>
              <w:widowControl/>
              <w:snapToGrid w:val="0"/>
              <w:spacing w:line="360" w:lineRule="auto"/>
              <w:ind w:left="0" w:leftChars="0" w:firstLine="0" w:firstLineChars="0"/>
              <w:jc w:val="both"/>
              <w:rPr>
                <w:rFonts w:hint="eastAsia" w:cs="宋体"/>
                <w:color w:val="auto"/>
                <w:szCs w:val="24"/>
                <w:highlight w:val="none"/>
              </w:rPr>
            </w:pPr>
            <w:r>
              <w:rPr>
                <w:rFonts w:hint="eastAsia" w:cs="宋体"/>
                <w:color w:val="auto"/>
                <w:szCs w:val="24"/>
                <w:highlight w:val="none"/>
              </w:rPr>
              <w:t>中标人在领取中标通知书前须向招标代理机构缴纳招标代理服务费，可以银行转账、银行电汇方式。</w:t>
            </w:r>
          </w:p>
          <w:p w14:paraId="1F1C1903">
            <w:pPr>
              <w:widowControl/>
              <w:snapToGrid w:val="0"/>
              <w:spacing w:line="360" w:lineRule="auto"/>
              <w:ind w:left="0" w:leftChars="0" w:firstLine="0" w:firstLineChars="0"/>
              <w:jc w:val="left"/>
              <w:rPr>
                <w:rFonts w:hint="eastAsia" w:cs="宋体"/>
                <w:color w:val="auto"/>
                <w:szCs w:val="24"/>
                <w:highlight w:val="none"/>
              </w:rPr>
            </w:pPr>
            <w:r>
              <w:rPr>
                <w:rFonts w:hint="eastAsia" w:cs="宋体"/>
                <w:color w:val="auto"/>
                <w:szCs w:val="24"/>
                <w:highlight w:val="none"/>
              </w:rPr>
              <w:t>（1）招标代理服务费：以中标金额为计算基数，分标段参照合公协〔2023〕03号文件收费标准收取。</w:t>
            </w:r>
            <w:r>
              <w:rPr>
                <w:rFonts w:ascii="宋体" w:hAnsi="宋体" w:cs="宋体"/>
                <w:color w:val="auto"/>
                <w:szCs w:val="24"/>
                <w:highlight w:val="none"/>
              </w:rPr>
              <w:drawing>
                <wp:inline distT="0" distB="0" distL="114300" distR="114300">
                  <wp:extent cx="3810000" cy="4206875"/>
                  <wp:effectExtent l="0" t="0" r="0" b="317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3"/>
                          <a:stretch>
                            <a:fillRect/>
                          </a:stretch>
                        </pic:blipFill>
                        <pic:spPr>
                          <a:xfrm>
                            <a:off x="0" y="0"/>
                            <a:ext cx="3810000" cy="4206875"/>
                          </a:xfrm>
                          <a:prstGeom prst="rect">
                            <a:avLst/>
                          </a:prstGeom>
                          <a:noFill/>
                          <a:ln>
                            <a:noFill/>
                          </a:ln>
                        </pic:spPr>
                      </pic:pic>
                    </a:graphicData>
                  </a:graphic>
                </wp:inline>
              </w:drawing>
            </w:r>
          </w:p>
          <w:p w14:paraId="66BF0A92">
            <w:pPr>
              <w:widowControl/>
              <w:snapToGrid w:val="0"/>
              <w:spacing w:line="360" w:lineRule="auto"/>
              <w:ind w:left="0" w:leftChars="0" w:firstLine="0" w:firstLineChars="0"/>
              <w:jc w:val="both"/>
              <w:rPr>
                <w:rFonts w:hint="eastAsia" w:eastAsia="宋体" w:cs="宋体"/>
                <w:bCs/>
                <w:color w:val="auto"/>
                <w:szCs w:val="24"/>
                <w:highlight w:val="none"/>
              </w:rPr>
            </w:pPr>
            <w:r>
              <w:rPr>
                <w:rFonts w:hint="eastAsia" w:eastAsia="宋体" w:cs="宋体"/>
                <w:color w:val="auto"/>
                <w:szCs w:val="24"/>
                <w:highlight w:val="none"/>
              </w:rPr>
              <w:t>（2）以上相关费用，</w:t>
            </w:r>
            <w:r>
              <w:rPr>
                <w:rFonts w:hint="eastAsia" w:ascii="Times New Roman" w:hAnsi="Times New Roman" w:eastAsia="宋体" w:cs="宋体"/>
                <w:color w:val="auto"/>
                <w:szCs w:val="24"/>
                <w:highlight w:val="none"/>
              </w:rPr>
              <w:t>投标</w:t>
            </w:r>
            <w:r>
              <w:rPr>
                <w:rFonts w:hint="eastAsia" w:eastAsia="宋体" w:cs="宋体"/>
                <w:color w:val="auto"/>
                <w:szCs w:val="24"/>
                <w:highlight w:val="none"/>
              </w:rPr>
              <w:t>人在报价单中不单列，包含在投标总价中，招标人不再单独计量支付。</w:t>
            </w:r>
          </w:p>
        </w:tc>
      </w:tr>
      <w:tr w14:paraId="2A4578AD">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2236DB6">
            <w:pPr>
              <w:widowControl/>
              <w:snapToGrid w:val="0"/>
              <w:ind w:firstLine="0" w:firstLineChars="0"/>
              <w:jc w:val="center"/>
              <w:rPr>
                <w:rFonts w:cs="宋体"/>
                <w:bCs/>
                <w:snapToGrid w:val="0"/>
                <w:color w:val="auto"/>
                <w:kern w:val="0"/>
                <w:szCs w:val="24"/>
                <w:highlight w:val="none"/>
              </w:rPr>
            </w:pPr>
            <w:r>
              <w:rPr>
                <w:rFonts w:hint="eastAsia" w:cs="宋体"/>
                <w:bCs/>
                <w:color w:val="auto"/>
                <w:szCs w:val="24"/>
                <w:highlight w:val="none"/>
              </w:rPr>
              <w:t>10.14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0960099">
            <w:pPr>
              <w:widowControl/>
              <w:snapToGrid w:val="0"/>
              <w:ind w:firstLine="480"/>
              <w:rPr>
                <w:rFonts w:cs="宋体"/>
                <w:bCs/>
                <w:snapToGrid w:val="0"/>
                <w:color w:val="auto"/>
                <w:szCs w:val="24"/>
                <w:highlight w:val="none"/>
              </w:rPr>
            </w:pPr>
            <w:r>
              <w:rPr>
                <w:rFonts w:hint="eastAsia" w:cs="宋体"/>
                <w:bCs/>
                <w:color w:val="auto"/>
                <w:szCs w:val="24"/>
                <w:highlight w:val="none"/>
              </w:rPr>
              <w:t>其他</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15199866">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（1）总监理工程师必须是投标人本单位工作人员，提供虚假资料谋取中标的将报监管部门处理。</w:t>
            </w:r>
          </w:p>
          <w:p w14:paraId="567FD05B">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（2）如本项目图纸中出现特定性、唯一性品牌的表述，该品牌仅作为参考，施工过程中不具有限定性。</w:t>
            </w:r>
          </w:p>
          <w:p w14:paraId="2CC7EA37">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3）投标人对所提交的投标人或拟派项目总监理工程师、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572421EE">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（4）招标人和中标人未履行下述义务的，公共资源交易监督管理部门将依法对招标人和中标人进行处理，追究相关责任：</w:t>
            </w:r>
          </w:p>
          <w:p w14:paraId="508C7147">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①中标人应在规定期限内提交履约担保并与招标人签订合同，若中标人未能在规定期限内提交履约担保或签订合同，招标人有权取消中标人中标资格，并将相关违约行为报送监管部门，实施信用惩戒；</w:t>
            </w:r>
          </w:p>
          <w:p w14:paraId="2226DEAE">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②合同签订后，中标人存在规定时间内不组织人员进场开工、不履行供货安装义务等情况，招标人有权解除合同，并追究违约责任，同时将相关违约行为报送监管部门处理；</w:t>
            </w:r>
          </w:p>
          <w:p w14:paraId="5937DC76">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③中标人中标后被监管部门查实存在违法行为，不满足中标条件的，由招标人取消中标资格，并做好项目后续工作；</w:t>
            </w:r>
          </w:p>
          <w:p w14:paraId="57B31A1F">
            <w:pPr>
              <w:widowControl/>
              <w:snapToGrid w:val="0"/>
              <w:ind w:left="0" w:leftChars="0" w:firstLine="0" w:firstLineChars="0"/>
              <w:jc w:val="both"/>
              <w:rPr>
                <w:rFonts w:hint="eastAsia" w:cs="宋体"/>
                <w:color w:val="auto"/>
                <w:szCs w:val="24"/>
                <w:highlight w:val="none"/>
              </w:rPr>
            </w:pPr>
            <w:r>
              <w:rPr>
                <w:rFonts w:hint="eastAsia" w:cs="宋体"/>
                <w:bCs/>
                <w:color w:val="auto"/>
                <w:szCs w:val="24"/>
                <w:highlight w:val="none"/>
              </w:rPr>
              <w:t>④中标人在中标项目发生投诉、信访举报案件、履约存在争议时，拒绝协助配合执法部门调查案件的，招标人可以取消其中标资格或解除合同，并追究其违约责任。</w:t>
            </w:r>
          </w:p>
        </w:tc>
      </w:tr>
      <w:tr w14:paraId="10C6F432">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16073D1D">
            <w:pPr>
              <w:widowControl/>
              <w:snapToGrid w:val="0"/>
              <w:ind w:firstLine="240" w:firstLineChars="100"/>
              <w:jc w:val="left"/>
              <w:rPr>
                <w:rFonts w:cs="宋体"/>
                <w:bCs/>
                <w:color w:val="auto"/>
                <w:szCs w:val="24"/>
                <w:highlight w:val="none"/>
              </w:rPr>
            </w:pPr>
            <w:r>
              <w:rPr>
                <w:rFonts w:hint="eastAsia" w:cs="宋体"/>
                <w:bCs/>
                <w:color w:val="auto"/>
                <w:szCs w:val="24"/>
                <w:highlight w:val="none"/>
              </w:rPr>
              <w:t>10.15</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F012B8A">
            <w:pPr>
              <w:widowControl/>
              <w:snapToGrid w:val="0"/>
              <w:ind w:firstLine="0" w:firstLineChars="0"/>
              <w:jc w:val="center"/>
              <w:rPr>
                <w:rFonts w:hint="eastAsia" w:cs="宋体"/>
                <w:bCs/>
                <w:color w:val="auto"/>
                <w:szCs w:val="24"/>
                <w:highlight w:val="none"/>
              </w:rPr>
            </w:pPr>
            <w:r>
              <w:rPr>
                <w:rFonts w:hint="eastAsia" w:cs="宋体"/>
                <w:bCs/>
                <w:color w:val="auto"/>
                <w:szCs w:val="24"/>
                <w:highlight w:val="none"/>
              </w:rPr>
              <w:t>招标人补充的其他内容</w:t>
            </w:r>
          </w:p>
        </w:tc>
        <w:tc>
          <w:tcPr>
            <w:tcW w:w="6336" w:type="dxa"/>
            <w:tcBorders>
              <w:top w:val="single" w:color="auto" w:sz="4" w:space="0"/>
              <w:left w:val="single" w:color="auto" w:sz="4" w:space="0"/>
              <w:bottom w:val="single" w:color="auto" w:sz="4" w:space="0"/>
              <w:right w:val="single" w:color="auto" w:sz="4" w:space="0"/>
            </w:tcBorders>
            <w:noWrap w:val="0"/>
            <w:vAlign w:val="center"/>
          </w:tcPr>
          <w:p w14:paraId="113FC207">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1.投标人投标文件中填报人员及投标人按招标文件提出的最低要求填报派驻投标标段的其他管理和技术人员，经招标人审核后不得进行更换。除非招标文件另有约定，投标人派驻投标标段的总监理工程师及项目管理机构主要人员均应为投标单位人员，否则招标人有权取消其中标资格。</w:t>
            </w:r>
          </w:p>
          <w:p w14:paraId="064F16F0">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2.特别提示：因电子服务系统或电子交易系统出现软件设计或功能缺陷、运行异常等情况，可能影响招投标活动公平、公正进行的，招标人（或招标代理机构）有权中止或终止招投标活动，招投标各方免责。</w:t>
            </w:r>
          </w:p>
          <w:p w14:paraId="1E65A309">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3.</w:t>
            </w:r>
            <w:r>
              <w:rPr>
                <w:rFonts w:hint="eastAsia" w:cs="宋体"/>
                <w:bCs/>
                <w:color w:val="auto"/>
                <w:szCs w:val="24"/>
                <w:highlight w:val="none"/>
                <w:lang w:val="en-US" w:eastAsia="zh-CN"/>
              </w:rPr>
              <w:t>相关</w:t>
            </w:r>
            <w:r>
              <w:rPr>
                <w:rFonts w:hint="eastAsia" w:cs="宋体"/>
                <w:bCs/>
                <w:color w:val="auto"/>
                <w:szCs w:val="24"/>
                <w:highlight w:val="none"/>
              </w:rPr>
              <w:t>验收、档案资料移交等工作及费用由中标人负责（法律规定的由建设单位负责的除外），其费用在其投标报价时综合考虑，后期不再另计。</w:t>
            </w:r>
          </w:p>
          <w:p w14:paraId="2BFF2EF9">
            <w:pPr>
              <w:widowControl/>
              <w:snapToGrid w:val="0"/>
              <w:ind w:left="0" w:leftChars="0" w:firstLine="0" w:firstLineChars="0"/>
              <w:jc w:val="both"/>
              <w:rPr>
                <w:rFonts w:hint="eastAsia" w:cs="宋体"/>
                <w:bCs/>
                <w:color w:val="auto"/>
                <w:szCs w:val="24"/>
                <w:highlight w:val="none"/>
              </w:rPr>
            </w:pPr>
            <w:r>
              <w:rPr>
                <w:rFonts w:hint="eastAsia" w:cs="宋体"/>
                <w:bCs/>
                <w:color w:val="auto"/>
                <w:szCs w:val="24"/>
                <w:highlight w:val="none"/>
              </w:rPr>
              <w:t>4.投标人需自行前往现场踏勘核对实际情况，在投标期间可以提出异议。</w:t>
            </w:r>
          </w:p>
          <w:p w14:paraId="62BAE8D8">
            <w:pPr>
              <w:pStyle w:val="2"/>
              <w:ind w:left="0" w:leftChars="0" w:firstLine="0" w:firstLineChars="0"/>
              <w:jc w:val="both"/>
              <w:rPr>
                <w:rFonts w:hint="eastAsia"/>
                <w:color w:val="auto"/>
                <w:highlight w:val="none"/>
              </w:rPr>
            </w:pPr>
            <w:r>
              <w:rPr>
                <w:rFonts w:hint="eastAsia" w:ascii="Times New Roman" w:hAnsi="Times New Roman" w:cs="宋体"/>
                <w:b w:val="0"/>
                <w:bCs/>
                <w:color w:val="auto"/>
                <w:sz w:val="24"/>
                <w:szCs w:val="24"/>
                <w:highlight w:val="none"/>
              </w:rPr>
              <w:t>5.本项目的投标保证金（如有）、履约保证金（如有）及质量保证金（如有）等，投标人以现金（银行转账、银行电汇）形式提交的，退还时同时退还银行同期活期存款利息。（如有最新规定，按照最新规定执行）</w:t>
            </w:r>
          </w:p>
        </w:tc>
      </w:tr>
    </w:tbl>
    <w:p w14:paraId="4ACCA9A5">
      <w:pPr>
        <w:pStyle w:val="6"/>
        <w:spacing w:before="240" w:after="240"/>
        <w:ind w:left="0" w:leftChars="0" w:firstLine="0" w:firstLineChars="0"/>
        <w:jc w:val="center"/>
        <w:rPr>
          <w:rFonts w:ascii="黑体" w:hAnsi="黑体"/>
          <w:b/>
          <w:color w:val="auto"/>
          <w:highlight w:val="none"/>
        </w:rPr>
      </w:pPr>
      <w:r>
        <w:rPr>
          <w:color w:val="auto"/>
          <w:highlight w:val="none"/>
        </w:rPr>
        <w:br w:type="page"/>
      </w:r>
      <w:bookmarkStart w:id="41" w:name="_Toc13724"/>
      <w:bookmarkStart w:id="42" w:name="_Toc460660062"/>
      <w:bookmarkStart w:id="43" w:name="_Toc283798416"/>
      <w:bookmarkStart w:id="44" w:name="_Toc5921"/>
      <w:bookmarkStart w:id="45" w:name="_Toc11078137"/>
      <w:bookmarkStart w:id="46" w:name="_Toc5088"/>
      <w:bookmarkStart w:id="47" w:name="_Toc460226989"/>
      <w:bookmarkStart w:id="48" w:name="_Toc460226720"/>
      <w:bookmarkStart w:id="49" w:name="_Toc106"/>
      <w:bookmarkStart w:id="50" w:name="_Toc421916975"/>
      <w:bookmarkStart w:id="51" w:name="_Toc12462189"/>
      <w:r>
        <w:rPr>
          <w:rFonts w:hint="eastAsia" w:ascii="黑体" w:hAnsi="黑体" w:cs="黑体"/>
          <w:bCs/>
          <w:color w:val="auto"/>
          <w:highlight w:val="none"/>
        </w:rPr>
        <w:t>附录1  资格审查条件(资质最低条件)</w:t>
      </w:r>
      <w:bookmarkEnd w:id="41"/>
      <w:bookmarkEnd w:id="42"/>
      <w:bookmarkEnd w:id="43"/>
      <w:bookmarkEnd w:id="44"/>
      <w:bookmarkEnd w:id="45"/>
      <w:bookmarkEnd w:id="46"/>
      <w:bookmarkEnd w:id="47"/>
      <w:bookmarkEnd w:id="48"/>
      <w:bookmarkEnd w:id="49"/>
      <w:bookmarkEnd w:id="50"/>
      <w:bookmarkEnd w:id="51"/>
    </w:p>
    <w:tbl>
      <w:tblPr>
        <w:tblStyle w:val="44"/>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5"/>
      </w:tblGrid>
      <w:tr w14:paraId="5C6B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02425814">
            <w:pPr>
              <w:pStyle w:val="95"/>
              <w:adjustRightInd w:val="0"/>
              <w:snapToGrid w:val="0"/>
              <w:jc w:val="center"/>
              <w:rPr>
                <w:rFonts w:ascii="宋体" w:hAnsi="宋体"/>
                <w:b/>
                <w:bCs/>
                <w:color w:val="auto"/>
                <w:sz w:val="24"/>
                <w:szCs w:val="24"/>
                <w:highlight w:val="none"/>
              </w:rPr>
            </w:pPr>
            <w:r>
              <w:rPr>
                <w:rFonts w:hint="eastAsia" w:ascii="宋体" w:hAnsi="宋体"/>
                <w:b/>
                <w:bCs/>
                <w:color w:val="auto"/>
                <w:sz w:val="24"/>
                <w:szCs w:val="24"/>
                <w:highlight w:val="none"/>
              </w:rPr>
              <w:t>资质证书及其他要求</w:t>
            </w:r>
          </w:p>
        </w:tc>
      </w:tr>
      <w:tr w14:paraId="1524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4368B10D">
            <w:pPr>
              <w:pStyle w:val="95"/>
              <w:adjustRightInd w:val="0"/>
              <w:snapToGrid w:val="0"/>
              <w:spacing w:before="120" w:beforeLines="50" w:line="360" w:lineRule="auto"/>
              <w:rPr>
                <w:rFonts w:ascii="Times New Roman" w:hAnsi="Times New Roman"/>
                <w:bCs/>
                <w:snapToGrid w:val="0"/>
                <w:color w:val="auto"/>
                <w:kern w:val="0"/>
                <w:sz w:val="24"/>
                <w:szCs w:val="24"/>
                <w:highlight w:val="none"/>
              </w:rPr>
            </w:pPr>
            <w:r>
              <w:rPr>
                <w:rFonts w:ascii="Times New Roman" w:hAnsi="Times New Roman"/>
                <w:bCs/>
                <w:snapToGrid w:val="0"/>
                <w:color w:val="auto"/>
                <w:kern w:val="0"/>
                <w:sz w:val="24"/>
                <w:szCs w:val="24"/>
                <w:highlight w:val="none"/>
              </w:rPr>
              <w:t>1.具备有效的营业执照。</w:t>
            </w:r>
          </w:p>
          <w:p w14:paraId="5466F66D">
            <w:pPr>
              <w:pStyle w:val="95"/>
              <w:adjustRightInd w:val="0"/>
              <w:snapToGrid w:val="0"/>
              <w:spacing w:before="120" w:beforeLines="50" w:line="360" w:lineRule="auto"/>
              <w:rPr>
                <w:rFonts w:hint="eastAsia" w:ascii="Times New Roman" w:hAnsi="Times New Roman"/>
                <w:bCs/>
                <w:snapToGrid w:val="0"/>
                <w:color w:val="auto"/>
                <w:kern w:val="0"/>
                <w:sz w:val="24"/>
                <w:szCs w:val="24"/>
                <w:highlight w:val="none"/>
              </w:rPr>
            </w:pPr>
            <w:r>
              <w:rPr>
                <w:rFonts w:ascii="Times New Roman" w:hAnsi="Times New Roman"/>
                <w:bCs/>
                <w:snapToGrid w:val="0"/>
                <w:color w:val="auto"/>
                <w:sz w:val="24"/>
                <w:szCs w:val="24"/>
                <w:highlight w:val="none"/>
              </w:rPr>
              <w:t>2.具备有效的资质证书（见招标公告）。</w:t>
            </w:r>
          </w:p>
        </w:tc>
      </w:tr>
    </w:tbl>
    <w:p w14:paraId="45710C5E">
      <w:pPr>
        <w:pStyle w:val="95"/>
        <w:adjustRightInd w:val="0"/>
        <w:snapToGrid w:val="0"/>
        <w:spacing w:line="360" w:lineRule="auto"/>
        <w:rPr>
          <w:rFonts w:ascii="黑体" w:eastAsia="黑体"/>
          <w:color w:val="auto"/>
          <w:highlight w:val="none"/>
        </w:rPr>
      </w:pPr>
      <w:r>
        <w:rPr>
          <w:rFonts w:ascii="Times New Roman" w:hAnsi="Times New Roman"/>
          <w:bCs/>
          <w:snapToGrid w:val="0"/>
          <w:color w:val="auto"/>
          <w:kern w:val="0"/>
          <w:szCs w:val="21"/>
          <w:highlight w:val="none"/>
        </w:rPr>
        <w:t xml:space="preserve">  </w:t>
      </w:r>
      <w:r>
        <w:rPr>
          <w:rFonts w:hint="eastAsia" w:ascii="Times New Roman" w:hAnsi="Times New Roman"/>
          <w:bCs/>
          <w:snapToGrid w:val="0"/>
          <w:color w:val="auto"/>
          <w:kern w:val="0"/>
          <w:sz w:val="24"/>
          <w:szCs w:val="24"/>
          <w:highlight w:val="none"/>
        </w:rPr>
        <w:t>注：投标人应提供营业执照、资质证书。</w:t>
      </w:r>
    </w:p>
    <w:p w14:paraId="4A7A989C">
      <w:pPr>
        <w:pStyle w:val="6"/>
        <w:spacing w:before="240" w:after="240"/>
        <w:ind w:left="0" w:leftChars="0" w:firstLine="0" w:firstLineChars="0"/>
        <w:jc w:val="center"/>
        <w:rPr>
          <w:color w:val="auto"/>
          <w:highlight w:val="none"/>
        </w:rPr>
      </w:pPr>
      <w:bookmarkStart w:id="52" w:name="_Toc460226722"/>
      <w:bookmarkStart w:id="53" w:name="_Toc12462191"/>
      <w:bookmarkStart w:id="54" w:name="_Toc283798418"/>
      <w:bookmarkStart w:id="55" w:name="_Toc460660064"/>
      <w:bookmarkStart w:id="56" w:name="_Toc11078139"/>
      <w:bookmarkStart w:id="57" w:name="_Toc460226991"/>
      <w:bookmarkStart w:id="58" w:name="_Toc421916977"/>
      <w:r>
        <w:rPr>
          <w:rFonts w:ascii="黑体" w:hAnsi="黑体"/>
          <w:b/>
          <w:color w:val="auto"/>
          <w:highlight w:val="none"/>
        </w:rPr>
        <w:br w:type="page"/>
      </w:r>
      <w:bookmarkStart w:id="59" w:name="_Toc11078138"/>
      <w:bookmarkStart w:id="60" w:name="_Toc3905"/>
      <w:bookmarkStart w:id="61" w:name="_Toc5236"/>
      <w:bookmarkStart w:id="62" w:name="_Toc1226"/>
      <w:bookmarkStart w:id="63" w:name="_Toc3362"/>
      <w:bookmarkStart w:id="64" w:name="_Toc8262"/>
      <w:bookmarkStart w:id="65" w:name="_Toc26168"/>
      <w:bookmarkStart w:id="66" w:name="_Toc19540836"/>
      <w:r>
        <w:rPr>
          <w:rFonts w:hint="eastAsia" w:ascii="黑体" w:hAnsi="黑体" w:cs="黑体"/>
          <w:bCs/>
          <w:color w:val="auto"/>
          <w:highlight w:val="none"/>
        </w:rPr>
        <w:t xml:space="preserve">附录2  </w:t>
      </w:r>
      <w:bookmarkEnd w:id="59"/>
      <w:bookmarkEnd w:id="60"/>
      <w:bookmarkEnd w:id="61"/>
      <w:bookmarkEnd w:id="62"/>
      <w:bookmarkEnd w:id="63"/>
      <w:bookmarkEnd w:id="64"/>
      <w:bookmarkEnd w:id="65"/>
      <w:bookmarkEnd w:id="66"/>
      <w:bookmarkStart w:id="67" w:name="_Toc26244"/>
      <w:bookmarkStart w:id="68" w:name="_Toc437"/>
      <w:bookmarkStart w:id="69" w:name="_Toc3426"/>
      <w:bookmarkStart w:id="70" w:name="_Toc12144"/>
      <w:r>
        <w:rPr>
          <w:rFonts w:hint="eastAsia" w:ascii="黑体" w:hAnsi="黑体" w:cs="黑体"/>
          <w:color w:val="auto"/>
          <w:highlight w:val="none"/>
        </w:rPr>
        <w:t>资格审查条件(业绩最低要求)</w:t>
      </w:r>
      <w:bookmarkEnd w:id="52"/>
      <w:bookmarkEnd w:id="53"/>
      <w:bookmarkEnd w:id="54"/>
      <w:bookmarkEnd w:id="55"/>
      <w:bookmarkEnd w:id="56"/>
      <w:bookmarkEnd w:id="57"/>
      <w:bookmarkEnd w:id="58"/>
      <w:bookmarkEnd w:id="67"/>
      <w:bookmarkEnd w:id="68"/>
      <w:bookmarkEnd w:id="69"/>
      <w:bookmarkEnd w:id="70"/>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5"/>
      </w:tblGrid>
      <w:tr w14:paraId="0761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635" w:type="dxa"/>
            <w:tcBorders>
              <w:top w:val="single" w:color="auto" w:sz="4" w:space="0"/>
              <w:left w:val="single" w:color="auto" w:sz="4" w:space="0"/>
              <w:bottom w:val="single" w:color="auto" w:sz="4" w:space="0"/>
              <w:right w:val="single" w:color="auto" w:sz="4" w:space="0"/>
            </w:tcBorders>
            <w:noWrap w:val="0"/>
            <w:vAlign w:val="center"/>
          </w:tcPr>
          <w:p w14:paraId="3AB9005A">
            <w:pPr>
              <w:pStyle w:val="95"/>
              <w:adjustRightInd w:val="0"/>
              <w:snapToGrid w:val="0"/>
              <w:jc w:val="center"/>
              <w:rPr>
                <w:rFonts w:ascii="宋体" w:hAnsi="宋体"/>
                <w:b/>
                <w:bCs/>
                <w:color w:val="auto"/>
                <w:szCs w:val="21"/>
                <w:highlight w:val="none"/>
              </w:rPr>
            </w:pPr>
            <w:r>
              <w:rPr>
                <w:rFonts w:ascii="宋体" w:hAnsi="宋体"/>
                <w:b/>
                <w:bCs/>
                <w:color w:val="auto"/>
                <w:sz w:val="24"/>
                <w:szCs w:val="24"/>
                <w:highlight w:val="none"/>
              </w:rPr>
              <w:t>投标人</w:t>
            </w:r>
            <w:r>
              <w:rPr>
                <w:rFonts w:hint="eastAsia" w:ascii="宋体" w:hAnsi="宋体"/>
                <w:b/>
                <w:bCs/>
                <w:color w:val="auto"/>
                <w:sz w:val="24"/>
                <w:szCs w:val="24"/>
                <w:highlight w:val="none"/>
              </w:rPr>
              <w:t>业绩要求</w:t>
            </w:r>
          </w:p>
        </w:tc>
      </w:tr>
      <w:tr w14:paraId="73E9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635" w:type="dxa"/>
            <w:tcBorders>
              <w:top w:val="single" w:color="auto" w:sz="4" w:space="0"/>
              <w:left w:val="single" w:color="auto" w:sz="4" w:space="0"/>
              <w:bottom w:val="single" w:color="auto" w:sz="4" w:space="0"/>
              <w:right w:val="single" w:color="auto" w:sz="4" w:space="0"/>
            </w:tcBorders>
            <w:noWrap w:val="0"/>
            <w:vAlign w:val="center"/>
          </w:tcPr>
          <w:p w14:paraId="41FD2F10">
            <w:pPr>
              <w:ind w:firstLine="0" w:firstLineChars="0"/>
              <w:rPr>
                <w:bCs/>
                <w:snapToGrid w:val="0"/>
                <w:color w:val="auto"/>
                <w:kern w:val="0"/>
                <w:szCs w:val="21"/>
                <w:highlight w:val="none"/>
              </w:rPr>
            </w:pPr>
            <w:r>
              <w:rPr>
                <w:rFonts w:hint="eastAsia"/>
                <w:bCs/>
                <w:snapToGrid w:val="0"/>
                <w:color w:val="auto"/>
                <w:kern w:val="0"/>
                <w:szCs w:val="21"/>
                <w:highlight w:val="none"/>
              </w:rPr>
              <w:t>见招标公告。</w:t>
            </w:r>
          </w:p>
        </w:tc>
      </w:tr>
    </w:tbl>
    <w:p w14:paraId="16C76F5D">
      <w:pPr>
        <w:spacing w:line="360" w:lineRule="auto"/>
        <w:ind w:firstLine="480"/>
        <w:rPr>
          <w:rFonts w:hint="eastAsia"/>
          <w:color w:val="auto"/>
          <w:szCs w:val="21"/>
          <w:highlight w:val="none"/>
        </w:rPr>
      </w:pPr>
      <w:r>
        <w:rPr>
          <w:rFonts w:hint="eastAsia"/>
          <w:color w:val="auto"/>
          <w:szCs w:val="21"/>
          <w:highlight w:val="none"/>
        </w:rPr>
        <w:t>注：</w:t>
      </w:r>
    </w:p>
    <w:p w14:paraId="4CF987B9">
      <w:pPr>
        <w:spacing w:line="360" w:lineRule="auto"/>
        <w:ind w:firstLine="480"/>
        <w:rPr>
          <w:rFonts w:hint="eastAsia"/>
          <w:color w:val="auto"/>
          <w:szCs w:val="21"/>
          <w:highlight w:val="none"/>
        </w:rPr>
      </w:pPr>
      <w:r>
        <w:rPr>
          <w:rFonts w:hint="eastAsia"/>
          <w:color w:val="auto"/>
          <w:szCs w:val="21"/>
          <w:highlight w:val="none"/>
        </w:rPr>
        <w:t>1.</w:t>
      </w:r>
      <w:r>
        <w:rPr>
          <w:rFonts w:hint="eastAsia" w:ascii="Times New Roman"/>
          <w:color w:val="auto"/>
          <w:szCs w:val="21"/>
          <w:highlight w:val="none"/>
        </w:rPr>
        <w:t>投标人应提供下列勾选的任一类别的业绩证明材料</w:t>
      </w:r>
      <w:r>
        <w:rPr>
          <w:rFonts w:hint="eastAsia"/>
          <w:color w:val="auto"/>
          <w:szCs w:val="21"/>
          <w:highlight w:val="none"/>
        </w:rPr>
        <w:t>：</w:t>
      </w:r>
    </w:p>
    <w:p w14:paraId="09FC7657">
      <w:pPr>
        <w:spacing w:line="360" w:lineRule="auto"/>
        <w:ind w:firstLine="480"/>
        <w:rPr>
          <w:color w:val="auto"/>
          <w:szCs w:val="21"/>
          <w:highlight w:val="none"/>
        </w:rPr>
      </w:pPr>
      <w:r>
        <w:rPr>
          <w:rFonts w:hint="eastAsia"/>
          <w:color w:val="auto"/>
          <w:szCs w:val="21"/>
          <w:highlight w:val="none"/>
        </w:rPr>
        <w:t>□第一类：</w:t>
      </w:r>
    </w:p>
    <w:p w14:paraId="6E487E1D">
      <w:pPr>
        <w:spacing w:line="360" w:lineRule="auto"/>
        <w:ind w:firstLine="480"/>
        <w:rPr>
          <w:rFonts w:hint="eastAsia"/>
          <w:color w:val="auto"/>
          <w:szCs w:val="21"/>
          <w:highlight w:val="none"/>
        </w:rPr>
      </w:pPr>
      <w:r>
        <w:rPr>
          <w:rFonts w:hint="eastAsia"/>
          <w:color w:val="auto"/>
          <w:szCs w:val="21"/>
          <w:highlight w:val="none"/>
        </w:rPr>
        <w:t>住房和城乡建设部全国建筑市场监管公共服务平台（以下简称“四库一平台”）“数据等级”C级及以上项目业绩网页截图。</w:t>
      </w:r>
    </w:p>
    <w:p w14:paraId="5D87E386">
      <w:pPr>
        <w:spacing w:line="360" w:lineRule="auto"/>
        <w:ind w:firstLine="480"/>
        <w:rPr>
          <w:rFonts w:hint="eastAsia"/>
          <w:color w:val="auto"/>
          <w:szCs w:val="21"/>
          <w:highlight w:val="none"/>
        </w:rPr>
      </w:pPr>
      <w:r>
        <w:rPr>
          <w:rFonts w:hint="eastAsia"/>
          <w:color w:val="auto"/>
          <w:szCs w:val="21"/>
          <w:highlight w:val="none"/>
        </w:rPr>
        <w:t>业绩需在商务文件中“资格审查资料”栏“投标人业绩情况表（资格审查）”中注明并提供相关证明材料。如投标人提供的上述业绩证明材料未能完整或充分反映评审因素的，应提供第二类任意证明材料或另附合同甲方证明材料（须加盖合同甲方单位章）予以明确说明，否则评标委员会不予认可。</w:t>
      </w:r>
    </w:p>
    <w:p w14:paraId="41F614CF">
      <w:pPr>
        <w:spacing w:line="360" w:lineRule="auto"/>
        <w:ind w:firstLine="480"/>
        <w:rPr>
          <w:color w:val="auto"/>
          <w:szCs w:val="21"/>
          <w:highlight w:val="none"/>
        </w:rPr>
      </w:pPr>
      <w:r>
        <w:rPr>
          <w:rFonts w:hint="eastAsia"/>
          <w:color w:val="auto"/>
          <w:szCs w:val="21"/>
          <w:highlight w:val="none"/>
          <w:lang w:eastAsia="zh-CN"/>
        </w:rPr>
        <w:t>☑</w:t>
      </w:r>
      <w:r>
        <w:rPr>
          <w:rFonts w:hint="eastAsia"/>
          <w:color w:val="auto"/>
          <w:szCs w:val="21"/>
          <w:highlight w:val="none"/>
        </w:rPr>
        <w:t>第二类：</w:t>
      </w:r>
    </w:p>
    <w:p w14:paraId="34C430C1">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（1）合同协议书。</w:t>
      </w:r>
    </w:p>
    <w:p w14:paraId="2ED5C7D6">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（2）中标查询网址及查询截图，或住房和城乡建设主管部门网站公布的施工许可证办理查询截图，或信用评价体系查询截图。无法提供以上截图的，应当提供住房和城乡建设主管部门证明材料。</w:t>
      </w:r>
    </w:p>
    <w:p w14:paraId="4EA5D024">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（3）竣工验收证明文件（至少有建设单位、设计单位、监理单位、施工单位四方参与竣工验收并盖单位</w:t>
      </w:r>
      <w:r>
        <w:rPr>
          <w:rFonts w:hint="eastAsia" w:ascii="宋体" w:hAnsi="宋体" w:cs="宋体"/>
          <w:color w:val="auto"/>
          <w:kern w:val="0"/>
          <w:szCs w:val="24"/>
          <w:highlight w:val="none"/>
          <w:lang w:val="en-US" w:eastAsia="zh-CN"/>
        </w:rPr>
        <w:t>公</w:t>
      </w:r>
      <w:r>
        <w:rPr>
          <w:rFonts w:hint="eastAsia" w:ascii="宋体" w:hAnsi="宋体" w:cs="宋体"/>
          <w:color w:val="auto"/>
          <w:kern w:val="0"/>
          <w:szCs w:val="24"/>
          <w:highlight w:val="none"/>
        </w:rPr>
        <w:t>章）</w:t>
      </w:r>
      <w:r>
        <w:rPr>
          <w:rFonts w:hint="eastAsia" w:ascii="宋体" w:hAnsi="宋体" w:cs="宋体"/>
          <w:color w:val="auto"/>
          <w:kern w:val="0"/>
          <w:szCs w:val="24"/>
          <w:highlight w:val="none"/>
          <w:lang w:val="en-US" w:eastAsia="zh-CN"/>
        </w:rPr>
        <w:t>。</w:t>
      </w:r>
    </w:p>
    <w:p w14:paraId="0A7F9185">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（4）其他材料：</w:t>
      </w:r>
      <w:r>
        <w:rPr>
          <w:rFonts w:hint="eastAsia" w:ascii="宋体" w:hAnsi="宋体" w:cs="宋体"/>
          <w:color w:val="auto"/>
          <w:kern w:val="0"/>
          <w:szCs w:val="24"/>
          <w:highlight w:val="none"/>
          <w:u w:val="single"/>
        </w:rPr>
        <w:t xml:space="preserve"> </w:t>
      </w:r>
      <w:r>
        <w:rPr>
          <w:rFonts w:hint="eastAsia" w:ascii="宋体" w:hAnsi="宋体" w:cs="宋体"/>
          <w:color w:val="auto"/>
          <w:kern w:val="0"/>
          <w:szCs w:val="24"/>
          <w:highlight w:val="none"/>
          <w:u w:val="single"/>
          <w:lang w:val="en-US" w:eastAsia="zh-CN"/>
        </w:rPr>
        <w:t>/</w:t>
      </w:r>
      <w:r>
        <w:rPr>
          <w:rFonts w:hint="eastAsia" w:ascii="宋体" w:hAnsi="宋体" w:cs="宋体"/>
          <w:color w:val="auto"/>
          <w:kern w:val="0"/>
          <w:szCs w:val="24"/>
          <w:highlight w:val="none"/>
          <w:u w:val="single"/>
        </w:rPr>
        <w:t xml:space="preserve"> </w:t>
      </w:r>
    </w:p>
    <w:p w14:paraId="1F0CF45C">
      <w:pPr>
        <w:adjustRightInd w:val="0"/>
        <w:snapToGrid w:val="0"/>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业绩需在商务文件中“资格审查资料”栏“投标人业绩情况表（资格审查）”中注明并提供相关证明材料。投标人提供的上述业绩证明材料应能完整或充分反映评审因素（如工程总投资额、总建筑面积等），否则评标委员会不予认可。</w:t>
      </w:r>
    </w:p>
    <w:p w14:paraId="6BFA0CB1">
      <w:pPr>
        <w:adjustRightInd w:val="0"/>
        <w:snapToGrid w:val="0"/>
        <w:spacing w:line="360" w:lineRule="auto"/>
        <w:ind w:left="0" w:leftChars="0" w:firstLine="480" w:firstLineChars="200"/>
        <w:rPr>
          <w:rFonts w:hint="eastAsia" w:ascii="宋体" w:hAnsi="宋体" w:cs="宋体"/>
          <w:color w:val="auto"/>
          <w:kern w:val="0"/>
          <w:szCs w:val="24"/>
          <w:highlight w:val="none"/>
        </w:rPr>
      </w:pPr>
      <w:r>
        <w:rPr>
          <w:rFonts w:hint="eastAsia" w:ascii="宋体" w:hAnsi="宋体" w:cs="宋体"/>
          <w:color w:val="auto"/>
          <w:kern w:val="0"/>
          <w:szCs w:val="24"/>
          <w:highlight w:val="none"/>
        </w:rPr>
        <w:t>2.本招标项目投标人业绩（资格审查）数量：</w:t>
      </w:r>
      <w:r>
        <w:rPr>
          <w:rFonts w:hint="eastAsia" w:ascii="宋体" w:hAnsi="宋体" w:cs="宋体"/>
          <w:color w:val="auto"/>
          <w:kern w:val="0"/>
          <w:szCs w:val="24"/>
          <w:highlight w:val="none"/>
          <w:u w:val="single"/>
        </w:rPr>
        <w:t xml:space="preserve"> </w:t>
      </w:r>
      <w:r>
        <w:rPr>
          <w:rFonts w:hint="eastAsia" w:ascii="宋体" w:hAnsi="宋体" w:cs="宋体"/>
          <w:b/>
          <w:bCs/>
          <w:color w:val="auto"/>
          <w:kern w:val="0"/>
          <w:szCs w:val="24"/>
          <w:highlight w:val="none"/>
          <w:u w:val="single"/>
          <w:lang w:val="en-US" w:eastAsia="zh-CN"/>
        </w:rPr>
        <w:t>1</w:t>
      </w:r>
      <w:r>
        <w:rPr>
          <w:rFonts w:hint="eastAsia" w:ascii="宋体" w:hAnsi="宋体" w:cs="宋体"/>
          <w:color w:val="auto"/>
          <w:kern w:val="0"/>
          <w:szCs w:val="24"/>
          <w:highlight w:val="none"/>
          <w:u w:val="single"/>
        </w:rPr>
        <w:t xml:space="preserve"> </w:t>
      </w:r>
      <w:r>
        <w:rPr>
          <w:rFonts w:hint="eastAsia" w:ascii="宋体" w:hAnsi="宋体" w:cs="宋体"/>
          <w:color w:val="auto"/>
          <w:kern w:val="0"/>
          <w:szCs w:val="24"/>
          <w:highlight w:val="none"/>
        </w:rPr>
        <w:t>个。</w:t>
      </w:r>
    </w:p>
    <w:p w14:paraId="13E7F580">
      <w:pPr>
        <w:pStyle w:val="6"/>
        <w:tabs>
          <w:tab w:val="left" w:pos="1476"/>
        </w:tabs>
        <w:spacing w:before="240" w:after="240" w:line="413" w:lineRule="auto"/>
        <w:ind w:left="0" w:leftChars="0" w:firstLine="0" w:firstLineChars="0"/>
        <w:jc w:val="center"/>
        <w:rPr>
          <w:rFonts w:hint="eastAsia" w:ascii="黑体" w:hAnsi="黑体"/>
          <w:b/>
          <w:color w:val="auto"/>
          <w:highlight w:val="none"/>
        </w:rPr>
      </w:pPr>
      <w:bookmarkStart w:id="71" w:name="_Toc11029"/>
      <w:bookmarkStart w:id="72" w:name="_Toc11078140"/>
      <w:bookmarkStart w:id="73" w:name="_Toc9109"/>
      <w:bookmarkStart w:id="74" w:name="_Toc12462192"/>
      <w:bookmarkStart w:id="75" w:name="_Toc11198"/>
      <w:bookmarkStart w:id="76" w:name="_Toc22931"/>
      <w:r>
        <w:rPr>
          <w:rFonts w:hint="eastAsia" w:ascii="黑体" w:hAnsi="黑体"/>
          <w:b/>
          <w:color w:val="auto"/>
          <w:highlight w:val="none"/>
        </w:rPr>
        <w:br w:type="page"/>
      </w:r>
      <w:r>
        <w:rPr>
          <w:rFonts w:hint="eastAsia" w:ascii="黑体" w:hAnsi="黑体"/>
          <w:bCs/>
          <w:color w:val="auto"/>
          <w:highlight w:val="none"/>
        </w:rPr>
        <w:t>附录3  资格审查条件(信誉最低要求)</w:t>
      </w:r>
      <w:bookmarkEnd w:id="71"/>
      <w:bookmarkEnd w:id="72"/>
      <w:bookmarkEnd w:id="73"/>
      <w:bookmarkEnd w:id="74"/>
      <w:bookmarkEnd w:id="75"/>
      <w:bookmarkEnd w:id="7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2"/>
      </w:tblGrid>
      <w:tr w14:paraId="48C1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622" w:type="dxa"/>
            <w:tcBorders>
              <w:top w:val="single" w:color="auto" w:sz="4" w:space="0"/>
              <w:left w:val="single" w:color="auto" w:sz="4" w:space="0"/>
              <w:bottom w:val="single" w:color="auto" w:sz="4" w:space="0"/>
              <w:right w:val="single" w:color="auto" w:sz="4" w:space="0"/>
            </w:tcBorders>
            <w:noWrap w:val="0"/>
            <w:vAlign w:val="center"/>
          </w:tcPr>
          <w:p w14:paraId="1ACAF619">
            <w:pPr>
              <w:adjustRightInd w:val="0"/>
              <w:snapToGrid w:val="0"/>
              <w:ind w:firstLine="482"/>
              <w:jc w:val="center"/>
              <w:rPr>
                <w:rFonts w:ascii="宋体" w:hAnsi="宋体"/>
                <w:b/>
                <w:bCs/>
                <w:color w:val="auto"/>
                <w:szCs w:val="21"/>
                <w:highlight w:val="none"/>
              </w:rPr>
            </w:pPr>
            <w:r>
              <w:rPr>
                <w:rFonts w:hint="eastAsia" w:ascii="宋体" w:hAnsi="宋体"/>
                <w:b/>
                <w:bCs/>
                <w:color w:val="auto"/>
                <w:szCs w:val="21"/>
                <w:highlight w:val="none"/>
              </w:rPr>
              <w:t>信誉要求</w:t>
            </w:r>
          </w:p>
        </w:tc>
      </w:tr>
      <w:tr w14:paraId="50F7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622" w:type="dxa"/>
            <w:tcBorders>
              <w:top w:val="single" w:color="auto" w:sz="4" w:space="0"/>
              <w:left w:val="single" w:color="auto" w:sz="4" w:space="0"/>
              <w:bottom w:val="single" w:color="auto" w:sz="4" w:space="0"/>
              <w:right w:val="single" w:color="auto" w:sz="4" w:space="0"/>
            </w:tcBorders>
            <w:noWrap w:val="0"/>
            <w:vAlign w:val="center"/>
          </w:tcPr>
          <w:p w14:paraId="70C7DFB6">
            <w:pPr>
              <w:ind w:firstLine="0" w:firstLineChars="0"/>
              <w:rPr>
                <w:rFonts w:ascii="宋体" w:hAnsi="宋体"/>
                <w:bCs/>
                <w:snapToGrid w:val="0"/>
                <w:color w:val="auto"/>
                <w:kern w:val="0"/>
                <w:szCs w:val="21"/>
                <w:highlight w:val="none"/>
              </w:rPr>
            </w:pPr>
            <w:r>
              <w:rPr>
                <w:rFonts w:hint="eastAsia" w:hAnsi="宋体"/>
                <w:bCs/>
                <w:color w:val="auto"/>
                <w:highlight w:val="none"/>
              </w:rPr>
              <w:t>见招标公告</w:t>
            </w:r>
          </w:p>
        </w:tc>
      </w:tr>
    </w:tbl>
    <w:p w14:paraId="22DCDACD">
      <w:pPr>
        <w:pStyle w:val="95"/>
        <w:adjustRightInd w:val="0"/>
        <w:snapToGrid w:val="0"/>
        <w:spacing w:line="360" w:lineRule="auto"/>
        <w:ind w:firstLine="480" w:firstLineChars="200"/>
        <w:rPr>
          <w:rFonts w:hint="eastAsia" w:ascii="宋体" w:hAnsi="宋体"/>
          <w:bCs/>
          <w:snapToGrid w:val="0"/>
          <w:color w:val="auto"/>
          <w:kern w:val="0"/>
          <w:szCs w:val="21"/>
          <w:highlight w:val="none"/>
        </w:rPr>
      </w:pPr>
      <w:r>
        <w:rPr>
          <w:rFonts w:hint="eastAsia" w:ascii="Times New Roman" w:hAnsi="Times New Roman"/>
          <w:bCs/>
          <w:snapToGrid w:val="0"/>
          <w:color w:val="auto"/>
          <w:kern w:val="0"/>
          <w:sz w:val="24"/>
          <w:szCs w:val="24"/>
          <w:highlight w:val="none"/>
        </w:rPr>
        <w:t>注：</w:t>
      </w:r>
      <w:r>
        <w:rPr>
          <w:rFonts w:ascii="宋体" w:hAnsi="宋体" w:cs="宋体"/>
          <w:color w:val="auto"/>
          <w:sz w:val="24"/>
          <w:szCs w:val="24"/>
          <w:highlight w:val="none"/>
        </w:rPr>
        <w:t>投标人无需提供证明材料，由评标委员会通过电子服务系统查询</w:t>
      </w:r>
      <w:r>
        <w:rPr>
          <w:rFonts w:hint="eastAsia" w:ascii="Times New Roman" w:hAnsi="Times New Roman"/>
          <w:bCs/>
          <w:snapToGrid w:val="0"/>
          <w:color w:val="auto"/>
          <w:kern w:val="0"/>
          <w:sz w:val="24"/>
          <w:szCs w:val="24"/>
          <w:highlight w:val="none"/>
        </w:rPr>
        <w:t>。</w:t>
      </w:r>
    </w:p>
    <w:p w14:paraId="641A7739">
      <w:pPr>
        <w:pStyle w:val="6"/>
        <w:spacing w:before="240" w:after="240"/>
        <w:ind w:left="0" w:leftChars="0" w:firstLine="0" w:firstLineChars="0"/>
        <w:jc w:val="center"/>
        <w:rPr>
          <w:rFonts w:ascii="黑体" w:hAnsi="黑体"/>
          <w:b/>
          <w:color w:val="auto"/>
          <w:highlight w:val="none"/>
        </w:rPr>
      </w:pPr>
      <w:r>
        <w:rPr>
          <w:color w:val="auto"/>
          <w:kern w:val="0"/>
          <w:szCs w:val="21"/>
          <w:highlight w:val="none"/>
        </w:rPr>
        <w:br w:type="page"/>
      </w:r>
      <w:bookmarkStart w:id="77" w:name="_Toc19127"/>
      <w:bookmarkStart w:id="78" w:name="_Toc21632"/>
      <w:bookmarkStart w:id="79" w:name="_Toc11078141"/>
      <w:bookmarkStart w:id="80" w:name="_Toc460660065"/>
      <w:bookmarkStart w:id="81" w:name="_Toc7355"/>
      <w:bookmarkStart w:id="82" w:name="_Toc12462193"/>
      <w:bookmarkStart w:id="83" w:name="_Toc15851"/>
      <w:r>
        <w:rPr>
          <w:rStyle w:val="56"/>
          <w:rFonts w:hint="eastAsia" w:ascii="黑体" w:hAnsi="黑体" w:cs="黑体"/>
          <w:color w:val="auto"/>
          <w:highlight w:val="none"/>
        </w:rPr>
        <w:t>附录4  资格审查条件（总监理工程师最低要求）</w:t>
      </w:r>
      <w:bookmarkEnd w:id="77"/>
      <w:bookmarkEnd w:id="78"/>
      <w:bookmarkEnd w:id="79"/>
      <w:bookmarkEnd w:id="80"/>
      <w:bookmarkEnd w:id="81"/>
      <w:bookmarkEnd w:id="82"/>
      <w:bookmarkEnd w:id="83"/>
    </w:p>
    <w:tbl>
      <w:tblPr>
        <w:tblStyle w:val="44"/>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294"/>
      </w:tblGrid>
      <w:tr w14:paraId="1EE3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14:paraId="2DA85F22">
            <w:pPr>
              <w:pStyle w:val="95"/>
              <w:adjustRightInd w:val="0"/>
              <w:snapToGrid w:val="0"/>
              <w:jc w:val="center"/>
              <w:rPr>
                <w:rFonts w:ascii="宋体" w:hAnsi="宋体"/>
                <w:b/>
                <w:color w:val="auto"/>
                <w:sz w:val="24"/>
                <w:szCs w:val="24"/>
                <w:highlight w:val="none"/>
              </w:rPr>
            </w:pPr>
            <w:r>
              <w:rPr>
                <w:rFonts w:hint="eastAsia" w:ascii="宋体" w:hAnsi="宋体"/>
                <w:b/>
                <w:color w:val="auto"/>
                <w:sz w:val="24"/>
                <w:szCs w:val="24"/>
                <w:highlight w:val="none"/>
              </w:rPr>
              <w:t>人员</w:t>
            </w:r>
          </w:p>
        </w:tc>
        <w:tc>
          <w:tcPr>
            <w:tcW w:w="6294" w:type="dxa"/>
            <w:tcBorders>
              <w:top w:val="single" w:color="auto" w:sz="4" w:space="0"/>
              <w:left w:val="single" w:color="auto" w:sz="4" w:space="0"/>
              <w:bottom w:val="single" w:color="auto" w:sz="4" w:space="0"/>
              <w:right w:val="single" w:color="auto" w:sz="4" w:space="0"/>
            </w:tcBorders>
            <w:noWrap w:val="0"/>
            <w:vAlign w:val="center"/>
          </w:tcPr>
          <w:p w14:paraId="74114E03">
            <w:pPr>
              <w:pStyle w:val="95"/>
              <w:adjustRightInd w:val="0"/>
              <w:snapToGrid w:val="0"/>
              <w:jc w:val="center"/>
              <w:rPr>
                <w:rFonts w:ascii="宋体" w:hAnsi="宋体"/>
                <w:b/>
                <w:color w:val="auto"/>
                <w:sz w:val="24"/>
                <w:szCs w:val="24"/>
                <w:highlight w:val="none"/>
              </w:rPr>
            </w:pPr>
            <w:r>
              <w:rPr>
                <w:rFonts w:hint="eastAsia" w:ascii="宋体" w:hAnsi="宋体"/>
                <w:b/>
                <w:color w:val="auto"/>
                <w:sz w:val="24"/>
                <w:szCs w:val="24"/>
                <w:highlight w:val="none"/>
              </w:rPr>
              <w:t>资格要求</w:t>
            </w:r>
          </w:p>
        </w:tc>
      </w:tr>
      <w:tr w14:paraId="045B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56" w:type="dxa"/>
            <w:tcBorders>
              <w:top w:val="single" w:color="auto" w:sz="4" w:space="0"/>
              <w:left w:val="single" w:color="auto" w:sz="4" w:space="0"/>
              <w:bottom w:val="single" w:color="auto" w:sz="4" w:space="0"/>
              <w:right w:val="single" w:color="auto" w:sz="4" w:space="0"/>
            </w:tcBorders>
            <w:noWrap w:val="0"/>
            <w:vAlign w:val="center"/>
          </w:tcPr>
          <w:p w14:paraId="57D1CF97">
            <w:pPr>
              <w:pStyle w:val="95"/>
              <w:widowControl/>
              <w:jc w:val="center"/>
              <w:rPr>
                <w:rFonts w:ascii="Times New Roman" w:hAnsi="Times New Roman" w:eastAsia="楷体"/>
                <w:bCs/>
                <w:snapToGrid w:val="0"/>
                <w:color w:val="auto"/>
                <w:kern w:val="0"/>
                <w:sz w:val="24"/>
                <w:szCs w:val="24"/>
                <w:highlight w:val="none"/>
              </w:rPr>
            </w:pPr>
            <w:r>
              <w:rPr>
                <w:rFonts w:hint="eastAsia" w:ascii="Times New Roman" w:hAnsi="Times New Roman"/>
                <w:bCs/>
                <w:snapToGrid w:val="0"/>
                <w:color w:val="auto"/>
                <w:kern w:val="0"/>
                <w:sz w:val="24"/>
                <w:szCs w:val="24"/>
                <w:highlight w:val="none"/>
              </w:rPr>
              <w:t>总监理工程师</w:t>
            </w:r>
          </w:p>
        </w:tc>
        <w:tc>
          <w:tcPr>
            <w:tcW w:w="6294" w:type="dxa"/>
            <w:tcBorders>
              <w:top w:val="single" w:color="auto" w:sz="4" w:space="0"/>
              <w:left w:val="single" w:color="auto" w:sz="4" w:space="0"/>
              <w:bottom w:val="single" w:color="auto" w:sz="4" w:space="0"/>
              <w:right w:val="single" w:color="auto" w:sz="4" w:space="0"/>
            </w:tcBorders>
            <w:noWrap w:val="0"/>
            <w:vAlign w:val="center"/>
          </w:tcPr>
          <w:p w14:paraId="2E95E9E4">
            <w:pPr>
              <w:numPr>
                <w:ilvl w:val="0"/>
                <w:numId w:val="0"/>
              </w:numPr>
              <w:jc w:val="both"/>
              <w:rPr>
                <w:rFonts w:hint="eastAsia"/>
                <w:b w:val="0"/>
                <w:bCs/>
                <w:snapToGrid w:val="0"/>
                <w:color w:val="auto"/>
                <w:kern w:val="0"/>
                <w:szCs w:val="24"/>
                <w:highlight w:val="none"/>
              </w:rPr>
            </w:pPr>
            <w:r>
              <w:rPr>
                <w:rFonts w:hint="eastAsia"/>
                <w:bCs/>
                <w:snapToGrid w:val="0"/>
                <w:color w:val="auto"/>
                <w:kern w:val="0"/>
                <w:szCs w:val="24"/>
                <w:highlight w:val="none"/>
                <w:lang w:val="en-US" w:eastAsia="zh-CN"/>
              </w:rPr>
              <w:t>1.</w:t>
            </w:r>
            <w:r>
              <w:rPr>
                <w:rFonts w:hint="eastAsia"/>
                <w:bCs/>
                <w:snapToGrid w:val="0"/>
                <w:color w:val="auto"/>
                <w:kern w:val="0"/>
                <w:szCs w:val="24"/>
                <w:highlight w:val="none"/>
              </w:rPr>
              <w:t>总监理工程师资格条件见招标公告要求，且必须是本单位人员（</w:t>
            </w:r>
            <w:r>
              <w:rPr>
                <w:rFonts w:hint="eastAsia"/>
                <w:bCs/>
                <w:color w:val="auto"/>
                <w:kern w:val="0"/>
                <w:szCs w:val="24"/>
                <w:highlight w:val="none"/>
              </w:rPr>
              <w:t>招标公告中要求的注册证书注册单位应当与投标人名称一致），</w:t>
            </w:r>
            <w:r>
              <w:rPr>
                <w:rFonts w:hint="eastAsia"/>
                <w:bCs/>
                <w:snapToGrid w:val="0"/>
                <w:color w:val="auto"/>
                <w:kern w:val="0"/>
                <w:szCs w:val="24"/>
                <w:highlight w:val="none"/>
              </w:rPr>
              <w:t>提供投标人所属社保机构出具的总监理工程</w:t>
            </w:r>
            <w:r>
              <w:rPr>
                <w:rFonts w:hint="eastAsia"/>
                <w:b w:val="0"/>
                <w:bCs/>
                <w:snapToGrid w:val="0"/>
                <w:color w:val="auto"/>
                <w:kern w:val="0"/>
                <w:szCs w:val="24"/>
                <w:highlight w:val="none"/>
              </w:rPr>
              <w:t>师</w:t>
            </w:r>
            <w:r>
              <w:rPr>
                <w:rFonts w:hint="eastAsia" w:cs="楷体"/>
                <w:b w:val="0"/>
                <w:bCs/>
                <w:snapToGrid w:val="0"/>
                <w:color w:val="auto"/>
                <w:szCs w:val="24"/>
                <w:highlight w:val="none"/>
                <w:u w:val="single"/>
              </w:rPr>
              <w:t>202</w:t>
            </w:r>
            <w:r>
              <w:rPr>
                <w:rFonts w:hint="eastAsia" w:cs="楷体"/>
                <w:b w:val="0"/>
                <w:bCs/>
                <w:snapToGrid w:val="0"/>
                <w:color w:val="auto"/>
                <w:szCs w:val="24"/>
                <w:highlight w:val="none"/>
                <w:u w:val="single"/>
                <w:lang w:val="en-US" w:eastAsia="zh-CN"/>
              </w:rPr>
              <w:t>4</w:t>
            </w:r>
            <w:r>
              <w:rPr>
                <w:rFonts w:hint="eastAsia" w:cs="楷体"/>
                <w:b w:val="0"/>
                <w:bCs/>
                <w:snapToGrid w:val="0"/>
                <w:color w:val="auto"/>
                <w:szCs w:val="24"/>
                <w:highlight w:val="none"/>
                <w:u w:val="single"/>
              </w:rPr>
              <w:t>年</w:t>
            </w:r>
            <w:r>
              <w:rPr>
                <w:rFonts w:hint="eastAsia" w:cs="楷体"/>
                <w:b w:val="0"/>
                <w:bCs/>
                <w:snapToGrid w:val="0"/>
                <w:color w:val="auto"/>
                <w:szCs w:val="24"/>
                <w:highlight w:val="none"/>
                <w:u w:val="single"/>
                <w:lang w:val="en-US" w:eastAsia="zh-CN"/>
              </w:rPr>
              <w:t>11</w:t>
            </w:r>
            <w:r>
              <w:rPr>
                <w:rFonts w:hint="eastAsia" w:cs="楷体"/>
                <w:b w:val="0"/>
                <w:bCs/>
                <w:snapToGrid w:val="0"/>
                <w:color w:val="auto"/>
                <w:szCs w:val="24"/>
                <w:highlight w:val="none"/>
                <w:u w:val="single"/>
              </w:rPr>
              <w:t>月1日</w:t>
            </w:r>
            <w:r>
              <w:rPr>
                <w:rFonts w:hint="eastAsia" w:cs="楷体"/>
                <w:b w:val="0"/>
                <w:bCs/>
                <w:snapToGrid w:val="0"/>
                <w:color w:val="auto"/>
                <w:szCs w:val="24"/>
                <w:highlight w:val="none"/>
                <w:u w:val="single"/>
                <w:lang w:eastAsia="zh-CN"/>
              </w:rPr>
              <w:t>（</w:t>
            </w:r>
            <w:r>
              <w:rPr>
                <w:rFonts w:hint="eastAsia" w:cs="楷体"/>
                <w:b w:val="0"/>
                <w:bCs/>
                <w:snapToGrid w:val="0"/>
                <w:color w:val="auto"/>
                <w:szCs w:val="24"/>
                <w:highlight w:val="none"/>
                <w:u w:val="single"/>
                <w:lang w:val="en-US" w:eastAsia="zh-CN"/>
              </w:rPr>
              <w:t>含当月</w:t>
            </w:r>
            <w:r>
              <w:rPr>
                <w:rFonts w:hint="eastAsia" w:cs="楷体"/>
                <w:b w:val="0"/>
                <w:bCs/>
                <w:snapToGrid w:val="0"/>
                <w:color w:val="auto"/>
                <w:szCs w:val="24"/>
                <w:highlight w:val="none"/>
                <w:u w:val="single"/>
                <w:lang w:eastAsia="zh-CN"/>
              </w:rPr>
              <w:t>）</w:t>
            </w:r>
            <w:r>
              <w:rPr>
                <w:rFonts w:hint="eastAsia" w:cs="楷体"/>
                <w:b w:val="0"/>
                <w:bCs/>
                <w:snapToGrid w:val="0"/>
                <w:color w:val="auto"/>
                <w:szCs w:val="24"/>
                <w:highlight w:val="none"/>
                <w:u w:val="single"/>
              </w:rPr>
              <w:t>以来任意连续三个月的</w:t>
            </w:r>
            <w:r>
              <w:rPr>
                <w:rFonts w:hint="eastAsia"/>
                <w:b w:val="0"/>
                <w:bCs/>
                <w:snapToGrid w:val="0"/>
                <w:color w:val="auto"/>
                <w:kern w:val="0"/>
                <w:szCs w:val="24"/>
                <w:highlight w:val="none"/>
              </w:rPr>
              <w:t>社保缴费证明（或其他能够证明总监理工程师参加社保的有效证明）材料，总监理工程师的</w:t>
            </w:r>
            <w:r>
              <w:rPr>
                <w:rFonts w:hint="eastAsia" w:cs="楷体"/>
                <w:b w:val="0"/>
                <w:bCs/>
                <w:snapToGrid w:val="0"/>
                <w:color w:val="auto"/>
                <w:szCs w:val="24"/>
                <w:highlight w:val="none"/>
              </w:rPr>
              <w:t>社保</w:t>
            </w:r>
            <w:r>
              <w:rPr>
                <w:rFonts w:hint="eastAsia"/>
                <w:b w:val="0"/>
                <w:bCs/>
                <w:snapToGrid w:val="0"/>
                <w:color w:val="auto"/>
                <w:kern w:val="0"/>
                <w:szCs w:val="24"/>
                <w:highlight w:val="none"/>
              </w:rPr>
              <w:t>的缴纳单位应当是投标人或者投标人不具备独立法人资格的分支机构。</w:t>
            </w:r>
            <w:r>
              <w:rPr>
                <w:rFonts w:hint="eastAsia" w:cs="楷体"/>
                <w:b w:val="0"/>
                <w:bCs/>
                <w:snapToGrid w:val="0"/>
                <w:color w:val="auto"/>
                <w:szCs w:val="24"/>
                <w:highlight w:val="none"/>
              </w:rPr>
              <w:t>（社保缴费证明或社保的有效证明材料至少含养老保险</w:t>
            </w:r>
            <w:r>
              <w:rPr>
                <w:rFonts w:hint="eastAsia" w:cs="楷体"/>
                <w:b w:val="0"/>
                <w:bCs/>
                <w:snapToGrid w:val="0"/>
                <w:color w:val="auto"/>
                <w:szCs w:val="24"/>
                <w:highlight w:val="none"/>
                <w:lang w:eastAsia="zh-CN"/>
              </w:rPr>
              <w:t>；如拟派总监理工程师为退休人员，须提供身份证正反面复印件、退休证及返聘合同，返聘合同中企业名称须与投标人名称保持一致；提交的注册执业证书中聘用企业名称须与投标人企业名称一致。</w:t>
            </w:r>
            <w:r>
              <w:rPr>
                <w:rFonts w:hint="eastAsia" w:cs="楷体"/>
                <w:b w:val="0"/>
                <w:bCs/>
                <w:snapToGrid w:val="0"/>
                <w:color w:val="auto"/>
                <w:szCs w:val="24"/>
                <w:highlight w:val="none"/>
              </w:rPr>
              <w:t>）</w:t>
            </w:r>
          </w:p>
          <w:p w14:paraId="529E5656">
            <w:pPr>
              <w:widowControl/>
              <w:ind w:firstLine="0" w:firstLineChars="0"/>
              <w:jc w:val="both"/>
              <w:rPr>
                <w:bCs/>
                <w:snapToGrid w:val="0"/>
                <w:color w:val="auto"/>
                <w:kern w:val="0"/>
                <w:szCs w:val="24"/>
                <w:highlight w:val="none"/>
              </w:rPr>
            </w:pPr>
            <w:r>
              <w:rPr>
                <w:rFonts w:hint="eastAsia"/>
                <w:bCs/>
                <w:snapToGrid w:val="0"/>
                <w:color w:val="auto"/>
                <w:kern w:val="0"/>
                <w:szCs w:val="24"/>
                <w:highlight w:val="none"/>
              </w:rPr>
              <w:t>2.总监理工程师业绩具体要求见招标公告。</w:t>
            </w:r>
          </w:p>
        </w:tc>
      </w:tr>
    </w:tbl>
    <w:p w14:paraId="0BFE38CC">
      <w:pPr>
        <w:spacing w:line="360" w:lineRule="auto"/>
        <w:ind w:firstLine="480"/>
        <w:rPr>
          <w:rFonts w:hint="eastAsia"/>
          <w:color w:val="auto"/>
          <w:highlight w:val="none"/>
        </w:rPr>
      </w:pPr>
      <w:r>
        <w:rPr>
          <w:rFonts w:hint="eastAsia"/>
          <w:color w:val="auto"/>
          <w:highlight w:val="none"/>
        </w:rPr>
        <w:t>注：</w:t>
      </w:r>
    </w:p>
    <w:p w14:paraId="698D518A">
      <w:pPr>
        <w:spacing w:line="360" w:lineRule="auto"/>
        <w:ind w:firstLine="480"/>
        <w:rPr>
          <w:rFonts w:hint="eastAsia"/>
          <w:color w:val="auto"/>
          <w:szCs w:val="21"/>
          <w:highlight w:val="none"/>
        </w:rPr>
      </w:pPr>
      <w:r>
        <w:rPr>
          <w:rFonts w:hint="eastAsia"/>
          <w:color w:val="auto"/>
          <w:szCs w:val="21"/>
          <w:highlight w:val="none"/>
        </w:rPr>
        <w:t>1.</w:t>
      </w:r>
      <w:r>
        <w:rPr>
          <w:rFonts w:hint="eastAsia"/>
          <w:color w:val="auto"/>
          <w:highlight w:val="none"/>
        </w:rPr>
        <w:t>投标文件中提供总监理工程师相关证书和社保证明材料扫描件。</w:t>
      </w:r>
    </w:p>
    <w:p w14:paraId="78944C95">
      <w:pPr>
        <w:spacing w:line="360" w:lineRule="auto"/>
        <w:ind w:firstLine="480"/>
        <w:rPr>
          <w:rFonts w:hint="eastAsia"/>
          <w:color w:val="auto"/>
          <w:szCs w:val="21"/>
          <w:highlight w:val="none"/>
        </w:rPr>
      </w:pPr>
      <w:r>
        <w:rPr>
          <w:rFonts w:hint="eastAsia"/>
          <w:color w:val="auto"/>
          <w:szCs w:val="21"/>
          <w:highlight w:val="none"/>
        </w:rPr>
        <w:t>2.</w:t>
      </w:r>
      <w:r>
        <w:rPr>
          <w:rFonts w:hint="eastAsia" w:ascii="Times New Roman"/>
          <w:color w:val="auto"/>
          <w:szCs w:val="21"/>
          <w:highlight w:val="none"/>
        </w:rPr>
        <w:t>投标人应提供下列勾选的任一类别的业绩证明材料</w:t>
      </w:r>
      <w:r>
        <w:rPr>
          <w:rFonts w:hint="eastAsia"/>
          <w:color w:val="auto"/>
          <w:szCs w:val="21"/>
          <w:highlight w:val="none"/>
        </w:rPr>
        <w:t>：</w:t>
      </w:r>
    </w:p>
    <w:p w14:paraId="18E58D81">
      <w:pPr>
        <w:spacing w:line="360" w:lineRule="auto"/>
        <w:ind w:firstLine="480"/>
        <w:rPr>
          <w:color w:val="auto"/>
          <w:szCs w:val="21"/>
          <w:highlight w:val="none"/>
        </w:rPr>
      </w:pPr>
      <w:r>
        <w:rPr>
          <w:rFonts w:hint="eastAsia"/>
          <w:color w:val="auto"/>
          <w:szCs w:val="21"/>
          <w:highlight w:val="none"/>
        </w:rPr>
        <w:t>□第一类：</w:t>
      </w:r>
    </w:p>
    <w:p w14:paraId="1BDEEBBB">
      <w:pPr>
        <w:spacing w:line="360" w:lineRule="auto"/>
        <w:ind w:firstLine="480"/>
        <w:rPr>
          <w:rFonts w:hint="eastAsia"/>
          <w:color w:val="auto"/>
          <w:szCs w:val="21"/>
          <w:highlight w:val="none"/>
        </w:rPr>
      </w:pPr>
      <w:r>
        <w:rPr>
          <w:rFonts w:hint="eastAsia"/>
          <w:color w:val="auto"/>
          <w:szCs w:val="21"/>
          <w:highlight w:val="none"/>
        </w:rPr>
        <w:t>住房和城乡建设部全国建筑市场监管公共服务平台（以下简称“四库一平台”）“数据等级”C级及以上项目业绩网页截图。</w:t>
      </w:r>
    </w:p>
    <w:p w14:paraId="079463A5">
      <w:pPr>
        <w:spacing w:line="360" w:lineRule="auto"/>
        <w:ind w:firstLine="480"/>
        <w:rPr>
          <w:rFonts w:hint="eastAsia"/>
          <w:color w:val="auto"/>
          <w:szCs w:val="21"/>
          <w:highlight w:val="none"/>
        </w:rPr>
      </w:pPr>
      <w:r>
        <w:rPr>
          <w:rFonts w:hint="eastAsia"/>
          <w:color w:val="auto"/>
          <w:szCs w:val="21"/>
          <w:highlight w:val="none"/>
        </w:rPr>
        <w:t>业绩需在商务文件中“资格审查资料”栏“</w:t>
      </w:r>
      <w:r>
        <w:rPr>
          <w:rFonts w:hint="eastAsia"/>
          <w:color w:val="auto"/>
          <w:szCs w:val="21"/>
          <w:highlight w:val="none"/>
          <w:lang w:val="en-US" w:eastAsia="zh-CN"/>
        </w:rPr>
        <w:t>总监理工程师</w:t>
      </w:r>
      <w:r>
        <w:rPr>
          <w:rFonts w:hint="eastAsia"/>
          <w:color w:val="auto"/>
          <w:szCs w:val="21"/>
          <w:highlight w:val="none"/>
        </w:rPr>
        <w:t>业绩情况表（资格审查）”中注明并提供相关证明材料。如投标人提供的上述业绩证明材料未能完整或充分反映评审因素的，应提供第二类任意证明材料或另附合同甲方证明材料（须加盖合同甲方单位章）予以明确说明，否则评标委员会不予认可。</w:t>
      </w:r>
    </w:p>
    <w:p w14:paraId="449C16FE">
      <w:pPr>
        <w:spacing w:line="360" w:lineRule="auto"/>
        <w:ind w:firstLine="480"/>
        <w:rPr>
          <w:color w:val="auto"/>
          <w:szCs w:val="21"/>
          <w:highlight w:val="none"/>
        </w:rPr>
      </w:pPr>
      <w:r>
        <w:rPr>
          <w:rFonts w:hint="eastAsia"/>
          <w:color w:val="auto"/>
          <w:szCs w:val="21"/>
          <w:highlight w:val="none"/>
        </w:rPr>
        <w:t>□第二类：</w:t>
      </w:r>
    </w:p>
    <w:p w14:paraId="30FE027D">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（1）合同协议书。</w:t>
      </w:r>
    </w:p>
    <w:p w14:paraId="2905A39A">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（2）中标查询网址及查询截图，或住房和城乡建设主管部门网站公布的施工许可证办理查询截图，或信用评价体系查询截图。无法提供以上截图的，应当提供住房和城乡建设主管部门证明材料。</w:t>
      </w:r>
    </w:p>
    <w:p w14:paraId="339A85C2">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（3）竣工验收证明文件（至少有建设单位、设计单位、监理单位、施工单位四方参与竣工验收并盖单位章）。</w:t>
      </w:r>
    </w:p>
    <w:p w14:paraId="78AEA875">
      <w:pPr>
        <w:spacing w:line="360" w:lineRule="auto"/>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（4）其他材料：</w:t>
      </w:r>
      <w:r>
        <w:rPr>
          <w:rFonts w:hint="eastAsia" w:ascii="宋体" w:hAnsi="宋体" w:cs="宋体"/>
          <w:color w:val="auto"/>
          <w:kern w:val="0"/>
          <w:szCs w:val="24"/>
          <w:highlight w:val="none"/>
          <w:u w:val="single"/>
        </w:rPr>
        <w:t xml:space="preserve"> </w:t>
      </w:r>
      <w:r>
        <w:rPr>
          <w:rFonts w:hint="eastAsia" w:ascii="宋体" w:hAnsi="宋体" w:cs="宋体"/>
          <w:color w:val="auto"/>
          <w:kern w:val="0"/>
          <w:szCs w:val="24"/>
          <w:highlight w:val="none"/>
          <w:u w:val="single"/>
          <w:lang w:val="en-US" w:eastAsia="zh-CN"/>
        </w:rPr>
        <w:t>/</w:t>
      </w:r>
      <w:r>
        <w:rPr>
          <w:rFonts w:hint="eastAsia" w:ascii="宋体" w:hAnsi="宋体" w:cs="宋体"/>
          <w:color w:val="auto"/>
          <w:kern w:val="0"/>
          <w:szCs w:val="24"/>
          <w:highlight w:val="none"/>
          <w:u w:val="single"/>
        </w:rPr>
        <w:t xml:space="preserve"> </w:t>
      </w:r>
    </w:p>
    <w:p w14:paraId="22CAF25E">
      <w:pPr>
        <w:spacing w:line="360" w:lineRule="auto"/>
        <w:ind w:firstLine="480"/>
        <w:rPr>
          <w:rFonts w:hint="eastAsia"/>
          <w:color w:val="auto"/>
          <w:highlight w:val="none"/>
        </w:rPr>
      </w:pPr>
      <w:r>
        <w:rPr>
          <w:rFonts w:hint="eastAsia" w:ascii="宋体" w:hAnsi="宋体" w:cs="宋体"/>
          <w:color w:val="auto"/>
          <w:kern w:val="0"/>
          <w:szCs w:val="24"/>
          <w:highlight w:val="none"/>
        </w:rPr>
        <w:t>业绩需在商务文件中“资格审查资料”栏“总监理工程师业绩情况表（资格审查）”中注明并提供相关证明材料。如投标人提供的上述业绩证明材料</w:t>
      </w:r>
      <w:r>
        <w:rPr>
          <w:rFonts w:hint="eastAsia" w:ascii="宋体" w:hAnsi="宋体" w:cs="宋体"/>
          <w:color w:val="auto"/>
          <w:kern w:val="0"/>
          <w:szCs w:val="24"/>
          <w:highlight w:val="none"/>
          <w:lang w:val="en-US" w:eastAsia="zh-CN"/>
        </w:rPr>
        <w:t>应能</w:t>
      </w:r>
      <w:r>
        <w:rPr>
          <w:rFonts w:hint="eastAsia" w:ascii="宋体" w:hAnsi="宋体" w:cs="宋体"/>
          <w:color w:val="auto"/>
          <w:kern w:val="0"/>
          <w:szCs w:val="24"/>
          <w:highlight w:val="none"/>
        </w:rPr>
        <w:t>完整或充分反映评审因素，否则评标委员会不予认可。</w:t>
      </w:r>
    </w:p>
    <w:p w14:paraId="3C19E49F">
      <w:pPr>
        <w:spacing w:line="360" w:lineRule="auto"/>
        <w:ind w:firstLine="480"/>
        <w:rPr>
          <w:rFonts w:hint="eastAsia"/>
          <w:color w:val="auto"/>
          <w:highlight w:val="none"/>
        </w:rPr>
      </w:pPr>
      <w:r>
        <w:rPr>
          <w:rFonts w:hint="eastAsia"/>
          <w:color w:val="auto"/>
          <w:highlight w:val="none"/>
        </w:rPr>
        <w:t>3</w:t>
      </w:r>
      <w:r>
        <w:rPr>
          <w:color w:val="auto"/>
          <w:highlight w:val="none"/>
        </w:rPr>
        <w:t>.</w:t>
      </w:r>
      <w:r>
        <w:rPr>
          <w:rFonts w:hint="eastAsia"/>
          <w:color w:val="auto"/>
          <w:highlight w:val="none"/>
        </w:rPr>
        <w:t>投标人提供的总监理工程师业绩证明材料应反映出本招标项目的总监理工程师在此业绩中担任过</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的岗位。</w:t>
      </w:r>
    </w:p>
    <w:p w14:paraId="49AB7EE9">
      <w:pPr>
        <w:spacing w:line="360" w:lineRule="auto"/>
        <w:ind w:left="0" w:leftChars="0" w:firstLine="480" w:firstLineChars="200"/>
        <w:rPr>
          <w:rFonts w:hint="eastAsia"/>
          <w:b w:val="0"/>
          <w:bCs w:val="0"/>
          <w:color w:val="auto"/>
          <w:highlight w:val="none"/>
        </w:rPr>
      </w:pPr>
      <w:r>
        <w:rPr>
          <w:rFonts w:hint="eastAsia"/>
          <w:color w:val="auto"/>
          <w:highlight w:val="none"/>
        </w:rPr>
        <w:t>4.本招标项目总监理工程师业绩(资格</w:t>
      </w:r>
      <w:r>
        <w:rPr>
          <w:rFonts w:hint="eastAsia"/>
          <w:b w:val="0"/>
          <w:bCs w:val="0"/>
          <w:color w:val="auto"/>
          <w:highlight w:val="none"/>
        </w:rPr>
        <w:t>审查)数量</w:t>
      </w:r>
      <w:r>
        <w:rPr>
          <w:rFonts w:hint="eastAsia"/>
          <w:b w:val="0"/>
          <w:bCs w:val="0"/>
          <w:color w:val="auto"/>
          <w:highlight w:val="none"/>
          <w:u w:val="single"/>
        </w:rPr>
        <w:t xml:space="preserve"> </w:t>
      </w:r>
      <w:r>
        <w:rPr>
          <w:rFonts w:hint="eastAsia"/>
          <w:b w:val="0"/>
          <w:bCs w:val="0"/>
          <w:color w:val="auto"/>
          <w:highlight w:val="none"/>
          <w:u w:val="single"/>
          <w:lang w:val="en-US" w:eastAsia="zh-CN"/>
        </w:rPr>
        <w:t>0</w:t>
      </w:r>
      <w:r>
        <w:rPr>
          <w:rFonts w:hint="eastAsia"/>
          <w:b w:val="0"/>
          <w:bCs w:val="0"/>
          <w:color w:val="auto"/>
          <w:highlight w:val="none"/>
          <w:u w:val="single"/>
        </w:rPr>
        <w:t xml:space="preserve"> </w:t>
      </w:r>
      <w:r>
        <w:rPr>
          <w:rFonts w:hint="eastAsia"/>
          <w:b w:val="0"/>
          <w:bCs w:val="0"/>
          <w:color w:val="auto"/>
          <w:highlight w:val="none"/>
        </w:rPr>
        <w:t>个。</w:t>
      </w:r>
    </w:p>
    <w:p w14:paraId="16828972">
      <w:pPr>
        <w:pStyle w:val="6"/>
        <w:spacing w:before="240" w:after="240"/>
        <w:ind w:left="0" w:leftChars="0" w:firstLine="0" w:firstLineChars="0"/>
        <w:jc w:val="center"/>
        <w:rPr>
          <w:rFonts w:ascii="黑体" w:hAnsi="黑体"/>
          <w:bCs/>
          <w:color w:val="auto"/>
          <w:highlight w:val="none"/>
        </w:rPr>
      </w:pPr>
      <w:r>
        <w:rPr>
          <w:rFonts w:ascii="宋体" w:hAnsi="宋体"/>
          <w:color w:val="auto"/>
          <w:szCs w:val="21"/>
          <w:highlight w:val="none"/>
        </w:rPr>
        <w:br w:type="page"/>
      </w:r>
      <w:bookmarkStart w:id="84" w:name="_Toc10946"/>
      <w:bookmarkStart w:id="85" w:name="_Toc25946"/>
      <w:bookmarkStart w:id="86" w:name="_Toc30944"/>
      <w:r>
        <w:rPr>
          <w:rFonts w:hint="eastAsia" w:ascii="黑体" w:hAnsi="黑体"/>
          <w:bCs/>
          <w:color w:val="auto"/>
          <w:highlight w:val="none"/>
        </w:rPr>
        <w:t>附录5</w:t>
      </w:r>
      <w:r>
        <w:rPr>
          <w:rFonts w:ascii="黑体" w:hAnsi="黑体"/>
          <w:bCs/>
          <w:color w:val="auto"/>
          <w:highlight w:val="none"/>
        </w:rPr>
        <w:t xml:space="preserve">  </w:t>
      </w:r>
      <w:r>
        <w:rPr>
          <w:rFonts w:hint="eastAsia" w:ascii="黑体" w:hAnsi="黑体"/>
          <w:bCs/>
          <w:color w:val="auto"/>
          <w:highlight w:val="none"/>
        </w:rPr>
        <w:t>资格审查条件（其他主要人员最低要求）</w:t>
      </w:r>
      <w:bookmarkEnd w:id="84"/>
      <w:bookmarkEnd w:id="85"/>
      <w:bookmarkEnd w:id="86"/>
    </w:p>
    <w:p w14:paraId="682E1ABC">
      <w:pPr>
        <w:pStyle w:val="111"/>
        <w:ind w:left="420"/>
        <w:jc w:val="center"/>
        <w:rPr>
          <w:rFonts w:ascii="宋体" w:hAnsi="宋体"/>
          <w:b/>
          <w:color w:val="auto"/>
          <w:sz w:val="32"/>
          <w:szCs w:val="32"/>
          <w:highlight w:val="none"/>
        </w:rPr>
      </w:pPr>
    </w:p>
    <w:tbl>
      <w:tblPr>
        <w:tblStyle w:val="44"/>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2052"/>
        <w:gridCol w:w="4543"/>
      </w:tblGrid>
      <w:tr w14:paraId="73DC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14:paraId="34A16B84">
            <w:pPr>
              <w:adjustRightInd w:val="0"/>
              <w:snapToGrid w:val="0"/>
              <w:ind w:firstLine="482"/>
              <w:jc w:val="center"/>
              <w:rPr>
                <w:rFonts w:ascii="宋体" w:hAnsi="宋体"/>
                <w:b/>
                <w:color w:val="auto"/>
                <w:kern w:val="0"/>
                <w:szCs w:val="21"/>
                <w:highlight w:val="none"/>
              </w:rPr>
            </w:pPr>
            <w:r>
              <w:rPr>
                <w:rFonts w:hint="eastAsia" w:ascii="宋体" w:hAnsi="宋体"/>
                <w:b/>
                <w:color w:val="auto"/>
                <w:kern w:val="0"/>
                <w:szCs w:val="21"/>
                <w:highlight w:val="none"/>
              </w:rPr>
              <w:t>人员岗位</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7703B05">
            <w:pPr>
              <w:adjustRightInd w:val="0"/>
              <w:snapToGrid w:val="0"/>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数量</w:t>
            </w:r>
          </w:p>
        </w:tc>
        <w:tc>
          <w:tcPr>
            <w:tcW w:w="4543" w:type="dxa"/>
            <w:tcBorders>
              <w:top w:val="single" w:color="auto" w:sz="4" w:space="0"/>
              <w:left w:val="single" w:color="auto" w:sz="4" w:space="0"/>
              <w:bottom w:val="single" w:color="auto" w:sz="4" w:space="0"/>
              <w:right w:val="single" w:color="auto" w:sz="4" w:space="0"/>
            </w:tcBorders>
            <w:noWrap w:val="0"/>
            <w:vAlign w:val="center"/>
          </w:tcPr>
          <w:p w14:paraId="20CAF08D">
            <w:pPr>
              <w:adjustRightInd w:val="0"/>
              <w:snapToGrid w:val="0"/>
              <w:ind w:firstLine="482"/>
              <w:jc w:val="center"/>
              <w:rPr>
                <w:rFonts w:ascii="宋体" w:hAnsi="宋体"/>
                <w:b/>
                <w:color w:val="auto"/>
                <w:kern w:val="0"/>
                <w:szCs w:val="21"/>
                <w:highlight w:val="none"/>
              </w:rPr>
            </w:pPr>
            <w:r>
              <w:rPr>
                <w:rFonts w:hint="eastAsia" w:ascii="宋体" w:hAnsi="宋体"/>
                <w:b/>
                <w:color w:val="auto"/>
                <w:kern w:val="0"/>
                <w:szCs w:val="21"/>
                <w:highlight w:val="none"/>
              </w:rPr>
              <w:t>资格要求</w:t>
            </w:r>
          </w:p>
        </w:tc>
      </w:tr>
      <w:tr w14:paraId="35D4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14:paraId="1E74D271">
            <w:pPr>
              <w:ind w:firstLine="0" w:firstLineChars="0"/>
              <w:jc w:val="center"/>
              <w:rPr>
                <w:rFonts w:ascii="楷体" w:hAnsi="楷体" w:eastAsia="楷体"/>
                <w:bCs/>
                <w:color w:val="auto"/>
                <w:kern w:val="0"/>
                <w:szCs w:val="21"/>
                <w:highlight w:val="none"/>
              </w:rPr>
            </w:pPr>
            <w:r>
              <w:rPr>
                <w:rFonts w:hint="eastAsia"/>
                <w:bCs/>
                <w:snapToGrid w:val="0"/>
                <w:color w:val="auto"/>
                <w:kern w:val="0"/>
                <w:szCs w:val="24"/>
                <w:highlight w:val="none"/>
              </w:rPr>
              <w:t>总监代表</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63755C48">
            <w:pPr>
              <w:widowControl/>
              <w:ind w:firstLine="0" w:firstLineChars="0"/>
              <w:jc w:val="center"/>
              <w:rPr>
                <w:rFonts w:ascii="楷体" w:hAnsi="楷体" w:eastAsia="楷体"/>
                <w:bCs/>
                <w:color w:val="auto"/>
                <w:szCs w:val="21"/>
                <w:highlight w:val="none"/>
              </w:rPr>
            </w:pPr>
            <w:r>
              <w:rPr>
                <w:rFonts w:hint="eastAsia"/>
                <w:bCs/>
                <w:snapToGrid w:val="0"/>
                <w:color w:val="auto"/>
                <w:kern w:val="0"/>
                <w:szCs w:val="24"/>
                <w:highlight w:val="none"/>
              </w:rPr>
              <w:t>1</w:t>
            </w:r>
          </w:p>
        </w:tc>
        <w:tc>
          <w:tcPr>
            <w:tcW w:w="4543" w:type="dxa"/>
            <w:tcBorders>
              <w:top w:val="single" w:color="auto" w:sz="4" w:space="0"/>
              <w:left w:val="single" w:color="auto" w:sz="4" w:space="0"/>
              <w:bottom w:val="single" w:color="auto" w:sz="4" w:space="0"/>
              <w:right w:val="single" w:color="auto" w:sz="4" w:space="0"/>
            </w:tcBorders>
            <w:noWrap w:val="0"/>
            <w:vAlign w:val="center"/>
          </w:tcPr>
          <w:p w14:paraId="314121CF">
            <w:pPr>
              <w:ind w:firstLine="0" w:firstLineChars="0"/>
              <w:rPr>
                <w:bCs/>
                <w:color w:val="auto"/>
                <w:kern w:val="0"/>
                <w:szCs w:val="21"/>
                <w:highlight w:val="none"/>
              </w:rPr>
            </w:pPr>
            <w:r>
              <w:rPr>
                <w:rFonts w:hint="eastAsia"/>
                <w:bCs/>
                <w:snapToGrid w:val="0"/>
                <w:color w:val="auto"/>
                <w:kern w:val="0"/>
                <w:szCs w:val="24"/>
                <w:highlight w:val="none"/>
                <w:lang w:val="en-US" w:eastAsia="zh-CN"/>
              </w:rPr>
              <w:t>房屋建筑</w:t>
            </w:r>
            <w:r>
              <w:rPr>
                <w:rFonts w:hint="eastAsia" w:eastAsia="宋体"/>
                <w:bCs/>
                <w:snapToGrid w:val="0"/>
                <w:color w:val="auto"/>
                <w:kern w:val="0"/>
                <w:szCs w:val="24"/>
                <w:highlight w:val="none"/>
              </w:rPr>
              <w:t>工程专业国家级注册监理工程师</w:t>
            </w:r>
          </w:p>
        </w:tc>
      </w:tr>
      <w:tr w14:paraId="124B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8" w:type="dxa"/>
            <w:tcBorders>
              <w:top w:val="single" w:color="auto" w:sz="4" w:space="0"/>
              <w:left w:val="single" w:color="auto" w:sz="4" w:space="0"/>
              <w:bottom w:val="single" w:color="auto" w:sz="4" w:space="0"/>
              <w:right w:val="single" w:color="auto" w:sz="4" w:space="0"/>
            </w:tcBorders>
            <w:noWrap w:val="0"/>
            <w:vAlign w:val="center"/>
          </w:tcPr>
          <w:p w14:paraId="6719CDB6">
            <w:pPr>
              <w:ind w:firstLine="0" w:firstLineChars="0"/>
              <w:jc w:val="center"/>
              <w:rPr>
                <w:rFonts w:ascii="楷体" w:hAnsi="楷体" w:eastAsia="楷体"/>
                <w:bCs/>
                <w:color w:val="auto"/>
                <w:kern w:val="0"/>
                <w:szCs w:val="21"/>
                <w:highlight w:val="none"/>
              </w:rPr>
            </w:pPr>
            <w:r>
              <w:rPr>
                <w:rFonts w:hint="eastAsia"/>
                <w:bCs/>
                <w:snapToGrid w:val="0"/>
                <w:color w:val="auto"/>
                <w:kern w:val="0"/>
                <w:szCs w:val="24"/>
                <w:highlight w:val="none"/>
              </w:rPr>
              <w:t>专业监理工程师</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3754EBC6">
            <w:pPr>
              <w:widowControl/>
              <w:ind w:firstLine="0" w:firstLineChars="0"/>
              <w:jc w:val="center"/>
              <w:rPr>
                <w:rFonts w:hint="eastAsia" w:ascii="楷体" w:hAnsi="楷体" w:eastAsia="楷体"/>
                <w:bCs/>
                <w:color w:val="auto"/>
                <w:szCs w:val="21"/>
                <w:highlight w:val="none"/>
                <w:lang w:eastAsia="zh-CN"/>
              </w:rPr>
            </w:pPr>
            <w:r>
              <w:rPr>
                <w:rFonts w:hint="eastAsia" w:eastAsia="楷体"/>
                <w:bCs/>
                <w:snapToGrid w:val="0"/>
                <w:color w:val="auto"/>
                <w:kern w:val="0"/>
                <w:szCs w:val="24"/>
                <w:highlight w:val="none"/>
                <w:lang w:val="en-US" w:eastAsia="zh-CN"/>
              </w:rPr>
              <w:t>3</w:t>
            </w:r>
          </w:p>
        </w:tc>
        <w:tc>
          <w:tcPr>
            <w:tcW w:w="4543" w:type="dxa"/>
            <w:tcBorders>
              <w:top w:val="single" w:color="auto" w:sz="4" w:space="0"/>
              <w:left w:val="single" w:color="auto" w:sz="4" w:space="0"/>
              <w:bottom w:val="single" w:color="auto" w:sz="4" w:space="0"/>
              <w:right w:val="single" w:color="auto" w:sz="4" w:space="0"/>
            </w:tcBorders>
            <w:noWrap w:val="0"/>
            <w:vAlign w:val="center"/>
          </w:tcPr>
          <w:p w14:paraId="1B06C982">
            <w:pPr>
              <w:ind w:firstLine="0" w:firstLineChars="0"/>
              <w:rPr>
                <w:bCs/>
                <w:color w:val="auto"/>
                <w:kern w:val="0"/>
                <w:szCs w:val="21"/>
                <w:highlight w:val="none"/>
              </w:rPr>
            </w:pPr>
            <w:r>
              <w:rPr>
                <w:rFonts w:hint="eastAsia"/>
                <w:bCs/>
                <w:snapToGrid w:val="0"/>
                <w:color w:val="auto"/>
                <w:kern w:val="0"/>
                <w:szCs w:val="24"/>
                <w:highlight w:val="none"/>
              </w:rPr>
              <w:t>具备监理工程师职业资格证书</w:t>
            </w:r>
          </w:p>
        </w:tc>
      </w:tr>
      <w:tr w14:paraId="11D1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8" w:type="dxa"/>
            <w:tcBorders>
              <w:top w:val="single" w:color="auto" w:sz="4" w:space="0"/>
              <w:left w:val="single" w:color="auto" w:sz="4" w:space="0"/>
              <w:right w:val="single" w:color="auto" w:sz="4" w:space="0"/>
            </w:tcBorders>
            <w:noWrap w:val="0"/>
            <w:vAlign w:val="center"/>
          </w:tcPr>
          <w:p w14:paraId="2B6AE97F">
            <w:pPr>
              <w:ind w:firstLine="0" w:firstLineChars="0"/>
              <w:jc w:val="center"/>
              <w:rPr>
                <w:rFonts w:ascii="楷体" w:hAnsi="楷体" w:eastAsia="楷体"/>
                <w:bCs/>
                <w:color w:val="auto"/>
                <w:kern w:val="0"/>
                <w:szCs w:val="21"/>
                <w:highlight w:val="none"/>
              </w:rPr>
            </w:pPr>
            <w:r>
              <w:rPr>
                <w:rFonts w:hint="eastAsia"/>
                <w:bCs/>
                <w:snapToGrid w:val="0"/>
                <w:color w:val="auto"/>
                <w:kern w:val="0"/>
                <w:szCs w:val="24"/>
                <w:highlight w:val="none"/>
              </w:rPr>
              <w:t>监理员</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2E91130">
            <w:pPr>
              <w:widowControl/>
              <w:ind w:firstLine="0" w:firstLineChars="0"/>
              <w:jc w:val="center"/>
              <w:rPr>
                <w:rFonts w:hint="eastAsia" w:ascii="楷体" w:hAnsi="楷体" w:eastAsia="楷体"/>
                <w:bCs/>
                <w:color w:val="auto"/>
                <w:szCs w:val="21"/>
                <w:highlight w:val="none"/>
                <w:lang w:eastAsia="zh-CN"/>
              </w:rPr>
            </w:pPr>
            <w:r>
              <w:rPr>
                <w:rFonts w:hint="eastAsia" w:eastAsia="楷体"/>
                <w:bCs/>
                <w:snapToGrid w:val="0"/>
                <w:color w:val="auto"/>
                <w:kern w:val="0"/>
                <w:szCs w:val="24"/>
                <w:highlight w:val="none"/>
                <w:lang w:val="en-US" w:eastAsia="zh-CN"/>
              </w:rPr>
              <w:t>3</w:t>
            </w:r>
          </w:p>
        </w:tc>
        <w:tc>
          <w:tcPr>
            <w:tcW w:w="4543" w:type="dxa"/>
            <w:tcBorders>
              <w:top w:val="single" w:color="auto" w:sz="4" w:space="0"/>
              <w:left w:val="single" w:color="auto" w:sz="4" w:space="0"/>
              <w:bottom w:val="single" w:color="auto" w:sz="4" w:space="0"/>
              <w:right w:val="single" w:color="auto" w:sz="4" w:space="0"/>
            </w:tcBorders>
            <w:noWrap w:val="0"/>
            <w:vAlign w:val="center"/>
          </w:tcPr>
          <w:p w14:paraId="1091C740">
            <w:pPr>
              <w:ind w:firstLine="0" w:firstLineChars="0"/>
              <w:rPr>
                <w:bCs/>
                <w:color w:val="auto"/>
                <w:kern w:val="0"/>
                <w:szCs w:val="21"/>
                <w:highlight w:val="none"/>
              </w:rPr>
            </w:pPr>
          </w:p>
        </w:tc>
      </w:tr>
    </w:tbl>
    <w:p w14:paraId="51738F79">
      <w:pPr>
        <w:adjustRightInd w:val="0"/>
        <w:snapToGrid w:val="0"/>
        <w:ind w:firstLine="48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注：</w:t>
      </w:r>
    </w:p>
    <w:p w14:paraId="0F8D88BE">
      <w:pPr>
        <w:adjustRightInd w:val="0"/>
        <w:snapToGrid w:val="0"/>
        <w:spacing w:line="360" w:lineRule="auto"/>
        <w:ind w:firstLine="480"/>
        <w:rPr>
          <w:rFonts w:ascii="宋体" w:hAnsi="宋体" w:cs="宋体"/>
          <w:b w:val="0"/>
          <w:bCs/>
          <w:color w:val="auto"/>
          <w:kern w:val="0"/>
          <w:szCs w:val="24"/>
          <w:highlight w:val="none"/>
        </w:rPr>
      </w:pPr>
      <w:r>
        <w:rPr>
          <w:rFonts w:hint="eastAsia" w:ascii="宋体" w:hAnsi="宋体" w:cs="宋体"/>
          <w:b w:val="0"/>
          <w:bCs/>
          <w:color w:val="auto"/>
          <w:kern w:val="0"/>
          <w:szCs w:val="24"/>
          <w:highlight w:val="none"/>
          <w:lang w:val="en-US" w:eastAsia="zh-CN"/>
        </w:rPr>
        <w:t>1</w:t>
      </w:r>
      <w:r>
        <w:rPr>
          <w:rFonts w:hint="eastAsia" w:ascii="宋体" w:hAnsi="宋体" w:cs="宋体"/>
          <w:b w:val="0"/>
          <w:bCs/>
          <w:color w:val="auto"/>
          <w:kern w:val="0"/>
          <w:szCs w:val="24"/>
          <w:highlight w:val="none"/>
          <w:lang w:eastAsia="zh-CN"/>
        </w:rPr>
        <w:t>、</w:t>
      </w:r>
      <w:r>
        <w:rPr>
          <w:rFonts w:hint="eastAsia" w:ascii="宋体" w:hAnsi="宋体" w:eastAsia="宋体" w:cs="宋体"/>
          <w:b w:val="0"/>
          <w:bCs/>
          <w:color w:val="auto"/>
          <w:kern w:val="0"/>
          <w:szCs w:val="24"/>
          <w:highlight w:val="none"/>
        </w:rPr>
        <w:t>投标人应提供上表中总监代表的国家级注册监理工程师证书、参加社保的有效证明材料，</w:t>
      </w:r>
      <w:r>
        <w:rPr>
          <w:rFonts w:hint="eastAsia" w:ascii="宋体" w:hAnsi="宋体" w:eastAsia="宋体" w:cs="宋体"/>
          <w:b w:val="0"/>
          <w:bCs/>
          <w:color w:val="auto"/>
          <w:kern w:val="0"/>
          <w:szCs w:val="24"/>
          <w:highlight w:val="none"/>
          <w:lang w:val="en-US" w:eastAsia="zh-CN"/>
        </w:rPr>
        <w:t>社保证明</w:t>
      </w:r>
      <w:r>
        <w:rPr>
          <w:rFonts w:hint="eastAsia" w:ascii="宋体" w:hAnsi="宋体" w:eastAsia="宋体" w:cs="宋体"/>
          <w:b w:val="0"/>
          <w:bCs/>
          <w:color w:val="auto"/>
          <w:kern w:val="0"/>
          <w:szCs w:val="24"/>
          <w:highlight w:val="none"/>
        </w:rPr>
        <w:t>材料要求</w:t>
      </w:r>
      <w:r>
        <w:rPr>
          <w:rFonts w:hint="eastAsia" w:ascii="宋体" w:hAnsi="宋体" w:eastAsia="宋体" w:cs="宋体"/>
          <w:b w:val="0"/>
          <w:bCs/>
          <w:color w:val="auto"/>
          <w:kern w:val="0"/>
          <w:szCs w:val="24"/>
          <w:highlight w:val="none"/>
          <w:lang w:val="en-US" w:eastAsia="zh-CN"/>
        </w:rPr>
        <w:t>如下</w:t>
      </w:r>
      <w:r>
        <w:rPr>
          <w:rFonts w:hint="eastAsia" w:ascii="宋体" w:hAnsi="宋体" w:eastAsia="宋体" w:cs="宋体"/>
          <w:b w:val="0"/>
          <w:bCs/>
          <w:color w:val="auto"/>
          <w:kern w:val="0"/>
          <w:szCs w:val="24"/>
          <w:highlight w:val="none"/>
        </w:rPr>
        <w:t>：</w:t>
      </w:r>
    </w:p>
    <w:p w14:paraId="685F350D">
      <w:pPr>
        <w:adjustRightInd w:val="0"/>
        <w:snapToGrid w:val="0"/>
        <w:spacing w:line="360" w:lineRule="auto"/>
        <w:ind w:firstLine="480"/>
        <w:rPr>
          <w:rFonts w:hint="eastAsia" w:ascii="宋体" w:hAnsi="宋体" w:cs="宋体"/>
          <w:b w:val="0"/>
          <w:bCs/>
          <w:color w:val="auto"/>
          <w:kern w:val="0"/>
          <w:szCs w:val="24"/>
          <w:highlight w:val="none"/>
        </w:rPr>
      </w:pPr>
      <w:r>
        <w:rPr>
          <w:rFonts w:hint="eastAsia" w:ascii="宋体" w:hAnsi="宋体" w:cs="宋体"/>
          <w:b w:val="0"/>
          <w:bCs/>
          <w:color w:val="auto"/>
          <w:kern w:val="0"/>
          <w:szCs w:val="24"/>
          <w:highlight w:val="none"/>
        </w:rPr>
        <w:t>提供投标人所属社保机构出具的总监代表</w:t>
      </w:r>
      <w:r>
        <w:rPr>
          <w:rFonts w:hint="eastAsia" w:ascii="宋体" w:hAnsi="宋体" w:eastAsia="宋体" w:cs="宋体"/>
          <w:b w:val="0"/>
          <w:bCs/>
          <w:color w:val="auto"/>
          <w:kern w:val="0"/>
          <w:szCs w:val="24"/>
          <w:highlight w:val="none"/>
        </w:rPr>
        <w:t>自</w:t>
      </w:r>
      <w:r>
        <w:rPr>
          <w:rFonts w:hint="eastAsia" w:ascii="宋体" w:hAnsi="宋体" w:eastAsia="宋体" w:cs="宋体"/>
          <w:b w:val="0"/>
          <w:bCs/>
          <w:color w:val="auto"/>
          <w:kern w:val="0"/>
          <w:szCs w:val="24"/>
          <w:highlight w:val="none"/>
        </w:rPr>
        <w:t>202</w:t>
      </w:r>
      <w:r>
        <w:rPr>
          <w:rFonts w:hint="eastAsia" w:ascii="宋体" w:hAnsi="宋体" w:eastAsia="宋体" w:cs="宋体"/>
          <w:b w:val="0"/>
          <w:bCs/>
          <w:color w:val="auto"/>
          <w:kern w:val="0"/>
          <w:szCs w:val="24"/>
          <w:highlight w:val="none"/>
          <w:lang w:val="en-US" w:eastAsia="zh-CN"/>
        </w:rPr>
        <w:t>4</w:t>
      </w:r>
      <w:r>
        <w:rPr>
          <w:rFonts w:hint="eastAsia" w:ascii="宋体" w:hAnsi="宋体" w:eastAsia="宋体" w:cs="宋体"/>
          <w:b w:val="0"/>
          <w:bCs/>
          <w:color w:val="auto"/>
          <w:kern w:val="0"/>
          <w:szCs w:val="24"/>
          <w:highlight w:val="none"/>
        </w:rPr>
        <w:t>年</w:t>
      </w:r>
      <w:r>
        <w:rPr>
          <w:rFonts w:hint="eastAsia" w:ascii="宋体" w:hAnsi="宋体" w:eastAsia="宋体" w:cs="宋体"/>
          <w:b w:val="0"/>
          <w:bCs/>
          <w:color w:val="auto"/>
          <w:kern w:val="0"/>
          <w:szCs w:val="24"/>
          <w:highlight w:val="none"/>
          <w:lang w:val="en-US" w:eastAsia="zh-CN"/>
        </w:rPr>
        <w:t>11</w:t>
      </w:r>
      <w:r>
        <w:rPr>
          <w:rFonts w:hint="eastAsia" w:ascii="宋体" w:hAnsi="宋体" w:eastAsia="宋体" w:cs="宋体"/>
          <w:b w:val="0"/>
          <w:bCs/>
          <w:color w:val="auto"/>
          <w:kern w:val="0"/>
          <w:szCs w:val="24"/>
          <w:highlight w:val="none"/>
        </w:rPr>
        <w:t>月1日</w:t>
      </w:r>
      <w:r>
        <w:rPr>
          <w:rFonts w:hint="eastAsia" w:ascii="宋体" w:hAnsi="宋体" w:eastAsia="宋体" w:cs="宋体"/>
          <w:b w:val="0"/>
          <w:bCs/>
          <w:color w:val="auto"/>
          <w:kern w:val="0"/>
          <w:szCs w:val="24"/>
          <w:highlight w:val="none"/>
          <w:lang w:eastAsia="zh-CN"/>
        </w:rPr>
        <w:t>（</w:t>
      </w:r>
      <w:r>
        <w:rPr>
          <w:rFonts w:hint="eastAsia" w:ascii="宋体" w:hAnsi="宋体" w:eastAsia="宋体" w:cs="宋体"/>
          <w:b w:val="0"/>
          <w:bCs/>
          <w:color w:val="auto"/>
          <w:kern w:val="0"/>
          <w:szCs w:val="24"/>
          <w:highlight w:val="none"/>
          <w:lang w:val="en-US" w:eastAsia="zh-CN"/>
        </w:rPr>
        <w:t>含当月</w:t>
      </w:r>
      <w:r>
        <w:rPr>
          <w:rFonts w:hint="eastAsia" w:ascii="宋体" w:hAnsi="宋体" w:eastAsia="宋体" w:cs="宋体"/>
          <w:b w:val="0"/>
          <w:bCs/>
          <w:color w:val="auto"/>
          <w:kern w:val="0"/>
          <w:szCs w:val="24"/>
          <w:highlight w:val="none"/>
          <w:lang w:eastAsia="zh-CN"/>
        </w:rPr>
        <w:t>）</w:t>
      </w:r>
      <w:r>
        <w:rPr>
          <w:rFonts w:hint="eastAsia" w:ascii="宋体" w:hAnsi="宋体" w:eastAsia="宋体" w:cs="宋体"/>
          <w:b w:val="0"/>
          <w:bCs/>
          <w:color w:val="auto"/>
          <w:kern w:val="0"/>
          <w:szCs w:val="24"/>
          <w:highlight w:val="none"/>
        </w:rPr>
        <w:t>以</w:t>
      </w:r>
      <w:r>
        <w:rPr>
          <w:rFonts w:hint="eastAsia" w:ascii="宋体" w:hAnsi="宋体" w:cs="宋体"/>
          <w:b w:val="0"/>
          <w:bCs/>
          <w:color w:val="auto"/>
          <w:kern w:val="0"/>
          <w:szCs w:val="24"/>
          <w:highlight w:val="none"/>
        </w:rPr>
        <w:t>来任意连续三个月的社保缴费证明（或其他能够证明总监代表参加社保的有效证明）材料，总监代表的社保的缴纳单位应当是投标人或者投标人不具备独立法人资格的分支机构。（社保缴费证明或社保的有效证明材料至少含养老保险</w:t>
      </w:r>
      <w:r>
        <w:rPr>
          <w:rFonts w:hint="eastAsia" w:ascii="宋体" w:hAnsi="宋体" w:cs="宋体"/>
          <w:b w:val="0"/>
          <w:bCs/>
          <w:color w:val="auto"/>
          <w:kern w:val="0"/>
          <w:szCs w:val="24"/>
          <w:highlight w:val="none"/>
          <w:lang w:eastAsia="zh-CN"/>
        </w:rPr>
        <w:t>；如拟派总监</w:t>
      </w:r>
      <w:r>
        <w:rPr>
          <w:rFonts w:hint="eastAsia" w:ascii="宋体" w:hAnsi="宋体" w:cs="宋体"/>
          <w:b w:val="0"/>
          <w:bCs/>
          <w:color w:val="auto"/>
          <w:kern w:val="0"/>
          <w:szCs w:val="24"/>
          <w:highlight w:val="none"/>
          <w:lang w:val="en-US" w:eastAsia="zh-CN"/>
        </w:rPr>
        <w:t>代表</w:t>
      </w:r>
      <w:r>
        <w:rPr>
          <w:rFonts w:hint="eastAsia" w:ascii="宋体" w:hAnsi="宋体" w:cs="宋体"/>
          <w:b w:val="0"/>
          <w:bCs/>
          <w:color w:val="auto"/>
          <w:kern w:val="0"/>
          <w:szCs w:val="24"/>
          <w:highlight w:val="none"/>
          <w:lang w:eastAsia="zh-CN"/>
        </w:rPr>
        <w:t>为退休人员，须提供身份证正反面复印件、退休证及返聘合同，返聘合同中企业名称须与投标人名称保持一致；提交的注册执业证书中聘用企业名称须与投标人企业名称一致。</w:t>
      </w:r>
      <w:r>
        <w:rPr>
          <w:rFonts w:hint="eastAsia" w:ascii="宋体" w:hAnsi="宋体" w:cs="宋体"/>
          <w:b w:val="0"/>
          <w:bCs/>
          <w:color w:val="auto"/>
          <w:kern w:val="0"/>
          <w:szCs w:val="24"/>
          <w:highlight w:val="none"/>
        </w:rPr>
        <w:t>）</w:t>
      </w:r>
    </w:p>
    <w:p w14:paraId="2E94A870">
      <w:pPr>
        <w:adjustRightInd w:val="0"/>
        <w:snapToGrid w:val="0"/>
        <w:spacing w:line="360" w:lineRule="auto"/>
        <w:ind w:firstLine="480"/>
        <w:rPr>
          <w:rFonts w:ascii="宋体" w:hAnsi="宋体" w:cs="宋体"/>
          <w:bCs/>
          <w:color w:val="auto"/>
          <w:kern w:val="0"/>
          <w:szCs w:val="24"/>
          <w:highlight w:val="none"/>
        </w:rPr>
      </w:pPr>
      <w:r>
        <w:rPr>
          <w:rFonts w:hint="eastAsia" w:ascii="宋体" w:hAnsi="宋体" w:cs="宋体"/>
          <w:b w:val="0"/>
          <w:bCs/>
          <w:color w:val="auto"/>
          <w:kern w:val="0"/>
          <w:szCs w:val="24"/>
          <w:highlight w:val="none"/>
        </w:rPr>
        <w:t>2</w:t>
      </w:r>
      <w:r>
        <w:rPr>
          <w:rFonts w:hint="eastAsia" w:ascii="宋体" w:hAnsi="宋体" w:cs="宋体"/>
          <w:b w:val="0"/>
          <w:bCs/>
          <w:color w:val="auto"/>
          <w:kern w:val="0"/>
          <w:szCs w:val="24"/>
          <w:highlight w:val="none"/>
          <w:lang w:eastAsia="zh-CN"/>
        </w:rPr>
        <w:t>、</w:t>
      </w:r>
      <w:r>
        <w:rPr>
          <w:rFonts w:hint="eastAsia" w:ascii="宋体" w:hAnsi="宋体" w:cs="宋体"/>
          <w:b w:val="0"/>
          <w:bCs/>
          <w:color w:val="auto"/>
          <w:kern w:val="0"/>
          <w:szCs w:val="24"/>
          <w:highlight w:val="none"/>
        </w:rPr>
        <w:t>除总监代表外</w:t>
      </w:r>
      <w:r>
        <w:rPr>
          <w:rFonts w:hint="eastAsia" w:ascii="宋体" w:hAnsi="宋体" w:cs="宋体"/>
          <w:b w:val="0"/>
          <w:bCs/>
          <w:color w:val="auto"/>
          <w:kern w:val="0"/>
          <w:szCs w:val="24"/>
          <w:highlight w:val="none"/>
          <w:lang w:val="en-US" w:eastAsia="zh-CN"/>
        </w:rPr>
        <w:t>的</w:t>
      </w:r>
      <w:r>
        <w:rPr>
          <w:rFonts w:hint="eastAsia" w:ascii="宋体" w:hAnsi="宋体" w:cs="宋体"/>
          <w:b w:val="0"/>
          <w:bCs/>
          <w:color w:val="auto"/>
          <w:kern w:val="0"/>
          <w:szCs w:val="24"/>
          <w:highlight w:val="none"/>
        </w:rPr>
        <w:t>其他人员</w:t>
      </w:r>
      <w:r>
        <w:rPr>
          <w:rFonts w:hint="eastAsia" w:ascii="宋体" w:hAnsi="宋体" w:cs="宋体"/>
          <w:b w:val="0"/>
          <w:bCs/>
          <w:color w:val="auto"/>
          <w:kern w:val="0"/>
          <w:szCs w:val="24"/>
          <w:highlight w:val="none"/>
          <w:lang w:val="en-US" w:eastAsia="zh-CN"/>
        </w:rPr>
        <w:t>为中标后配备（评标时不作为评审因素）</w:t>
      </w:r>
      <w:r>
        <w:rPr>
          <w:rFonts w:hint="eastAsia" w:ascii="宋体" w:hAnsi="宋体" w:cs="宋体"/>
          <w:bCs/>
          <w:color w:val="auto"/>
          <w:kern w:val="0"/>
          <w:szCs w:val="24"/>
          <w:highlight w:val="none"/>
        </w:rPr>
        <w:t>。</w:t>
      </w:r>
    </w:p>
    <w:p w14:paraId="0A7FA2E7">
      <w:pPr>
        <w:adjustRightInd w:val="0"/>
        <w:snapToGrid w:val="0"/>
        <w:spacing w:line="360" w:lineRule="auto"/>
        <w:ind w:firstLine="480"/>
        <w:rPr>
          <w:bCs/>
          <w:color w:val="auto"/>
          <w:kern w:val="0"/>
          <w:szCs w:val="21"/>
          <w:highlight w:val="none"/>
        </w:rPr>
      </w:pPr>
      <w:r>
        <w:rPr>
          <w:rFonts w:hint="eastAsia" w:ascii="宋体" w:hAnsi="宋体" w:cs="宋体"/>
          <w:bCs/>
          <w:color w:val="auto"/>
          <w:kern w:val="0"/>
          <w:szCs w:val="24"/>
          <w:highlight w:val="none"/>
        </w:rPr>
        <w:t>3</w:t>
      </w:r>
      <w:r>
        <w:rPr>
          <w:rFonts w:hint="eastAsia" w:ascii="宋体" w:hAnsi="宋体" w:cs="宋体"/>
          <w:bCs/>
          <w:color w:val="auto"/>
          <w:kern w:val="0"/>
          <w:szCs w:val="24"/>
          <w:highlight w:val="none"/>
          <w:lang w:eastAsia="zh-CN"/>
        </w:rPr>
        <w:t>、</w:t>
      </w:r>
      <w:r>
        <w:rPr>
          <w:rFonts w:hint="eastAsia" w:ascii="宋体" w:hAnsi="宋体" w:cs="宋体"/>
          <w:bCs/>
          <w:color w:val="auto"/>
          <w:kern w:val="0"/>
          <w:szCs w:val="24"/>
          <w:highlight w:val="none"/>
        </w:rPr>
        <w:t>上述人员为最低</w:t>
      </w:r>
      <w:r>
        <w:rPr>
          <w:rFonts w:hint="eastAsia" w:ascii="宋体" w:hAnsi="宋体" w:cs="宋体"/>
          <w:bCs/>
          <w:color w:val="auto"/>
          <w:kern w:val="0"/>
          <w:szCs w:val="24"/>
          <w:highlight w:val="none"/>
          <w:lang w:val="en-US" w:eastAsia="zh-CN"/>
        </w:rPr>
        <w:t>配置</w:t>
      </w:r>
      <w:r>
        <w:rPr>
          <w:rFonts w:hint="eastAsia" w:ascii="宋体" w:hAnsi="宋体" w:cs="宋体"/>
          <w:bCs/>
          <w:color w:val="auto"/>
          <w:kern w:val="0"/>
          <w:szCs w:val="24"/>
          <w:highlight w:val="none"/>
        </w:rPr>
        <w:t>要求，</w:t>
      </w:r>
      <w:r>
        <w:rPr>
          <w:rFonts w:hint="eastAsia" w:ascii="宋体" w:hAnsi="宋体" w:cs="宋体"/>
          <w:bCs/>
          <w:color w:val="auto"/>
          <w:kern w:val="0"/>
          <w:szCs w:val="24"/>
          <w:highlight w:val="none"/>
          <w:lang w:val="en-US" w:eastAsia="zh-CN"/>
        </w:rPr>
        <w:t>中标人应根据项目实际需要</w:t>
      </w:r>
      <w:r>
        <w:rPr>
          <w:rFonts w:hint="eastAsia" w:ascii="宋体" w:hAnsi="宋体" w:cs="宋体"/>
          <w:bCs/>
          <w:color w:val="auto"/>
          <w:kern w:val="0"/>
          <w:szCs w:val="24"/>
          <w:highlight w:val="none"/>
        </w:rPr>
        <w:t>配置</w:t>
      </w:r>
      <w:r>
        <w:rPr>
          <w:rFonts w:hint="eastAsia" w:ascii="宋体" w:hAnsi="宋体" w:cs="宋体"/>
          <w:bCs/>
          <w:color w:val="auto"/>
          <w:kern w:val="0"/>
          <w:szCs w:val="24"/>
          <w:highlight w:val="none"/>
          <w:lang w:val="en-US" w:eastAsia="zh-CN"/>
        </w:rPr>
        <w:t>监理团队人员</w:t>
      </w:r>
      <w:r>
        <w:rPr>
          <w:rFonts w:hint="eastAsia" w:ascii="宋体" w:hAnsi="宋体" w:cs="宋体"/>
          <w:bCs/>
          <w:color w:val="auto"/>
          <w:kern w:val="0"/>
          <w:szCs w:val="24"/>
          <w:highlight w:val="none"/>
        </w:rPr>
        <w:t>。</w:t>
      </w:r>
    </w:p>
    <w:p w14:paraId="56670693">
      <w:pPr>
        <w:pStyle w:val="6"/>
        <w:spacing w:before="240" w:after="240"/>
        <w:ind w:left="0" w:leftChars="0" w:firstLine="0" w:firstLineChars="0"/>
        <w:jc w:val="center"/>
        <w:rPr>
          <w:rFonts w:ascii="黑体" w:hAnsi="黑体"/>
          <w:b/>
          <w:color w:val="auto"/>
          <w:highlight w:val="none"/>
        </w:rPr>
      </w:pPr>
      <w:r>
        <w:rPr>
          <w:bCs/>
          <w:color w:val="auto"/>
          <w:kern w:val="0"/>
          <w:szCs w:val="21"/>
          <w:highlight w:val="none"/>
        </w:rPr>
        <w:br w:type="page"/>
      </w:r>
      <w:bookmarkStart w:id="87" w:name="_Toc30974"/>
      <w:bookmarkStart w:id="88" w:name="_Toc14215"/>
      <w:bookmarkStart w:id="89" w:name="_Toc21761"/>
      <w:bookmarkStart w:id="90" w:name="_Toc23755"/>
      <w:r>
        <w:rPr>
          <w:rFonts w:hint="eastAsia" w:ascii="黑体" w:hAnsi="黑体"/>
          <w:bCs/>
          <w:color w:val="auto"/>
          <w:highlight w:val="none"/>
        </w:rPr>
        <w:t>附录6</w:t>
      </w:r>
      <w:r>
        <w:rPr>
          <w:rFonts w:ascii="黑体" w:hAnsi="黑体"/>
          <w:bCs/>
          <w:color w:val="auto"/>
          <w:highlight w:val="none"/>
        </w:rPr>
        <w:t xml:space="preserve">  </w:t>
      </w:r>
      <w:r>
        <w:rPr>
          <w:rFonts w:hint="eastAsia" w:ascii="黑体" w:hAnsi="黑体"/>
          <w:bCs/>
          <w:color w:val="auto"/>
          <w:highlight w:val="none"/>
        </w:rPr>
        <w:t>资格审查条件（</w:t>
      </w:r>
      <w:r>
        <w:rPr>
          <w:rFonts w:ascii="黑体" w:hAnsi="黑体"/>
          <w:bCs/>
          <w:color w:val="auto"/>
          <w:highlight w:val="none"/>
        </w:rPr>
        <w:t>试验检测仪器设备要求</w:t>
      </w:r>
      <w:r>
        <w:rPr>
          <w:rFonts w:hint="eastAsia" w:ascii="黑体" w:hAnsi="黑体"/>
          <w:bCs/>
          <w:color w:val="auto"/>
          <w:highlight w:val="none"/>
        </w:rPr>
        <w:t>最低要求）</w:t>
      </w:r>
      <w:bookmarkEnd w:id="87"/>
      <w:bookmarkEnd w:id="88"/>
      <w:bookmarkEnd w:id="89"/>
      <w:bookmarkEnd w:id="90"/>
    </w:p>
    <w:p w14:paraId="56340FEB">
      <w:pPr>
        <w:adjustRightInd w:val="0"/>
        <w:snapToGrid w:val="0"/>
        <w:ind w:firstLine="48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中标人在本项目服务过程中，须按照国家、地方、行业相关规范标准，配备相关仪器设备，</w:t>
      </w:r>
      <w:r>
        <w:rPr>
          <w:rFonts w:hint="eastAsia" w:ascii="宋体" w:hAnsi="宋体"/>
          <w:color w:val="auto"/>
          <w:szCs w:val="21"/>
          <w:highlight w:val="none"/>
        </w:rPr>
        <w:t>并根据项目实际需要和招标人要求，增加仪器设备，</w:t>
      </w:r>
      <w:r>
        <w:rPr>
          <w:rFonts w:hint="eastAsia" w:ascii="宋体" w:hAnsi="宋体"/>
          <w:bCs/>
          <w:snapToGrid w:val="0"/>
          <w:color w:val="auto"/>
          <w:kern w:val="0"/>
          <w:szCs w:val="21"/>
          <w:highlight w:val="none"/>
        </w:rPr>
        <w:t>所有费用包含在合同价中，不得以任何理由增加相关费用。</w:t>
      </w:r>
    </w:p>
    <w:p w14:paraId="6739CC5C">
      <w:pPr>
        <w:adjustRightInd w:val="0"/>
        <w:snapToGrid w:val="0"/>
        <w:ind w:firstLine="480"/>
        <w:rPr>
          <w:rFonts w:ascii="楷体" w:hAnsi="楷体" w:eastAsia="楷体"/>
          <w:color w:val="auto"/>
          <w:highlight w:val="none"/>
        </w:rPr>
      </w:pPr>
      <w:r>
        <w:rPr>
          <w:rFonts w:hint="eastAsia" w:ascii="宋体" w:hAnsi="宋体"/>
          <w:bCs/>
          <w:snapToGrid w:val="0"/>
          <w:color w:val="auto"/>
          <w:kern w:val="0"/>
          <w:szCs w:val="21"/>
          <w:highlight w:val="none"/>
        </w:rPr>
        <w:t>注：投标文件无需提供证明材料，投标人提供承诺即可。如投标人承诺与实际不符，招标人有权解除合同，并报公共资源监督管理部门处理。</w:t>
      </w:r>
    </w:p>
    <w:p w14:paraId="57C08DBD">
      <w:pPr>
        <w:pStyle w:val="6"/>
        <w:spacing w:before="240" w:after="240"/>
        <w:ind w:left="0" w:leftChars="0" w:firstLine="0" w:firstLineChars="0"/>
        <w:jc w:val="center"/>
        <w:rPr>
          <w:rFonts w:ascii="楷体" w:hAnsi="楷体" w:eastAsia="楷体"/>
          <w:color w:val="auto"/>
          <w:highlight w:val="none"/>
        </w:rPr>
      </w:pPr>
      <w:r>
        <w:rPr>
          <w:color w:val="auto"/>
          <w:kern w:val="0"/>
          <w:szCs w:val="21"/>
          <w:highlight w:val="none"/>
        </w:rPr>
        <w:br w:type="page"/>
      </w:r>
      <w:bookmarkStart w:id="91" w:name="_Toc11674"/>
      <w:bookmarkStart w:id="92" w:name="_Toc419"/>
      <w:bookmarkStart w:id="93" w:name="_Toc10765"/>
      <w:bookmarkStart w:id="94" w:name="_Toc31287"/>
      <w:r>
        <w:rPr>
          <w:rStyle w:val="56"/>
          <w:rFonts w:hint="eastAsia"/>
          <w:color w:val="auto"/>
          <w:highlight w:val="none"/>
        </w:rPr>
        <w:t>附录7</w:t>
      </w:r>
      <w:r>
        <w:rPr>
          <w:rStyle w:val="56"/>
          <w:color w:val="auto"/>
          <w:highlight w:val="none"/>
        </w:rPr>
        <w:t xml:space="preserve">  </w:t>
      </w:r>
      <w:r>
        <w:rPr>
          <w:rStyle w:val="56"/>
          <w:rFonts w:hint="eastAsia"/>
          <w:color w:val="auto"/>
          <w:highlight w:val="none"/>
        </w:rPr>
        <w:t>资格审查条件（其他要求）</w:t>
      </w:r>
      <w:bookmarkEnd w:id="91"/>
      <w:bookmarkEnd w:id="92"/>
      <w:bookmarkEnd w:id="93"/>
      <w:bookmarkEnd w:id="94"/>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14:paraId="7AB8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9BD42DE">
            <w:pPr>
              <w:pStyle w:val="95"/>
              <w:adjustRightInd w:val="0"/>
              <w:snapToGrid w:val="0"/>
              <w:jc w:val="center"/>
              <w:rPr>
                <w:rFonts w:ascii="宋体" w:hAnsi="宋体"/>
                <w:b/>
                <w:bCs/>
                <w:color w:val="auto"/>
                <w:sz w:val="24"/>
                <w:szCs w:val="24"/>
                <w:highlight w:val="none"/>
              </w:rPr>
            </w:pPr>
            <w:r>
              <w:rPr>
                <w:rFonts w:hint="eastAsia" w:ascii="宋体" w:hAnsi="宋体"/>
                <w:b/>
                <w:bCs/>
                <w:color w:val="auto"/>
                <w:sz w:val="24"/>
                <w:szCs w:val="24"/>
                <w:highlight w:val="none"/>
              </w:rPr>
              <w:t>其他要求</w:t>
            </w:r>
          </w:p>
        </w:tc>
      </w:tr>
      <w:tr w14:paraId="2C26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5CE7F5E">
            <w:pPr>
              <w:spacing w:line="460" w:lineRule="exact"/>
              <w:ind w:firstLine="0" w:firstLineChars="0"/>
              <w:rPr>
                <w:rFonts w:hint="eastAsia"/>
                <w:color w:val="auto"/>
                <w:szCs w:val="24"/>
                <w:highlight w:val="none"/>
              </w:rPr>
            </w:pPr>
            <w:r>
              <w:rPr>
                <w:rFonts w:hint="eastAsia"/>
                <w:color w:val="auto"/>
                <w:szCs w:val="24"/>
                <w:highlight w:val="none"/>
              </w:rPr>
              <w:t>1.投标人不得存在招标文件第二章投标人须知第1.4.3项、第1.4.4项规定的情形。</w:t>
            </w:r>
          </w:p>
          <w:p w14:paraId="5E406853">
            <w:pPr>
              <w:spacing w:line="460" w:lineRule="exact"/>
              <w:ind w:firstLine="0" w:firstLineChars="0"/>
              <w:rPr>
                <w:rFonts w:hint="eastAsia" w:eastAsia="宋体"/>
                <w:bCs/>
                <w:color w:val="auto"/>
                <w:szCs w:val="24"/>
                <w:highlight w:val="none"/>
                <w:u w:val="single"/>
                <w:lang w:eastAsia="zh-CN"/>
              </w:rPr>
            </w:pPr>
            <w:r>
              <w:rPr>
                <w:rFonts w:hint="eastAsia"/>
                <w:color w:val="auto"/>
                <w:szCs w:val="24"/>
                <w:highlight w:val="none"/>
              </w:rPr>
              <w:t>2.</w:t>
            </w:r>
            <w:r>
              <w:rPr>
                <w:color w:val="auto"/>
                <w:szCs w:val="24"/>
                <w:highlight w:val="none"/>
              </w:rPr>
              <w:t>其他要求</w:t>
            </w:r>
            <w:r>
              <w:rPr>
                <w:rFonts w:hint="eastAsia"/>
                <w:color w:val="auto"/>
                <w:szCs w:val="24"/>
                <w:highlight w:val="none"/>
              </w:rPr>
              <w:t>：</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p>
        </w:tc>
      </w:tr>
    </w:tbl>
    <w:p w14:paraId="518B4612">
      <w:pPr>
        <w:pStyle w:val="95"/>
        <w:adjustRightInd w:val="0"/>
        <w:snapToGrid w:val="0"/>
        <w:spacing w:line="360" w:lineRule="auto"/>
        <w:ind w:firstLine="480" w:firstLineChars="200"/>
        <w:jc w:val="both"/>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注：</w:t>
      </w:r>
    </w:p>
    <w:p w14:paraId="2D09CCCD">
      <w:pPr>
        <w:widowControl/>
        <w:spacing w:line="360" w:lineRule="auto"/>
        <w:ind w:firstLine="480"/>
        <w:jc w:val="both"/>
        <w:rPr>
          <w:b/>
          <w:color w:val="auto"/>
          <w:highlight w:val="none"/>
        </w:rPr>
      </w:pPr>
      <w:bookmarkStart w:id="95" w:name="_Toc748"/>
      <w:bookmarkStart w:id="96" w:name="_Toc29383"/>
      <w:r>
        <w:rPr>
          <w:rFonts w:hint="eastAsia" w:cs="宋体"/>
          <w:bCs/>
          <w:snapToGrid w:val="0"/>
          <w:color w:val="auto"/>
          <w:kern w:val="0"/>
          <w:szCs w:val="24"/>
          <w:highlight w:val="none"/>
        </w:rPr>
        <w:t>1</w:t>
      </w:r>
      <w:r>
        <w:rPr>
          <w:rFonts w:hint="eastAsia" w:ascii="宋体" w:hAnsi="宋体" w:cs="宋体"/>
          <w:bCs/>
          <w:snapToGrid w:val="0"/>
          <w:color w:val="auto"/>
          <w:kern w:val="0"/>
          <w:szCs w:val="24"/>
          <w:highlight w:val="none"/>
        </w:rPr>
        <w:t>.投标人应按照第六章“投标文件格式”的“诚信投标承诺书”承诺。</w:t>
      </w:r>
      <w:bookmarkEnd w:id="95"/>
      <w:bookmarkEnd w:id="96"/>
      <w:r>
        <w:rPr>
          <w:rFonts w:ascii="宋体" w:hAnsi="宋体" w:cs="宋体"/>
          <w:color w:val="auto"/>
          <w:szCs w:val="24"/>
          <w:highlight w:val="none"/>
        </w:rPr>
        <w:t>如投标人承诺与实际不符，</w:t>
      </w:r>
      <w:r>
        <w:rPr>
          <w:rFonts w:hint="eastAsia" w:ascii="宋体" w:hAnsi="宋体" w:cs="宋体"/>
          <w:color w:val="auto"/>
          <w:szCs w:val="24"/>
          <w:highlight w:val="none"/>
        </w:rPr>
        <w:t>招标人有权取消其中标（或中标候选）资格</w:t>
      </w:r>
      <w:r>
        <w:rPr>
          <w:rFonts w:ascii="宋体" w:hAnsi="宋体" w:cs="宋体"/>
          <w:color w:val="auto"/>
          <w:szCs w:val="24"/>
          <w:highlight w:val="none"/>
        </w:rPr>
        <w:t>，并报</w:t>
      </w:r>
      <w:r>
        <w:rPr>
          <w:rFonts w:hint="eastAsia" w:ascii="宋体" w:hAnsi="宋体" w:cs="宋体"/>
          <w:color w:val="auto"/>
          <w:szCs w:val="24"/>
          <w:highlight w:val="none"/>
        </w:rPr>
        <w:t>公共资源交易监督管理部门</w:t>
      </w:r>
      <w:r>
        <w:rPr>
          <w:rFonts w:ascii="宋体" w:hAnsi="宋体" w:cs="宋体"/>
          <w:color w:val="auto"/>
          <w:szCs w:val="24"/>
          <w:highlight w:val="none"/>
        </w:rPr>
        <w:t>。</w:t>
      </w:r>
    </w:p>
    <w:p w14:paraId="079A2C9A">
      <w:pPr>
        <w:pStyle w:val="6"/>
        <w:spacing w:before="240" w:after="240"/>
        <w:ind w:firstLine="640"/>
        <w:jc w:val="center"/>
        <w:rPr>
          <w:rFonts w:hint="eastAsia"/>
          <w:color w:val="auto"/>
          <w:highlight w:val="none"/>
        </w:rPr>
        <w:sectPr>
          <w:footerReference r:id="rId11" w:type="default"/>
          <w:footnotePr>
            <w:numFmt w:val="decimalEnclosedCircleChinese"/>
            <w:numRestart w:val="eachPage"/>
          </w:footnotePr>
          <w:pgSz w:w="12240" w:h="15840"/>
          <w:pgMar w:top="1440" w:right="1803" w:bottom="1440" w:left="1803" w:header="850" w:footer="850" w:gutter="0"/>
          <w:pgNumType w:fmt="decimal" w:start="1"/>
          <w:cols w:space="720" w:num="1"/>
          <w:docGrid w:linePitch="286" w:charSpace="0"/>
        </w:sectPr>
      </w:pPr>
      <w:bookmarkStart w:id="97" w:name="_Toc283798422"/>
      <w:bookmarkStart w:id="98" w:name="_Toc4697"/>
      <w:bookmarkStart w:id="99" w:name="_Toc17004"/>
      <w:bookmarkStart w:id="100" w:name="_Toc13162"/>
      <w:bookmarkStart w:id="101" w:name="_Toc15656409"/>
      <w:bookmarkStart w:id="102" w:name="_Toc18651"/>
    </w:p>
    <w:p w14:paraId="36D1D912">
      <w:pPr>
        <w:pStyle w:val="6"/>
        <w:spacing w:before="240" w:after="240"/>
        <w:ind w:firstLine="640"/>
        <w:jc w:val="center"/>
        <w:rPr>
          <w:color w:val="auto"/>
          <w:highlight w:val="none"/>
        </w:rPr>
      </w:pPr>
      <w:r>
        <w:rPr>
          <w:rFonts w:hint="eastAsia"/>
          <w:color w:val="auto"/>
          <w:highlight w:val="none"/>
        </w:rPr>
        <w:t>投标人须知</w:t>
      </w:r>
      <w:bookmarkEnd w:id="97"/>
      <w:r>
        <w:rPr>
          <w:rFonts w:hint="eastAsia"/>
          <w:color w:val="auto"/>
          <w:highlight w:val="none"/>
        </w:rPr>
        <w:t>正文修改一览表</w:t>
      </w:r>
      <w:bookmarkEnd w:id="98"/>
      <w:bookmarkEnd w:id="99"/>
      <w:bookmarkEnd w:id="100"/>
      <w:bookmarkEnd w:id="101"/>
      <w:bookmarkEnd w:id="102"/>
    </w:p>
    <w:p w14:paraId="0F261AFD">
      <w:pPr>
        <w:pStyle w:val="83"/>
        <w:spacing w:line="360" w:lineRule="auto"/>
        <w:ind w:firstLine="480" w:firstLineChars="200"/>
        <w:rPr>
          <w:color w:val="auto"/>
          <w:kern w:val="0"/>
          <w:sz w:val="24"/>
          <w:highlight w:val="none"/>
        </w:rPr>
      </w:pPr>
      <w:r>
        <w:rPr>
          <w:rFonts w:hint="eastAsia"/>
          <w:color w:val="auto"/>
          <w:kern w:val="0"/>
          <w:sz w:val="24"/>
          <w:highlight w:val="none"/>
        </w:rPr>
        <w:t>投标人须知正文条款内容修改如下：</w:t>
      </w:r>
    </w:p>
    <w:tbl>
      <w:tblPr>
        <w:tblStyle w:val="44"/>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3150"/>
        <w:gridCol w:w="3150"/>
      </w:tblGrid>
      <w:tr w14:paraId="1F66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439910A5">
            <w:pPr>
              <w:pStyle w:val="83"/>
              <w:jc w:val="center"/>
              <w:rPr>
                <w:b/>
                <w:color w:val="auto"/>
                <w:sz w:val="24"/>
                <w:highlight w:val="none"/>
              </w:rPr>
            </w:pPr>
            <w:r>
              <w:rPr>
                <w:rFonts w:hint="eastAsia"/>
                <w:b/>
                <w:color w:val="auto"/>
                <w:sz w:val="24"/>
                <w:highlight w:val="none"/>
              </w:rPr>
              <w:t>条款编号</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337669F">
            <w:pPr>
              <w:pStyle w:val="83"/>
              <w:jc w:val="center"/>
              <w:rPr>
                <w:b/>
                <w:color w:val="auto"/>
                <w:sz w:val="24"/>
                <w:highlight w:val="none"/>
              </w:rPr>
            </w:pPr>
            <w:r>
              <w:rPr>
                <w:rFonts w:hint="eastAsia"/>
                <w:b/>
                <w:color w:val="auto"/>
                <w:sz w:val="24"/>
                <w:highlight w:val="none"/>
              </w:rPr>
              <w:t>示范文本中条款内容</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45CE505">
            <w:pPr>
              <w:pStyle w:val="83"/>
              <w:jc w:val="center"/>
              <w:rPr>
                <w:b/>
                <w:color w:val="auto"/>
                <w:sz w:val="24"/>
                <w:highlight w:val="none"/>
              </w:rPr>
            </w:pPr>
            <w:r>
              <w:rPr>
                <w:rFonts w:hint="eastAsia"/>
                <w:b/>
                <w:color w:val="auto"/>
                <w:sz w:val="24"/>
                <w:highlight w:val="none"/>
              </w:rPr>
              <w:t>修改后条款内容</w:t>
            </w:r>
          </w:p>
        </w:tc>
      </w:tr>
      <w:tr w14:paraId="479E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1323B3F6">
            <w:pPr>
              <w:ind w:left="0" w:leftChars="0" w:firstLine="0" w:firstLineChars="0"/>
              <w:jc w:val="center"/>
              <w:rPr>
                <w:rFonts w:hint="eastAsia" w:eastAsia="宋体"/>
                <w:color w:val="auto"/>
                <w:szCs w:val="24"/>
                <w:highlight w:val="none"/>
                <w:lang w:val="en-US" w:eastAsia="zh-CN"/>
              </w:rPr>
            </w:pPr>
            <w:r>
              <w:rPr>
                <w:rFonts w:hint="eastAsia"/>
                <w:color w:val="auto"/>
                <w:szCs w:val="24"/>
                <w:highlight w:val="none"/>
                <w:lang w:val="en-US" w:eastAsia="zh-CN"/>
              </w:rPr>
              <w:t>/</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236754E">
            <w:pPr>
              <w:ind w:left="0" w:leftChars="0" w:firstLine="0" w:firstLineChars="0"/>
              <w:jc w:val="center"/>
              <w:rPr>
                <w:rFonts w:hint="eastAsia" w:eastAsia="宋体"/>
                <w:color w:val="auto"/>
                <w:szCs w:val="24"/>
                <w:highlight w:val="none"/>
                <w:lang w:val="en-US" w:eastAsia="zh-CN"/>
              </w:rPr>
            </w:pPr>
            <w:r>
              <w:rPr>
                <w:rFonts w:hint="eastAsia"/>
                <w:color w:val="auto"/>
                <w:szCs w:val="24"/>
                <w:highlight w:val="none"/>
                <w:lang w:val="en-US" w:eastAsia="zh-CN"/>
              </w:rPr>
              <w:t>/</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59D85E5">
            <w:pPr>
              <w:ind w:left="0" w:leftChars="0" w:firstLine="0" w:firstLineChars="0"/>
              <w:jc w:val="center"/>
              <w:rPr>
                <w:rFonts w:hint="eastAsia" w:eastAsia="宋体"/>
                <w:b/>
                <w:color w:val="auto"/>
                <w:szCs w:val="24"/>
                <w:highlight w:val="none"/>
                <w:lang w:val="en-US" w:eastAsia="zh-CN"/>
              </w:rPr>
            </w:pPr>
            <w:r>
              <w:rPr>
                <w:rFonts w:hint="eastAsia"/>
                <w:b/>
                <w:color w:val="auto"/>
                <w:szCs w:val="24"/>
                <w:highlight w:val="none"/>
                <w:lang w:val="en-US" w:eastAsia="zh-CN"/>
              </w:rPr>
              <w:t>/</w:t>
            </w:r>
          </w:p>
        </w:tc>
      </w:tr>
      <w:tr w14:paraId="4A9E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79F4D4A9">
            <w:pPr>
              <w:ind w:left="0" w:leftChars="0" w:firstLine="0" w:firstLineChars="0"/>
              <w:jc w:val="center"/>
              <w:rPr>
                <w:rFonts w:ascii="宋体" w:hAnsi="宋体"/>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28C7DBB">
            <w:pPr>
              <w:ind w:left="0" w:leftChars="0" w:firstLine="0" w:firstLineChars="0"/>
              <w:jc w:val="center"/>
              <w:rPr>
                <w:rFonts w:ascii="宋体" w:hAnsi="宋体" w:eastAsia="宋体" w:cs="Times New Roman"/>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99B9ED2">
            <w:pPr>
              <w:ind w:left="0" w:leftChars="0" w:firstLine="0" w:firstLineChars="0"/>
              <w:jc w:val="center"/>
              <w:rPr>
                <w:rFonts w:ascii="宋体" w:hAnsi="宋体" w:eastAsia="宋体" w:cs="Times New Roman"/>
                <w:color w:val="auto"/>
                <w:szCs w:val="24"/>
                <w:highlight w:val="none"/>
              </w:rPr>
            </w:pPr>
          </w:p>
        </w:tc>
      </w:tr>
      <w:tr w14:paraId="763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667B6216">
            <w:pPr>
              <w:ind w:left="0" w:leftChars="0" w:firstLine="0" w:firstLineChars="0"/>
              <w:jc w:val="center"/>
              <w:rPr>
                <w:rFonts w:ascii="宋体" w:hAnsi="宋体"/>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A34619B">
            <w:pPr>
              <w:ind w:left="0" w:leftChars="0" w:firstLine="0" w:firstLineChars="0"/>
              <w:jc w:val="center"/>
              <w:rPr>
                <w:rFonts w:ascii="宋体" w:hAnsi="宋体" w:eastAsia="宋体" w:cs="Times New Roman"/>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F92931C">
            <w:pPr>
              <w:ind w:left="0" w:leftChars="0" w:firstLine="0" w:firstLineChars="0"/>
              <w:jc w:val="center"/>
              <w:rPr>
                <w:rFonts w:ascii="宋体" w:hAnsi="宋体" w:eastAsia="宋体" w:cs="Times New Roman"/>
                <w:color w:val="auto"/>
                <w:szCs w:val="24"/>
                <w:highlight w:val="none"/>
              </w:rPr>
            </w:pPr>
          </w:p>
        </w:tc>
      </w:tr>
      <w:tr w14:paraId="48EC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41449FF7">
            <w:pPr>
              <w:ind w:left="0" w:leftChars="0" w:firstLine="0" w:firstLineChars="0"/>
              <w:jc w:val="center"/>
              <w:rPr>
                <w:rFonts w:ascii="宋体" w:hAnsi="宋体" w:eastAsia="宋体" w:cs="Times New Roman"/>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DFFEE68">
            <w:pPr>
              <w:ind w:left="0" w:leftChars="0" w:firstLine="0" w:firstLineChars="0"/>
              <w:jc w:val="center"/>
              <w:rPr>
                <w:rFonts w:ascii="宋体" w:hAnsi="宋体" w:eastAsia="宋体" w:cs="Times New Roman"/>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4F6053A">
            <w:pPr>
              <w:ind w:left="0" w:leftChars="0" w:firstLine="0" w:firstLineChars="0"/>
              <w:jc w:val="center"/>
              <w:rPr>
                <w:rFonts w:ascii="宋体" w:hAnsi="宋体" w:eastAsia="宋体" w:cs="Times New Roman"/>
                <w:color w:val="auto"/>
                <w:szCs w:val="24"/>
                <w:highlight w:val="none"/>
              </w:rPr>
            </w:pPr>
          </w:p>
        </w:tc>
      </w:tr>
      <w:tr w14:paraId="2286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14:paraId="2DDC5E54">
            <w:pPr>
              <w:ind w:left="0" w:leftChars="0" w:firstLine="0" w:firstLineChars="0"/>
              <w:jc w:val="center"/>
              <w:rPr>
                <w:rFonts w:ascii="宋体" w:hAnsi="宋体" w:eastAsia="宋体" w:cs="Times New Roman"/>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1BE27C7">
            <w:pPr>
              <w:ind w:left="0" w:leftChars="0" w:firstLine="0" w:firstLineChars="0"/>
              <w:jc w:val="center"/>
              <w:rPr>
                <w:rFonts w:ascii="宋体" w:hAnsi="宋体" w:eastAsia="宋体" w:cs="Times New Roman"/>
                <w:color w:val="auto"/>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E3F1627">
            <w:pPr>
              <w:ind w:left="0" w:leftChars="0" w:firstLine="0" w:firstLineChars="0"/>
              <w:jc w:val="center"/>
              <w:rPr>
                <w:rFonts w:ascii="宋体" w:hAnsi="宋体" w:eastAsia="宋体" w:cs="Times New Roman"/>
                <w:color w:val="auto"/>
                <w:szCs w:val="24"/>
                <w:highlight w:val="none"/>
              </w:rPr>
            </w:pPr>
          </w:p>
        </w:tc>
      </w:tr>
    </w:tbl>
    <w:p w14:paraId="3A338000">
      <w:pPr>
        <w:pStyle w:val="6"/>
        <w:spacing w:before="240" w:after="240"/>
        <w:ind w:firstLine="0" w:firstLineChars="0"/>
        <w:rPr>
          <w:b/>
          <w:color w:val="auto"/>
          <w:highlight w:val="none"/>
        </w:rPr>
      </w:pPr>
      <w:r>
        <w:rPr>
          <w:rFonts w:ascii="黑体" w:hAnsi="黑体"/>
          <w:b/>
          <w:color w:val="auto"/>
          <w:highlight w:val="none"/>
        </w:rPr>
        <w:br w:type="page"/>
      </w:r>
      <w:bookmarkStart w:id="103" w:name="_Toc3071"/>
      <w:bookmarkStart w:id="104" w:name="_Toc4526"/>
      <w:bookmarkStart w:id="105" w:name="_Toc14718"/>
      <w:bookmarkStart w:id="106" w:name="_Toc4667"/>
      <w:r>
        <w:rPr>
          <w:bCs/>
          <w:color w:val="auto"/>
          <w:highlight w:val="none"/>
        </w:rPr>
        <w:t xml:space="preserve">1. </w:t>
      </w:r>
      <w:r>
        <w:rPr>
          <w:rFonts w:hint="eastAsia"/>
          <w:bCs/>
          <w:color w:val="auto"/>
          <w:highlight w:val="none"/>
        </w:rPr>
        <w:t>总则</w:t>
      </w:r>
      <w:bookmarkEnd w:id="103"/>
      <w:bookmarkEnd w:id="104"/>
      <w:bookmarkEnd w:id="105"/>
      <w:bookmarkEnd w:id="106"/>
    </w:p>
    <w:p w14:paraId="0C7BC21D">
      <w:pPr>
        <w:pStyle w:val="7"/>
        <w:spacing w:before="240" w:after="240"/>
        <w:ind w:firstLine="0" w:firstLineChars="0"/>
        <w:rPr>
          <w:color w:val="auto"/>
          <w:szCs w:val="24"/>
          <w:highlight w:val="none"/>
        </w:rPr>
      </w:pPr>
      <w:r>
        <w:rPr>
          <w:color w:val="auto"/>
          <w:szCs w:val="24"/>
          <w:highlight w:val="none"/>
        </w:rPr>
        <w:t xml:space="preserve">1.1 </w:t>
      </w:r>
      <w:r>
        <w:rPr>
          <w:rFonts w:hint="eastAsia"/>
          <w:color w:val="auto"/>
          <w:szCs w:val="24"/>
          <w:highlight w:val="none"/>
        </w:rPr>
        <w:t>项目概况</w:t>
      </w:r>
    </w:p>
    <w:p w14:paraId="67CA6F42">
      <w:pPr>
        <w:ind w:firstLine="360" w:firstLineChars="150"/>
        <w:rPr>
          <w:rFonts w:hint="eastAsia"/>
          <w:color w:val="auto"/>
          <w:highlight w:val="none"/>
        </w:rPr>
      </w:pPr>
      <w:r>
        <w:rPr>
          <w:rFonts w:hint="eastAsia"/>
          <w:color w:val="auto"/>
          <w:highlight w:val="none"/>
        </w:rPr>
        <w:t>1.1.1 根据《中华人民共和国招标投标法》《中华人民共和国招标投标法实施条例》等有关法律、法规和规章的规定，本招标项目已具备招标条件，现对本招标项目进行招标。</w:t>
      </w:r>
    </w:p>
    <w:p w14:paraId="683413B6">
      <w:pPr>
        <w:ind w:firstLine="360" w:firstLineChars="150"/>
        <w:rPr>
          <w:rFonts w:hint="eastAsia"/>
          <w:color w:val="auto"/>
          <w:highlight w:val="none"/>
        </w:rPr>
      </w:pPr>
      <w:r>
        <w:rPr>
          <w:rFonts w:hint="eastAsia"/>
          <w:color w:val="auto"/>
          <w:highlight w:val="none"/>
        </w:rPr>
        <w:t>1.1.2 招标人：见招标公告。</w:t>
      </w:r>
    </w:p>
    <w:p w14:paraId="38CD73FD">
      <w:pPr>
        <w:ind w:firstLine="360" w:firstLineChars="150"/>
        <w:rPr>
          <w:rFonts w:hint="eastAsia"/>
          <w:color w:val="auto"/>
          <w:highlight w:val="none"/>
        </w:rPr>
      </w:pPr>
      <w:r>
        <w:rPr>
          <w:rFonts w:hint="eastAsia"/>
          <w:color w:val="auto"/>
          <w:highlight w:val="none"/>
        </w:rPr>
        <w:t>1.1.3 招标代理机构：见招标公告。</w:t>
      </w:r>
    </w:p>
    <w:p w14:paraId="1679F602">
      <w:pPr>
        <w:ind w:firstLine="360" w:firstLineChars="150"/>
        <w:rPr>
          <w:rFonts w:hint="eastAsia"/>
          <w:color w:val="auto"/>
          <w:highlight w:val="none"/>
        </w:rPr>
      </w:pPr>
      <w:r>
        <w:rPr>
          <w:rFonts w:hint="eastAsia"/>
          <w:color w:val="auto"/>
          <w:highlight w:val="none"/>
        </w:rPr>
        <w:t>1.1.4 招标项目名称：见招标公告。</w:t>
      </w:r>
    </w:p>
    <w:p w14:paraId="6BDC86A1">
      <w:pPr>
        <w:ind w:firstLine="360" w:firstLineChars="150"/>
        <w:rPr>
          <w:rFonts w:hint="eastAsia"/>
          <w:color w:val="auto"/>
          <w:highlight w:val="none"/>
        </w:rPr>
      </w:pPr>
      <w:r>
        <w:rPr>
          <w:rFonts w:hint="eastAsia"/>
          <w:color w:val="auto"/>
          <w:highlight w:val="none"/>
        </w:rPr>
        <w:t>1.1.5 建设地点：见招标公告。</w:t>
      </w:r>
    </w:p>
    <w:p w14:paraId="7A439857">
      <w:pPr>
        <w:pStyle w:val="7"/>
        <w:spacing w:before="240" w:after="240" w:line="360" w:lineRule="auto"/>
        <w:ind w:firstLine="0" w:firstLineChars="0"/>
        <w:jc w:val="left"/>
        <w:rPr>
          <w:rFonts w:hint="eastAsia" w:hAnsi="黑体"/>
          <w:bCs/>
          <w:color w:val="auto"/>
          <w:kern w:val="0"/>
          <w:highlight w:val="none"/>
        </w:rPr>
      </w:pPr>
      <w:r>
        <w:rPr>
          <w:rFonts w:hint="eastAsia"/>
          <w:color w:val="auto"/>
          <w:szCs w:val="24"/>
          <w:highlight w:val="none"/>
        </w:rPr>
        <w:t xml:space="preserve">1.2 </w:t>
      </w:r>
      <w:r>
        <w:rPr>
          <w:rFonts w:hint="eastAsia" w:hAnsi="黑体"/>
          <w:bCs/>
          <w:color w:val="auto"/>
          <w:kern w:val="0"/>
          <w:highlight w:val="none"/>
        </w:rPr>
        <w:t>资金来源和落实情况</w:t>
      </w:r>
    </w:p>
    <w:p w14:paraId="10A06066">
      <w:pPr>
        <w:ind w:firstLine="360" w:firstLineChars="150"/>
        <w:rPr>
          <w:rFonts w:hint="eastAsia"/>
          <w:color w:val="auto"/>
          <w:highlight w:val="none"/>
        </w:rPr>
      </w:pPr>
      <w:r>
        <w:rPr>
          <w:rFonts w:hint="eastAsia"/>
          <w:color w:val="auto"/>
          <w:highlight w:val="none"/>
        </w:rPr>
        <w:t>1.2.1资金来源：见招标公告。</w:t>
      </w:r>
    </w:p>
    <w:p w14:paraId="12A9D04C">
      <w:pPr>
        <w:ind w:firstLine="360" w:firstLineChars="150"/>
        <w:rPr>
          <w:rFonts w:hint="eastAsia"/>
          <w:color w:val="auto"/>
          <w:highlight w:val="none"/>
        </w:rPr>
      </w:pPr>
      <w:r>
        <w:rPr>
          <w:rFonts w:hint="eastAsia"/>
          <w:color w:val="auto"/>
          <w:highlight w:val="none"/>
        </w:rPr>
        <w:t>1.2.2出资比例：见招标公告。</w:t>
      </w:r>
    </w:p>
    <w:p w14:paraId="674A468F">
      <w:pPr>
        <w:ind w:firstLine="360" w:firstLineChars="150"/>
        <w:rPr>
          <w:color w:val="auto"/>
          <w:highlight w:val="none"/>
        </w:rPr>
      </w:pPr>
      <w:r>
        <w:rPr>
          <w:rFonts w:hint="eastAsia"/>
          <w:color w:val="auto"/>
          <w:highlight w:val="none"/>
        </w:rPr>
        <w:t>1.2.3资金落实情况：见招标公告。</w:t>
      </w:r>
    </w:p>
    <w:p w14:paraId="54FAC037">
      <w:pPr>
        <w:pStyle w:val="7"/>
        <w:spacing w:before="240" w:after="240"/>
        <w:ind w:firstLine="118"/>
        <w:rPr>
          <w:rFonts w:hint="eastAsia"/>
          <w:color w:val="auto"/>
          <w:highlight w:val="none"/>
        </w:rPr>
      </w:pPr>
      <w:r>
        <w:rPr>
          <w:rFonts w:hint="eastAsia"/>
          <w:color w:val="auto"/>
          <w:highlight w:val="none"/>
        </w:rPr>
        <w:t>1.3 招标范围、监理服务期限和质量标准</w:t>
      </w:r>
    </w:p>
    <w:p w14:paraId="20DFE8F3">
      <w:pPr>
        <w:ind w:firstLine="360" w:firstLineChars="150"/>
        <w:rPr>
          <w:rFonts w:hint="eastAsia"/>
          <w:color w:val="auto"/>
          <w:highlight w:val="none"/>
        </w:rPr>
      </w:pPr>
      <w:r>
        <w:rPr>
          <w:rFonts w:hint="eastAsia"/>
          <w:color w:val="auto"/>
          <w:highlight w:val="none"/>
        </w:rPr>
        <w:t>1.3.1 招标范围：见招标公告。</w:t>
      </w:r>
    </w:p>
    <w:p w14:paraId="2BA19078">
      <w:pPr>
        <w:ind w:firstLine="360" w:firstLineChars="150"/>
        <w:rPr>
          <w:rFonts w:hint="eastAsia"/>
          <w:color w:val="auto"/>
          <w:highlight w:val="none"/>
        </w:rPr>
      </w:pPr>
      <w:r>
        <w:rPr>
          <w:rFonts w:hint="eastAsia"/>
          <w:color w:val="auto"/>
          <w:highlight w:val="none"/>
        </w:rPr>
        <w:t>1.3.2 监理服务期限：见招标公告。</w:t>
      </w:r>
    </w:p>
    <w:p w14:paraId="12806B6F">
      <w:pPr>
        <w:ind w:firstLine="360" w:firstLineChars="150"/>
        <w:rPr>
          <w:rFonts w:hint="eastAsia"/>
          <w:color w:val="auto"/>
          <w:highlight w:val="none"/>
        </w:rPr>
      </w:pPr>
      <w:r>
        <w:rPr>
          <w:rFonts w:hint="eastAsia"/>
          <w:color w:val="auto"/>
          <w:highlight w:val="none"/>
        </w:rPr>
        <w:t>1.3.3 质量标准：见招标公告。</w:t>
      </w:r>
    </w:p>
    <w:p w14:paraId="63D8719F">
      <w:pPr>
        <w:pStyle w:val="7"/>
        <w:spacing w:before="240" w:after="240"/>
        <w:ind w:firstLine="118"/>
        <w:rPr>
          <w:rFonts w:hint="eastAsia"/>
          <w:color w:val="auto"/>
          <w:highlight w:val="none"/>
        </w:rPr>
      </w:pPr>
      <w:r>
        <w:rPr>
          <w:rFonts w:hint="eastAsia"/>
          <w:color w:val="auto"/>
          <w:highlight w:val="none"/>
        </w:rPr>
        <w:t>1.4 投标人资格要求</w:t>
      </w:r>
    </w:p>
    <w:p w14:paraId="46261531">
      <w:pPr>
        <w:ind w:firstLine="480"/>
        <w:rPr>
          <w:rFonts w:hint="eastAsia"/>
          <w:color w:val="auto"/>
          <w:highlight w:val="none"/>
        </w:rPr>
      </w:pPr>
      <w:r>
        <w:rPr>
          <w:rFonts w:hint="eastAsia"/>
          <w:color w:val="auto"/>
          <w:highlight w:val="none"/>
        </w:rPr>
        <w:t>1.4.1 投标人应具备承担本标段监理项目的资质条件、能力和信誉：</w:t>
      </w:r>
    </w:p>
    <w:p w14:paraId="2E7C3185">
      <w:pPr>
        <w:ind w:firstLine="480"/>
        <w:rPr>
          <w:rFonts w:hint="eastAsia"/>
          <w:color w:val="auto"/>
          <w:highlight w:val="none"/>
        </w:rPr>
      </w:pPr>
      <w:r>
        <w:rPr>
          <w:rFonts w:hint="eastAsia"/>
          <w:color w:val="auto"/>
          <w:highlight w:val="none"/>
        </w:rPr>
        <w:t>（1）资质条件：见投标人须知前附表；</w:t>
      </w:r>
    </w:p>
    <w:p w14:paraId="60414A32">
      <w:pPr>
        <w:ind w:firstLine="480"/>
        <w:rPr>
          <w:rFonts w:hint="eastAsia"/>
          <w:color w:val="auto"/>
          <w:highlight w:val="none"/>
        </w:rPr>
      </w:pPr>
      <w:r>
        <w:rPr>
          <w:rFonts w:hint="eastAsia"/>
          <w:color w:val="auto"/>
          <w:highlight w:val="none"/>
        </w:rPr>
        <w:t>（2）业绩要求：见投标人须知前附表；</w:t>
      </w:r>
    </w:p>
    <w:p w14:paraId="78E11BCF">
      <w:pPr>
        <w:ind w:firstLine="480"/>
        <w:rPr>
          <w:rFonts w:hint="eastAsia"/>
          <w:color w:val="auto"/>
          <w:highlight w:val="none"/>
        </w:rPr>
      </w:pPr>
      <w:r>
        <w:rPr>
          <w:rFonts w:hint="eastAsia"/>
          <w:color w:val="auto"/>
          <w:highlight w:val="none"/>
        </w:rPr>
        <w:t>（3）信誉要求：见投标人须知前附表；</w:t>
      </w:r>
    </w:p>
    <w:p w14:paraId="0DA93311">
      <w:pPr>
        <w:ind w:firstLine="480"/>
        <w:rPr>
          <w:rFonts w:hint="eastAsia"/>
          <w:color w:val="auto"/>
          <w:highlight w:val="none"/>
        </w:rPr>
      </w:pPr>
      <w:r>
        <w:rPr>
          <w:rFonts w:hint="eastAsia"/>
          <w:color w:val="auto"/>
          <w:highlight w:val="none"/>
        </w:rPr>
        <w:t>（4）总监理工程师的资格及业绩要求：见投标人须知前附表；</w:t>
      </w:r>
    </w:p>
    <w:p w14:paraId="0FC6BD63">
      <w:pPr>
        <w:ind w:firstLine="480"/>
        <w:rPr>
          <w:rFonts w:hint="eastAsia"/>
          <w:color w:val="auto"/>
          <w:highlight w:val="none"/>
        </w:rPr>
      </w:pPr>
      <w:r>
        <w:rPr>
          <w:rFonts w:hint="eastAsia"/>
          <w:color w:val="auto"/>
          <w:highlight w:val="none"/>
        </w:rPr>
        <w:t>（5）其他主要人员要求：见投标人须知前附表；</w:t>
      </w:r>
    </w:p>
    <w:p w14:paraId="755BC9AB">
      <w:pPr>
        <w:ind w:firstLine="480"/>
        <w:rPr>
          <w:rFonts w:hint="eastAsia"/>
          <w:color w:val="auto"/>
          <w:highlight w:val="none"/>
        </w:rPr>
      </w:pPr>
      <w:r>
        <w:rPr>
          <w:rFonts w:hint="eastAsia"/>
          <w:color w:val="auto"/>
          <w:highlight w:val="none"/>
        </w:rPr>
        <w:t>（6）试验检测仪器设备要求：见投标人须知前附表；</w:t>
      </w:r>
    </w:p>
    <w:p w14:paraId="7C3F31E3">
      <w:pPr>
        <w:ind w:firstLine="480"/>
        <w:rPr>
          <w:rFonts w:hint="eastAsia"/>
          <w:color w:val="auto"/>
          <w:highlight w:val="none"/>
        </w:rPr>
      </w:pPr>
      <w:r>
        <w:rPr>
          <w:rFonts w:hint="eastAsia"/>
          <w:color w:val="auto"/>
          <w:highlight w:val="none"/>
        </w:rPr>
        <w:t>（7）其他要求：见投标人须知前附表。</w:t>
      </w:r>
    </w:p>
    <w:p w14:paraId="4AA2945A">
      <w:pPr>
        <w:ind w:firstLine="480"/>
        <w:rPr>
          <w:rFonts w:hint="eastAsia"/>
          <w:color w:val="auto"/>
          <w:highlight w:val="none"/>
        </w:rPr>
      </w:pPr>
      <w:r>
        <w:rPr>
          <w:rFonts w:hint="eastAsia"/>
          <w:color w:val="auto"/>
          <w:highlight w:val="none"/>
        </w:rPr>
        <w:t>需要提交的相关证明材料见本章第3.5款的规定。</w:t>
      </w:r>
    </w:p>
    <w:p w14:paraId="750DAA30">
      <w:pPr>
        <w:ind w:firstLine="480"/>
        <w:rPr>
          <w:rFonts w:hint="eastAsia"/>
          <w:color w:val="auto"/>
          <w:highlight w:val="none"/>
        </w:rPr>
      </w:pPr>
      <w:r>
        <w:rPr>
          <w:rFonts w:hint="eastAsia"/>
          <w:color w:val="auto"/>
          <w:highlight w:val="none"/>
        </w:rPr>
        <w:t>1.4.2投标人须知前附表规定接受联合体投标的，联合体除应符合本章第1.4.1项和投标人须知前附表的要求外，还应遵守以下规定：</w:t>
      </w:r>
    </w:p>
    <w:p w14:paraId="4FD2DA35">
      <w:pPr>
        <w:ind w:firstLine="480"/>
        <w:rPr>
          <w:rFonts w:hint="eastAsia"/>
          <w:color w:val="auto"/>
          <w:highlight w:val="none"/>
        </w:rPr>
      </w:pPr>
      <w:r>
        <w:rPr>
          <w:rFonts w:hint="eastAsia"/>
          <w:color w:val="auto"/>
          <w:highlight w:val="none"/>
        </w:rPr>
        <w:t>（1）联合体各方应按照招标文件提供的格式签订联合体协议书，明确联合体牵头人和各方权利义务，并承诺就中标项目向招标人承担连带责任；</w:t>
      </w:r>
    </w:p>
    <w:p w14:paraId="2673A3BF">
      <w:pPr>
        <w:ind w:firstLine="480"/>
        <w:rPr>
          <w:rFonts w:hint="eastAsia"/>
          <w:color w:val="auto"/>
          <w:highlight w:val="none"/>
        </w:rPr>
      </w:pPr>
      <w:r>
        <w:rPr>
          <w:rFonts w:hint="eastAsia"/>
          <w:color w:val="auto"/>
          <w:highlight w:val="none"/>
        </w:rPr>
        <w:t>（2）联合体协议约定同一专业分工由两个以上成员共同承担的，按照承担该专业工作的资质等级最低的成员确定联合体该专业的资质；不同专业分工由不同成员分别承担的，按照各自的专业资质确定联合体的资质；</w:t>
      </w:r>
    </w:p>
    <w:p w14:paraId="713EDDD7">
      <w:pPr>
        <w:ind w:firstLine="480"/>
        <w:rPr>
          <w:rFonts w:hint="eastAsia"/>
          <w:color w:val="auto"/>
          <w:highlight w:val="none"/>
        </w:rPr>
      </w:pPr>
      <w:r>
        <w:rPr>
          <w:rFonts w:hint="eastAsia"/>
          <w:color w:val="auto"/>
          <w:highlight w:val="none"/>
        </w:rPr>
        <w:t>（3）联合体各方不得再以自己名义单独或参加其他联合体在同一标段中投标；</w:t>
      </w:r>
    </w:p>
    <w:p w14:paraId="711502D4">
      <w:pPr>
        <w:ind w:firstLine="480"/>
        <w:rPr>
          <w:rFonts w:hint="eastAsia"/>
          <w:color w:val="auto"/>
          <w:highlight w:val="none"/>
        </w:rPr>
      </w:pPr>
      <w:r>
        <w:rPr>
          <w:rFonts w:hint="eastAsia"/>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66D4EA17">
      <w:pPr>
        <w:ind w:firstLine="480"/>
        <w:rPr>
          <w:rFonts w:hint="eastAsia"/>
          <w:color w:val="auto"/>
          <w:highlight w:val="none"/>
        </w:rPr>
      </w:pPr>
      <w:r>
        <w:rPr>
          <w:rFonts w:hint="eastAsia"/>
          <w:color w:val="auto"/>
          <w:highlight w:val="none"/>
        </w:rPr>
        <w:t>（5）尽管委任了联合体牵头人，但联合体各成员在投标、签约与履行合同过程中，仍负有连带的和各自的法律责任。</w:t>
      </w:r>
    </w:p>
    <w:p w14:paraId="4896833C">
      <w:pPr>
        <w:ind w:firstLine="480"/>
        <w:rPr>
          <w:rFonts w:hint="eastAsia"/>
          <w:color w:val="auto"/>
          <w:highlight w:val="none"/>
        </w:rPr>
      </w:pPr>
      <w:r>
        <w:rPr>
          <w:rFonts w:hint="eastAsia"/>
          <w:color w:val="auto"/>
          <w:highlight w:val="none"/>
        </w:rPr>
        <w:t>1.4.3 投标人（包括联合体各成员）不得存在下列情形：</w:t>
      </w:r>
    </w:p>
    <w:p w14:paraId="465291F7">
      <w:pPr>
        <w:ind w:firstLine="480"/>
        <w:rPr>
          <w:rFonts w:hint="eastAsia"/>
          <w:color w:val="auto"/>
          <w:highlight w:val="none"/>
        </w:rPr>
      </w:pPr>
      <w:r>
        <w:rPr>
          <w:rFonts w:hint="eastAsia"/>
          <w:color w:val="auto"/>
          <w:highlight w:val="none"/>
        </w:rPr>
        <w:t>（1）为招标人不具有独立法人资格的附属机构（单位）；</w:t>
      </w:r>
    </w:p>
    <w:p w14:paraId="763465D0">
      <w:pPr>
        <w:ind w:firstLine="480"/>
        <w:rPr>
          <w:rFonts w:hint="eastAsia"/>
          <w:color w:val="auto"/>
          <w:highlight w:val="none"/>
        </w:rPr>
      </w:pPr>
      <w:r>
        <w:rPr>
          <w:rFonts w:hint="eastAsia"/>
          <w:color w:val="auto"/>
          <w:highlight w:val="none"/>
        </w:rPr>
        <w:t>（2）与招标人存在利害关系且可能影响招标公正性；</w:t>
      </w:r>
    </w:p>
    <w:p w14:paraId="589C303E">
      <w:pPr>
        <w:ind w:firstLine="480"/>
        <w:rPr>
          <w:rFonts w:hint="eastAsia"/>
          <w:color w:val="auto"/>
          <w:highlight w:val="none"/>
        </w:rPr>
      </w:pPr>
      <w:r>
        <w:rPr>
          <w:rFonts w:hint="eastAsia"/>
          <w:color w:val="auto"/>
          <w:highlight w:val="none"/>
        </w:rPr>
        <w:t>（3）与本标段其他投标人的单位负责人为同一人；</w:t>
      </w:r>
    </w:p>
    <w:p w14:paraId="27D0C178">
      <w:pPr>
        <w:ind w:firstLine="480"/>
        <w:rPr>
          <w:rFonts w:hint="eastAsia"/>
          <w:color w:val="auto"/>
          <w:highlight w:val="none"/>
        </w:rPr>
      </w:pPr>
      <w:r>
        <w:rPr>
          <w:rFonts w:hint="eastAsia"/>
          <w:color w:val="auto"/>
          <w:highlight w:val="none"/>
        </w:rPr>
        <w:t>（4）与本标段的其他投标人存在控股、管理关系；</w:t>
      </w:r>
    </w:p>
    <w:p w14:paraId="55D484CB">
      <w:pPr>
        <w:ind w:firstLine="480"/>
        <w:rPr>
          <w:rFonts w:hint="eastAsia"/>
          <w:color w:val="auto"/>
          <w:highlight w:val="none"/>
        </w:rPr>
      </w:pPr>
      <w:r>
        <w:rPr>
          <w:rFonts w:hint="eastAsia"/>
          <w:color w:val="auto"/>
          <w:highlight w:val="none"/>
        </w:rPr>
        <w:t>（5）为本标段的代建人；</w:t>
      </w:r>
    </w:p>
    <w:p w14:paraId="052BC192">
      <w:pPr>
        <w:ind w:firstLine="480"/>
        <w:rPr>
          <w:rFonts w:hint="eastAsia"/>
          <w:color w:val="auto"/>
          <w:highlight w:val="none"/>
        </w:rPr>
      </w:pPr>
      <w:r>
        <w:rPr>
          <w:rFonts w:hint="eastAsia"/>
          <w:color w:val="auto"/>
          <w:highlight w:val="none"/>
        </w:rPr>
        <w:t>（6）为本标段的招标代理机构；</w:t>
      </w:r>
    </w:p>
    <w:p w14:paraId="145200CC">
      <w:pPr>
        <w:ind w:firstLine="480"/>
        <w:rPr>
          <w:rFonts w:hint="eastAsia"/>
          <w:color w:val="auto"/>
          <w:highlight w:val="none"/>
        </w:rPr>
      </w:pPr>
      <w:r>
        <w:rPr>
          <w:rFonts w:hint="eastAsia"/>
          <w:color w:val="auto"/>
          <w:highlight w:val="none"/>
        </w:rPr>
        <w:t>（7）与本标段的代建人或招标代理机构同为一个法定代表人；</w:t>
      </w:r>
    </w:p>
    <w:p w14:paraId="49D6FEAB">
      <w:pPr>
        <w:ind w:firstLine="480"/>
        <w:rPr>
          <w:rFonts w:hint="eastAsia"/>
          <w:color w:val="auto"/>
          <w:highlight w:val="none"/>
        </w:rPr>
      </w:pPr>
      <w:r>
        <w:rPr>
          <w:rFonts w:hint="eastAsia"/>
          <w:color w:val="auto"/>
          <w:highlight w:val="none"/>
        </w:rPr>
        <w:t>（8）与本标段的代建人或招标代理机构存在控股或参股关系；</w:t>
      </w:r>
    </w:p>
    <w:p w14:paraId="743B8542">
      <w:pPr>
        <w:ind w:firstLine="480"/>
        <w:rPr>
          <w:rFonts w:hint="eastAsia"/>
          <w:color w:val="auto"/>
          <w:highlight w:val="none"/>
        </w:rPr>
      </w:pPr>
      <w:r>
        <w:rPr>
          <w:rFonts w:hint="eastAsia"/>
          <w:color w:val="auto"/>
          <w:highlight w:val="none"/>
        </w:rPr>
        <w:t>（9）与本标段的施工承包人以及建筑材料、建筑构配件和设备供应商有隶属关系或者其他利害关系；</w:t>
      </w:r>
    </w:p>
    <w:p w14:paraId="1A88A9B3">
      <w:pPr>
        <w:ind w:firstLine="480"/>
        <w:rPr>
          <w:rFonts w:hint="eastAsia" w:ascii="Arial Unicode MS" w:hAnsi="Arial Unicode MS" w:eastAsia="Arial Unicode MS" w:cs="Arial Unicode MS"/>
          <w:color w:val="auto"/>
          <w:highlight w:val="none"/>
        </w:rPr>
      </w:pPr>
      <w:r>
        <w:rPr>
          <w:rFonts w:hint="eastAsia"/>
          <w:color w:val="auto"/>
          <w:highlight w:val="none"/>
        </w:rPr>
        <w:t>（10）</w:t>
      </w:r>
      <w:r>
        <w:rPr>
          <w:rFonts w:hint="eastAsia" w:ascii="宋体" w:hAnsi="宋体" w:cs="宋体"/>
          <w:color w:val="auto"/>
          <w:szCs w:val="24"/>
          <w:highlight w:val="none"/>
        </w:rPr>
        <w:t>被依法暂停或者取消投标资格，且在处罚期和处罚范围内（以有关行政管理部门的行政处罚决定或司法机关出具的有关法律文书为准）；</w:t>
      </w:r>
    </w:p>
    <w:p w14:paraId="7674E999">
      <w:pPr>
        <w:ind w:firstLine="480"/>
        <w:rPr>
          <w:rFonts w:hint="eastAsia"/>
          <w:color w:val="auto"/>
          <w:highlight w:val="none"/>
        </w:rPr>
      </w:pPr>
      <w:r>
        <w:rPr>
          <w:rFonts w:hint="eastAsia"/>
          <w:color w:val="auto"/>
          <w:highlight w:val="none"/>
        </w:rPr>
        <w:t>（11）在最近三年内（自投标截止之日向前追溯3年）有骗取中标或串通投标或严重违约或重大监理质量问题的（以有关行业主管部门的行政处罚决定或司法机关出具的有关法律文书为准），前述行政处罚已完成信用修复的，但自行政处罚作出机关或信用修复主管部门同意修复之日起满一年的，不受三年期限限制；</w:t>
      </w:r>
    </w:p>
    <w:p w14:paraId="279C4F08">
      <w:pPr>
        <w:ind w:firstLine="480"/>
        <w:rPr>
          <w:rFonts w:hint="eastAsia"/>
          <w:color w:val="auto"/>
          <w:highlight w:val="none"/>
        </w:rPr>
      </w:pPr>
      <w:r>
        <w:rPr>
          <w:rFonts w:hint="eastAsia"/>
          <w:color w:val="auto"/>
          <w:highlight w:val="none"/>
        </w:rPr>
        <w:t>（12）被责令停业，暂扣或吊销执照，或吊销资质证书；</w:t>
      </w:r>
    </w:p>
    <w:p w14:paraId="7B0FF717">
      <w:pPr>
        <w:ind w:firstLine="480"/>
        <w:rPr>
          <w:rFonts w:hint="eastAsia"/>
          <w:color w:val="auto"/>
          <w:highlight w:val="none"/>
        </w:rPr>
      </w:pPr>
      <w:r>
        <w:rPr>
          <w:rFonts w:hint="eastAsia"/>
          <w:color w:val="auto"/>
          <w:highlight w:val="none"/>
        </w:rPr>
        <w:t>（13）进入清算程序，或被宣告破产，或其他丧失履约能力的情形；</w:t>
      </w:r>
    </w:p>
    <w:p w14:paraId="1A044EEA">
      <w:pPr>
        <w:ind w:firstLine="480"/>
        <w:rPr>
          <w:rFonts w:hint="eastAsia"/>
          <w:color w:val="auto"/>
          <w:highlight w:val="none"/>
        </w:rPr>
      </w:pPr>
      <w:r>
        <w:rPr>
          <w:rFonts w:hint="eastAsia"/>
          <w:color w:val="auto"/>
          <w:highlight w:val="none"/>
        </w:rPr>
        <w:t>（14）投标人或其法定代表人、拟委任的总监理工程师在近三年内（自投标截止之日向前追溯3年）有行贿犯罪行为；</w:t>
      </w:r>
    </w:p>
    <w:p w14:paraId="0DA2D74C">
      <w:pPr>
        <w:ind w:firstLine="480"/>
        <w:rPr>
          <w:rFonts w:hint="eastAsia"/>
          <w:color w:val="auto"/>
          <w:highlight w:val="none"/>
        </w:rPr>
      </w:pPr>
      <w:r>
        <w:rPr>
          <w:rFonts w:hint="eastAsia"/>
          <w:color w:val="auto"/>
          <w:highlight w:val="none"/>
        </w:rPr>
        <w:t>（15）法律法规规定的其他禁止投标的情形；</w:t>
      </w:r>
    </w:p>
    <w:p w14:paraId="18D5C28C">
      <w:pPr>
        <w:ind w:firstLine="480"/>
        <w:rPr>
          <w:rFonts w:hint="eastAsia"/>
          <w:color w:val="auto"/>
          <w:highlight w:val="none"/>
        </w:rPr>
      </w:pPr>
      <w:r>
        <w:rPr>
          <w:rFonts w:hint="eastAsia"/>
          <w:color w:val="auto"/>
          <w:highlight w:val="none"/>
        </w:rPr>
        <w:t>（16）投标人须知前附表规定的其他情形。</w:t>
      </w:r>
    </w:p>
    <w:p w14:paraId="7ACAA66A">
      <w:pPr>
        <w:ind w:firstLine="480"/>
        <w:rPr>
          <w:rFonts w:hint="eastAsia"/>
          <w:b w:val="0"/>
          <w:bCs w:val="0"/>
          <w:color w:val="auto"/>
          <w:highlight w:val="none"/>
        </w:rPr>
      </w:pPr>
      <w:r>
        <w:rPr>
          <w:rFonts w:hint="eastAsia"/>
          <w:b w:val="0"/>
          <w:bCs w:val="0"/>
          <w:color w:val="auto"/>
          <w:highlight w:val="none"/>
        </w:rPr>
        <w:t>1.4.4 投标人（包括联合体各成员）不得存在下列不良状况或不良信用记录：</w:t>
      </w:r>
    </w:p>
    <w:p w14:paraId="6DB7B69A">
      <w:pPr>
        <w:ind w:firstLine="480"/>
        <w:rPr>
          <w:rFonts w:hint="eastAsia"/>
          <w:b w:val="0"/>
          <w:bCs w:val="0"/>
          <w:color w:val="auto"/>
          <w:highlight w:val="none"/>
        </w:rPr>
      </w:pPr>
      <w:r>
        <w:rPr>
          <w:rFonts w:hint="eastAsia"/>
          <w:b w:val="0"/>
          <w:bCs w:val="0"/>
          <w:color w:val="auto"/>
          <w:highlight w:val="none"/>
        </w:rPr>
        <w:t>（1）在国家企业信用信息公示系统（http://www.gsxt.gov.cn/）中被列入严重违法失信企业名单；</w:t>
      </w:r>
    </w:p>
    <w:p w14:paraId="3FED09ED">
      <w:pPr>
        <w:ind w:firstLine="480"/>
        <w:rPr>
          <w:rFonts w:hint="eastAsia"/>
          <w:b w:val="0"/>
          <w:bCs w:val="0"/>
          <w:color w:val="auto"/>
          <w:highlight w:val="none"/>
        </w:rPr>
      </w:pPr>
      <w:r>
        <w:rPr>
          <w:rFonts w:hint="eastAsia"/>
          <w:b w:val="0"/>
          <w:bCs w:val="0"/>
          <w:color w:val="auto"/>
          <w:highlight w:val="none"/>
        </w:rPr>
        <w:t>（2）在“信用中国”网站（http://www.creditchina.gov.cn/）中被列入失信被执行人名单；</w:t>
      </w:r>
    </w:p>
    <w:p w14:paraId="1009CFBF">
      <w:pPr>
        <w:ind w:firstLine="480"/>
        <w:rPr>
          <w:rFonts w:hint="eastAsia"/>
          <w:b w:val="0"/>
          <w:bCs w:val="0"/>
          <w:color w:val="auto"/>
          <w:highlight w:val="none"/>
        </w:rPr>
      </w:pPr>
      <w:r>
        <w:rPr>
          <w:rFonts w:hint="eastAsia"/>
          <w:b w:val="0"/>
          <w:bCs w:val="0"/>
          <w:color w:val="auto"/>
          <w:highlight w:val="none"/>
        </w:rPr>
        <w:t>（3）在“信用中国”网站（http://www.creditchina.gov.cn/）中被列入重大税收违法失信主体名单；</w:t>
      </w:r>
    </w:p>
    <w:p w14:paraId="07B27992">
      <w:pPr>
        <w:ind w:firstLine="480"/>
        <w:rPr>
          <w:rFonts w:hint="eastAsia"/>
          <w:color w:val="auto"/>
          <w:highlight w:val="none"/>
        </w:rPr>
      </w:pPr>
      <w:r>
        <w:rPr>
          <w:rFonts w:hint="eastAsia"/>
          <w:b w:val="0"/>
          <w:bCs w:val="0"/>
          <w:color w:val="auto"/>
          <w:highlight w:val="none"/>
        </w:rPr>
        <w:t>（4）投标人须知前附表规定的其他情形。</w:t>
      </w:r>
    </w:p>
    <w:p w14:paraId="7BE77963">
      <w:pPr>
        <w:pStyle w:val="7"/>
        <w:spacing w:before="240" w:after="240"/>
        <w:ind w:firstLine="0" w:firstLineChars="0"/>
        <w:rPr>
          <w:color w:val="auto"/>
          <w:szCs w:val="24"/>
          <w:highlight w:val="none"/>
        </w:rPr>
      </w:pPr>
      <w:r>
        <w:rPr>
          <w:color w:val="auto"/>
          <w:szCs w:val="24"/>
          <w:highlight w:val="none"/>
        </w:rPr>
        <w:t xml:space="preserve">1.5 </w:t>
      </w:r>
      <w:r>
        <w:rPr>
          <w:rFonts w:hint="eastAsia"/>
          <w:color w:val="auto"/>
          <w:szCs w:val="24"/>
          <w:highlight w:val="none"/>
        </w:rPr>
        <w:t>费用承担</w:t>
      </w:r>
    </w:p>
    <w:p w14:paraId="07264488">
      <w:pPr>
        <w:ind w:firstLine="480"/>
        <w:rPr>
          <w:color w:val="auto"/>
          <w:highlight w:val="none"/>
        </w:rPr>
      </w:pPr>
      <w:r>
        <w:rPr>
          <w:color w:val="auto"/>
          <w:highlight w:val="none"/>
        </w:rPr>
        <w:t>投标人准备和参加投标活动发生的费用自理。</w:t>
      </w:r>
    </w:p>
    <w:p w14:paraId="154EDD6A">
      <w:pPr>
        <w:pStyle w:val="7"/>
        <w:spacing w:before="240" w:after="240"/>
        <w:ind w:firstLine="0" w:firstLineChars="0"/>
        <w:rPr>
          <w:color w:val="auto"/>
          <w:szCs w:val="24"/>
          <w:highlight w:val="none"/>
        </w:rPr>
      </w:pPr>
      <w:r>
        <w:rPr>
          <w:color w:val="auto"/>
          <w:szCs w:val="24"/>
          <w:highlight w:val="none"/>
        </w:rPr>
        <w:t xml:space="preserve">1.6 </w:t>
      </w:r>
      <w:r>
        <w:rPr>
          <w:rFonts w:hint="eastAsia"/>
          <w:color w:val="auto"/>
          <w:szCs w:val="24"/>
          <w:highlight w:val="none"/>
        </w:rPr>
        <w:t>保密</w:t>
      </w:r>
    </w:p>
    <w:p w14:paraId="60C577DA">
      <w:pPr>
        <w:ind w:firstLine="480"/>
        <w:rPr>
          <w:color w:val="auto"/>
          <w:highlight w:val="none"/>
        </w:rPr>
      </w:pPr>
      <w:r>
        <w:rPr>
          <w:color w:val="auto"/>
          <w:highlight w:val="none"/>
        </w:rPr>
        <w:t>参与招标投标活动的各方应对招标文件和投标文件中</w:t>
      </w:r>
      <w:bookmarkStart w:id="107" w:name="_Toc5326"/>
      <w:bookmarkStart w:id="108" w:name="_Toc352691477"/>
      <w:bookmarkStart w:id="109" w:name="_Toc384308214"/>
      <w:bookmarkStart w:id="110" w:name="_Toc361508589"/>
      <w:bookmarkStart w:id="111" w:name="_Toc369531519"/>
      <w:r>
        <w:rPr>
          <w:color w:val="auto"/>
          <w:highlight w:val="none"/>
        </w:rPr>
        <w:t>的商业和技术等秘密保密</w:t>
      </w:r>
      <w:bookmarkEnd w:id="107"/>
      <w:bookmarkEnd w:id="108"/>
      <w:bookmarkEnd w:id="109"/>
      <w:bookmarkEnd w:id="110"/>
      <w:bookmarkEnd w:id="111"/>
      <w:r>
        <w:rPr>
          <w:color w:val="auto"/>
          <w:highlight w:val="none"/>
        </w:rPr>
        <w:t>，否则应承担相应的法律责任。</w:t>
      </w:r>
    </w:p>
    <w:p w14:paraId="635A96E1">
      <w:pPr>
        <w:pStyle w:val="7"/>
        <w:spacing w:before="240" w:after="240"/>
        <w:ind w:firstLine="0" w:firstLineChars="0"/>
        <w:rPr>
          <w:color w:val="auto"/>
          <w:szCs w:val="24"/>
          <w:highlight w:val="none"/>
        </w:rPr>
      </w:pPr>
      <w:r>
        <w:rPr>
          <w:color w:val="auto"/>
          <w:szCs w:val="24"/>
          <w:highlight w:val="none"/>
        </w:rPr>
        <w:t xml:space="preserve">1.7 </w:t>
      </w:r>
      <w:r>
        <w:rPr>
          <w:rFonts w:hint="eastAsia"/>
          <w:color w:val="auto"/>
          <w:szCs w:val="24"/>
          <w:highlight w:val="none"/>
        </w:rPr>
        <w:t>语言文字</w:t>
      </w:r>
    </w:p>
    <w:p w14:paraId="25E8E710">
      <w:pPr>
        <w:ind w:firstLine="480"/>
        <w:rPr>
          <w:color w:val="auto"/>
          <w:highlight w:val="none"/>
        </w:rPr>
      </w:pPr>
      <w:r>
        <w:rPr>
          <w:color w:val="auto"/>
          <w:highlight w:val="none"/>
        </w:rPr>
        <w:t>招标投标文件使用的语言文字为中文。专用术语使用外文的，应附有中文注释。</w:t>
      </w:r>
    </w:p>
    <w:p w14:paraId="3E7F12FB">
      <w:pPr>
        <w:pStyle w:val="7"/>
        <w:spacing w:before="240" w:after="240"/>
        <w:ind w:firstLine="0" w:firstLineChars="0"/>
        <w:rPr>
          <w:color w:val="auto"/>
          <w:szCs w:val="24"/>
          <w:highlight w:val="none"/>
        </w:rPr>
      </w:pPr>
      <w:r>
        <w:rPr>
          <w:color w:val="auto"/>
          <w:szCs w:val="24"/>
          <w:highlight w:val="none"/>
        </w:rPr>
        <w:t xml:space="preserve">1.8 </w:t>
      </w:r>
      <w:r>
        <w:rPr>
          <w:rFonts w:hint="eastAsia"/>
          <w:color w:val="auto"/>
          <w:szCs w:val="24"/>
          <w:highlight w:val="none"/>
        </w:rPr>
        <w:t>计量单位</w:t>
      </w:r>
    </w:p>
    <w:p w14:paraId="4CB1C804">
      <w:pPr>
        <w:ind w:firstLine="480"/>
        <w:rPr>
          <w:color w:val="auto"/>
          <w:highlight w:val="none"/>
        </w:rPr>
      </w:pPr>
      <w:r>
        <w:rPr>
          <w:color w:val="auto"/>
          <w:highlight w:val="none"/>
        </w:rPr>
        <w:t>所有计量均采用中华人民共和国法定计量单位。</w:t>
      </w:r>
    </w:p>
    <w:p w14:paraId="0DC4C052">
      <w:pPr>
        <w:pStyle w:val="7"/>
        <w:spacing w:before="240" w:after="240"/>
        <w:ind w:firstLine="0" w:firstLineChars="0"/>
        <w:rPr>
          <w:color w:val="auto"/>
          <w:szCs w:val="24"/>
          <w:highlight w:val="none"/>
        </w:rPr>
      </w:pPr>
      <w:bookmarkStart w:id="112" w:name="_Toc247513962"/>
      <w:bookmarkStart w:id="113" w:name="_Toc152045539"/>
      <w:bookmarkStart w:id="114" w:name="_Toc391393967"/>
      <w:bookmarkStart w:id="115" w:name="_Toc384308219"/>
      <w:bookmarkStart w:id="116" w:name="_Toc152042315"/>
      <w:bookmarkStart w:id="117" w:name="_Toc370676289"/>
      <w:bookmarkStart w:id="118" w:name="_Toc247527563"/>
      <w:bookmarkStart w:id="119" w:name="_Toc482188480"/>
      <w:bookmarkStart w:id="120" w:name="_Toc361508594"/>
      <w:bookmarkStart w:id="121" w:name="_Toc144974507"/>
      <w:bookmarkStart w:id="122" w:name="_Toc300834959"/>
      <w:r>
        <w:rPr>
          <w:color w:val="auto"/>
          <w:szCs w:val="24"/>
          <w:highlight w:val="none"/>
        </w:rPr>
        <w:t xml:space="preserve">1.9 </w:t>
      </w:r>
      <w:r>
        <w:rPr>
          <w:rFonts w:hint="eastAsia"/>
          <w:color w:val="auto"/>
          <w:szCs w:val="24"/>
          <w:highlight w:val="none"/>
        </w:rPr>
        <w:t>踏勘现场</w:t>
      </w:r>
      <w:bookmarkEnd w:id="112"/>
      <w:bookmarkEnd w:id="113"/>
      <w:bookmarkEnd w:id="114"/>
      <w:bookmarkEnd w:id="115"/>
      <w:bookmarkEnd w:id="116"/>
      <w:bookmarkEnd w:id="117"/>
      <w:bookmarkEnd w:id="118"/>
      <w:bookmarkEnd w:id="119"/>
      <w:bookmarkEnd w:id="120"/>
      <w:bookmarkEnd w:id="121"/>
      <w:bookmarkEnd w:id="122"/>
    </w:p>
    <w:p w14:paraId="54728F48">
      <w:pPr>
        <w:ind w:firstLine="480"/>
        <w:rPr>
          <w:rFonts w:hint="eastAsia"/>
          <w:color w:val="auto"/>
          <w:highlight w:val="none"/>
        </w:rPr>
      </w:pPr>
      <w:r>
        <w:rPr>
          <w:rFonts w:hint="eastAsia"/>
          <w:color w:val="auto"/>
          <w:highlight w:val="none"/>
        </w:rPr>
        <w:t>1.9.1 投标人须知前附表规定组织踏勘现场的，招标人按照投标人须知前附表规定的时间、地点组织投标人踏勘项目现场。部分投标人未按时参加踏勘现场的，不影响踏勘现场的正常进行。招标人不得组织单个或部分投标人踏勘项目现场。</w:t>
      </w:r>
    </w:p>
    <w:p w14:paraId="7CC6976B">
      <w:pPr>
        <w:ind w:firstLine="480"/>
        <w:rPr>
          <w:rFonts w:hint="eastAsia"/>
          <w:color w:val="auto"/>
          <w:highlight w:val="none"/>
        </w:rPr>
      </w:pPr>
      <w:r>
        <w:rPr>
          <w:rFonts w:hint="eastAsia"/>
          <w:color w:val="auto"/>
          <w:highlight w:val="none"/>
        </w:rPr>
        <w:t>1.9.2 投标人踏勘现场发生的费用自理。</w:t>
      </w:r>
    </w:p>
    <w:p w14:paraId="65F87707">
      <w:pPr>
        <w:ind w:firstLine="480"/>
        <w:rPr>
          <w:rFonts w:hint="eastAsia"/>
          <w:color w:val="auto"/>
          <w:highlight w:val="none"/>
        </w:rPr>
      </w:pPr>
      <w:r>
        <w:rPr>
          <w:rFonts w:hint="eastAsia"/>
          <w:color w:val="auto"/>
          <w:highlight w:val="none"/>
        </w:rPr>
        <w:t>1.9.3 除招标人的原因外，投标人自行负责在踏勘现场中所发生的人员伤亡和财产损失。</w:t>
      </w:r>
    </w:p>
    <w:p w14:paraId="1DABC50B">
      <w:pPr>
        <w:ind w:firstLine="480"/>
        <w:rPr>
          <w:rFonts w:hint="eastAsia"/>
          <w:color w:val="auto"/>
          <w:highlight w:val="none"/>
        </w:rPr>
      </w:pPr>
      <w:r>
        <w:rPr>
          <w:rFonts w:hint="eastAsia"/>
          <w:color w:val="auto"/>
          <w:highlight w:val="none"/>
        </w:rPr>
        <w:t>1.9.4 招标人在踏勘现场中介绍的工程场地和相关的周边环境情况，供投标人在编制投标文件时参考，招标人不对投标人据此作出的判断和决策负责。</w:t>
      </w:r>
    </w:p>
    <w:p w14:paraId="42408CC6">
      <w:pPr>
        <w:ind w:firstLine="480"/>
        <w:rPr>
          <w:rFonts w:hint="eastAsia"/>
          <w:color w:val="auto"/>
          <w:highlight w:val="none"/>
        </w:rPr>
      </w:pPr>
      <w:r>
        <w:rPr>
          <w:rFonts w:hint="eastAsia"/>
          <w:color w:val="auto"/>
          <w:highlight w:val="none"/>
        </w:rPr>
        <w:t>1.9.5 无论投标人是否到施工现场实地踏勘，中标后签订合同时和履约过程中，投标人不得以不完全了解现场情况或现场情况与招标文件描述不一致等为由，提出任何形式的增加监理费用或索赔的要求。</w:t>
      </w:r>
    </w:p>
    <w:p w14:paraId="532C20E6">
      <w:pPr>
        <w:pStyle w:val="7"/>
        <w:spacing w:before="240" w:after="240"/>
        <w:ind w:firstLine="0" w:firstLineChars="0"/>
        <w:rPr>
          <w:rFonts w:hint="eastAsia"/>
          <w:color w:val="auto"/>
          <w:szCs w:val="24"/>
          <w:highlight w:val="none"/>
        </w:rPr>
      </w:pPr>
      <w:r>
        <w:rPr>
          <w:rFonts w:hint="eastAsia"/>
          <w:color w:val="auto"/>
          <w:szCs w:val="24"/>
          <w:highlight w:val="none"/>
        </w:rPr>
        <w:t>1.10 投标预备会</w:t>
      </w:r>
    </w:p>
    <w:p w14:paraId="6DEF9EEA">
      <w:pPr>
        <w:ind w:firstLine="480"/>
        <w:rPr>
          <w:rFonts w:hint="eastAsia"/>
          <w:color w:val="auto"/>
          <w:highlight w:val="none"/>
        </w:rPr>
      </w:pPr>
      <w:r>
        <w:rPr>
          <w:rFonts w:hint="eastAsia"/>
          <w:color w:val="auto"/>
          <w:highlight w:val="none"/>
        </w:rPr>
        <w:t>1.10.1 投标人须知前附表规定召开投标预备会的，招标人按照投标人须知前附表规定的时间和形式召开投标预备会，澄清投标人提出的问题。</w:t>
      </w:r>
    </w:p>
    <w:p w14:paraId="63E87D57">
      <w:pPr>
        <w:ind w:firstLine="480"/>
        <w:rPr>
          <w:rFonts w:hint="eastAsia"/>
          <w:color w:val="auto"/>
          <w:highlight w:val="none"/>
        </w:rPr>
      </w:pPr>
      <w:r>
        <w:rPr>
          <w:rFonts w:hint="eastAsia"/>
          <w:color w:val="auto"/>
          <w:highlight w:val="none"/>
        </w:rPr>
        <w:t>1.10.2 投标人应按照投标人须知前附表规定的时间和形式将提出的问题送达招标人，以便招标人在会议期间澄清。</w:t>
      </w:r>
    </w:p>
    <w:p w14:paraId="02A4C777">
      <w:pPr>
        <w:ind w:firstLine="480"/>
        <w:rPr>
          <w:rFonts w:hint="eastAsia"/>
          <w:color w:val="auto"/>
          <w:highlight w:val="none"/>
        </w:rPr>
      </w:pPr>
      <w:r>
        <w:rPr>
          <w:rFonts w:hint="eastAsia"/>
          <w:color w:val="auto"/>
          <w:highlight w:val="none"/>
        </w:rPr>
        <w:t>1.10.3 投标预备会后，招标人将对投标人所提问题的澄清，按照本章第2.2款规定的时间和形式通知所有获取招标文件的投标人。该澄清内容为招标文件的组成部分。</w:t>
      </w:r>
    </w:p>
    <w:p w14:paraId="51695D10">
      <w:pPr>
        <w:pStyle w:val="7"/>
        <w:spacing w:before="240" w:after="240"/>
        <w:ind w:firstLine="0" w:firstLineChars="0"/>
        <w:rPr>
          <w:color w:val="auto"/>
          <w:highlight w:val="none"/>
        </w:rPr>
      </w:pPr>
      <w:r>
        <w:rPr>
          <w:color w:val="auto"/>
          <w:highlight w:val="none"/>
        </w:rPr>
        <w:t>1.1</w:t>
      </w:r>
      <w:r>
        <w:rPr>
          <w:rFonts w:hint="eastAsia"/>
          <w:color w:val="auto"/>
          <w:highlight w:val="none"/>
        </w:rPr>
        <w:t>1</w:t>
      </w:r>
      <w:r>
        <w:rPr>
          <w:color w:val="auto"/>
          <w:highlight w:val="none"/>
        </w:rPr>
        <w:t xml:space="preserve"> </w:t>
      </w:r>
      <w:r>
        <w:rPr>
          <w:rFonts w:hint="eastAsia"/>
          <w:color w:val="auto"/>
          <w:highlight w:val="none"/>
        </w:rPr>
        <w:t>分包</w:t>
      </w:r>
    </w:p>
    <w:p w14:paraId="0B068C37">
      <w:pPr>
        <w:ind w:firstLine="480"/>
        <w:rPr>
          <w:color w:val="auto"/>
          <w:highlight w:val="none"/>
        </w:rPr>
      </w:pPr>
      <w:r>
        <w:rPr>
          <w:rFonts w:hint="eastAsia"/>
          <w:color w:val="auto"/>
          <w:highlight w:val="none"/>
        </w:rPr>
        <w:t>本项目严禁分包。</w:t>
      </w:r>
    </w:p>
    <w:p w14:paraId="7AE4B4ED">
      <w:pPr>
        <w:pStyle w:val="7"/>
        <w:spacing w:before="240" w:after="240"/>
        <w:ind w:firstLine="0" w:firstLineChars="0"/>
        <w:rPr>
          <w:color w:val="auto"/>
          <w:highlight w:val="none"/>
        </w:rPr>
      </w:pPr>
      <w:r>
        <w:rPr>
          <w:color w:val="auto"/>
          <w:highlight w:val="none"/>
        </w:rPr>
        <w:t>1.1</w:t>
      </w:r>
      <w:r>
        <w:rPr>
          <w:rFonts w:hint="eastAsia"/>
          <w:color w:val="auto"/>
          <w:highlight w:val="none"/>
        </w:rPr>
        <w:t>2</w:t>
      </w:r>
      <w:r>
        <w:rPr>
          <w:color w:val="auto"/>
          <w:highlight w:val="none"/>
        </w:rPr>
        <w:t xml:space="preserve"> </w:t>
      </w:r>
      <w:r>
        <w:rPr>
          <w:rFonts w:hint="eastAsia"/>
          <w:color w:val="auto"/>
          <w:highlight w:val="none"/>
        </w:rPr>
        <w:t>响应和偏差</w:t>
      </w:r>
    </w:p>
    <w:p w14:paraId="4DCD3131">
      <w:pPr>
        <w:ind w:firstLine="480"/>
        <w:rPr>
          <w:rFonts w:hint="eastAsia"/>
          <w:color w:val="auto"/>
          <w:highlight w:val="none"/>
        </w:rPr>
      </w:pPr>
      <w:r>
        <w:rPr>
          <w:rFonts w:hint="eastAsia"/>
          <w:color w:val="auto"/>
          <w:highlight w:val="none"/>
        </w:rPr>
        <w:t>1.12.1 投标文件偏离招标文件某些要求，视为投标文件存在偏差。偏差包括重大偏差和细微偏差。</w:t>
      </w:r>
    </w:p>
    <w:p w14:paraId="7C111F6E">
      <w:pPr>
        <w:ind w:firstLine="480"/>
        <w:rPr>
          <w:rFonts w:hint="eastAsia"/>
          <w:color w:val="auto"/>
          <w:highlight w:val="none"/>
        </w:rPr>
      </w:pPr>
      <w:r>
        <w:rPr>
          <w:rFonts w:hint="eastAsia"/>
          <w:color w:val="auto"/>
          <w:highlight w:val="none"/>
        </w:rPr>
        <w:t>1.12.2 投标文件应对招标文件的实质性要求和条件作出满足性或更有利于招标人的响应，否则，视为投标文件存在重大偏差，投标人的投标将被否决。</w:t>
      </w:r>
    </w:p>
    <w:p w14:paraId="0D6A1196">
      <w:pPr>
        <w:ind w:firstLine="480"/>
        <w:rPr>
          <w:rFonts w:hint="eastAsia"/>
          <w:color w:val="auto"/>
          <w:highlight w:val="none"/>
        </w:rPr>
      </w:pPr>
      <w:r>
        <w:rPr>
          <w:rFonts w:hint="eastAsia"/>
          <w:color w:val="auto"/>
          <w:highlight w:val="none"/>
        </w:rPr>
        <w:t>投标文件存在第三章“评标办法”中所列任一否决投标情形的，均属于存在重大偏差。</w:t>
      </w:r>
    </w:p>
    <w:p w14:paraId="7FE7E5E1">
      <w:pPr>
        <w:ind w:firstLine="480"/>
        <w:rPr>
          <w:rFonts w:hint="eastAsia"/>
          <w:color w:val="auto"/>
          <w:highlight w:val="none"/>
        </w:rPr>
      </w:pPr>
      <w:r>
        <w:rPr>
          <w:rFonts w:hint="eastAsia"/>
          <w:color w:val="auto"/>
          <w:highlight w:val="none"/>
        </w:rPr>
        <w:t>1.12.3 投标文件中的下列偏差为细微偏差：</w:t>
      </w:r>
    </w:p>
    <w:p w14:paraId="13623BA4">
      <w:pPr>
        <w:ind w:firstLine="480"/>
        <w:rPr>
          <w:rFonts w:hint="eastAsia"/>
          <w:color w:val="auto"/>
          <w:highlight w:val="none"/>
        </w:rPr>
      </w:pPr>
      <w:r>
        <w:rPr>
          <w:rFonts w:hint="eastAsia"/>
          <w:color w:val="auto"/>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65D24533">
      <w:pPr>
        <w:ind w:firstLine="480"/>
        <w:rPr>
          <w:rFonts w:hint="eastAsia"/>
          <w:color w:val="auto"/>
          <w:highlight w:val="none"/>
        </w:rPr>
      </w:pPr>
      <w:r>
        <w:rPr>
          <w:rFonts w:hint="eastAsia"/>
          <w:color w:val="auto"/>
          <w:highlight w:val="none"/>
        </w:rPr>
        <w:t>（2）投标文件个别文字有遗漏错误等不影响投标文件实质性内容的偏差。</w:t>
      </w:r>
    </w:p>
    <w:p w14:paraId="0474D38F">
      <w:pPr>
        <w:ind w:firstLine="480"/>
        <w:rPr>
          <w:rFonts w:hint="eastAsia"/>
          <w:color w:val="auto"/>
          <w:highlight w:val="none"/>
        </w:rPr>
      </w:pPr>
      <w:r>
        <w:rPr>
          <w:rFonts w:hint="eastAsia"/>
          <w:color w:val="auto"/>
          <w:highlight w:val="none"/>
        </w:rPr>
        <w:t>1.12.4 评标委员会对投标文件中的细微偏差按如下规定处理：</w:t>
      </w:r>
    </w:p>
    <w:p w14:paraId="4FE102EA">
      <w:pPr>
        <w:ind w:firstLine="480"/>
        <w:rPr>
          <w:rFonts w:hint="eastAsia"/>
          <w:color w:val="auto"/>
          <w:highlight w:val="none"/>
        </w:rPr>
      </w:pPr>
      <w:r>
        <w:rPr>
          <w:rFonts w:hint="eastAsia"/>
          <w:color w:val="auto"/>
          <w:highlight w:val="none"/>
        </w:rPr>
        <w:t>（1）对于本章第1.12.3项（1）目所述的细微偏差，按照第三章“评标办法”的规定予以修正并要求投标人进行澄清；</w:t>
      </w:r>
    </w:p>
    <w:p w14:paraId="20128DB9">
      <w:pPr>
        <w:ind w:firstLine="480"/>
        <w:rPr>
          <w:rFonts w:hint="eastAsia"/>
          <w:color w:val="auto"/>
          <w:highlight w:val="none"/>
        </w:rPr>
      </w:pPr>
      <w:r>
        <w:rPr>
          <w:rFonts w:hint="eastAsia"/>
          <w:color w:val="auto"/>
          <w:highlight w:val="none"/>
        </w:rPr>
        <w:t>（2）对于本章第1.12.3项（2）目所述的细微偏差，可要求投标人对细微偏差进行澄清。</w:t>
      </w:r>
    </w:p>
    <w:p w14:paraId="35757E1B">
      <w:pPr>
        <w:pStyle w:val="6"/>
        <w:spacing w:before="240" w:after="240"/>
        <w:ind w:firstLine="0" w:firstLineChars="0"/>
        <w:rPr>
          <w:color w:val="auto"/>
          <w:highlight w:val="none"/>
        </w:rPr>
      </w:pPr>
      <w:bookmarkStart w:id="123" w:name="_Toc9669"/>
      <w:bookmarkStart w:id="124" w:name="_Toc7131"/>
      <w:bookmarkStart w:id="125" w:name="_Toc27332"/>
      <w:bookmarkStart w:id="126" w:name="_Toc9910"/>
      <w:r>
        <w:rPr>
          <w:color w:val="auto"/>
          <w:highlight w:val="none"/>
        </w:rPr>
        <w:t xml:space="preserve">2. </w:t>
      </w:r>
      <w:r>
        <w:rPr>
          <w:rFonts w:hint="eastAsia"/>
          <w:color w:val="auto"/>
          <w:highlight w:val="none"/>
        </w:rPr>
        <w:t>招标文件</w:t>
      </w:r>
      <w:bookmarkEnd w:id="123"/>
      <w:bookmarkEnd w:id="124"/>
      <w:bookmarkEnd w:id="125"/>
      <w:bookmarkEnd w:id="126"/>
    </w:p>
    <w:p w14:paraId="20ABD2C5">
      <w:pPr>
        <w:pStyle w:val="7"/>
        <w:spacing w:before="240" w:after="240"/>
        <w:ind w:firstLine="0" w:firstLineChars="0"/>
        <w:rPr>
          <w:color w:val="auto"/>
          <w:highlight w:val="none"/>
        </w:rPr>
      </w:pPr>
      <w:r>
        <w:rPr>
          <w:color w:val="auto"/>
          <w:highlight w:val="none"/>
        </w:rPr>
        <w:t xml:space="preserve">2.1 </w:t>
      </w:r>
      <w:r>
        <w:rPr>
          <w:rFonts w:hint="eastAsia"/>
          <w:color w:val="auto"/>
          <w:highlight w:val="none"/>
        </w:rPr>
        <w:t>招标文件的组成</w:t>
      </w:r>
    </w:p>
    <w:p w14:paraId="7338FAA5">
      <w:pPr>
        <w:ind w:firstLine="480"/>
        <w:rPr>
          <w:rFonts w:hint="eastAsia"/>
          <w:color w:val="auto"/>
          <w:highlight w:val="none"/>
        </w:rPr>
      </w:pPr>
      <w:r>
        <w:rPr>
          <w:rFonts w:hint="eastAsia"/>
          <w:color w:val="auto"/>
          <w:highlight w:val="none"/>
        </w:rPr>
        <w:t>本招标文件包括：</w:t>
      </w:r>
    </w:p>
    <w:p w14:paraId="1CADE924">
      <w:pPr>
        <w:ind w:firstLine="480"/>
        <w:rPr>
          <w:rFonts w:hint="eastAsia"/>
          <w:color w:val="auto"/>
          <w:highlight w:val="none"/>
        </w:rPr>
      </w:pPr>
      <w:r>
        <w:rPr>
          <w:rFonts w:hint="eastAsia"/>
          <w:color w:val="auto"/>
          <w:highlight w:val="none"/>
        </w:rPr>
        <w:t>（1）招标公告；</w:t>
      </w:r>
    </w:p>
    <w:p w14:paraId="7C17D476">
      <w:pPr>
        <w:ind w:firstLine="480"/>
        <w:rPr>
          <w:rFonts w:hint="eastAsia"/>
          <w:color w:val="auto"/>
          <w:highlight w:val="none"/>
        </w:rPr>
      </w:pPr>
      <w:r>
        <w:rPr>
          <w:rFonts w:hint="eastAsia"/>
          <w:color w:val="auto"/>
          <w:highlight w:val="none"/>
        </w:rPr>
        <w:t>（2）投标人须知；</w:t>
      </w:r>
    </w:p>
    <w:p w14:paraId="2F86715F">
      <w:pPr>
        <w:ind w:firstLine="480"/>
        <w:rPr>
          <w:rFonts w:hint="eastAsia"/>
          <w:color w:val="auto"/>
          <w:highlight w:val="none"/>
        </w:rPr>
      </w:pPr>
      <w:r>
        <w:rPr>
          <w:rFonts w:hint="eastAsia"/>
          <w:color w:val="auto"/>
          <w:highlight w:val="none"/>
        </w:rPr>
        <w:t>（3）评标办法；</w:t>
      </w:r>
    </w:p>
    <w:p w14:paraId="6DEE7AFA">
      <w:pPr>
        <w:ind w:firstLine="480"/>
        <w:rPr>
          <w:rFonts w:hint="eastAsia"/>
          <w:color w:val="auto"/>
          <w:highlight w:val="none"/>
        </w:rPr>
      </w:pPr>
      <w:r>
        <w:rPr>
          <w:rFonts w:hint="eastAsia"/>
          <w:color w:val="auto"/>
          <w:highlight w:val="none"/>
        </w:rPr>
        <w:t>（4）合同条款及格式；</w:t>
      </w:r>
    </w:p>
    <w:p w14:paraId="36D51A37">
      <w:pPr>
        <w:ind w:firstLine="480"/>
        <w:rPr>
          <w:rFonts w:hint="eastAsia"/>
          <w:color w:val="auto"/>
          <w:highlight w:val="none"/>
        </w:rPr>
      </w:pPr>
      <w:r>
        <w:rPr>
          <w:rFonts w:hint="eastAsia"/>
          <w:color w:val="auto"/>
          <w:highlight w:val="none"/>
        </w:rPr>
        <w:t>（5）委托人要求；</w:t>
      </w:r>
    </w:p>
    <w:p w14:paraId="296347EB">
      <w:pPr>
        <w:ind w:firstLine="480"/>
        <w:rPr>
          <w:rFonts w:hint="eastAsia"/>
          <w:color w:val="auto"/>
          <w:highlight w:val="none"/>
        </w:rPr>
      </w:pPr>
      <w:r>
        <w:rPr>
          <w:rFonts w:hint="eastAsia"/>
          <w:color w:val="auto"/>
          <w:highlight w:val="none"/>
        </w:rPr>
        <w:t>（6）投标文件格式；</w:t>
      </w:r>
    </w:p>
    <w:p w14:paraId="43D1D123">
      <w:pPr>
        <w:ind w:firstLine="480"/>
        <w:rPr>
          <w:rFonts w:hint="eastAsia"/>
          <w:color w:val="auto"/>
          <w:highlight w:val="none"/>
        </w:rPr>
      </w:pPr>
      <w:r>
        <w:rPr>
          <w:rFonts w:hint="eastAsia"/>
          <w:color w:val="auto"/>
          <w:highlight w:val="none"/>
        </w:rPr>
        <w:t>（7）投标人须知前附表规定的其他材料。</w:t>
      </w:r>
    </w:p>
    <w:p w14:paraId="0E88C2BC">
      <w:pPr>
        <w:ind w:firstLine="480"/>
        <w:rPr>
          <w:rFonts w:hint="eastAsia"/>
          <w:color w:val="auto"/>
          <w:highlight w:val="none"/>
        </w:rPr>
      </w:pPr>
      <w:r>
        <w:rPr>
          <w:rFonts w:hint="eastAsia"/>
          <w:color w:val="auto"/>
          <w:highlight w:val="none"/>
        </w:rPr>
        <w:t>根据本章第1.10款、第2.2款和第2.3款对招标文件所作的澄清、修改，构成招标文件的组成部分。</w:t>
      </w:r>
    </w:p>
    <w:p w14:paraId="242064DF">
      <w:pPr>
        <w:ind w:firstLine="480"/>
        <w:rPr>
          <w:rFonts w:hint="eastAsia"/>
          <w:color w:val="auto"/>
          <w:highlight w:val="none"/>
        </w:rPr>
      </w:pPr>
      <w:r>
        <w:rPr>
          <w:rFonts w:hint="eastAsia"/>
          <w:color w:val="auto"/>
          <w:highlight w:val="none"/>
        </w:rPr>
        <w:t>当招标文件、招标文件的澄清或修改等在同一内容的表述上不一致时，以最后发出的文件为准。</w:t>
      </w:r>
    </w:p>
    <w:p w14:paraId="3A54BCA7">
      <w:pPr>
        <w:pStyle w:val="7"/>
        <w:spacing w:before="240" w:after="240"/>
        <w:ind w:firstLine="0" w:firstLineChars="0"/>
        <w:rPr>
          <w:color w:val="auto"/>
          <w:highlight w:val="none"/>
        </w:rPr>
      </w:pPr>
      <w:r>
        <w:rPr>
          <w:color w:val="auto"/>
          <w:highlight w:val="none"/>
        </w:rPr>
        <w:t xml:space="preserve">2.2 </w:t>
      </w:r>
      <w:r>
        <w:rPr>
          <w:rFonts w:hint="eastAsia"/>
          <w:color w:val="auto"/>
          <w:highlight w:val="none"/>
        </w:rPr>
        <w:t>招标文件的澄清</w:t>
      </w:r>
    </w:p>
    <w:p w14:paraId="1D873751">
      <w:pPr>
        <w:ind w:firstLine="480"/>
        <w:rPr>
          <w:rFonts w:hint="eastAsia"/>
          <w:color w:val="auto"/>
          <w:highlight w:val="none"/>
        </w:rPr>
      </w:pPr>
      <w:r>
        <w:rPr>
          <w:rFonts w:hint="eastAsia"/>
          <w:color w:val="auto"/>
          <w:highlight w:val="none"/>
        </w:rPr>
        <w:t>2.2.1 投标人应仔细阅读和检查招标文件的全部内容。如有疑问，应按照投标人须知前附表规定的时间和形式向招标人发出对招标文件进行澄清的要求。</w:t>
      </w:r>
    </w:p>
    <w:p w14:paraId="735FEFBC">
      <w:pPr>
        <w:ind w:firstLine="480"/>
        <w:rPr>
          <w:rFonts w:hint="eastAsia"/>
          <w:color w:val="auto"/>
          <w:highlight w:val="none"/>
        </w:rPr>
      </w:pPr>
      <w:r>
        <w:rPr>
          <w:rFonts w:hint="eastAsia"/>
          <w:color w:val="auto"/>
          <w:highlight w:val="none"/>
        </w:rPr>
        <w:t>2.2.2 招标人对招标文件进行澄清的，以投标人须知前附表规定的形式向所有获取招标文件的投标人发出澄清文件，澄清文件一经发出则视为送达所有获取招标文件的投标人。因投标人未及时查阅上述澄清文件而导致的后果由投标人自行承担。</w:t>
      </w:r>
    </w:p>
    <w:p w14:paraId="2F18CD16">
      <w:pPr>
        <w:ind w:firstLine="480"/>
        <w:rPr>
          <w:rFonts w:hint="eastAsia"/>
          <w:color w:val="auto"/>
          <w:highlight w:val="none"/>
        </w:rPr>
      </w:pPr>
      <w:r>
        <w:rPr>
          <w:rFonts w:hint="eastAsia"/>
          <w:color w:val="auto"/>
          <w:highlight w:val="none"/>
        </w:rPr>
        <w:t>2.2.3 澄清文件发出的时间距投标截止时间不足15日的，并且澄清内容可能影响投标文件编制的，招标人将相应顺延投标截止时间。</w:t>
      </w:r>
    </w:p>
    <w:p w14:paraId="1D0AAD48">
      <w:pPr>
        <w:ind w:firstLine="480"/>
        <w:rPr>
          <w:rFonts w:hint="eastAsia"/>
          <w:color w:val="auto"/>
          <w:highlight w:val="none"/>
        </w:rPr>
      </w:pPr>
      <w:r>
        <w:rPr>
          <w:rFonts w:hint="eastAsia"/>
          <w:color w:val="auto"/>
          <w:highlight w:val="none"/>
        </w:rPr>
        <w:t>2.2.4 除非招标人认为确有必要答复，否则，招标人有权拒绝回复投标人在本章第2.2.1项规定的时间后提出的任何澄清要求。</w:t>
      </w:r>
    </w:p>
    <w:p w14:paraId="6D0BD192">
      <w:pPr>
        <w:pStyle w:val="7"/>
        <w:spacing w:before="240" w:after="240"/>
        <w:ind w:firstLine="0" w:firstLineChars="0"/>
        <w:rPr>
          <w:color w:val="auto"/>
          <w:highlight w:val="none"/>
        </w:rPr>
      </w:pPr>
      <w:bookmarkStart w:id="127" w:name="_Toc352691479"/>
      <w:r>
        <w:rPr>
          <w:color w:val="auto"/>
          <w:highlight w:val="none"/>
        </w:rPr>
        <w:t xml:space="preserve">2.3 </w:t>
      </w:r>
      <w:r>
        <w:rPr>
          <w:rFonts w:hint="eastAsia"/>
          <w:color w:val="auto"/>
          <w:highlight w:val="none"/>
        </w:rPr>
        <w:t>招标文件的修</w:t>
      </w:r>
      <w:bookmarkStart w:id="128" w:name="_Toc16514"/>
      <w:bookmarkStart w:id="129" w:name="_Toc369531521"/>
      <w:r>
        <w:rPr>
          <w:rFonts w:hint="eastAsia"/>
          <w:color w:val="auto"/>
          <w:highlight w:val="none"/>
        </w:rPr>
        <w:t>改</w:t>
      </w:r>
    </w:p>
    <w:p w14:paraId="26C9D2B9">
      <w:pPr>
        <w:ind w:firstLine="480"/>
        <w:rPr>
          <w:rFonts w:hint="eastAsia"/>
          <w:color w:val="auto"/>
          <w:highlight w:val="none"/>
        </w:rPr>
      </w:pPr>
      <w:r>
        <w:rPr>
          <w:rFonts w:hint="eastAsia"/>
          <w:color w:val="auto"/>
          <w:highlight w:val="none"/>
        </w:rPr>
        <w:t>2.3.1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bookmarkEnd w:id="127"/>
    <w:bookmarkEnd w:id="128"/>
    <w:bookmarkEnd w:id="129"/>
    <w:p w14:paraId="54454038">
      <w:pPr>
        <w:ind w:firstLine="480"/>
        <w:rPr>
          <w:rFonts w:hint="eastAsia"/>
          <w:color w:val="auto"/>
          <w:highlight w:val="none"/>
        </w:rPr>
      </w:pPr>
      <w:r>
        <w:rPr>
          <w:rFonts w:hint="eastAsia"/>
          <w:color w:val="auto"/>
          <w:highlight w:val="none"/>
        </w:rPr>
        <w:t xml:space="preserve">2.3.2 </w:t>
      </w:r>
      <w:bookmarkStart w:id="130" w:name="_Toc247527564"/>
      <w:bookmarkStart w:id="131" w:name="_Toc369531526"/>
      <w:bookmarkStart w:id="132" w:name="_Toc247513963"/>
      <w:bookmarkStart w:id="133" w:name="_Toc144974508"/>
      <w:bookmarkStart w:id="134" w:name="_Toc384308220"/>
      <w:bookmarkStart w:id="135" w:name="_Toc152042316"/>
      <w:bookmarkStart w:id="136" w:name="_Toc300834960"/>
      <w:bookmarkStart w:id="137" w:name="_Toc152045540"/>
      <w:bookmarkStart w:id="138" w:name="_Toc352691484"/>
      <w:bookmarkStart w:id="139" w:name="_Toc16623"/>
      <w:bookmarkStart w:id="140" w:name="_Toc361508595"/>
      <w:r>
        <w:rPr>
          <w:rFonts w:hint="eastAsia"/>
          <w:color w:val="auto"/>
          <w:highlight w:val="none"/>
        </w:rPr>
        <w:t>修改文件发出的时间距投标截止时间不足15日的，并且修改内容可能影响投标文件编制的，招标人将相应顺延投标截止时间。</w:t>
      </w:r>
    </w:p>
    <w:p w14:paraId="0E4258B3">
      <w:pPr>
        <w:pStyle w:val="7"/>
        <w:spacing w:before="240" w:after="240"/>
        <w:ind w:firstLine="0" w:firstLineChars="0"/>
        <w:rPr>
          <w:color w:val="auto"/>
          <w:highlight w:val="none"/>
        </w:rPr>
      </w:pPr>
      <w:r>
        <w:rPr>
          <w:color w:val="auto"/>
          <w:highlight w:val="none"/>
        </w:rPr>
        <w:t>2.</w:t>
      </w:r>
      <w:bookmarkEnd w:id="130"/>
      <w:bookmarkEnd w:id="131"/>
      <w:bookmarkEnd w:id="132"/>
      <w:bookmarkEnd w:id="133"/>
      <w:bookmarkEnd w:id="134"/>
      <w:bookmarkEnd w:id="135"/>
      <w:bookmarkEnd w:id="136"/>
      <w:bookmarkEnd w:id="137"/>
      <w:bookmarkEnd w:id="138"/>
      <w:bookmarkEnd w:id="139"/>
      <w:bookmarkEnd w:id="140"/>
      <w:r>
        <w:rPr>
          <w:color w:val="auto"/>
          <w:highlight w:val="none"/>
        </w:rPr>
        <w:t xml:space="preserve">4 </w:t>
      </w:r>
      <w:r>
        <w:rPr>
          <w:rFonts w:hint="eastAsia"/>
          <w:color w:val="auto"/>
          <w:highlight w:val="none"/>
        </w:rPr>
        <w:t>招标文件的异议</w:t>
      </w:r>
    </w:p>
    <w:p w14:paraId="037B3B69">
      <w:pPr>
        <w:ind w:firstLine="480"/>
        <w:rPr>
          <w:rFonts w:hint="eastAsia"/>
          <w:color w:val="auto"/>
          <w:highlight w:val="none"/>
        </w:rPr>
      </w:pPr>
      <w:r>
        <w:rPr>
          <w:rFonts w:hint="eastAsia"/>
          <w:color w:val="auto"/>
          <w:highlight w:val="none"/>
        </w:rPr>
        <w:t>投标人或者其他利害关系人对招标文件有异议的，应在投标截止时间10日前通过电子交易系统在线提出或以其他书面形式提出。招标人将在收到异议之日起3日内作出答复；作出答复前，将暂停招标投标活动。</w:t>
      </w:r>
    </w:p>
    <w:p w14:paraId="5BB0C94A">
      <w:pPr>
        <w:pStyle w:val="6"/>
        <w:spacing w:before="240" w:after="240"/>
        <w:ind w:firstLine="0" w:firstLineChars="0"/>
        <w:rPr>
          <w:color w:val="auto"/>
          <w:highlight w:val="none"/>
        </w:rPr>
      </w:pPr>
      <w:bookmarkStart w:id="141" w:name="_Toc30879"/>
      <w:bookmarkStart w:id="142" w:name="_Toc18081"/>
      <w:bookmarkStart w:id="143" w:name="_Toc21981"/>
      <w:bookmarkStart w:id="144" w:name="_Toc28239"/>
      <w:r>
        <w:rPr>
          <w:color w:val="auto"/>
          <w:highlight w:val="none"/>
        </w:rPr>
        <w:t xml:space="preserve">3. </w:t>
      </w:r>
      <w:r>
        <w:rPr>
          <w:rFonts w:hint="eastAsia"/>
          <w:color w:val="auto"/>
          <w:highlight w:val="none"/>
        </w:rPr>
        <w:t>投标文件</w:t>
      </w:r>
      <w:bookmarkEnd w:id="141"/>
      <w:bookmarkEnd w:id="142"/>
      <w:bookmarkEnd w:id="143"/>
      <w:bookmarkEnd w:id="144"/>
    </w:p>
    <w:p w14:paraId="4B160220">
      <w:pPr>
        <w:pStyle w:val="7"/>
        <w:spacing w:before="240" w:after="240"/>
        <w:ind w:firstLine="0" w:firstLineChars="0"/>
        <w:rPr>
          <w:color w:val="auto"/>
          <w:highlight w:val="none"/>
        </w:rPr>
      </w:pPr>
      <w:r>
        <w:rPr>
          <w:color w:val="auto"/>
          <w:highlight w:val="none"/>
        </w:rPr>
        <w:t xml:space="preserve">3.1 </w:t>
      </w:r>
      <w:r>
        <w:rPr>
          <w:rFonts w:hint="eastAsia"/>
          <w:color w:val="auto"/>
          <w:highlight w:val="none"/>
        </w:rPr>
        <w:t>投标文件的组成</w:t>
      </w:r>
    </w:p>
    <w:p w14:paraId="13D2B00B">
      <w:pPr>
        <w:ind w:firstLine="480"/>
        <w:rPr>
          <w:rFonts w:hint="eastAsia"/>
          <w:color w:val="auto"/>
          <w:highlight w:val="none"/>
        </w:rPr>
      </w:pPr>
      <w:r>
        <w:rPr>
          <w:rFonts w:hint="eastAsia"/>
          <w:color w:val="auto"/>
          <w:highlight w:val="none"/>
        </w:rPr>
        <w:t>3.1.1 投标文件应包括下列内容：</w:t>
      </w:r>
    </w:p>
    <w:p w14:paraId="692380AB">
      <w:pPr>
        <w:ind w:firstLine="480"/>
        <w:rPr>
          <w:rFonts w:hint="eastAsia"/>
          <w:color w:val="auto"/>
          <w:highlight w:val="none"/>
        </w:rPr>
      </w:pPr>
      <w:r>
        <w:rPr>
          <w:rFonts w:hint="eastAsia"/>
          <w:color w:val="auto"/>
          <w:highlight w:val="none"/>
        </w:rPr>
        <w:t>（1）商务文件</w:t>
      </w:r>
    </w:p>
    <w:p w14:paraId="3219F028">
      <w:pPr>
        <w:ind w:firstLine="480"/>
        <w:rPr>
          <w:rFonts w:hint="eastAsia"/>
          <w:color w:val="auto"/>
          <w:highlight w:val="none"/>
        </w:rPr>
      </w:pPr>
      <w:r>
        <w:rPr>
          <w:rFonts w:hint="eastAsia"/>
          <w:color w:val="auto"/>
          <w:highlight w:val="none"/>
        </w:rPr>
        <w:t>（2）技术文件</w:t>
      </w:r>
    </w:p>
    <w:p w14:paraId="0758C647">
      <w:pPr>
        <w:ind w:firstLine="480"/>
        <w:rPr>
          <w:rFonts w:hint="eastAsia"/>
          <w:color w:val="auto"/>
          <w:highlight w:val="none"/>
        </w:rPr>
      </w:pPr>
      <w:r>
        <w:rPr>
          <w:rFonts w:hint="eastAsia"/>
          <w:color w:val="auto"/>
          <w:highlight w:val="none"/>
        </w:rPr>
        <w:t>（3）报价文件</w:t>
      </w:r>
    </w:p>
    <w:p w14:paraId="5AD4E023">
      <w:pPr>
        <w:ind w:firstLine="480"/>
        <w:rPr>
          <w:rFonts w:hint="eastAsia"/>
          <w:color w:val="auto"/>
          <w:highlight w:val="none"/>
        </w:rPr>
      </w:pPr>
      <w:r>
        <w:rPr>
          <w:rFonts w:hint="eastAsia"/>
          <w:color w:val="auto"/>
          <w:highlight w:val="none"/>
        </w:rPr>
        <w:t>3.1.2 投标人在评标过程中作出的符合法律法规和招标文件规定的澄清、说明和确认，构成投标文件的组成部分。</w:t>
      </w:r>
    </w:p>
    <w:p w14:paraId="7C065150">
      <w:pPr>
        <w:pStyle w:val="7"/>
        <w:spacing w:before="240" w:after="240"/>
        <w:ind w:firstLine="0" w:firstLineChars="0"/>
        <w:rPr>
          <w:color w:val="auto"/>
          <w:highlight w:val="none"/>
        </w:rPr>
      </w:pPr>
      <w:r>
        <w:rPr>
          <w:color w:val="auto"/>
          <w:highlight w:val="none"/>
        </w:rPr>
        <w:t xml:space="preserve">3.2 </w:t>
      </w:r>
      <w:r>
        <w:rPr>
          <w:rFonts w:hint="eastAsia"/>
          <w:color w:val="auto"/>
          <w:highlight w:val="none"/>
        </w:rPr>
        <w:t>投标报价</w:t>
      </w:r>
    </w:p>
    <w:p w14:paraId="55326836">
      <w:pPr>
        <w:ind w:firstLine="480"/>
        <w:rPr>
          <w:rFonts w:hint="eastAsia"/>
          <w:color w:val="auto"/>
          <w:highlight w:val="none"/>
        </w:rPr>
      </w:pPr>
      <w:r>
        <w:rPr>
          <w:rFonts w:hint="eastAsia"/>
          <w:color w:val="auto"/>
          <w:highlight w:val="none"/>
        </w:rPr>
        <w:t>3.2.1 投标报价应包括国家规定的增值税税金，除投标人须知前附表另有规定外，增值税税金按照一般计税方法计算。投标人应按照第六章“投标文件格式”的要求在报价文件投标函中进行报价并填写监理报酬清单。</w:t>
      </w:r>
    </w:p>
    <w:p w14:paraId="5505F2B2">
      <w:pPr>
        <w:ind w:firstLine="480"/>
        <w:rPr>
          <w:rFonts w:hint="eastAsia"/>
          <w:color w:val="auto"/>
          <w:highlight w:val="none"/>
        </w:rPr>
      </w:pPr>
      <w:r>
        <w:rPr>
          <w:rFonts w:hint="eastAsia"/>
          <w:color w:val="auto"/>
          <w:highlight w:val="none"/>
        </w:rPr>
        <w:t>3.2.2 投标人应充分了解本项目的总体情况以及影响投标报价的其他要素。</w:t>
      </w:r>
    </w:p>
    <w:p w14:paraId="64475C35">
      <w:pPr>
        <w:ind w:firstLine="480"/>
        <w:rPr>
          <w:rFonts w:hint="eastAsia"/>
          <w:color w:val="auto"/>
          <w:highlight w:val="none"/>
        </w:rPr>
      </w:pPr>
      <w:r>
        <w:rPr>
          <w:rFonts w:hint="eastAsia"/>
          <w:color w:val="auto"/>
          <w:highlight w:val="none"/>
        </w:rPr>
        <w:t>3.2.3</w:t>
      </w:r>
      <w:bookmarkStart w:id="145" w:name="_Toc361508599"/>
      <w:bookmarkEnd w:id="145"/>
      <w:bookmarkStart w:id="146" w:name="_Toc144974511"/>
      <w:bookmarkEnd w:id="146"/>
      <w:bookmarkStart w:id="147" w:name="_Toc352691487"/>
      <w:bookmarkEnd w:id="147"/>
      <w:bookmarkStart w:id="148" w:name="_Toc300834964"/>
      <w:bookmarkEnd w:id="148"/>
      <w:bookmarkStart w:id="149" w:name="_Toc15242"/>
      <w:bookmarkEnd w:id="149"/>
      <w:bookmarkStart w:id="150" w:name="_Toc247527568"/>
      <w:bookmarkEnd w:id="150"/>
      <w:bookmarkStart w:id="151" w:name="_Toc369531530"/>
      <w:bookmarkEnd w:id="151"/>
      <w:bookmarkStart w:id="152" w:name="_Toc247513967"/>
      <w:bookmarkEnd w:id="152"/>
      <w:bookmarkStart w:id="153" w:name="_Toc384308224"/>
      <w:bookmarkEnd w:id="153"/>
      <w:bookmarkStart w:id="154" w:name="_Toc152042319"/>
      <w:bookmarkEnd w:id="154"/>
      <w:bookmarkStart w:id="155" w:name="_Toc152045543"/>
      <w:bookmarkEnd w:id="155"/>
      <w:r>
        <w:rPr>
          <w:rFonts w:hint="eastAsia"/>
          <w:color w:val="auto"/>
          <w:highlight w:val="none"/>
        </w:rPr>
        <w:t xml:space="preserve"> 本项目的报价方式见投标人须知前附表。投标人在投标截止时间前修改报价文件投标函中的投标报价，应同时修改投标文件“监理报酬清单”中的相应报价。此修改须符合本章第4.3款的有关要求。</w:t>
      </w:r>
    </w:p>
    <w:p w14:paraId="63B372DC">
      <w:pPr>
        <w:ind w:firstLine="480"/>
        <w:rPr>
          <w:rFonts w:hint="eastAsia"/>
          <w:color w:val="auto"/>
          <w:highlight w:val="none"/>
        </w:rPr>
      </w:pPr>
      <w:r>
        <w:rPr>
          <w:rFonts w:hint="eastAsia"/>
          <w:color w:val="auto"/>
          <w:highlight w:val="none"/>
        </w:rPr>
        <w:t>3.2.4 招标人设有最高投标限价的，投标人的投标报价不得超过最高投标限价，最高投标限价在投标</w:t>
      </w:r>
      <w:bookmarkStart w:id="156" w:name="_Toc361508600"/>
      <w:bookmarkStart w:id="157" w:name="_Toc247527569"/>
      <w:bookmarkStart w:id="158" w:name="_Toc152045544"/>
      <w:bookmarkStart w:id="159" w:name="_Toc300834965"/>
      <w:bookmarkStart w:id="160" w:name="_Toc352691488"/>
      <w:bookmarkStart w:id="161" w:name="_Toc369531531"/>
      <w:bookmarkStart w:id="162" w:name="_Toc152042320"/>
      <w:bookmarkStart w:id="163" w:name="_Toc10429"/>
      <w:bookmarkStart w:id="164" w:name="_Toc247513968"/>
      <w:bookmarkStart w:id="165" w:name="_Toc384308225"/>
      <w:bookmarkStart w:id="166" w:name="_Toc144974512"/>
      <w:r>
        <w:rPr>
          <w:rFonts w:hint="eastAsia"/>
          <w:color w:val="auto"/>
          <w:highlight w:val="none"/>
        </w:rPr>
        <w:t>人须知前附表中载明。</w:t>
      </w:r>
      <w:bookmarkEnd w:id="156"/>
      <w:bookmarkEnd w:id="157"/>
      <w:bookmarkEnd w:id="158"/>
      <w:bookmarkEnd w:id="159"/>
      <w:bookmarkEnd w:id="160"/>
      <w:bookmarkEnd w:id="161"/>
      <w:bookmarkEnd w:id="162"/>
      <w:bookmarkEnd w:id="163"/>
      <w:bookmarkEnd w:id="164"/>
      <w:bookmarkEnd w:id="165"/>
      <w:bookmarkEnd w:id="166"/>
    </w:p>
    <w:p w14:paraId="54A277E3">
      <w:pPr>
        <w:ind w:firstLine="480"/>
        <w:rPr>
          <w:rFonts w:hint="eastAsia"/>
          <w:color w:val="auto"/>
          <w:highlight w:val="none"/>
        </w:rPr>
      </w:pPr>
      <w:r>
        <w:rPr>
          <w:rFonts w:hint="eastAsia"/>
          <w:color w:val="auto"/>
          <w:highlight w:val="none"/>
        </w:rPr>
        <w:t>3.2.5 投标报价的其他要求见投标人须知前附表。</w:t>
      </w:r>
    </w:p>
    <w:p w14:paraId="7838FDC2">
      <w:pPr>
        <w:pStyle w:val="7"/>
        <w:spacing w:before="240" w:after="240"/>
        <w:ind w:firstLine="0" w:firstLineChars="0"/>
        <w:rPr>
          <w:color w:val="auto"/>
          <w:highlight w:val="none"/>
        </w:rPr>
      </w:pPr>
      <w:r>
        <w:rPr>
          <w:color w:val="auto"/>
          <w:highlight w:val="none"/>
        </w:rPr>
        <w:t xml:space="preserve">3.3 </w:t>
      </w:r>
      <w:r>
        <w:rPr>
          <w:rFonts w:hint="eastAsia"/>
          <w:color w:val="auto"/>
          <w:highlight w:val="none"/>
        </w:rPr>
        <w:t>投标有效期</w:t>
      </w:r>
    </w:p>
    <w:p w14:paraId="2A4A666A">
      <w:pPr>
        <w:ind w:firstLine="480"/>
        <w:rPr>
          <w:color w:val="auto"/>
          <w:highlight w:val="none"/>
        </w:rPr>
      </w:pPr>
      <w:r>
        <w:rPr>
          <w:color w:val="auto"/>
          <w:highlight w:val="none"/>
        </w:rPr>
        <w:t>3.3.1</w:t>
      </w:r>
      <w:r>
        <w:rPr>
          <w:rFonts w:hint="eastAsia"/>
          <w:color w:val="auto"/>
          <w:highlight w:val="none"/>
        </w:rPr>
        <w:t xml:space="preserve"> 除投标人须知前附表另有规定外，投标有效期为120日。</w:t>
      </w:r>
    </w:p>
    <w:p w14:paraId="1FAF7DC7">
      <w:pPr>
        <w:ind w:firstLine="480"/>
        <w:rPr>
          <w:color w:val="auto"/>
          <w:highlight w:val="none"/>
        </w:rPr>
      </w:pPr>
      <w:r>
        <w:rPr>
          <w:color w:val="auto"/>
          <w:highlight w:val="none"/>
        </w:rPr>
        <w:t>3.3.2</w:t>
      </w:r>
      <w:r>
        <w:rPr>
          <w:rFonts w:hint="eastAsia"/>
          <w:color w:val="auto"/>
          <w:highlight w:val="none"/>
        </w:rPr>
        <w:t xml:space="preserve"> 在投标有效期内，投标人撤销投标文件的，应承担招标文件和法律规定的责任。</w:t>
      </w:r>
    </w:p>
    <w:p w14:paraId="58D6C7D9">
      <w:pPr>
        <w:ind w:firstLine="480"/>
        <w:rPr>
          <w:color w:val="auto"/>
          <w:highlight w:val="none"/>
        </w:rPr>
      </w:pPr>
      <w:r>
        <w:rPr>
          <w:color w:val="auto"/>
          <w:highlight w:val="none"/>
        </w:rPr>
        <w:t>3.3.3</w:t>
      </w:r>
      <w:r>
        <w:rPr>
          <w:rFonts w:hint="eastAsia"/>
          <w:color w:val="auto"/>
          <w:highlight w:val="none"/>
        </w:rPr>
        <w:t xml:space="preserve">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5BED1DC2">
      <w:pPr>
        <w:pStyle w:val="7"/>
        <w:spacing w:before="240" w:after="240"/>
        <w:ind w:firstLine="0" w:firstLineChars="0"/>
        <w:rPr>
          <w:color w:val="auto"/>
          <w:highlight w:val="none"/>
        </w:rPr>
      </w:pPr>
      <w:r>
        <w:rPr>
          <w:color w:val="auto"/>
          <w:highlight w:val="none"/>
        </w:rPr>
        <w:t>3.4 投标保证金</w:t>
      </w:r>
    </w:p>
    <w:p w14:paraId="3C2221B9">
      <w:pPr>
        <w:ind w:firstLine="480"/>
        <w:rPr>
          <w:rFonts w:hint="eastAsia"/>
          <w:color w:val="auto"/>
          <w:highlight w:val="none"/>
        </w:rPr>
      </w:pPr>
      <w:r>
        <w:rPr>
          <w:rFonts w:hint="eastAsia"/>
          <w:color w:val="auto"/>
          <w:highlight w:val="none"/>
        </w:rPr>
        <w:t>3.4.1招标人在投标人须知前附表中要求投标人提交投标保证金的，投标人在递交投标文件的同时，应按照投标人须知前附表规定的金额、形式和第六章“投标文件格式”规定的投标保证金格式提交投标保证金，并作为其投标文件的组成部分。</w:t>
      </w:r>
    </w:p>
    <w:p w14:paraId="45F343B2">
      <w:pPr>
        <w:ind w:firstLine="480"/>
        <w:rPr>
          <w:rFonts w:hint="eastAsia"/>
          <w:color w:val="auto"/>
          <w:highlight w:val="none"/>
        </w:rPr>
      </w:pPr>
      <w:r>
        <w:rPr>
          <w:rFonts w:hint="eastAsia"/>
          <w:color w:val="auto"/>
          <w:highlight w:val="none"/>
        </w:rPr>
        <w:t>境内投标人以现金（银行转账、银行电汇）形式提交的投标保证金应当从其基本存款账户转出。联合体投标的，其投标保证金由牵头人递交，并应符合投标人须知前附表的规定。</w:t>
      </w:r>
    </w:p>
    <w:p w14:paraId="74FB7194">
      <w:pPr>
        <w:ind w:firstLine="480"/>
        <w:rPr>
          <w:rFonts w:hint="eastAsia"/>
          <w:color w:val="auto"/>
          <w:highlight w:val="none"/>
        </w:rPr>
      </w:pPr>
      <w:r>
        <w:rPr>
          <w:rFonts w:hint="eastAsia"/>
          <w:color w:val="auto"/>
          <w:highlight w:val="none"/>
        </w:rPr>
        <w:t>无论采取何种形式的投标保证金，投标保证金有效期均应与投标有效期一致。招标人如果按照本章第3.3.3项的规定延长了投标有效期，则投标保证金的有效期也相应延长。</w:t>
      </w:r>
    </w:p>
    <w:p w14:paraId="4F4F99BA">
      <w:pPr>
        <w:ind w:firstLine="480"/>
        <w:rPr>
          <w:color w:val="auto"/>
          <w:highlight w:val="none"/>
        </w:rPr>
      </w:pPr>
      <w:r>
        <w:rPr>
          <w:color w:val="auto"/>
          <w:highlight w:val="none"/>
        </w:rPr>
        <w:t>3.4.2 投标人不</w:t>
      </w:r>
      <w:r>
        <w:rPr>
          <w:rFonts w:hint="eastAsia"/>
          <w:color w:val="auto"/>
          <w:highlight w:val="none"/>
        </w:rPr>
        <w:t>按照</w:t>
      </w:r>
      <w:r>
        <w:rPr>
          <w:color w:val="auto"/>
          <w:highlight w:val="none"/>
        </w:rPr>
        <w:t>本章第3.4.1项</w:t>
      </w:r>
      <w:bookmarkStart w:id="167" w:name="_Toc384308227"/>
      <w:bookmarkStart w:id="168" w:name="_Toc361508602"/>
      <w:bookmarkStart w:id="169" w:name="_Toc29025"/>
      <w:bookmarkStart w:id="170" w:name="_Toc352691490"/>
      <w:bookmarkStart w:id="171" w:name="_Toc369531533"/>
      <w:r>
        <w:rPr>
          <w:color w:val="auto"/>
          <w:highlight w:val="none"/>
        </w:rPr>
        <w:t>要求提交投标保证金的，</w:t>
      </w:r>
      <w:bookmarkEnd w:id="167"/>
      <w:bookmarkEnd w:id="168"/>
      <w:bookmarkEnd w:id="169"/>
      <w:bookmarkEnd w:id="170"/>
      <w:bookmarkEnd w:id="171"/>
      <w:r>
        <w:rPr>
          <w:color w:val="auto"/>
          <w:highlight w:val="none"/>
        </w:rPr>
        <w:t>评标委员会将否决其投标。</w:t>
      </w:r>
    </w:p>
    <w:p w14:paraId="3044C082">
      <w:pPr>
        <w:ind w:firstLine="480"/>
        <w:rPr>
          <w:color w:val="auto"/>
          <w:highlight w:val="none"/>
        </w:rPr>
      </w:pPr>
      <w:r>
        <w:rPr>
          <w:rFonts w:hint="eastAsia"/>
          <w:color w:val="auto"/>
          <w:highlight w:val="none"/>
        </w:rPr>
        <w:t>3.4.3 除投标人须知前附表另有规定外，招标人最迟将在中标通知书发出后5日内向中标候选人以外的其他投标人退还投标保证金，与中标人签订合同后5日内向中标人和其他中标候选人退还投标保证金。投标保证金以</w:t>
      </w:r>
      <w:r>
        <w:rPr>
          <w:rFonts w:hint="eastAsia" w:ascii="宋体" w:hAnsi="宋体" w:cs="宋体"/>
          <w:bCs/>
          <w:snapToGrid w:val="0"/>
          <w:color w:val="auto"/>
          <w:szCs w:val="24"/>
          <w:highlight w:val="none"/>
        </w:rPr>
        <w:t>现金（银行转账、银行电汇）形式提交</w:t>
      </w:r>
      <w:r>
        <w:rPr>
          <w:rFonts w:hint="eastAsia"/>
          <w:color w:val="auto"/>
          <w:highlight w:val="none"/>
        </w:rPr>
        <w:t>的，招标人应同时退还投标保证金的银行同期活期存款利息，且退还至投标人的基本存款账户。其他形式的投标保证金，在投标有效期届满时自动失效的，无需退还。</w:t>
      </w:r>
    </w:p>
    <w:p w14:paraId="218ABAA1">
      <w:pPr>
        <w:ind w:firstLine="480"/>
        <w:rPr>
          <w:rFonts w:hint="eastAsia"/>
          <w:color w:val="auto"/>
          <w:highlight w:val="none"/>
        </w:rPr>
      </w:pPr>
      <w:r>
        <w:rPr>
          <w:rFonts w:hint="eastAsia"/>
          <w:color w:val="auto"/>
          <w:highlight w:val="none"/>
        </w:rPr>
        <w:t>3.4.4 有下列情形之一的，投标保证金将不予退还：</w:t>
      </w:r>
    </w:p>
    <w:p w14:paraId="362A78B5">
      <w:pPr>
        <w:ind w:firstLine="480"/>
        <w:rPr>
          <w:rFonts w:hint="eastAsia"/>
          <w:color w:val="auto"/>
          <w:highlight w:val="none"/>
        </w:rPr>
      </w:pPr>
      <w:r>
        <w:rPr>
          <w:rFonts w:hint="eastAsia"/>
          <w:color w:val="auto"/>
          <w:highlight w:val="none"/>
        </w:rPr>
        <w:t>（1）投标人在规定的投标有效期内撤销其投标文件；</w:t>
      </w:r>
    </w:p>
    <w:p w14:paraId="1D64A7EB">
      <w:pPr>
        <w:ind w:firstLine="480"/>
        <w:rPr>
          <w:rFonts w:hint="eastAsia"/>
          <w:color w:val="auto"/>
          <w:highlight w:val="none"/>
        </w:rPr>
      </w:pPr>
      <w:r>
        <w:rPr>
          <w:rFonts w:hint="eastAsia"/>
          <w:color w:val="auto"/>
          <w:highlight w:val="none"/>
        </w:rPr>
        <w:t>（2）中标人在收到中标通知书后，无正当理由不与招标人订立合同，或在签订合同时向招标人提出附加条件，或不按照招标文件要求提交履约保证金；</w:t>
      </w:r>
    </w:p>
    <w:p w14:paraId="0FCA3D4D">
      <w:pPr>
        <w:ind w:firstLine="480"/>
        <w:rPr>
          <w:rFonts w:hint="eastAsia"/>
          <w:color w:val="auto"/>
          <w:highlight w:val="none"/>
        </w:rPr>
      </w:pPr>
      <w:r>
        <w:rPr>
          <w:rFonts w:hint="eastAsia"/>
          <w:color w:val="auto"/>
          <w:highlight w:val="none"/>
        </w:rPr>
        <w:t>（3）发生投标人须知前附表规定的其他不予退还投标保证金的情形。</w:t>
      </w:r>
    </w:p>
    <w:p w14:paraId="4EFE83C0">
      <w:pPr>
        <w:pStyle w:val="7"/>
        <w:spacing w:before="240" w:after="240"/>
        <w:ind w:firstLine="0" w:firstLineChars="0"/>
        <w:rPr>
          <w:color w:val="auto"/>
          <w:highlight w:val="none"/>
        </w:rPr>
      </w:pPr>
      <w:r>
        <w:rPr>
          <w:color w:val="auto"/>
          <w:highlight w:val="none"/>
        </w:rPr>
        <w:t>3.5 资格审查资料</w:t>
      </w:r>
    </w:p>
    <w:p w14:paraId="56447E3D">
      <w:pPr>
        <w:ind w:firstLine="480"/>
        <w:rPr>
          <w:color w:val="auto"/>
          <w:highlight w:val="none"/>
        </w:rPr>
      </w:pPr>
      <w:r>
        <w:rPr>
          <w:rFonts w:hint="eastAsia"/>
          <w:color w:val="auto"/>
          <w:highlight w:val="none"/>
        </w:rPr>
        <w:t>3.5.1投标人应按照投标人须知前附表附录要求提供资格审查资料，内容及格式见第六章“投标文件格式”要求。</w:t>
      </w:r>
    </w:p>
    <w:p w14:paraId="7B9DE109">
      <w:pPr>
        <w:ind w:firstLine="480"/>
        <w:rPr>
          <w:color w:val="auto"/>
          <w:highlight w:val="none"/>
        </w:rPr>
      </w:pPr>
      <w:r>
        <w:rPr>
          <w:rFonts w:hint="eastAsia"/>
          <w:color w:val="auto"/>
          <w:highlight w:val="none"/>
        </w:rPr>
        <w:t>3.5.2 投标人须知前附表规定接受联合体投标的，资格审查资料应包括联合体各方相关情况。</w:t>
      </w:r>
    </w:p>
    <w:p w14:paraId="3A4BD6E7">
      <w:pPr>
        <w:ind w:firstLine="480"/>
        <w:rPr>
          <w:color w:val="auto"/>
          <w:highlight w:val="none"/>
        </w:rPr>
      </w:pPr>
      <w:r>
        <w:rPr>
          <w:rFonts w:hint="eastAsia"/>
          <w:color w:val="auto"/>
          <w:highlight w:val="none"/>
        </w:rPr>
        <w:t>3.5.3 招标人有权核查投标人在投标文件中提供的材料，若在评标期间发现投标人提供了虚假材料，其投标将被否决；若在签订合同前发现中标候选人、中标人提供了虚假材料，招标人有权取消其中标候选资格、中标资格。同时招标人将报公共资源交易监督管理部门。</w:t>
      </w:r>
    </w:p>
    <w:p w14:paraId="10E14FA6">
      <w:pPr>
        <w:pStyle w:val="7"/>
        <w:spacing w:before="240" w:after="240"/>
        <w:ind w:firstLine="0" w:firstLineChars="0"/>
        <w:rPr>
          <w:rFonts w:hint="eastAsia"/>
          <w:bCs/>
          <w:color w:val="auto"/>
          <w:highlight w:val="none"/>
        </w:rPr>
      </w:pPr>
      <w:r>
        <w:rPr>
          <w:rFonts w:hint="eastAsia"/>
          <w:color w:val="auto"/>
          <w:highlight w:val="none"/>
        </w:rPr>
        <w:t xml:space="preserve">3.6 </w:t>
      </w:r>
      <w:r>
        <w:rPr>
          <w:rFonts w:hint="eastAsia"/>
          <w:bCs/>
          <w:color w:val="auto"/>
          <w:highlight w:val="none"/>
        </w:rPr>
        <w:t>备选投标方案</w:t>
      </w:r>
    </w:p>
    <w:p w14:paraId="7DCFFDF0">
      <w:pPr>
        <w:ind w:firstLine="480"/>
        <w:rPr>
          <w:rFonts w:hint="eastAsia"/>
          <w:color w:val="auto"/>
          <w:highlight w:val="none"/>
        </w:rPr>
      </w:pPr>
      <w:r>
        <w:rPr>
          <w:rFonts w:hint="eastAsia"/>
          <w:color w:val="auto"/>
          <w:highlight w:val="none"/>
        </w:rPr>
        <w:t>3.6.1 除投标人须知前附表规定允许外，投标人不得递交备选投标方案，否则其投标将被否决。</w:t>
      </w:r>
    </w:p>
    <w:p w14:paraId="6E99AFD6">
      <w:pPr>
        <w:ind w:firstLine="480"/>
        <w:rPr>
          <w:rFonts w:hint="eastAsia"/>
          <w:color w:val="auto"/>
          <w:highlight w:val="none"/>
        </w:rPr>
      </w:pPr>
      <w:r>
        <w:rPr>
          <w:rFonts w:hint="eastAsia"/>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BEDBB1B">
      <w:pPr>
        <w:ind w:firstLine="480"/>
        <w:rPr>
          <w:rFonts w:hint="eastAsia"/>
          <w:color w:val="auto"/>
          <w:highlight w:val="none"/>
        </w:rPr>
      </w:pPr>
      <w:r>
        <w:rPr>
          <w:rFonts w:hint="eastAsia"/>
          <w:color w:val="auto"/>
          <w:highlight w:val="none"/>
        </w:rPr>
        <w:t>3.6.3 投标人提供两个或两个以上投标报价，或在投标文件中提供一个报价，但同时提供两个或两个以上监理大纲的，视为提供备选方案。</w:t>
      </w:r>
    </w:p>
    <w:p w14:paraId="4F58F2E8">
      <w:pPr>
        <w:pStyle w:val="7"/>
        <w:spacing w:before="240" w:after="240"/>
        <w:ind w:firstLine="0" w:firstLineChars="0"/>
        <w:rPr>
          <w:rFonts w:hint="eastAsia"/>
          <w:color w:val="auto"/>
          <w:highlight w:val="none"/>
        </w:rPr>
      </w:pPr>
      <w:bookmarkStart w:id="172" w:name="_Toc152045554"/>
      <w:bookmarkStart w:id="173" w:name="_Toc152042330"/>
      <w:bookmarkStart w:id="174" w:name="_Toc144974522"/>
      <w:bookmarkStart w:id="175" w:name="_Toc179632572"/>
      <w:r>
        <w:rPr>
          <w:rFonts w:hint="eastAsia"/>
          <w:color w:val="auto"/>
          <w:highlight w:val="none"/>
        </w:rPr>
        <w:t>3.7 投标文件的编制</w:t>
      </w:r>
      <w:bookmarkEnd w:id="172"/>
      <w:bookmarkEnd w:id="173"/>
      <w:bookmarkEnd w:id="174"/>
      <w:bookmarkEnd w:id="175"/>
    </w:p>
    <w:p w14:paraId="0937C37D">
      <w:pPr>
        <w:ind w:firstLine="480"/>
        <w:rPr>
          <w:rFonts w:hint="eastAsia"/>
          <w:color w:val="auto"/>
          <w:highlight w:val="none"/>
        </w:rPr>
      </w:pPr>
      <w:r>
        <w:rPr>
          <w:rFonts w:hint="eastAsia"/>
          <w:color w:val="auto"/>
          <w:highlight w:val="none"/>
        </w:rPr>
        <w:t>3.7.1 投标文件应按照第六章“投标文件格式”进行编写，如有必要，可以增加附页，作为投标文件的组成部分。其中，投标函在满足招标文件实质性要求的基础上，可以提出比招标文件要求更有利于招标人的承诺。</w:t>
      </w:r>
      <w:r>
        <w:rPr>
          <w:rFonts w:hint="eastAsia"/>
          <w:bCs/>
          <w:snapToGrid w:val="0"/>
          <w:color w:val="auto"/>
          <w:kern w:val="0"/>
          <w:szCs w:val="21"/>
          <w:highlight w:val="none"/>
        </w:rPr>
        <w:t>监理</w:t>
      </w:r>
      <w:r>
        <w:rPr>
          <w:rFonts w:hint="eastAsia"/>
          <w:color w:val="auto"/>
          <w:highlight w:val="none"/>
        </w:rPr>
        <w:t>大纲</w:t>
      </w:r>
      <w:r>
        <w:rPr>
          <w:rFonts w:hint="eastAsia"/>
          <w:bCs/>
          <w:snapToGrid w:val="0"/>
          <w:color w:val="auto"/>
          <w:kern w:val="0"/>
          <w:szCs w:val="21"/>
          <w:highlight w:val="none"/>
        </w:rPr>
        <w:t>编制的特殊要求见投标人须知前附表</w:t>
      </w:r>
      <w:r>
        <w:rPr>
          <w:rFonts w:hint="eastAsia"/>
          <w:color w:val="auto"/>
          <w:highlight w:val="none"/>
        </w:rPr>
        <w:t>。</w:t>
      </w:r>
    </w:p>
    <w:p w14:paraId="6DB74D47">
      <w:pPr>
        <w:ind w:firstLine="480"/>
        <w:rPr>
          <w:rFonts w:hint="eastAsia"/>
          <w:color w:val="auto"/>
          <w:highlight w:val="none"/>
        </w:rPr>
      </w:pPr>
      <w:r>
        <w:rPr>
          <w:rFonts w:hint="eastAsia"/>
          <w:color w:val="auto"/>
          <w:highlight w:val="none"/>
        </w:rPr>
        <w:t xml:space="preserve">3.7.2 </w:t>
      </w:r>
      <w:r>
        <w:rPr>
          <w:color w:val="auto"/>
          <w:highlight w:val="none"/>
        </w:rPr>
        <w:t>投标文件应当对招标文件有关</w:t>
      </w:r>
      <w:r>
        <w:rPr>
          <w:rFonts w:hint="eastAsia"/>
          <w:bCs/>
          <w:snapToGrid w:val="0"/>
          <w:color w:val="auto"/>
          <w:kern w:val="0"/>
          <w:szCs w:val="21"/>
          <w:highlight w:val="none"/>
        </w:rPr>
        <w:t>监理服务期限</w:t>
      </w:r>
      <w:r>
        <w:rPr>
          <w:bCs/>
          <w:snapToGrid w:val="0"/>
          <w:color w:val="auto"/>
          <w:kern w:val="0"/>
          <w:szCs w:val="21"/>
          <w:highlight w:val="none"/>
        </w:rPr>
        <w:t>、</w:t>
      </w:r>
      <w:r>
        <w:rPr>
          <w:color w:val="auto"/>
          <w:highlight w:val="none"/>
        </w:rPr>
        <w:t>投标有效期、</w:t>
      </w:r>
      <w:r>
        <w:rPr>
          <w:rFonts w:hint="eastAsia"/>
          <w:color w:val="auto"/>
          <w:highlight w:val="none"/>
        </w:rPr>
        <w:t>质量标准、</w:t>
      </w:r>
      <w:r>
        <w:rPr>
          <w:color w:val="auto"/>
          <w:highlight w:val="none"/>
        </w:rPr>
        <w:t>委托人要求、招标范围等实质性内容作出响应</w:t>
      </w:r>
      <w:r>
        <w:rPr>
          <w:rFonts w:hint="eastAsia"/>
          <w:color w:val="auto"/>
          <w:highlight w:val="none"/>
        </w:rPr>
        <w:t>。</w:t>
      </w:r>
    </w:p>
    <w:p w14:paraId="0A49D601">
      <w:pPr>
        <w:ind w:firstLine="480"/>
        <w:rPr>
          <w:color w:val="auto"/>
          <w:highlight w:val="none"/>
        </w:rPr>
      </w:pPr>
      <w:r>
        <w:rPr>
          <w:rFonts w:hint="eastAsia"/>
          <w:color w:val="auto"/>
          <w:highlight w:val="none"/>
        </w:rPr>
        <w:t>3.7.3 投标文件的制作应满足以下规定：</w:t>
      </w:r>
    </w:p>
    <w:p w14:paraId="6AADDEB2">
      <w:pPr>
        <w:ind w:firstLine="480"/>
        <w:rPr>
          <w:rFonts w:hint="eastAsia"/>
          <w:color w:val="auto"/>
          <w:highlight w:val="none"/>
        </w:rPr>
      </w:pPr>
      <w:r>
        <w:rPr>
          <w:rFonts w:hint="eastAsia"/>
          <w:color w:val="auto"/>
          <w:highlight w:val="none"/>
        </w:rPr>
        <w:t>（1）投标文件由投标人使用电子交易系统提供的“投标文件制作工具”制作生成。“投标文件制作工具”可以通过电子交易系统下载。</w:t>
      </w:r>
    </w:p>
    <w:p w14:paraId="1ED5F207">
      <w:pPr>
        <w:ind w:firstLine="480"/>
        <w:rPr>
          <w:rFonts w:hint="eastAsia"/>
          <w:color w:val="auto"/>
          <w:highlight w:val="none"/>
        </w:rPr>
      </w:pPr>
      <w:r>
        <w:rPr>
          <w:rFonts w:hint="eastAsia"/>
          <w:color w:val="auto"/>
          <w:highlight w:val="none"/>
        </w:rPr>
        <w:t>（2）在第六章“投标文件格式”中要求盖单位章和（或）签字处，投标人应加盖投标人单位电子印章和（或）法定代表人的个人电子印章/电子签名章。联合体投标的，除联合体协议书外，投标文件由联合体牵头人按照上述规定加盖联合体牵头人单位电子印章和（或）法定代表人的个人电子印章/电子签名章。</w:t>
      </w:r>
    </w:p>
    <w:p w14:paraId="397436A2">
      <w:pPr>
        <w:ind w:firstLine="480"/>
        <w:rPr>
          <w:color w:val="auto"/>
          <w:highlight w:val="none"/>
        </w:rPr>
      </w:pPr>
      <w:r>
        <w:rPr>
          <w:rFonts w:hint="eastAsia"/>
          <w:color w:val="auto"/>
          <w:highlight w:val="none"/>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76088143">
      <w:pPr>
        <w:ind w:firstLine="480"/>
        <w:rPr>
          <w:rFonts w:hint="eastAsia"/>
          <w:color w:val="auto"/>
          <w:highlight w:val="none"/>
        </w:rPr>
      </w:pPr>
      <w:r>
        <w:rPr>
          <w:rFonts w:hint="eastAsia"/>
          <w:color w:val="auto"/>
          <w:highlight w:val="none"/>
        </w:rPr>
        <w:t>（4）投标文件中的证明材料接受扫描件（包括电子证照等电子件）形式。</w:t>
      </w:r>
    </w:p>
    <w:p w14:paraId="7000177D">
      <w:pPr>
        <w:ind w:firstLine="480"/>
        <w:rPr>
          <w:rFonts w:hint="eastAsia"/>
          <w:color w:val="auto"/>
          <w:highlight w:val="none"/>
        </w:rPr>
      </w:pPr>
      <w:r>
        <w:rPr>
          <w:rFonts w:hint="eastAsia"/>
          <w:color w:val="auto"/>
          <w:highlight w:val="none"/>
        </w:rPr>
        <w:t>（5）投标文件制作的具体方法见“投标文件制作工具”中的帮助文档。</w:t>
      </w:r>
    </w:p>
    <w:p w14:paraId="071E88C4">
      <w:pPr>
        <w:ind w:firstLine="480"/>
        <w:rPr>
          <w:color w:val="auto"/>
          <w:highlight w:val="none"/>
        </w:rPr>
      </w:pPr>
      <w:r>
        <w:rPr>
          <w:rFonts w:hint="eastAsia"/>
          <w:color w:val="auto"/>
          <w:highlight w:val="none"/>
        </w:rPr>
        <w:t>3.7.4 “投标文件制作工具”生成加密投标文件时，同时生成非加密投标文件，作为加密投标文件无法解密、导入时的补救措施。非加密投标文件递交要求见投标人须知前附表。</w:t>
      </w:r>
    </w:p>
    <w:p w14:paraId="652EAE6C">
      <w:pPr>
        <w:ind w:firstLine="480"/>
        <w:rPr>
          <w:color w:val="auto"/>
          <w:highlight w:val="none"/>
        </w:rPr>
      </w:pPr>
      <w:r>
        <w:rPr>
          <w:rFonts w:hint="eastAsia"/>
          <w:color w:val="auto"/>
          <w:highlight w:val="none"/>
        </w:rPr>
        <w:t>3.7.5 因投标人自身原因而导致投标文件（指解密后的投标文件或启用补救措施下的非加密投标文件）无法导入电子交易系统电子开标、评标系统，该投标视为无效投标，投标人自行承担由此导致的全部责任。</w:t>
      </w:r>
    </w:p>
    <w:p w14:paraId="0B386764">
      <w:pPr>
        <w:pStyle w:val="6"/>
        <w:spacing w:before="240" w:after="240"/>
        <w:ind w:firstLine="0" w:firstLineChars="0"/>
        <w:rPr>
          <w:color w:val="auto"/>
          <w:highlight w:val="none"/>
        </w:rPr>
      </w:pPr>
      <w:bookmarkStart w:id="176" w:name="_Toc21888"/>
      <w:bookmarkStart w:id="177" w:name="_Toc1044"/>
      <w:bookmarkStart w:id="178" w:name="_Toc2719"/>
      <w:bookmarkStart w:id="179" w:name="_Toc13501"/>
      <w:r>
        <w:rPr>
          <w:color w:val="auto"/>
          <w:highlight w:val="none"/>
        </w:rPr>
        <w:t>4. 投标</w:t>
      </w:r>
      <w:bookmarkEnd w:id="176"/>
      <w:bookmarkEnd w:id="177"/>
      <w:bookmarkEnd w:id="178"/>
      <w:bookmarkEnd w:id="179"/>
    </w:p>
    <w:p w14:paraId="6924EF6B">
      <w:pPr>
        <w:pStyle w:val="7"/>
        <w:spacing w:before="240" w:after="240"/>
        <w:ind w:firstLine="0" w:firstLineChars="0"/>
        <w:rPr>
          <w:rFonts w:hint="eastAsia"/>
          <w:color w:val="auto"/>
          <w:highlight w:val="none"/>
        </w:rPr>
      </w:pPr>
      <w:r>
        <w:rPr>
          <w:rFonts w:hint="eastAsia"/>
          <w:color w:val="auto"/>
          <w:highlight w:val="none"/>
        </w:rPr>
        <w:t>4.1 投标文件的加密（密封）和标记</w:t>
      </w:r>
    </w:p>
    <w:p w14:paraId="74111E0C">
      <w:pPr>
        <w:ind w:firstLine="480"/>
        <w:rPr>
          <w:rFonts w:hint="eastAsia"/>
          <w:color w:val="auto"/>
          <w:highlight w:val="none"/>
        </w:rPr>
      </w:pPr>
      <w:r>
        <w:rPr>
          <w:rFonts w:hint="eastAsia"/>
          <w:color w:val="auto"/>
          <w:highlight w:val="none"/>
        </w:rPr>
        <w:t>4.1.1 投标文件应按照本章第3.7.3项要求制作并加密，未按照要求加密的投标文件将被拒绝接收。</w:t>
      </w:r>
    </w:p>
    <w:p w14:paraId="45328D56">
      <w:pPr>
        <w:ind w:firstLine="480"/>
        <w:rPr>
          <w:color w:val="auto"/>
          <w:highlight w:val="none"/>
        </w:rPr>
      </w:pPr>
      <w:r>
        <w:rPr>
          <w:rFonts w:hint="eastAsia"/>
          <w:color w:val="auto"/>
          <w:highlight w:val="none"/>
        </w:rPr>
        <w:t>4.1.2 非加密投标文件密封和标记要求见投标人须知前附表。非加密投标文件应在封口处加盖投标人单位章或由投标人的法定代表人或其授权的代理人签字，未按照规定封装或加写标记，招标人将不承担投标文件未被开启或提前开启的责任。</w:t>
      </w:r>
    </w:p>
    <w:p w14:paraId="270DADA5">
      <w:pPr>
        <w:pStyle w:val="7"/>
        <w:spacing w:before="240" w:after="240"/>
        <w:ind w:firstLine="0" w:firstLineChars="0"/>
        <w:rPr>
          <w:color w:val="auto"/>
          <w:highlight w:val="none"/>
        </w:rPr>
      </w:pPr>
      <w:r>
        <w:rPr>
          <w:color w:val="auto"/>
          <w:highlight w:val="none"/>
        </w:rPr>
        <w:t>4.2 投标文件的递交</w:t>
      </w:r>
    </w:p>
    <w:p w14:paraId="0C6FDCD2">
      <w:pPr>
        <w:ind w:firstLine="480"/>
        <w:rPr>
          <w:rFonts w:hint="eastAsia"/>
          <w:color w:val="auto"/>
          <w:highlight w:val="none"/>
        </w:rPr>
      </w:pPr>
      <w:r>
        <w:rPr>
          <w:rFonts w:hint="eastAsia"/>
          <w:color w:val="auto"/>
          <w:highlight w:val="none"/>
        </w:rPr>
        <w:t>4.2.1 投标人应当在第一章“招标公告”规定的投标截止时间前，将加密投标文件在电子交易系统上传</w:t>
      </w:r>
      <w:r>
        <w:rPr>
          <w:color w:val="auto"/>
          <w:highlight w:val="none"/>
        </w:rPr>
        <w:t>。</w:t>
      </w:r>
    </w:p>
    <w:p w14:paraId="60D40917">
      <w:pPr>
        <w:ind w:firstLine="480"/>
        <w:rPr>
          <w:rFonts w:hint="eastAsia"/>
          <w:color w:val="auto"/>
          <w:highlight w:val="none"/>
        </w:rPr>
      </w:pPr>
      <w:r>
        <w:rPr>
          <w:rFonts w:hint="eastAsia"/>
          <w:color w:val="auto"/>
          <w:highlight w:val="none"/>
        </w:rPr>
        <w:t>4.2.2 投标人递交非加密投标文件的地点：见投标人须知前附表。招标人收到非加密投标文件后由投标人代表登记或向投标人出具签收凭证。</w:t>
      </w:r>
    </w:p>
    <w:p w14:paraId="4B72BE00">
      <w:pPr>
        <w:ind w:firstLine="480"/>
        <w:rPr>
          <w:rFonts w:hint="eastAsia"/>
          <w:color w:val="auto"/>
          <w:highlight w:val="none"/>
        </w:rPr>
      </w:pPr>
      <w:r>
        <w:rPr>
          <w:rFonts w:hint="eastAsia"/>
          <w:color w:val="auto"/>
          <w:highlight w:val="none"/>
        </w:rPr>
        <w:t>4.2.3 除投标人须知前附表另有规定外，投标人所递交的投标文件不予退还。</w:t>
      </w:r>
    </w:p>
    <w:p w14:paraId="2DD22769">
      <w:pPr>
        <w:ind w:firstLine="480"/>
        <w:rPr>
          <w:rFonts w:hint="eastAsia"/>
          <w:color w:val="auto"/>
          <w:highlight w:val="none"/>
        </w:rPr>
      </w:pPr>
      <w:r>
        <w:rPr>
          <w:rFonts w:hint="eastAsia"/>
          <w:color w:val="auto"/>
          <w:highlight w:val="none"/>
        </w:rPr>
        <w:t>4.2.4 投标人应当在投标截止时间前完成投标文件的传输递交（以接收到电子签收凭证为准），并可以补充、修改或者撤回投标文件。投标截止时间前未完成投标文件传输的，视为撤回投标文件。未按照规定加密或投标截止时间后送达的投标文件，电子交易系统应当拒收。</w:t>
      </w:r>
    </w:p>
    <w:p w14:paraId="181C2090">
      <w:pPr>
        <w:ind w:firstLine="480"/>
        <w:rPr>
          <w:rFonts w:hint="eastAsia"/>
          <w:color w:val="auto"/>
          <w:highlight w:val="none"/>
        </w:rPr>
      </w:pPr>
      <w:r>
        <w:rPr>
          <w:rFonts w:hint="eastAsia"/>
          <w:color w:val="auto"/>
          <w:highlight w:val="none"/>
        </w:rPr>
        <w:t>4.2.5 如投标人须知前附表允许递交非加密投标文件，投标人逾期送达的或者未送达指定地点的非加密投标文件，招标人不予接收，但不影响其已按照招标文件要求从电子交易系统递交的加密投标文件的有效性。未从电子交易系统递交加密投标文件的，投标人递交的非加密投标文件将被视为无效。</w:t>
      </w:r>
    </w:p>
    <w:p w14:paraId="5176E103">
      <w:pPr>
        <w:ind w:firstLine="480"/>
        <w:rPr>
          <w:color w:val="auto"/>
          <w:highlight w:val="none"/>
        </w:rPr>
      </w:pPr>
      <w:r>
        <w:rPr>
          <w:rFonts w:hint="eastAsia"/>
          <w:color w:val="auto"/>
          <w:highlight w:val="none"/>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76091AE5">
      <w:pPr>
        <w:pStyle w:val="7"/>
        <w:spacing w:before="240" w:after="240"/>
        <w:ind w:firstLine="0" w:firstLineChars="0"/>
        <w:rPr>
          <w:color w:val="auto"/>
          <w:highlight w:val="none"/>
        </w:rPr>
      </w:pPr>
      <w:r>
        <w:rPr>
          <w:color w:val="auto"/>
          <w:highlight w:val="none"/>
        </w:rPr>
        <w:t>4.3 投标文件的修改与撤回</w:t>
      </w:r>
    </w:p>
    <w:p w14:paraId="7A4B937C">
      <w:pPr>
        <w:ind w:firstLine="480"/>
        <w:rPr>
          <w:rFonts w:hint="eastAsia"/>
          <w:color w:val="auto"/>
          <w:highlight w:val="none"/>
        </w:rPr>
      </w:pPr>
      <w:r>
        <w:rPr>
          <w:rFonts w:hint="eastAsia"/>
          <w:color w:val="auto"/>
          <w:highlight w:val="none"/>
        </w:rPr>
        <w:t>4.3.1 在第一章“招标公告”规定的投标截止时间前，投标人可以修改或撤回已递交的投标文件。投标人对加密投标文件进行撤回的，应在电子交易系统直接进行撤回操作；投标人对加密投标文件进行修改的，应在投标截止时间前完成上传。投标人修改投标文件的，应使用“投标文件制作工具”制作成完整的投标文件，并按照本章第 3 条、第 4 条规定进行编制、加密和递交。</w:t>
      </w:r>
    </w:p>
    <w:p w14:paraId="44F87F7E">
      <w:pPr>
        <w:ind w:firstLine="480"/>
        <w:rPr>
          <w:color w:val="auto"/>
          <w:highlight w:val="none"/>
        </w:rPr>
      </w:pPr>
      <w:r>
        <w:rPr>
          <w:rFonts w:hint="eastAsia"/>
          <w:color w:val="auto"/>
          <w:highlight w:val="none"/>
        </w:rPr>
        <w:t>4.3.2 投标人修改或撤回已递交的非加密投标文件的，应当以书面形式通知招标人。书面通知应由法定代表人（或代理人）签字或盖单位章。招标人收到书面通知后，向投标人出具签收凭证。</w:t>
      </w:r>
    </w:p>
    <w:p w14:paraId="5AB30C55">
      <w:pPr>
        <w:pStyle w:val="6"/>
        <w:spacing w:before="240" w:after="240"/>
        <w:ind w:firstLine="0" w:firstLineChars="0"/>
        <w:rPr>
          <w:color w:val="auto"/>
          <w:highlight w:val="none"/>
        </w:rPr>
      </w:pPr>
      <w:bookmarkStart w:id="180" w:name="_Toc25300"/>
      <w:bookmarkStart w:id="181" w:name="_Toc20759"/>
      <w:bookmarkStart w:id="182" w:name="_Toc6849"/>
      <w:bookmarkStart w:id="183" w:name="_Toc18953"/>
      <w:r>
        <w:rPr>
          <w:color w:val="auto"/>
          <w:highlight w:val="none"/>
        </w:rPr>
        <w:t>5. 开标</w:t>
      </w:r>
      <w:bookmarkEnd w:id="180"/>
      <w:bookmarkEnd w:id="181"/>
      <w:bookmarkEnd w:id="182"/>
      <w:bookmarkEnd w:id="183"/>
    </w:p>
    <w:p w14:paraId="4B6A4E8A">
      <w:pPr>
        <w:pStyle w:val="7"/>
        <w:spacing w:before="240" w:after="240"/>
        <w:ind w:firstLine="0" w:firstLineChars="0"/>
        <w:rPr>
          <w:color w:val="auto"/>
          <w:highlight w:val="none"/>
        </w:rPr>
      </w:pPr>
      <w:r>
        <w:rPr>
          <w:color w:val="auto"/>
          <w:highlight w:val="none"/>
        </w:rPr>
        <w:t>5.1 开标时间和地点</w:t>
      </w:r>
    </w:p>
    <w:p w14:paraId="7EC17576">
      <w:pPr>
        <w:ind w:firstLine="480"/>
        <w:rPr>
          <w:color w:val="auto"/>
          <w:highlight w:val="none"/>
        </w:rPr>
      </w:pPr>
      <w:r>
        <w:rPr>
          <w:rFonts w:hint="eastAsia"/>
          <w:color w:val="auto"/>
          <w:highlight w:val="none"/>
        </w:rPr>
        <w:t>招标人在投标人须知前附表规定的开标时间和地点通过电子交易系统开标，所有投标人的法定代表人或其委托代理人应当准时参加。</w:t>
      </w:r>
    </w:p>
    <w:p w14:paraId="50D31E2E">
      <w:pPr>
        <w:ind w:firstLine="480"/>
        <w:rPr>
          <w:color w:val="auto"/>
          <w:highlight w:val="none"/>
        </w:rPr>
      </w:pPr>
      <w:r>
        <w:rPr>
          <w:rFonts w:hint="eastAsia"/>
          <w:color w:val="auto"/>
          <w:highlight w:val="none"/>
        </w:rPr>
        <w:t>投标人若未派法定代表人或其委托代理人出席开标活动，视为该投标人默认开标结果。</w:t>
      </w:r>
    </w:p>
    <w:p w14:paraId="06C32272">
      <w:pPr>
        <w:pStyle w:val="7"/>
        <w:spacing w:before="240" w:after="240"/>
        <w:ind w:firstLine="0" w:firstLineChars="0"/>
        <w:rPr>
          <w:color w:val="auto"/>
          <w:highlight w:val="none"/>
        </w:rPr>
      </w:pPr>
      <w:r>
        <w:rPr>
          <w:color w:val="auto"/>
          <w:highlight w:val="none"/>
        </w:rPr>
        <w:t>5.2 开标程序</w:t>
      </w:r>
    </w:p>
    <w:p w14:paraId="439786AE">
      <w:pPr>
        <w:ind w:firstLine="480"/>
        <w:rPr>
          <w:rFonts w:hint="eastAsia"/>
          <w:color w:val="auto"/>
          <w:highlight w:val="none"/>
        </w:rPr>
      </w:pPr>
      <w:r>
        <w:rPr>
          <w:rFonts w:hint="eastAsia"/>
          <w:color w:val="auto"/>
          <w:highlight w:val="none"/>
        </w:rPr>
        <w:t>除投标人须知前附表另有规定外，主持人按照下列程序进行开标：</w:t>
      </w:r>
    </w:p>
    <w:p w14:paraId="79D58A2C">
      <w:pPr>
        <w:ind w:firstLine="480"/>
        <w:rPr>
          <w:rFonts w:hint="eastAsia"/>
          <w:color w:val="auto"/>
          <w:highlight w:val="none"/>
        </w:rPr>
      </w:pPr>
      <w:r>
        <w:rPr>
          <w:rFonts w:hint="eastAsia"/>
          <w:color w:val="auto"/>
          <w:highlight w:val="none"/>
        </w:rPr>
        <w:t>（1）公布在投标截止时间前通过电子交易系统完成投标文件递交的投标人名称；</w:t>
      </w:r>
    </w:p>
    <w:p w14:paraId="070B8DBA">
      <w:pPr>
        <w:ind w:firstLine="480"/>
        <w:rPr>
          <w:rFonts w:hint="eastAsia"/>
          <w:color w:val="auto"/>
          <w:highlight w:val="none"/>
        </w:rPr>
      </w:pPr>
      <w:r>
        <w:rPr>
          <w:rFonts w:hint="eastAsia"/>
          <w:color w:val="auto"/>
          <w:highlight w:val="none"/>
        </w:rPr>
        <w:t>（2）由投标人推选的代表检查非加密投标文件的密封情况（如有）；</w:t>
      </w:r>
    </w:p>
    <w:p w14:paraId="675B0AE2">
      <w:pPr>
        <w:ind w:firstLine="480"/>
        <w:rPr>
          <w:rFonts w:hint="eastAsia"/>
          <w:color w:val="auto"/>
          <w:highlight w:val="none"/>
        </w:rPr>
      </w:pPr>
      <w:r>
        <w:rPr>
          <w:rFonts w:hint="eastAsia"/>
          <w:color w:val="auto"/>
          <w:highlight w:val="none"/>
        </w:rPr>
        <w:t>（3）投标人在投标截止时间后在投标人须知前附表规定的解密时间内完成投标文件的解密工作；</w:t>
      </w:r>
    </w:p>
    <w:p w14:paraId="28843FAF">
      <w:pPr>
        <w:ind w:firstLine="480"/>
        <w:rPr>
          <w:rFonts w:hint="eastAsia"/>
          <w:color w:val="auto"/>
          <w:highlight w:val="none"/>
        </w:rPr>
      </w:pPr>
      <w:r>
        <w:rPr>
          <w:rFonts w:hint="eastAsia"/>
          <w:color w:val="auto"/>
          <w:highlight w:val="none"/>
        </w:rPr>
        <w:t>（4）招标人完成解密工作，导入并读取所有成功解密的投标文件，或招标人成功导入现场递交的非加密投标文件；</w:t>
      </w:r>
    </w:p>
    <w:p w14:paraId="5B9407E9">
      <w:pPr>
        <w:ind w:firstLine="480"/>
        <w:rPr>
          <w:rFonts w:hint="eastAsia"/>
          <w:color w:val="auto"/>
          <w:highlight w:val="none"/>
        </w:rPr>
      </w:pPr>
      <w:r>
        <w:rPr>
          <w:rFonts w:hint="eastAsia"/>
          <w:color w:val="auto"/>
          <w:highlight w:val="none"/>
        </w:rPr>
        <w:t>（5）按照投标人须知前附表规定公布投标人名称、标段名称、投标报价、质量标准、监理服务期限及其他内容；</w:t>
      </w:r>
    </w:p>
    <w:p w14:paraId="735F11E3">
      <w:pPr>
        <w:ind w:firstLine="480"/>
        <w:rPr>
          <w:color w:val="auto"/>
          <w:highlight w:val="none"/>
        </w:rPr>
      </w:pPr>
      <w:r>
        <w:rPr>
          <w:rFonts w:hint="eastAsia"/>
          <w:color w:val="auto"/>
          <w:highlight w:val="none"/>
        </w:rPr>
        <w:t>（6）开标结束。</w:t>
      </w:r>
    </w:p>
    <w:p w14:paraId="7DF7445D">
      <w:pPr>
        <w:pStyle w:val="7"/>
        <w:spacing w:before="240" w:after="240"/>
        <w:ind w:firstLine="0" w:firstLineChars="0"/>
        <w:rPr>
          <w:color w:val="auto"/>
          <w:highlight w:val="none"/>
        </w:rPr>
      </w:pPr>
      <w:r>
        <w:rPr>
          <w:color w:val="auto"/>
          <w:highlight w:val="none"/>
        </w:rPr>
        <w:t>5.3 开标异议</w:t>
      </w:r>
    </w:p>
    <w:p w14:paraId="6B3DAC91">
      <w:pPr>
        <w:ind w:firstLine="480"/>
        <w:rPr>
          <w:color w:val="auto"/>
          <w:highlight w:val="none"/>
        </w:rPr>
      </w:pPr>
      <w:r>
        <w:rPr>
          <w:rFonts w:hint="eastAsia"/>
          <w:color w:val="auto"/>
          <w:highlight w:val="none"/>
        </w:rPr>
        <w:t>投标人对开标有异议的，应当在开标过程中提出；招标人当场对异议作出答复，并记入开标记录。异议与答复应通过电子交易系统进行。</w:t>
      </w:r>
    </w:p>
    <w:p w14:paraId="34952B6E">
      <w:pPr>
        <w:pStyle w:val="6"/>
        <w:spacing w:before="240" w:after="240"/>
        <w:ind w:firstLine="0" w:firstLineChars="0"/>
        <w:rPr>
          <w:color w:val="auto"/>
          <w:highlight w:val="none"/>
        </w:rPr>
      </w:pPr>
      <w:bookmarkStart w:id="184" w:name="_Toc25262"/>
      <w:bookmarkStart w:id="185" w:name="_Toc15244"/>
      <w:bookmarkStart w:id="186" w:name="_Toc15046"/>
      <w:bookmarkStart w:id="187" w:name="_Toc25646"/>
      <w:r>
        <w:rPr>
          <w:color w:val="auto"/>
          <w:highlight w:val="none"/>
        </w:rPr>
        <w:t>6. 评标</w:t>
      </w:r>
      <w:bookmarkEnd w:id="184"/>
      <w:bookmarkEnd w:id="185"/>
      <w:bookmarkEnd w:id="186"/>
      <w:bookmarkEnd w:id="187"/>
    </w:p>
    <w:p w14:paraId="1E8EA3AB">
      <w:pPr>
        <w:pStyle w:val="7"/>
        <w:spacing w:before="240" w:after="240"/>
        <w:ind w:firstLine="0" w:firstLineChars="0"/>
        <w:rPr>
          <w:color w:val="auto"/>
          <w:highlight w:val="none"/>
        </w:rPr>
      </w:pPr>
      <w:r>
        <w:rPr>
          <w:color w:val="auto"/>
          <w:highlight w:val="none"/>
        </w:rPr>
        <w:t>6.1 评标委员会</w:t>
      </w:r>
    </w:p>
    <w:p w14:paraId="612BC525">
      <w:pPr>
        <w:ind w:firstLine="480"/>
        <w:rPr>
          <w:color w:val="auto"/>
          <w:highlight w:val="none"/>
        </w:rPr>
      </w:pPr>
      <w:r>
        <w:rPr>
          <w:color w:val="auto"/>
          <w:highlight w:val="none"/>
        </w:rPr>
        <w:t xml:space="preserve">6.1.1 </w:t>
      </w:r>
      <w:r>
        <w:rPr>
          <w:rFonts w:hint="eastAsia"/>
          <w:color w:val="auto"/>
          <w:highlight w:val="none"/>
        </w:rPr>
        <w:t>评标由招标人依法组建的评标委员会负责。评标委员会由招标人的代表，以及有关技术、经济等方面的专家组成。</w:t>
      </w:r>
    </w:p>
    <w:p w14:paraId="341296CE">
      <w:pPr>
        <w:ind w:firstLine="480"/>
        <w:rPr>
          <w:color w:val="auto"/>
          <w:highlight w:val="none"/>
        </w:rPr>
      </w:pPr>
      <w:r>
        <w:rPr>
          <w:color w:val="auto"/>
          <w:highlight w:val="none"/>
        </w:rPr>
        <w:t>6.1.2 评标委员会成员有下列情形之一的，应当</w:t>
      </w:r>
      <w:r>
        <w:rPr>
          <w:rFonts w:hint="eastAsia"/>
          <w:color w:val="auto"/>
          <w:highlight w:val="none"/>
        </w:rPr>
        <w:t>主动提出</w:t>
      </w:r>
      <w:r>
        <w:rPr>
          <w:color w:val="auto"/>
          <w:highlight w:val="none"/>
        </w:rPr>
        <w:t>回避：</w:t>
      </w:r>
    </w:p>
    <w:p w14:paraId="5E5EFA6F">
      <w:pPr>
        <w:ind w:firstLine="480"/>
        <w:rPr>
          <w:color w:val="auto"/>
          <w:highlight w:val="none"/>
        </w:rPr>
      </w:pPr>
      <w:r>
        <w:rPr>
          <w:color w:val="auto"/>
          <w:highlight w:val="none"/>
        </w:rPr>
        <w:t>（1）投标人或投标人</w:t>
      </w:r>
      <w:r>
        <w:rPr>
          <w:rFonts w:hint="eastAsia"/>
          <w:color w:val="auto"/>
          <w:highlight w:val="none"/>
        </w:rPr>
        <w:t>的</w:t>
      </w:r>
      <w:r>
        <w:rPr>
          <w:color w:val="auto"/>
          <w:highlight w:val="none"/>
        </w:rPr>
        <w:t>主要负责人的近亲属；</w:t>
      </w:r>
    </w:p>
    <w:p w14:paraId="0C0E0081">
      <w:pPr>
        <w:ind w:firstLine="480"/>
        <w:rPr>
          <w:color w:val="auto"/>
          <w:highlight w:val="none"/>
        </w:rPr>
      </w:pPr>
      <w:r>
        <w:rPr>
          <w:color w:val="auto"/>
          <w:highlight w:val="none"/>
        </w:rPr>
        <w:t>（2）项目主管部门或者行政监督部门的人员；</w:t>
      </w:r>
    </w:p>
    <w:p w14:paraId="239B36DB">
      <w:pPr>
        <w:ind w:firstLine="480"/>
        <w:rPr>
          <w:color w:val="auto"/>
          <w:highlight w:val="none"/>
        </w:rPr>
      </w:pPr>
      <w:r>
        <w:rPr>
          <w:color w:val="auto"/>
          <w:highlight w:val="none"/>
        </w:rPr>
        <w:t>（3）与投标人有经济利益关系，可能影响对投标公正评审的；</w:t>
      </w:r>
    </w:p>
    <w:p w14:paraId="0FC9E9E9">
      <w:pPr>
        <w:ind w:firstLine="480"/>
        <w:rPr>
          <w:color w:val="auto"/>
          <w:highlight w:val="none"/>
        </w:rPr>
      </w:pPr>
      <w:r>
        <w:rPr>
          <w:color w:val="auto"/>
          <w:highlight w:val="none"/>
        </w:rPr>
        <w:t>（4）曾因在招标、评</w:t>
      </w:r>
      <w:bookmarkStart w:id="188" w:name="_Toc152042331"/>
      <w:bookmarkStart w:id="189" w:name="_Toc384308237"/>
      <w:bookmarkStart w:id="190" w:name="_Toc152045555"/>
      <w:bookmarkStart w:id="191" w:name="_Toc6230"/>
      <w:bookmarkStart w:id="192" w:name="_Toc352691499"/>
      <w:bookmarkStart w:id="193" w:name="_Toc361508612"/>
      <w:bookmarkStart w:id="194" w:name="_Toc369531543"/>
      <w:bookmarkStart w:id="195" w:name="_Toc247527580"/>
      <w:bookmarkStart w:id="196" w:name="_Toc300834976"/>
      <w:bookmarkStart w:id="197" w:name="_Toc144974523"/>
      <w:bookmarkStart w:id="198" w:name="_Toc247513979"/>
      <w:r>
        <w:rPr>
          <w:color w:val="auto"/>
          <w:highlight w:val="none"/>
        </w:rPr>
        <w:t>标以及其他</w:t>
      </w:r>
      <w:bookmarkEnd w:id="188"/>
      <w:bookmarkEnd w:id="189"/>
      <w:bookmarkEnd w:id="190"/>
      <w:bookmarkEnd w:id="191"/>
      <w:bookmarkEnd w:id="192"/>
      <w:bookmarkEnd w:id="193"/>
      <w:bookmarkEnd w:id="194"/>
      <w:bookmarkEnd w:id="195"/>
      <w:bookmarkEnd w:id="196"/>
      <w:bookmarkEnd w:id="197"/>
      <w:bookmarkEnd w:id="198"/>
      <w:r>
        <w:rPr>
          <w:color w:val="auto"/>
          <w:highlight w:val="none"/>
        </w:rPr>
        <w:t>与</w:t>
      </w:r>
      <w:bookmarkStart w:id="199" w:name="_Toc369531544"/>
      <w:bookmarkStart w:id="200" w:name="_Toc352691500"/>
      <w:bookmarkStart w:id="201" w:name="_Toc247527581"/>
      <w:bookmarkStart w:id="202" w:name="_Toc17703"/>
      <w:bookmarkStart w:id="203" w:name="_Toc384308238"/>
      <w:bookmarkStart w:id="204" w:name="_Toc300834977"/>
      <w:bookmarkStart w:id="205" w:name="_Toc247513980"/>
      <w:bookmarkStart w:id="206" w:name="_Toc361508613"/>
      <w:bookmarkStart w:id="207" w:name="_Toc152042332"/>
      <w:bookmarkStart w:id="208" w:name="_Toc152045556"/>
      <w:bookmarkStart w:id="209" w:name="_Toc144974524"/>
      <w:r>
        <w:rPr>
          <w:color w:val="auto"/>
          <w:highlight w:val="none"/>
        </w:rPr>
        <w:t>招标投标有关活动中从事违法行</w:t>
      </w:r>
      <w:bookmarkEnd w:id="199"/>
      <w:bookmarkEnd w:id="200"/>
      <w:bookmarkEnd w:id="201"/>
      <w:bookmarkEnd w:id="202"/>
      <w:bookmarkEnd w:id="203"/>
      <w:bookmarkEnd w:id="204"/>
      <w:bookmarkEnd w:id="205"/>
      <w:bookmarkEnd w:id="206"/>
      <w:bookmarkEnd w:id="207"/>
      <w:bookmarkEnd w:id="208"/>
      <w:bookmarkEnd w:id="209"/>
      <w:r>
        <w:rPr>
          <w:color w:val="auto"/>
          <w:highlight w:val="none"/>
        </w:rPr>
        <w:t>为而受过行政处罚或刑事处罚的；</w:t>
      </w:r>
    </w:p>
    <w:p w14:paraId="77645111">
      <w:pPr>
        <w:ind w:firstLine="480"/>
        <w:rPr>
          <w:color w:val="auto"/>
          <w:highlight w:val="none"/>
        </w:rPr>
      </w:pPr>
      <w:r>
        <w:rPr>
          <w:color w:val="auto"/>
          <w:highlight w:val="none"/>
        </w:rPr>
        <w:t>（5）与投标人有其他利害关系。</w:t>
      </w:r>
    </w:p>
    <w:p w14:paraId="7D04F95B">
      <w:pPr>
        <w:ind w:firstLine="480"/>
        <w:rPr>
          <w:color w:val="auto"/>
          <w:highlight w:val="none"/>
        </w:rPr>
      </w:pPr>
      <w:r>
        <w:rPr>
          <w:color w:val="auto"/>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3B3414E4">
      <w:pPr>
        <w:pStyle w:val="7"/>
        <w:spacing w:before="240" w:after="240"/>
        <w:ind w:firstLine="0" w:firstLineChars="0"/>
        <w:rPr>
          <w:color w:val="auto"/>
          <w:highlight w:val="none"/>
        </w:rPr>
      </w:pPr>
      <w:r>
        <w:rPr>
          <w:color w:val="auto"/>
          <w:highlight w:val="none"/>
        </w:rPr>
        <w:t>6.2 评标原则</w:t>
      </w:r>
    </w:p>
    <w:p w14:paraId="12F0A6FD">
      <w:pPr>
        <w:ind w:firstLine="480"/>
        <w:rPr>
          <w:color w:val="auto"/>
          <w:highlight w:val="none"/>
        </w:rPr>
      </w:pPr>
      <w:r>
        <w:rPr>
          <w:color w:val="auto"/>
          <w:highlight w:val="none"/>
        </w:rPr>
        <w:t>评标活动遵循公平、公正、科学和择优的原</w:t>
      </w:r>
      <w:bookmarkStart w:id="210" w:name="_Toc300834978"/>
      <w:bookmarkStart w:id="211" w:name="_Toc247513981"/>
      <w:bookmarkStart w:id="212" w:name="_Toc352691501"/>
      <w:bookmarkStart w:id="213" w:name="_Toc361508614"/>
      <w:bookmarkStart w:id="214" w:name="_Toc18949"/>
      <w:bookmarkStart w:id="215" w:name="_Toc152042333"/>
      <w:bookmarkStart w:id="216" w:name="_Toc247527582"/>
      <w:bookmarkStart w:id="217" w:name="_Toc369531545"/>
      <w:bookmarkStart w:id="218" w:name="_Toc384308239"/>
      <w:bookmarkStart w:id="219" w:name="_Toc152045557"/>
      <w:bookmarkStart w:id="220" w:name="_Toc144974525"/>
      <w:r>
        <w:rPr>
          <w:color w:val="auto"/>
          <w:highlight w:val="none"/>
        </w:rPr>
        <w:t>则。</w:t>
      </w:r>
    </w:p>
    <w:p w14:paraId="4FB31282">
      <w:pPr>
        <w:pStyle w:val="7"/>
        <w:spacing w:before="240" w:after="240"/>
        <w:ind w:firstLine="0" w:firstLineChars="0"/>
        <w:rPr>
          <w:color w:val="auto"/>
          <w:highlight w:val="none"/>
        </w:rPr>
      </w:pPr>
      <w:r>
        <w:rPr>
          <w:color w:val="auto"/>
          <w:highlight w:val="none"/>
        </w:rPr>
        <w:t>6.3 评标</w:t>
      </w:r>
    </w:p>
    <w:p w14:paraId="080508C0">
      <w:pPr>
        <w:ind w:firstLine="480"/>
        <w:rPr>
          <w:color w:val="auto"/>
          <w:highlight w:val="none"/>
        </w:rPr>
      </w:pPr>
      <w:r>
        <w:rPr>
          <w:color w:val="auto"/>
          <w:highlight w:val="none"/>
        </w:rPr>
        <w:t>6</w:t>
      </w:r>
      <w:bookmarkEnd w:id="210"/>
      <w:bookmarkEnd w:id="211"/>
      <w:bookmarkEnd w:id="212"/>
      <w:bookmarkEnd w:id="213"/>
      <w:bookmarkEnd w:id="214"/>
      <w:bookmarkEnd w:id="215"/>
      <w:bookmarkEnd w:id="216"/>
      <w:bookmarkEnd w:id="217"/>
      <w:bookmarkEnd w:id="218"/>
      <w:bookmarkEnd w:id="219"/>
      <w:bookmarkEnd w:id="220"/>
      <w:r>
        <w:rPr>
          <w:color w:val="auto"/>
          <w:highlight w:val="none"/>
        </w:rPr>
        <w:t>.3.1</w:t>
      </w: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48BA7BC4">
      <w:pPr>
        <w:ind w:firstLine="480"/>
        <w:rPr>
          <w:color w:val="auto"/>
          <w:highlight w:val="none"/>
        </w:rPr>
      </w:pPr>
      <w:r>
        <w:rPr>
          <w:rFonts w:hint="eastAsia"/>
          <w:color w:val="auto"/>
          <w:highlight w:val="none"/>
        </w:rPr>
        <w:t>6.3.2 评标完成后，</w:t>
      </w:r>
      <w:r>
        <w:rPr>
          <w:rFonts w:hint="eastAsia" w:ascii="宋体" w:hAnsi="宋体" w:cs="宋体"/>
          <w:color w:val="auto"/>
          <w:highlight w:val="none"/>
        </w:rPr>
        <w:t>评标委员会应向招标人提交书面评标报告和中标候选人名单</w:t>
      </w:r>
      <w:r>
        <w:rPr>
          <w:rFonts w:hint="eastAsia"/>
          <w:color w:val="auto"/>
          <w:highlight w:val="none"/>
        </w:rPr>
        <w:t>。评标委员会推荐中标候选人的数量见投标人须知前附表。</w:t>
      </w:r>
    </w:p>
    <w:p w14:paraId="7662AA79">
      <w:pPr>
        <w:pStyle w:val="7"/>
        <w:spacing w:before="240" w:after="240"/>
        <w:ind w:firstLine="0" w:firstLineChars="0"/>
        <w:rPr>
          <w:rFonts w:hint="eastAsia"/>
          <w:color w:val="auto"/>
          <w:highlight w:val="none"/>
        </w:rPr>
      </w:pPr>
      <w:bookmarkStart w:id="221" w:name="_Toc152042343"/>
      <w:bookmarkStart w:id="222" w:name="_Toc144974535"/>
      <w:bookmarkStart w:id="223" w:name="_Toc152045567"/>
      <w:bookmarkStart w:id="224" w:name="_Toc179632585"/>
      <w:bookmarkStart w:id="225" w:name="_Toc384308252"/>
      <w:bookmarkStart w:id="226" w:name="_Toc24067"/>
      <w:bookmarkStart w:id="227" w:name="_Toc361508627"/>
      <w:bookmarkStart w:id="228" w:name="_Toc247527593"/>
      <w:bookmarkStart w:id="229" w:name="_Toc152042344"/>
      <w:bookmarkStart w:id="230" w:name="_Toc144974536"/>
      <w:bookmarkStart w:id="231" w:name="_Toc247513992"/>
      <w:bookmarkStart w:id="232" w:name="_Toc300834991"/>
      <w:bookmarkStart w:id="233" w:name="_Toc152045568"/>
      <w:r>
        <w:rPr>
          <w:rFonts w:hint="eastAsia"/>
          <w:color w:val="auto"/>
          <w:highlight w:val="none"/>
        </w:rPr>
        <w:t>6.4 中标候选人公示</w:t>
      </w:r>
    </w:p>
    <w:p w14:paraId="681FEE72">
      <w:pPr>
        <w:ind w:firstLine="480"/>
        <w:rPr>
          <w:rFonts w:hint="eastAsia" w:cs="楷体"/>
          <w:bCs/>
          <w:snapToGrid w:val="0"/>
          <w:color w:val="auto"/>
          <w:highlight w:val="none"/>
        </w:rPr>
      </w:pPr>
      <w:r>
        <w:rPr>
          <w:rFonts w:hint="eastAsia"/>
          <w:color w:val="auto"/>
          <w:highlight w:val="none"/>
        </w:rPr>
        <w:t>招标人在收到评标报告之日起3日内，按照投标人须知前附表规定的公示媒介和期限依法公示中标候选人，公示期不得少于3日。其他要求见投标人须知前附表。</w:t>
      </w:r>
    </w:p>
    <w:p w14:paraId="198DCDA3">
      <w:pPr>
        <w:pStyle w:val="7"/>
        <w:spacing w:before="240" w:after="240"/>
        <w:ind w:firstLine="0" w:firstLineChars="0"/>
        <w:rPr>
          <w:rFonts w:hint="eastAsia"/>
          <w:color w:val="auto"/>
          <w:highlight w:val="none"/>
        </w:rPr>
      </w:pPr>
      <w:r>
        <w:rPr>
          <w:rFonts w:hint="eastAsia"/>
          <w:color w:val="auto"/>
          <w:highlight w:val="none"/>
        </w:rPr>
        <w:t>6.5 评标结果异议</w:t>
      </w:r>
    </w:p>
    <w:p w14:paraId="7B78EA0F">
      <w:pPr>
        <w:ind w:firstLine="480"/>
        <w:rPr>
          <w:rFonts w:hint="eastAsia"/>
          <w:color w:val="auto"/>
          <w:highlight w:val="none"/>
        </w:rPr>
      </w:pPr>
      <w:r>
        <w:rPr>
          <w:rFonts w:hint="eastAsia"/>
          <w:color w:val="auto"/>
          <w:highlight w:val="none"/>
        </w:rPr>
        <w:t>投标人或者其他利害关系人对评标结果有异议的，应在中标候选人公示期间通过电子交易系统在线提出或以其他书面形式提出。招标人将在收到异议之日起3日内作出答复；作出答复前，将暂停招标投标活动。</w:t>
      </w:r>
    </w:p>
    <w:p w14:paraId="43EDB1F8">
      <w:pPr>
        <w:pStyle w:val="7"/>
        <w:spacing w:before="240" w:after="240"/>
        <w:ind w:firstLine="0" w:firstLineChars="0"/>
        <w:rPr>
          <w:rFonts w:hint="eastAsia"/>
          <w:color w:val="auto"/>
          <w:highlight w:val="none"/>
        </w:rPr>
      </w:pPr>
      <w:r>
        <w:rPr>
          <w:rFonts w:hint="eastAsia"/>
          <w:color w:val="auto"/>
          <w:highlight w:val="none"/>
        </w:rPr>
        <w:t>6.6 中标候选人履约能力审查</w:t>
      </w:r>
    </w:p>
    <w:p w14:paraId="4854EBA9">
      <w:pPr>
        <w:ind w:firstLine="480"/>
        <w:rPr>
          <w:rFonts w:hint="eastAsia"/>
          <w:color w:val="auto"/>
          <w:highlight w:val="none"/>
        </w:rPr>
      </w:pPr>
      <w:r>
        <w:rPr>
          <w:rFonts w:hint="eastAsia"/>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BDBC185">
      <w:pPr>
        <w:pStyle w:val="6"/>
        <w:spacing w:before="240" w:after="240"/>
        <w:ind w:firstLine="0" w:firstLineChars="0"/>
        <w:rPr>
          <w:rFonts w:hint="eastAsia"/>
          <w:color w:val="auto"/>
          <w:sz w:val="28"/>
          <w:highlight w:val="none"/>
        </w:rPr>
      </w:pPr>
      <w:bookmarkStart w:id="234" w:name="_Toc25712"/>
      <w:bookmarkStart w:id="235" w:name="_Toc22349"/>
      <w:bookmarkStart w:id="236" w:name="_Toc11416"/>
      <w:bookmarkStart w:id="237" w:name="_Toc10527"/>
      <w:bookmarkStart w:id="238" w:name="_Toc20814"/>
      <w:r>
        <w:rPr>
          <w:rFonts w:hint="eastAsia" w:ascii="黑体" w:hAnsi="黑体"/>
          <w:color w:val="auto"/>
          <w:highlight w:val="none"/>
        </w:rPr>
        <w:t>7. 定标</w:t>
      </w:r>
      <w:bookmarkEnd w:id="221"/>
      <w:bookmarkEnd w:id="222"/>
      <w:bookmarkEnd w:id="223"/>
      <w:bookmarkEnd w:id="224"/>
      <w:bookmarkEnd w:id="234"/>
      <w:bookmarkEnd w:id="235"/>
      <w:bookmarkEnd w:id="236"/>
      <w:bookmarkEnd w:id="237"/>
      <w:bookmarkEnd w:id="238"/>
    </w:p>
    <w:p w14:paraId="0860289F">
      <w:pPr>
        <w:pStyle w:val="7"/>
        <w:spacing w:before="240" w:after="240"/>
        <w:ind w:firstLine="0" w:firstLineChars="0"/>
        <w:rPr>
          <w:rFonts w:hint="eastAsia"/>
          <w:color w:val="auto"/>
          <w:highlight w:val="none"/>
        </w:rPr>
      </w:pPr>
      <w:r>
        <w:rPr>
          <w:rFonts w:hint="eastAsia"/>
          <w:color w:val="auto"/>
          <w:highlight w:val="none"/>
        </w:rPr>
        <w:t>7.1 定标</w:t>
      </w:r>
    </w:p>
    <w:p w14:paraId="7CB5D6C2">
      <w:pPr>
        <w:ind w:firstLine="480"/>
        <w:rPr>
          <w:rFonts w:hint="eastAsia"/>
          <w:color w:val="auto"/>
          <w:highlight w:val="none"/>
        </w:rPr>
      </w:pPr>
      <w:r>
        <w:rPr>
          <w:rFonts w:hint="eastAsia"/>
          <w:color w:val="auto"/>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F16BF43">
      <w:pPr>
        <w:pStyle w:val="7"/>
        <w:spacing w:before="240" w:after="240"/>
        <w:ind w:firstLine="0" w:firstLineChars="0"/>
        <w:rPr>
          <w:rFonts w:hint="eastAsia"/>
          <w:color w:val="auto"/>
          <w:highlight w:val="none"/>
        </w:rPr>
      </w:pPr>
      <w:r>
        <w:rPr>
          <w:rFonts w:hint="eastAsia"/>
          <w:color w:val="auto"/>
          <w:highlight w:val="none"/>
        </w:rPr>
        <w:t>7.2 中标结果公示</w:t>
      </w:r>
    </w:p>
    <w:p w14:paraId="19BC5F23">
      <w:pPr>
        <w:ind w:firstLine="480"/>
        <w:rPr>
          <w:rFonts w:hint="eastAsia"/>
          <w:color w:val="auto"/>
          <w:highlight w:val="none"/>
        </w:rPr>
      </w:pPr>
      <w:r>
        <w:rPr>
          <w:rFonts w:hint="eastAsia"/>
          <w:color w:val="auto"/>
          <w:highlight w:val="none"/>
        </w:rPr>
        <w:t>招标人在确定中标人之日起3日内，按照投标人须知前附表规定的公示媒介依法公示中标结果。</w:t>
      </w:r>
    </w:p>
    <w:p w14:paraId="3ED1BF7D">
      <w:pPr>
        <w:pStyle w:val="7"/>
        <w:spacing w:before="240" w:after="240"/>
        <w:ind w:firstLine="0" w:firstLineChars="0"/>
        <w:rPr>
          <w:rFonts w:hint="eastAsia"/>
          <w:color w:val="auto"/>
          <w:highlight w:val="none"/>
        </w:rPr>
      </w:pPr>
      <w:r>
        <w:rPr>
          <w:rFonts w:hint="eastAsia"/>
          <w:color w:val="auto"/>
          <w:highlight w:val="none"/>
        </w:rPr>
        <w:t>7.3 中标通知</w:t>
      </w:r>
    </w:p>
    <w:p w14:paraId="66393913">
      <w:pPr>
        <w:ind w:firstLine="480"/>
        <w:rPr>
          <w:rFonts w:hint="eastAsia"/>
          <w:color w:val="auto"/>
          <w:highlight w:val="none"/>
        </w:rPr>
      </w:pPr>
      <w:r>
        <w:rPr>
          <w:rFonts w:hint="eastAsia"/>
          <w:color w:val="auto"/>
          <w:highlight w:val="none"/>
        </w:rPr>
        <w:t>在本章第3.3款规定的投标有效期内，招标人按照投标人须知前附表规定的形式向中标人发出中标通知书，同时将中标结果通知未中标的投标人。</w:t>
      </w:r>
    </w:p>
    <w:p w14:paraId="47B57628">
      <w:pPr>
        <w:pStyle w:val="6"/>
        <w:spacing w:before="240" w:after="240"/>
        <w:ind w:firstLine="0" w:firstLineChars="0"/>
        <w:rPr>
          <w:rFonts w:hint="eastAsia" w:ascii="黑体" w:hAnsi="黑体"/>
          <w:color w:val="auto"/>
          <w:highlight w:val="none"/>
        </w:rPr>
      </w:pPr>
      <w:bookmarkStart w:id="239" w:name="_Toc6637"/>
      <w:bookmarkStart w:id="240" w:name="_Toc29661"/>
      <w:bookmarkStart w:id="241" w:name="_Toc1007"/>
      <w:bookmarkStart w:id="242" w:name="_Toc8489"/>
      <w:bookmarkStart w:id="243" w:name="_Toc29653"/>
      <w:bookmarkStart w:id="244" w:name="_Toc179632587"/>
      <w:r>
        <w:rPr>
          <w:rFonts w:hint="eastAsia" w:ascii="黑体" w:hAnsi="黑体"/>
          <w:color w:val="auto"/>
          <w:highlight w:val="none"/>
        </w:rPr>
        <w:t>8.合同授予</w:t>
      </w:r>
      <w:bookmarkEnd w:id="239"/>
      <w:bookmarkEnd w:id="240"/>
      <w:bookmarkEnd w:id="241"/>
      <w:bookmarkEnd w:id="242"/>
      <w:bookmarkEnd w:id="243"/>
    </w:p>
    <w:p w14:paraId="72E1014C">
      <w:pPr>
        <w:pStyle w:val="7"/>
        <w:spacing w:before="240" w:after="240"/>
        <w:ind w:firstLine="0" w:firstLineChars="0"/>
        <w:rPr>
          <w:rFonts w:hint="eastAsia"/>
          <w:color w:val="auto"/>
          <w:highlight w:val="none"/>
        </w:rPr>
      </w:pPr>
      <w:r>
        <w:rPr>
          <w:rFonts w:hint="eastAsia"/>
          <w:color w:val="auto"/>
          <w:highlight w:val="none"/>
        </w:rPr>
        <w:t>8.1 履约保证金</w:t>
      </w:r>
      <w:bookmarkEnd w:id="244"/>
    </w:p>
    <w:p w14:paraId="79924EC9">
      <w:pPr>
        <w:ind w:firstLine="480"/>
        <w:rPr>
          <w:rFonts w:hint="eastAsia"/>
          <w:color w:val="auto"/>
          <w:highlight w:val="none"/>
        </w:rPr>
      </w:pPr>
      <w:r>
        <w:rPr>
          <w:rFonts w:hint="eastAsia"/>
          <w:color w:val="auto"/>
          <w:highlight w:val="none"/>
        </w:rPr>
        <w:t>8.1.1 在签订合同前，中标人应按照投标人须知前附表规定的金额、形式和招标文件第四章“合同条款及格式”规定的</w:t>
      </w:r>
      <w:r>
        <w:rPr>
          <w:color w:val="auto"/>
          <w:highlight w:val="none"/>
        </w:rPr>
        <w:t>或者事先经过招标人书面认可的</w:t>
      </w:r>
      <w:r>
        <w:rPr>
          <w:rFonts w:hint="eastAsia"/>
          <w:color w:val="auto"/>
          <w:highlight w:val="none"/>
        </w:rPr>
        <w:t>履约保证金格式向招标人提交履约保证金。</w:t>
      </w:r>
      <w:r>
        <w:rPr>
          <w:color w:val="auto"/>
          <w:highlight w:val="none"/>
        </w:rPr>
        <w:t>除投标人须知前附表另有规定外，履约保证金为中标合同金额的10%。联合体中标的，其履约保证金以联合体各方或者联合体中牵头人的名义提交。</w:t>
      </w:r>
    </w:p>
    <w:p w14:paraId="71DCCC3B">
      <w:pPr>
        <w:ind w:firstLine="480"/>
        <w:rPr>
          <w:rFonts w:hint="eastAsia"/>
          <w:color w:val="auto"/>
          <w:highlight w:val="none"/>
        </w:rPr>
      </w:pPr>
      <w:r>
        <w:rPr>
          <w:rFonts w:hint="eastAsia"/>
          <w:color w:val="auto"/>
          <w:highlight w:val="none"/>
        </w:rPr>
        <w:t>8.1.2 中标人不能按照本章第8.1.1项要求提交履约保证金的，视为放弃中标，其投标保证金不予退还，给招标人造成的损失超过投标保证金数额的，中标人还应当对超过部分予以赔偿。</w:t>
      </w:r>
    </w:p>
    <w:p w14:paraId="14DA34DA">
      <w:pPr>
        <w:pStyle w:val="7"/>
        <w:spacing w:before="240" w:after="240"/>
        <w:ind w:firstLine="0" w:firstLineChars="0"/>
        <w:rPr>
          <w:rFonts w:hint="eastAsia"/>
          <w:color w:val="auto"/>
          <w:highlight w:val="none"/>
        </w:rPr>
      </w:pPr>
      <w:bookmarkStart w:id="245" w:name="_Toc179632588"/>
      <w:r>
        <w:rPr>
          <w:rFonts w:hint="eastAsia"/>
          <w:color w:val="auto"/>
          <w:highlight w:val="none"/>
        </w:rPr>
        <w:t>8.2 签订合同</w:t>
      </w:r>
      <w:bookmarkEnd w:id="245"/>
    </w:p>
    <w:p w14:paraId="55876EC2">
      <w:pPr>
        <w:ind w:firstLine="480"/>
        <w:rPr>
          <w:color w:val="auto"/>
          <w:highlight w:val="none"/>
        </w:rPr>
      </w:pPr>
      <w:r>
        <w:rPr>
          <w:rFonts w:hint="eastAsia"/>
          <w:color w:val="auto"/>
          <w:highlight w:val="none"/>
        </w:rPr>
        <w:t>8.2.1 中标人和招标人应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对超过部分予以赔偿。</w:t>
      </w:r>
    </w:p>
    <w:p w14:paraId="132E07DE">
      <w:pPr>
        <w:ind w:firstLine="480"/>
        <w:rPr>
          <w:rFonts w:hint="eastAsia"/>
          <w:color w:val="auto"/>
          <w:highlight w:val="none"/>
        </w:rPr>
      </w:pPr>
      <w:r>
        <w:rPr>
          <w:rFonts w:hint="eastAsia"/>
          <w:color w:val="auto"/>
          <w:highlight w:val="none"/>
        </w:rPr>
        <w:t xml:space="preserve">8.2.2 </w:t>
      </w:r>
      <w:r>
        <w:rPr>
          <w:color w:val="auto"/>
          <w:highlight w:val="none"/>
        </w:rPr>
        <w:t>发出中标通知书后，招标人无正当理由拒签合同，或者在签订合同时</w:t>
      </w:r>
      <w:r>
        <w:rPr>
          <w:rFonts w:hint="eastAsia"/>
          <w:color w:val="auto"/>
          <w:highlight w:val="none"/>
        </w:rPr>
        <w:t>向中标人</w:t>
      </w:r>
      <w:r>
        <w:rPr>
          <w:color w:val="auto"/>
          <w:highlight w:val="none"/>
        </w:rPr>
        <w:t>提出附加条件的，招标人</w:t>
      </w:r>
      <w:r>
        <w:rPr>
          <w:rFonts w:hint="eastAsia"/>
          <w:color w:val="auto"/>
          <w:highlight w:val="none"/>
        </w:rPr>
        <w:t>应</w:t>
      </w:r>
      <w:r>
        <w:rPr>
          <w:color w:val="auto"/>
          <w:highlight w:val="none"/>
        </w:rPr>
        <w:t>退还中标人</w:t>
      </w:r>
      <w:r>
        <w:rPr>
          <w:rFonts w:hint="eastAsia"/>
          <w:color w:val="auto"/>
          <w:highlight w:val="none"/>
        </w:rPr>
        <w:t>的</w:t>
      </w:r>
      <w:r>
        <w:rPr>
          <w:color w:val="auto"/>
          <w:highlight w:val="none"/>
        </w:rPr>
        <w:t>投标保证金</w:t>
      </w:r>
      <w:r>
        <w:rPr>
          <w:rFonts w:hint="eastAsia"/>
          <w:color w:val="auto"/>
          <w:highlight w:val="none"/>
        </w:rPr>
        <w:t>。招标人存在前述情形的，由公共资源交易监督管理部门责令改正，可以处中标项目金额10‰以下的罚款；给中标人造成损失的，依法承担赔偿责任。</w:t>
      </w:r>
    </w:p>
    <w:p w14:paraId="5E0117EF">
      <w:pPr>
        <w:ind w:firstLine="480"/>
        <w:rPr>
          <w:color w:val="auto"/>
          <w:highlight w:val="none"/>
        </w:rPr>
      </w:pPr>
      <w:r>
        <w:rPr>
          <w:rFonts w:hint="eastAsia"/>
          <w:color w:val="auto"/>
          <w:highlight w:val="none"/>
        </w:rPr>
        <w:t xml:space="preserve">8.2.3 </w:t>
      </w:r>
      <w:r>
        <w:rPr>
          <w:color w:val="auto"/>
          <w:highlight w:val="none"/>
        </w:rPr>
        <w:t>联合体中标的，联合体各方应当共同与招标人签订合同，就中标项目向招标人承担连带责任。</w:t>
      </w:r>
    </w:p>
    <w:p w14:paraId="690D054F">
      <w:pPr>
        <w:ind w:firstLine="480"/>
        <w:rPr>
          <w:color w:val="auto"/>
          <w:highlight w:val="none"/>
        </w:rPr>
      </w:pPr>
      <w:r>
        <w:rPr>
          <w:rFonts w:hint="eastAsia"/>
          <w:color w:val="auto"/>
          <w:highlight w:val="none"/>
        </w:rPr>
        <w:t>8.2.4 招标人将及时主动公开合同订立信息，并积极推进合同履行及变更信息公开。</w:t>
      </w:r>
    </w:p>
    <w:p w14:paraId="3E32FBD2">
      <w:pPr>
        <w:pStyle w:val="6"/>
        <w:spacing w:before="240" w:after="240"/>
        <w:ind w:firstLine="0" w:firstLineChars="0"/>
        <w:rPr>
          <w:rFonts w:hint="eastAsia"/>
          <w:color w:val="auto"/>
          <w:sz w:val="28"/>
          <w:highlight w:val="none"/>
        </w:rPr>
      </w:pPr>
      <w:bookmarkStart w:id="246" w:name="_Toc8065"/>
      <w:bookmarkStart w:id="247" w:name="_Toc4910"/>
      <w:bookmarkStart w:id="248" w:name="_Toc14496"/>
      <w:bookmarkStart w:id="249" w:name="_Toc19108"/>
      <w:r>
        <w:rPr>
          <w:rFonts w:hint="eastAsia"/>
          <w:color w:val="auto"/>
          <w:highlight w:val="none"/>
        </w:rPr>
        <w:t>9</w:t>
      </w:r>
      <w:r>
        <w:rPr>
          <w:color w:val="auto"/>
          <w:highlight w:val="none"/>
        </w:rPr>
        <w:t>.</w:t>
      </w:r>
      <w:bookmarkEnd w:id="225"/>
      <w:bookmarkEnd w:id="226"/>
      <w:bookmarkEnd w:id="227"/>
      <w:r>
        <w:rPr>
          <w:color w:val="auto"/>
          <w:highlight w:val="none"/>
        </w:rPr>
        <w:t xml:space="preserve"> 纪律和监督</w:t>
      </w:r>
      <w:bookmarkEnd w:id="246"/>
      <w:bookmarkEnd w:id="247"/>
      <w:bookmarkEnd w:id="248"/>
      <w:bookmarkEnd w:id="249"/>
    </w:p>
    <w:p w14:paraId="03DC2D0F">
      <w:pPr>
        <w:pStyle w:val="7"/>
        <w:spacing w:before="240" w:after="240"/>
        <w:ind w:firstLine="0" w:firstLineChars="0"/>
        <w:rPr>
          <w:rFonts w:hint="eastAsia"/>
          <w:color w:val="auto"/>
          <w:highlight w:val="none"/>
        </w:rPr>
      </w:pPr>
      <w:r>
        <w:rPr>
          <w:rFonts w:hint="eastAsia"/>
          <w:color w:val="auto"/>
          <w:highlight w:val="none"/>
        </w:rPr>
        <w:t>9.1 对招标人的纪律要求</w:t>
      </w:r>
    </w:p>
    <w:p w14:paraId="1C72079D">
      <w:pPr>
        <w:ind w:firstLine="480"/>
        <w:rPr>
          <w:color w:val="auto"/>
          <w:highlight w:val="none"/>
        </w:rPr>
      </w:pPr>
      <w:r>
        <w:rPr>
          <w:color w:val="auto"/>
          <w:highlight w:val="none"/>
        </w:rPr>
        <w:t>招标人不得泄露招标投标活动中应当保密的情况和资料，不得与投标人串通损害国家利益、社会公共利益或者他人合法权益。</w:t>
      </w:r>
    </w:p>
    <w:p w14:paraId="18B2F172">
      <w:pPr>
        <w:pStyle w:val="7"/>
        <w:spacing w:before="240" w:after="240"/>
        <w:ind w:firstLine="0" w:firstLineChars="0"/>
        <w:rPr>
          <w:rFonts w:hint="eastAsia"/>
          <w:color w:val="auto"/>
          <w:highlight w:val="none"/>
        </w:rPr>
      </w:pPr>
      <w:r>
        <w:rPr>
          <w:rFonts w:hint="eastAsia"/>
          <w:color w:val="auto"/>
          <w:highlight w:val="none"/>
        </w:rPr>
        <w:t>9.2 对投标人的纪律要求</w:t>
      </w:r>
    </w:p>
    <w:p w14:paraId="760A9229">
      <w:pPr>
        <w:ind w:firstLine="48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8B133DB">
      <w:pPr>
        <w:pStyle w:val="7"/>
        <w:spacing w:before="240" w:after="240"/>
        <w:ind w:firstLine="0" w:firstLineChars="0"/>
        <w:rPr>
          <w:color w:val="auto"/>
          <w:highlight w:val="none"/>
        </w:rPr>
      </w:pPr>
      <w:r>
        <w:rPr>
          <w:rFonts w:hint="eastAsia"/>
          <w:color w:val="auto"/>
          <w:highlight w:val="none"/>
        </w:rPr>
        <w:t>9</w:t>
      </w:r>
      <w:r>
        <w:rPr>
          <w:color w:val="auto"/>
          <w:highlight w:val="none"/>
        </w:rPr>
        <w:t>.3 对评标委员会成员的纪律要求</w:t>
      </w:r>
    </w:p>
    <w:p w14:paraId="59C73B5B">
      <w:pPr>
        <w:ind w:firstLine="480"/>
        <w:rPr>
          <w:color w:val="auto"/>
          <w:highlight w:val="none"/>
        </w:rPr>
      </w:pPr>
      <w:r>
        <w:rPr>
          <w:color w:val="auto"/>
          <w:highlight w:val="none"/>
        </w:rPr>
        <w:t>评标委员会成员不得收受他人的财物或者其他好处，不得向他人透露对投标文件的评审</w:t>
      </w:r>
      <w:bookmarkStart w:id="250" w:name="_Toc13644"/>
      <w:bookmarkStart w:id="251" w:name="_Toc384308253"/>
      <w:bookmarkStart w:id="252" w:name="_Toc352691515"/>
      <w:bookmarkStart w:id="253" w:name="_Toc361508628"/>
      <w:bookmarkStart w:id="254" w:name="_Toc369531559"/>
      <w:r>
        <w:rPr>
          <w:color w:val="auto"/>
          <w:highlight w:val="none"/>
        </w:rPr>
        <w:t>和比较、中标候选人</w:t>
      </w:r>
      <w:bookmarkEnd w:id="228"/>
      <w:bookmarkEnd w:id="229"/>
      <w:bookmarkEnd w:id="230"/>
      <w:bookmarkEnd w:id="231"/>
      <w:bookmarkEnd w:id="232"/>
      <w:bookmarkEnd w:id="233"/>
      <w:bookmarkEnd w:id="250"/>
      <w:bookmarkEnd w:id="251"/>
      <w:bookmarkEnd w:id="252"/>
      <w:bookmarkEnd w:id="253"/>
      <w:bookmarkEnd w:id="254"/>
      <w:r>
        <w:rPr>
          <w:color w:val="auto"/>
          <w:highlight w:val="none"/>
        </w:rPr>
        <w:t>的推荐情况以及评标有关的其他情况。在评标活动中，</w:t>
      </w:r>
      <w:r>
        <w:rPr>
          <w:rFonts w:hint="eastAsia"/>
          <w:color w:val="auto"/>
          <w:highlight w:val="none"/>
        </w:rPr>
        <w:t>评标委员会成员不得擅离职守</w:t>
      </w:r>
      <w:r>
        <w:rPr>
          <w:color w:val="auto"/>
          <w:highlight w:val="none"/>
        </w:rPr>
        <w:t>，影响评标程序正常进行，不得使用第三章“评标办法”没有规定的评审因素和标准进行评标。</w:t>
      </w:r>
    </w:p>
    <w:p w14:paraId="3D1D86FB">
      <w:pPr>
        <w:pStyle w:val="7"/>
        <w:spacing w:before="240" w:after="240"/>
        <w:ind w:firstLine="0" w:firstLineChars="0"/>
        <w:rPr>
          <w:color w:val="auto"/>
          <w:highlight w:val="none"/>
        </w:rPr>
      </w:pPr>
      <w:r>
        <w:rPr>
          <w:rFonts w:hint="eastAsia"/>
          <w:color w:val="auto"/>
          <w:highlight w:val="none"/>
        </w:rPr>
        <w:t>9</w:t>
      </w:r>
      <w:r>
        <w:rPr>
          <w:color w:val="auto"/>
          <w:highlight w:val="none"/>
        </w:rPr>
        <w:t>.4 对与评标活动有关的工作人员的纪律要求</w:t>
      </w:r>
    </w:p>
    <w:p w14:paraId="1FFDAEA8">
      <w:pPr>
        <w:ind w:firstLine="480"/>
        <w:rPr>
          <w:color w:val="auto"/>
          <w:highlight w:val="none"/>
        </w:rPr>
      </w:pPr>
      <w:r>
        <w:rPr>
          <w:color w:val="auto"/>
          <w:highlight w:val="none"/>
        </w:rPr>
        <w:t>与评标活动有关的工作人员不得收受他人的财物或者其他好处，不得向他人透露对投标文件</w:t>
      </w:r>
      <w:bookmarkStart w:id="255" w:name="_Toc144974537"/>
      <w:bookmarkStart w:id="256" w:name="_Toc152042345"/>
      <w:bookmarkStart w:id="257" w:name="_Toc361508629"/>
      <w:bookmarkStart w:id="258" w:name="_Toc247513993"/>
      <w:bookmarkStart w:id="259" w:name="_Toc369531560"/>
      <w:bookmarkStart w:id="260" w:name="_Toc247527594"/>
      <w:bookmarkStart w:id="261" w:name="_Toc384308254"/>
      <w:bookmarkStart w:id="262" w:name="_Toc300834992"/>
      <w:bookmarkStart w:id="263" w:name="_Toc19429"/>
      <w:bookmarkStart w:id="264" w:name="_Toc152045569"/>
      <w:bookmarkStart w:id="265" w:name="_Toc352691516"/>
      <w:r>
        <w:rPr>
          <w:color w:val="auto"/>
          <w:highlight w:val="none"/>
        </w:rPr>
        <w:t>的评审和比较、中标</w:t>
      </w:r>
      <w:bookmarkEnd w:id="255"/>
      <w:bookmarkEnd w:id="256"/>
      <w:bookmarkEnd w:id="257"/>
      <w:bookmarkEnd w:id="258"/>
      <w:bookmarkEnd w:id="259"/>
      <w:bookmarkEnd w:id="260"/>
      <w:bookmarkEnd w:id="261"/>
      <w:bookmarkEnd w:id="262"/>
      <w:bookmarkEnd w:id="263"/>
      <w:bookmarkEnd w:id="264"/>
      <w:bookmarkEnd w:id="265"/>
      <w:r>
        <w:rPr>
          <w:color w:val="auto"/>
          <w:highlight w:val="none"/>
        </w:rPr>
        <w:t>候选人的推荐情况以及评标有关的其他情况。在评标活动中，与评标活动有关的工作人员不得擅离职守，影响评标程序正常进行。</w:t>
      </w:r>
    </w:p>
    <w:p w14:paraId="3BD2C857">
      <w:pPr>
        <w:pStyle w:val="7"/>
        <w:spacing w:before="240" w:after="240"/>
        <w:ind w:firstLine="0" w:firstLineChars="0"/>
        <w:rPr>
          <w:color w:val="auto"/>
          <w:highlight w:val="none"/>
        </w:rPr>
      </w:pPr>
      <w:r>
        <w:rPr>
          <w:rFonts w:hint="eastAsia"/>
          <w:color w:val="auto"/>
          <w:highlight w:val="none"/>
        </w:rPr>
        <w:t>9</w:t>
      </w:r>
      <w:r>
        <w:rPr>
          <w:color w:val="auto"/>
          <w:highlight w:val="none"/>
        </w:rPr>
        <w:t>.5 投诉</w:t>
      </w:r>
    </w:p>
    <w:p w14:paraId="649AE34E">
      <w:pPr>
        <w:ind w:firstLine="480"/>
        <w:rPr>
          <w:color w:val="auto"/>
          <w:highlight w:val="none"/>
        </w:rPr>
      </w:pPr>
      <w:r>
        <w:rPr>
          <w:rFonts w:hint="eastAsia"/>
          <w:color w:val="auto"/>
          <w:highlight w:val="none"/>
        </w:rPr>
        <w:t>9</w:t>
      </w:r>
      <w:r>
        <w:rPr>
          <w:color w:val="auto"/>
          <w:highlight w:val="none"/>
        </w:rPr>
        <w:t>.5.1 投标人或者其他利害关系人认为招标投标活动不符合法律、行政法规规定的，可以自知道或者应当知道之日起10日内</w:t>
      </w:r>
      <w:r>
        <w:rPr>
          <w:rFonts w:hint="eastAsia"/>
          <w:color w:val="auto"/>
          <w:highlight w:val="none"/>
        </w:rPr>
        <w:t>通过网上投诉系统或以其他书面形式</w:t>
      </w:r>
      <w:r>
        <w:rPr>
          <w:color w:val="auto"/>
          <w:highlight w:val="none"/>
        </w:rPr>
        <w:t>向有关行政监督部门投诉。投诉应当有明确的请求和必要的证明材料。</w:t>
      </w:r>
    </w:p>
    <w:p w14:paraId="4FD6B04C">
      <w:pPr>
        <w:ind w:firstLine="480"/>
        <w:rPr>
          <w:color w:val="auto"/>
          <w:highlight w:val="none"/>
        </w:rPr>
      </w:pPr>
      <w:r>
        <w:rPr>
          <w:rFonts w:hint="eastAsia"/>
          <w:color w:val="auto"/>
          <w:highlight w:val="none"/>
        </w:rPr>
        <w:t>9</w:t>
      </w:r>
      <w:r>
        <w:rPr>
          <w:color w:val="auto"/>
          <w:highlight w:val="none"/>
        </w:rPr>
        <w:t>.5.2 投标人或者其他利害关系人对招标文件、开标和评标结果提出投诉的，应当按照投标人须知第2.4款、第5.3款和第</w:t>
      </w:r>
      <w:r>
        <w:rPr>
          <w:rFonts w:hint="eastAsia"/>
          <w:color w:val="auto"/>
          <w:highlight w:val="none"/>
        </w:rPr>
        <w:t>6.5</w:t>
      </w:r>
      <w:r>
        <w:rPr>
          <w:color w:val="auto"/>
          <w:highlight w:val="none"/>
        </w:rPr>
        <w:t>款的规定先向招标人提出异议。异议答复期间</w:t>
      </w:r>
      <w:bookmarkStart w:id="266" w:name="_Toc144974538"/>
      <w:bookmarkStart w:id="267" w:name="_Toc247527595"/>
      <w:bookmarkStart w:id="268" w:name="_Toc152042346"/>
      <w:bookmarkStart w:id="269" w:name="_Toc247513994"/>
      <w:bookmarkStart w:id="270" w:name="_Toc361508630"/>
      <w:bookmarkStart w:id="271" w:name="_Toc352691517"/>
      <w:bookmarkStart w:id="272" w:name="_Toc12776"/>
      <w:bookmarkStart w:id="273" w:name="_Toc300834993"/>
      <w:bookmarkStart w:id="274" w:name="_Toc369531561"/>
      <w:bookmarkStart w:id="275" w:name="_Toc152045570"/>
      <w:bookmarkStart w:id="276" w:name="_Toc384308255"/>
      <w:r>
        <w:rPr>
          <w:color w:val="auto"/>
          <w:highlight w:val="none"/>
        </w:rPr>
        <w:t>不计算在第</w:t>
      </w:r>
      <w:r>
        <w:rPr>
          <w:rFonts w:hint="eastAsia"/>
          <w:color w:val="auto"/>
          <w:highlight w:val="none"/>
        </w:rPr>
        <w:t>9</w:t>
      </w:r>
      <w:r>
        <w:rPr>
          <w:color w:val="auto"/>
          <w:highlight w:val="none"/>
        </w:rPr>
        <w:t>.5.</w:t>
      </w:r>
      <w:bookmarkEnd w:id="266"/>
      <w:bookmarkEnd w:id="267"/>
      <w:bookmarkEnd w:id="268"/>
      <w:bookmarkEnd w:id="269"/>
      <w:bookmarkEnd w:id="270"/>
      <w:bookmarkEnd w:id="271"/>
      <w:bookmarkEnd w:id="272"/>
      <w:bookmarkEnd w:id="273"/>
      <w:bookmarkEnd w:id="274"/>
      <w:bookmarkEnd w:id="275"/>
      <w:bookmarkEnd w:id="276"/>
      <w:r>
        <w:rPr>
          <w:color w:val="auto"/>
          <w:highlight w:val="none"/>
        </w:rPr>
        <w:t>1项规定的期限内。</w:t>
      </w:r>
    </w:p>
    <w:p w14:paraId="671B0464">
      <w:pPr>
        <w:pStyle w:val="6"/>
        <w:spacing w:before="240" w:after="240"/>
        <w:ind w:firstLine="0" w:firstLineChars="0"/>
        <w:rPr>
          <w:color w:val="auto"/>
          <w:highlight w:val="none"/>
        </w:rPr>
      </w:pPr>
      <w:bookmarkStart w:id="277" w:name="_Toc22941"/>
      <w:bookmarkStart w:id="278" w:name="_Toc30937"/>
      <w:bookmarkStart w:id="279" w:name="_Toc7477"/>
      <w:bookmarkStart w:id="280" w:name="_Toc25218"/>
      <w:r>
        <w:rPr>
          <w:color w:val="auto"/>
          <w:highlight w:val="none"/>
        </w:rPr>
        <w:t>10. 需要补充的其他内容</w:t>
      </w:r>
      <w:bookmarkEnd w:id="277"/>
      <w:bookmarkEnd w:id="278"/>
      <w:bookmarkEnd w:id="279"/>
      <w:bookmarkEnd w:id="280"/>
    </w:p>
    <w:p w14:paraId="7DE03959">
      <w:pPr>
        <w:ind w:firstLine="480"/>
        <w:rPr>
          <w:color w:val="auto"/>
          <w:highlight w:val="none"/>
        </w:rPr>
      </w:pPr>
      <w:r>
        <w:rPr>
          <w:color w:val="auto"/>
          <w:highlight w:val="none"/>
        </w:rPr>
        <w:t>需要补充的其他内容：见投标人须知前附表。</w:t>
      </w:r>
    </w:p>
    <w:p w14:paraId="7020EAB3">
      <w:pPr>
        <w:pStyle w:val="6"/>
        <w:spacing w:before="240" w:after="240"/>
        <w:ind w:left="0" w:leftChars="0" w:firstLine="0" w:firstLineChars="0"/>
        <w:jc w:val="center"/>
        <w:rPr>
          <w:rFonts w:hint="eastAsia"/>
          <w:color w:val="auto"/>
          <w:highlight w:val="none"/>
        </w:rPr>
      </w:pPr>
      <w:r>
        <w:rPr>
          <w:color w:val="auto"/>
          <w:highlight w:val="none"/>
        </w:rPr>
        <w:br w:type="page"/>
      </w:r>
      <w:bookmarkStart w:id="281" w:name="_Toc26708454"/>
      <w:bookmarkStart w:id="282" w:name="_Toc2684"/>
      <w:bookmarkStart w:id="283" w:name="_Toc27277"/>
      <w:bookmarkStart w:id="284" w:name="_Toc26710606"/>
      <w:bookmarkStart w:id="285" w:name="_Toc4097"/>
      <w:bookmarkStart w:id="286" w:name="_Toc28981"/>
      <w:bookmarkStart w:id="287" w:name="_Toc26691748"/>
      <w:bookmarkStart w:id="288" w:name="_Toc5964"/>
      <w:bookmarkStart w:id="289" w:name="_Toc9179"/>
      <w:r>
        <w:rPr>
          <w:rStyle w:val="56"/>
          <w:rFonts w:hint="eastAsia"/>
          <w:color w:val="auto"/>
          <w:highlight w:val="none"/>
        </w:rPr>
        <w:t>附件：</w:t>
      </w:r>
      <w:bookmarkEnd w:id="281"/>
      <w:bookmarkEnd w:id="282"/>
      <w:bookmarkEnd w:id="283"/>
      <w:bookmarkEnd w:id="284"/>
      <w:bookmarkEnd w:id="285"/>
      <w:bookmarkEnd w:id="286"/>
      <w:bookmarkEnd w:id="287"/>
      <w:bookmarkEnd w:id="288"/>
      <w:bookmarkEnd w:id="289"/>
      <w:r>
        <w:rPr>
          <w:rFonts w:hint="eastAsia"/>
          <w:color w:val="auto"/>
          <w:highlight w:val="none"/>
        </w:rPr>
        <w:t>合肥市公共资源交易电子招标投标操作规程</w:t>
      </w:r>
    </w:p>
    <w:p w14:paraId="38574A0D">
      <w:pPr>
        <w:ind w:firstLine="482"/>
        <w:jc w:val="both"/>
        <w:rPr>
          <w:rFonts w:hint="eastAsia" w:hAnsi="宋体" w:cs="宋体"/>
          <w:color w:val="auto"/>
          <w:szCs w:val="24"/>
          <w:highlight w:val="none"/>
        </w:rPr>
      </w:pPr>
      <w:r>
        <w:rPr>
          <w:rFonts w:hint="eastAsia" w:hAnsi="宋体" w:cs="宋体"/>
          <w:b/>
          <w:bCs/>
          <w:color w:val="auto"/>
          <w:szCs w:val="24"/>
          <w:highlight w:val="none"/>
        </w:rPr>
        <w:t>第一条</w:t>
      </w:r>
      <w:r>
        <w:rPr>
          <w:rFonts w:hint="eastAsia" w:hAnsi="宋体" w:cs="宋体"/>
          <w:color w:val="auto"/>
          <w:szCs w:val="24"/>
          <w:highlight w:val="none"/>
        </w:rPr>
        <w:t xml:space="preserve">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6236E525">
      <w:pPr>
        <w:ind w:firstLine="482"/>
        <w:jc w:val="both"/>
        <w:rPr>
          <w:rFonts w:hint="eastAsia" w:hAnsi="宋体" w:cs="宋体"/>
          <w:color w:val="auto"/>
          <w:szCs w:val="24"/>
          <w:highlight w:val="none"/>
        </w:rPr>
      </w:pPr>
      <w:r>
        <w:rPr>
          <w:rFonts w:hint="eastAsia" w:hAnsi="宋体" w:cs="宋体"/>
          <w:b/>
          <w:bCs/>
          <w:color w:val="auto"/>
          <w:szCs w:val="24"/>
          <w:highlight w:val="none"/>
        </w:rPr>
        <w:t>第二条</w:t>
      </w:r>
      <w:r>
        <w:rPr>
          <w:rFonts w:hint="eastAsia" w:hAnsi="宋体" w:cs="宋体"/>
          <w:color w:val="auto"/>
          <w:szCs w:val="24"/>
          <w:highlight w:val="none"/>
        </w:rPr>
        <w:t xml:space="preserve">  本规程适用于进入安徽合肥公共资源交易平台交易的项目。行业主管部门另有规定的，从其规定。</w:t>
      </w:r>
    </w:p>
    <w:p w14:paraId="686986A0">
      <w:pPr>
        <w:ind w:firstLine="482"/>
        <w:jc w:val="both"/>
        <w:rPr>
          <w:rFonts w:hint="eastAsia" w:hAnsi="宋体" w:cs="宋体"/>
          <w:color w:val="auto"/>
          <w:szCs w:val="24"/>
          <w:highlight w:val="none"/>
        </w:rPr>
      </w:pPr>
      <w:r>
        <w:rPr>
          <w:rFonts w:hint="eastAsia" w:hAnsi="宋体" w:cs="宋体"/>
          <w:b/>
          <w:bCs/>
          <w:color w:val="auto"/>
          <w:szCs w:val="24"/>
          <w:highlight w:val="none"/>
        </w:rPr>
        <w:t>第三条</w:t>
      </w:r>
      <w:r>
        <w:rPr>
          <w:rFonts w:hint="eastAsia" w:hAnsi="宋体" w:cs="宋体"/>
          <w:color w:val="auto"/>
          <w:szCs w:val="24"/>
          <w:highlight w:val="none"/>
        </w:rPr>
        <w:t xml:space="preserve">  本规程所称的电子招标投标，是指以数据电文形式，依托电子交易系统和电子服务系统完成的全部或者部分招标投标交易活动。</w:t>
      </w:r>
    </w:p>
    <w:p w14:paraId="38438ABA">
      <w:pPr>
        <w:ind w:firstLine="482"/>
        <w:jc w:val="both"/>
        <w:rPr>
          <w:rFonts w:hint="eastAsia" w:hAnsi="宋体" w:cs="宋体"/>
          <w:color w:val="auto"/>
          <w:szCs w:val="24"/>
          <w:highlight w:val="none"/>
        </w:rPr>
      </w:pPr>
      <w:r>
        <w:rPr>
          <w:rFonts w:hint="eastAsia" w:hAnsi="宋体" w:cs="宋体"/>
          <w:b/>
          <w:bCs/>
          <w:color w:val="auto"/>
          <w:szCs w:val="24"/>
          <w:highlight w:val="none"/>
        </w:rPr>
        <w:t>第四条</w:t>
      </w:r>
      <w:r>
        <w:rPr>
          <w:rFonts w:hint="eastAsia" w:hAnsi="宋体" w:cs="宋体"/>
          <w:color w:val="auto"/>
          <w:szCs w:val="24"/>
          <w:highlight w:val="none"/>
        </w:rPr>
        <w:t xml:space="preserve">  电子交易系统是招标投标当事人通过数据电文形式完成招标投标交易活动的系统。</w:t>
      </w:r>
    </w:p>
    <w:p w14:paraId="511465CE">
      <w:pPr>
        <w:ind w:firstLine="480"/>
        <w:jc w:val="both"/>
        <w:rPr>
          <w:rFonts w:hint="eastAsia" w:hAnsi="宋体" w:cs="宋体"/>
          <w:color w:val="auto"/>
          <w:szCs w:val="24"/>
          <w:highlight w:val="none"/>
        </w:rPr>
      </w:pPr>
      <w:r>
        <w:rPr>
          <w:rFonts w:hint="eastAsia" w:hAnsi="宋体" w:cs="宋体"/>
          <w:color w:val="auto"/>
          <w:szCs w:val="24"/>
          <w:highlight w:val="none"/>
        </w:rPr>
        <w:t>电子交易系统要具备在线完成招标投标全部交易过程，编辑、生成、对接、交换和发布有关招标投标数据信息的功能，并为行政监督部门依法实施监督和受理投诉提供所需的信息通道。</w:t>
      </w:r>
    </w:p>
    <w:p w14:paraId="24675152">
      <w:pPr>
        <w:ind w:firstLine="482"/>
        <w:jc w:val="both"/>
        <w:rPr>
          <w:rFonts w:hint="eastAsia" w:hAnsi="宋体" w:cs="宋体"/>
          <w:color w:val="auto"/>
          <w:szCs w:val="24"/>
          <w:highlight w:val="none"/>
        </w:rPr>
      </w:pPr>
      <w:r>
        <w:rPr>
          <w:rFonts w:hint="eastAsia" w:hAnsi="宋体" w:cs="宋体"/>
          <w:b/>
          <w:bCs/>
          <w:color w:val="auto"/>
          <w:szCs w:val="24"/>
          <w:highlight w:val="none"/>
        </w:rPr>
        <w:t>第五条</w:t>
      </w:r>
      <w:r>
        <w:rPr>
          <w:rFonts w:hint="eastAsia" w:hAnsi="宋体" w:cs="宋体"/>
          <w:color w:val="auto"/>
          <w:szCs w:val="24"/>
          <w:highlight w:val="none"/>
        </w:rPr>
        <w:t xml:space="preserve">  电子服务系统是满足与各电子交易系统之间电子招标投标信息对接交换、资源共享需要，并为市场主体、行政监督部门和社会公众提供信息交换、整合和发布的系统。</w:t>
      </w:r>
    </w:p>
    <w:p w14:paraId="27BBB50A">
      <w:pPr>
        <w:ind w:firstLine="480"/>
        <w:jc w:val="both"/>
        <w:rPr>
          <w:rFonts w:hint="eastAsia" w:hAnsi="宋体" w:cs="宋体"/>
          <w:color w:val="auto"/>
          <w:szCs w:val="24"/>
          <w:highlight w:val="none"/>
        </w:rPr>
      </w:pPr>
      <w:r>
        <w:rPr>
          <w:rFonts w:hint="eastAsia" w:hAnsi="宋体" w:cs="宋体"/>
          <w:color w:val="auto"/>
          <w:szCs w:val="24"/>
          <w:highlight w:val="none"/>
        </w:rPr>
        <w:t>电子服务系统要具备与各电子交易系统之间招标投标相关信息对接、交换、发布、资格信誉和业绩公开、行业统计分析、连接评标专家库、提供行政监督通道等服务功能。</w:t>
      </w:r>
    </w:p>
    <w:p w14:paraId="6998E888">
      <w:pPr>
        <w:ind w:firstLine="482"/>
        <w:jc w:val="both"/>
        <w:rPr>
          <w:rFonts w:hint="eastAsia" w:hAnsi="宋体" w:cs="宋体"/>
          <w:color w:val="auto"/>
          <w:szCs w:val="24"/>
          <w:highlight w:val="none"/>
        </w:rPr>
      </w:pPr>
      <w:r>
        <w:rPr>
          <w:rFonts w:hint="eastAsia" w:hAnsi="宋体" w:cs="宋体"/>
          <w:b/>
          <w:bCs/>
          <w:color w:val="auto"/>
          <w:szCs w:val="24"/>
          <w:highlight w:val="none"/>
        </w:rPr>
        <w:t>第六条</w:t>
      </w:r>
      <w:r>
        <w:rPr>
          <w:rFonts w:hint="eastAsia" w:hAnsi="宋体" w:cs="宋体"/>
          <w:color w:val="auto"/>
          <w:szCs w:val="24"/>
          <w:highlight w:val="none"/>
        </w:rPr>
        <w:t xml:space="preserve">  招标人或招标代理机构负责电子招标投标的组织实施，电子交易系统建设单位负责电子交易系统的服务保障，电子服务系统建设单位负责电子服务系统的服务保障。</w:t>
      </w:r>
    </w:p>
    <w:p w14:paraId="5D54097D">
      <w:pPr>
        <w:ind w:firstLine="482"/>
        <w:jc w:val="both"/>
        <w:rPr>
          <w:rFonts w:hint="eastAsia" w:hAnsi="宋体" w:cs="宋体"/>
          <w:color w:val="auto"/>
          <w:szCs w:val="24"/>
          <w:highlight w:val="none"/>
        </w:rPr>
      </w:pPr>
      <w:r>
        <w:rPr>
          <w:rFonts w:hint="eastAsia" w:hAnsi="宋体" w:cs="宋体"/>
          <w:b/>
          <w:bCs/>
          <w:color w:val="auto"/>
          <w:szCs w:val="24"/>
          <w:highlight w:val="none"/>
        </w:rPr>
        <w:t>第七条</w:t>
      </w:r>
      <w:r>
        <w:rPr>
          <w:rFonts w:hint="eastAsia" w:hAnsi="宋体" w:cs="宋体"/>
          <w:color w:val="auto"/>
          <w:szCs w:val="24"/>
          <w:highlight w:val="none"/>
        </w:rPr>
        <w:t xml:space="preserve">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2D82792E">
      <w:pPr>
        <w:ind w:firstLine="480"/>
        <w:jc w:val="both"/>
        <w:rPr>
          <w:rFonts w:hint="eastAsia" w:hAnsi="宋体" w:cs="宋体"/>
          <w:color w:val="auto"/>
          <w:szCs w:val="24"/>
          <w:highlight w:val="none"/>
        </w:rPr>
      </w:pPr>
      <w:r>
        <w:rPr>
          <w:rFonts w:hint="eastAsia" w:hAnsi="宋体" w:cs="宋体"/>
          <w:color w:val="auto"/>
          <w:szCs w:val="24"/>
          <w:highlight w:val="none"/>
        </w:rPr>
        <w:t>投标人应妥善保管数字证书，由于数字证书遗失、损坏、更换、续期等情况导致投标文件无法上传或解密，由投标人自行承担责任。</w:t>
      </w:r>
    </w:p>
    <w:p w14:paraId="28776F75">
      <w:pPr>
        <w:ind w:firstLine="482"/>
        <w:jc w:val="both"/>
        <w:rPr>
          <w:rFonts w:hint="eastAsia" w:hAnsi="宋体" w:cs="宋体"/>
          <w:color w:val="auto"/>
          <w:szCs w:val="24"/>
          <w:highlight w:val="none"/>
        </w:rPr>
      </w:pPr>
      <w:r>
        <w:rPr>
          <w:rFonts w:hint="eastAsia" w:hAnsi="宋体" w:cs="宋体"/>
          <w:b/>
          <w:bCs/>
          <w:color w:val="auto"/>
          <w:szCs w:val="24"/>
          <w:highlight w:val="none"/>
        </w:rPr>
        <w:t>第八条</w:t>
      </w:r>
      <w:r>
        <w:rPr>
          <w:rFonts w:hint="eastAsia" w:hAnsi="宋体" w:cs="宋体"/>
          <w:color w:val="auto"/>
          <w:szCs w:val="24"/>
          <w:highlight w:val="none"/>
        </w:rPr>
        <w:t xml:space="preserve">  招标人或招标代理机构应在招标公告和招标文件中明确招标项目采取电子招标投标方式，并按相关流程通过电子交易系统制作招标文件。 </w:t>
      </w:r>
    </w:p>
    <w:p w14:paraId="70BD9D58">
      <w:pPr>
        <w:ind w:firstLine="482"/>
        <w:jc w:val="both"/>
        <w:rPr>
          <w:rFonts w:hint="eastAsia" w:hAnsi="宋体" w:cs="宋体"/>
          <w:color w:val="auto"/>
          <w:szCs w:val="24"/>
          <w:highlight w:val="none"/>
        </w:rPr>
      </w:pPr>
      <w:r>
        <w:rPr>
          <w:rFonts w:hint="eastAsia" w:hAnsi="宋体" w:cs="宋体"/>
          <w:b/>
          <w:bCs/>
          <w:color w:val="auto"/>
          <w:szCs w:val="24"/>
          <w:highlight w:val="none"/>
        </w:rPr>
        <w:t>第九条</w:t>
      </w:r>
      <w:r>
        <w:rPr>
          <w:rFonts w:hint="eastAsia" w:hAnsi="宋体" w:cs="宋体"/>
          <w:color w:val="auto"/>
          <w:szCs w:val="24"/>
          <w:highlight w:val="none"/>
        </w:rPr>
        <w:t xml:space="preserve">  招标公告、招标文件应由招标人或招标代理机构通过电子服务系统在安徽合肥公共资源交易中心网站发布，其中招标文件须加盖电子签章。</w:t>
      </w:r>
    </w:p>
    <w:p w14:paraId="452D52BA">
      <w:pPr>
        <w:ind w:firstLine="482"/>
        <w:jc w:val="both"/>
        <w:rPr>
          <w:rFonts w:hint="eastAsia" w:hAnsi="宋体" w:cs="宋体"/>
          <w:color w:val="auto"/>
          <w:szCs w:val="24"/>
          <w:highlight w:val="none"/>
        </w:rPr>
      </w:pPr>
      <w:r>
        <w:rPr>
          <w:rFonts w:hint="eastAsia" w:hAnsi="宋体" w:cs="宋体"/>
          <w:b/>
          <w:bCs/>
          <w:color w:val="auto"/>
          <w:szCs w:val="24"/>
          <w:highlight w:val="none"/>
        </w:rPr>
        <w:t>第十条</w:t>
      </w:r>
      <w:r>
        <w:rPr>
          <w:rFonts w:hint="eastAsia" w:hAnsi="宋体" w:cs="宋体"/>
          <w:color w:val="auto"/>
          <w:szCs w:val="24"/>
          <w:highlight w:val="none"/>
        </w:rPr>
        <w:t xml:space="preserve">  投标人登录安徽合肥公共资源交易电子服务系统获取招标文件。</w:t>
      </w:r>
    </w:p>
    <w:p w14:paraId="6B33EBC1">
      <w:pPr>
        <w:ind w:firstLine="482"/>
        <w:jc w:val="both"/>
        <w:rPr>
          <w:rFonts w:hint="eastAsia" w:hAnsi="宋体" w:cs="宋体"/>
          <w:color w:val="auto"/>
          <w:szCs w:val="24"/>
          <w:highlight w:val="none"/>
        </w:rPr>
      </w:pPr>
      <w:r>
        <w:rPr>
          <w:rFonts w:hint="eastAsia" w:hAnsi="宋体" w:cs="宋体"/>
          <w:b/>
          <w:bCs/>
          <w:color w:val="auto"/>
          <w:szCs w:val="24"/>
          <w:highlight w:val="none"/>
        </w:rPr>
        <w:t>第十一条</w:t>
      </w:r>
      <w:r>
        <w:rPr>
          <w:rFonts w:hint="eastAsia" w:hAnsi="宋体" w:cs="宋体"/>
          <w:color w:val="auto"/>
          <w:szCs w:val="24"/>
          <w:highlight w:val="none"/>
        </w:rPr>
        <w:t xml:space="preserve">  澄清、修改文件应由招标人或招标代理机构通过电子服务系统在安徽合肥公共资源交易中心网站发布，投标人应及时查阅相关澄清、修改信息。</w:t>
      </w:r>
    </w:p>
    <w:p w14:paraId="3302E6B8">
      <w:pPr>
        <w:ind w:firstLine="482"/>
        <w:jc w:val="both"/>
        <w:rPr>
          <w:rFonts w:hint="eastAsia" w:hAnsi="宋体" w:cs="宋体"/>
          <w:color w:val="auto"/>
          <w:szCs w:val="24"/>
          <w:highlight w:val="none"/>
        </w:rPr>
      </w:pPr>
      <w:r>
        <w:rPr>
          <w:rFonts w:hint="eastAsia" w:hAnsi="宋体" w:cs="宋体"/>
          <w:b/>
          <w:bCs/>
          <w:color w:val="auto"/>
          <w:szCs w:val="24"/>
          <w:highlight w:val="none"/>
        </w:rPr>
        <w:t>第十二条</w:t>
      </w:r>
      <w:r>
        <w:rPr>
          <w:rFonts w:hint="eastAsia" w:hAnsi="宋体" w:cs="宋体"/>
          <w:color w:val="auto"/>
          <w:szCs w:val="24"/>
          <w:highlight w:val="none"/>
        </w:rPr>
        <w:t xml:space="preserve">  投标人应使用电子标书制作软件制作投标文件，电子标书制作软件应允许投标人离线制作投标文件，并且具备分段或整体加密、解密功能。</w:t>
      </w:r>
    </w:p>
    <w:p w14:paraId="1E2C4867">
      <w:pPr>
        <w:ind w:firstLine="482"/>
        <w:jc w:val="both"/>
        <w:rPr>
          <w:rFonts w:hint="eastAsia" w:hAnsi="宋体" w:cs="宋体"/>
          <w:color w:val="auto"/>
          <w:szCs w:val="24"/>
          <w:highlight w:val="none"/>
        </w:rPr>
      </w:pPr>
      <w:r>
        <w:rPr>
          <w:rFonts w:hint="eastAsia" w:hAnsi="宋体" w:cs="宋体"/>
          <w:b/>
          <w:bCs/>
          <w:color w:val="auto"/>
          <w:szCs w:val="24"/>
          <w:highlight w:val="none"/>
        </w:rPr>
        <w:t>第十三条</w:t>
      </w:r>
      <w:r>
        <w:rPr>
          <w:rFonts w:hint="eastAsia" w:hAnsi="宋体" w:cs="宋体"/>
          <w:color w:val="auto"/>
          <w:szCs w:val="24"/>
          <w:highlight w:val="none"/>
        </w:rPr>
        <w:t xml:space="preserve">  投标人必须对投标文件进行电子签章并使用数字证书加密，并于招标文件规定的投标截止时间前通过电子交易系统完成上传。</w:t>
      </w:r>
    </w:p>
    <w:p w14:paraId="614D1FC7">
      <w:pPr>
        <w:ind w:firstLine="480"/>
        <w:jc w:val="both"/>
        <w:rPr>
          <w:rFonts w:hint="eastAsia" w:hAnsi="宋体" w:cs="宋体"/>
          <w:b/>
          <w:color w:val="auto"/>
          <w:szCs w:val="24"/>
          <w:highlight w:val="none"/>
        </w:rPr>
      </w:pPr>
      <w:r>
        <w:rPr>
          <w:rFonts w:hint="eastAsia" w:hAnsi="宋体" w:cs="宋体"/>
          <w:color w:val="auto"/>
          <w:szCs w:val="24"/>
          <w:highlight w:val="none"/>
        </w:rPr>
        <w:t>投标人对加密的投标文件进行撤回的，应通过电子交易系统在投标截止时间前进行撤回操作；投标人对加密的投标文件进行修改的，应在投标截止时间前完成上传。</w:t>
      </w:r>
    </w:p>
    <w:p w14:paraId="18BABF0E">
      <w:pPr>
        <w:ind w:firstLine="482"/>
        <w:jc w:val="both"/>
        <w:rPr>
          <w:rFonts w:hint="eastAsia" w:hAnsi="宋体" w:cs="宋体"/>
          <w:b/>
          <w:color w:val="auto"/>
          <w:szCs w:val="24"/>
          <w:highlight w:val="none"/>
        </w:rPr>
      </w:pPr>
      <w:r>
        <w:rPr>
          <w:rFonts w:hint="eastAsia" w:hAnsi="宋体" w:cs="宋体"/>
          <w:b/>
          <w:bCs/>
          <w:color w:val="auto"/>
          <w:szCs w:val="24"/>
          <w:highlight w:val="none"/>
        </w:rPr>
        <w:t>第十四条</w:t>
      </w:r>
      <w:r>
        <w:rPr>
          <w:rFonts w:hint="eastAsia" w:hAnsi="宋体" w:cs="宋体"/>
          <w:color w:val="auto"/>
          <w:szCs w:val="24"/>
          <w:highlight w:val="none"/>
        </w:rPr>
        <w:t xml:space="preserve">  投标截止时间以电子交易系统显示的时间为准，逾期系统将自动关闭, 未完成上传的投标文件将被拒绝。</w:t>
      </w:r>
    </w:p>
    <w:p w14:paraId="7A7180CF">
      <w:pPr>
        <w:ind w:firstLine="482"/>
        <w:jc w:val="both"/>
        <w:rPr>
          <w:rFonts w:hint="eastAsia" w:hAnsi="宋体" w:cs="宋体"/>
          <w:color w:val="auto"/>
          <w:szCs w:val="24"/>
          <w:highlight w:val="none"/>
        </w:rPr>
      </w:pPr>
      <w:r>
        <w:rPr>
          <w:rFonts w:hint="eastAsia" w:hAnsi="宋体" w:cs="宋体"/>
          <w:b/>
          <w:bCs/>
          <w:color w:val="auto"/>
          <w:szCs w:val="24"/>
          <w:highlight w:val="none"/>
        </w:rPr>
        <w:t>第十五条</w:t>
      </w:r>
      <w:r>
        <w:rPr>
          <w:rFonts w:hint="eastAsia" w:hAnsi="宋体" w:cs="宋体"/>
          <w:color w:val="auto"/>
          <w:szCs w:val="24"/>
          <w:highlight w:val="none"/>
        </w:rPr>
        <w:t xml:space="preserve">  投标人在投标截止时间后按招标文件规定的解密时间完成投标文件解密，加密和解密须用同一数字证书。投标人未在招标文件规定的时间内完成解密的视为其放弃投标。</w:t>
      </w:r>
    </w:p>
    <w:p w14:paraId="3DB2428C">
      <w:pPr>
        <w:ind w:firstLine="480"/>
        <w:jc w:val="both"/>
        <w:rPr>
          <w:rFonts w:hint="eastAsia" w:hAnsi="宋体" w:cs="宋体"/>
          <w:color w:val="auto"/>
          <w:szCs w:val="24"/>
          <w:highlight w:val="none"/>
        </w:rPr>
      </w:pPr>
      <w:r>
        <w:rPr>
          <w:rFonts w:hint="eastAsia" w:hAnsi="宋体" w:cs="宋体"/>
          <w:color w:val="auto"/>
          <w:szCs w:val="24"/>
          <w:highlight w:val="none"/>
        </w:rPr>
        <w:t>招标人或招标代理机构完成解密，导入并读取所有成功解密的投标文件，电子交易系统应自动记录开标过程。</w:t>
      </w:r>
    </w:p>
    <w:p w14:paraId="0F83906C">
      <w:pPr>
        <w:ind w:firstLine="480"/>
        <w:jc w:val="both"/>
        <w:rPr>
          <w:rFonts w:hint="eastAsia" w:hAnsi="宋体" w:cs="宋体"/>
          <w:color w:val="auto"/>
          <w:szCs w:val="24"/>
          <w:highlight w:val="none"/>
        </w:rPr>
      </w:pPr>
      <w:r>
        <w:rPr>
          <w:rFonts w:hint="eastAsia" w:hAnsi="宋体" w:cs="宋体"/>
          <w:color w:val="auto"/>
          <w:szCs w:val="24"/>
          <w:highlight w:val="none"/>
        </w:rPr>
        <w:t>招标文件约定须到达指定地点或线上进行演示、答辩、磋商、谈判等情形的，投标人应按照招标文件规定的时间到达指定地点或登录电子交易系统保持在线。</w:t>
      </w:r>
    </w:p>
    <w:p w14:paraId="5D093C74">
      <w:pPr>
        <w:ind w:firstLine="482"/>
        <w:jc w:val="both"/>
        <w:rPr>
          <w:rFonts w:hint="eastAsia" w:hAnsi="宋体" w:cs="宋体"/>
          <w:color w:val="auto"/>
          <w:szCs w:val="24"/>
          <w:highlight w:val="none"/>
        </w:rPr>
      </w:pPr>
      <w:r>
        <w:rPr>
          <w:rFonts w:hint="eastAsia" w:hAnsi="宋体" w:cs="宋体"/>
          <w:b/>
          <w:bCs/>
          <w:color w:val="auto"/>
          <w:szCs w:val="24"/>
          <w:highlight w:val="none"/>
        </w:rPr>
        <w:t>第十六条</w:t>
      </w:r>
      <w:r>
        <w:rPr>
          <w:rFonts w:hint="eastAsia" w:hAnsi="宋体" w:cs="宋体"/>
          <w:color w:val="auto"/>
          <w:szCs w:val="24"/>
          <w:highlight w:val="none"/>
        </w:rPr>
        <w:t xml:space="preserve">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5884BA21">
      <w:pPr>
        <w:ind w:firstLine="482"/>
        <w:jc w:val="both"/>
        <w:rPr>
          <w:rFonts w:hint="eastAsia" w:hAnsi="宋体" w:cs="宋体"/>
          <w:color w:val="auto"/>
          <w:szCs w:val="24"/>
          <w:highlight w:val="none"/>
        </w:rPr>
      </w:pPr>
      <w:r>
        <w:rPr>
          <w:rFonts w:hint="eastAsia" w:hAnsi="宋体" w:cs="宋体"/>
          <w:b/>
          <w:bCs/>
          <w:color w:val="auto"/>
          <w:szCs w:val="24"/>
          <w:highlight w:val="none"/>
        </w:rPr>
        <w:t>第十七条</w:t>
      </w:r>
      <w:r>
        <w:rPr>
          <w:rFonts w:hint="eastAsia" w:hAnsi="宋体" w:cs="宋体"/>
          <w:color w:val="auto"/>
          <w:szCs w:val="24"/>
          <w:highlight w:val="none"/>
        </w:rPr>
        <w:t xml:space="preserve">  招标人或招标代理机构组织评标，评标委员会依据招标文件规定的评标办法进行电子评标，并对评标结果签字或电子签名确认。</w:t>
      </w:r>
    </w:p>
    <w:p w14:paraId="1B83C911">
      <w:pPr>
        <w:ind w:firstLine="480"/>
        <w:jc w:val="both"/>
        <w:rPr>
          <w:rFonts w:hint="eastAsia" w:hAnsi="宋体" w:cs="宋体"/>
          <w:color w:val="auto"/>
          <w:szCs w:val="24"/>
          <w:highlight w:val="none"/>
        </w:rPr>
      </w:pPr>
      <w:r>
        <w:rPr>
          <w:rFonts w:hint="eastAsia" w:hAnsi="宋体" w:cs="宋体"/>
          <w:color w:val="auto"/>
          <w:szCs w:val="24"/>
          <w:highlight w:val="none"/>
        </w:rPr>
        <w:t>多次报价应按招标文件的要求提交。</w:t>
      </w:r>
    </w:p>
    <w:p w14:paraId="5D7E5975">
      <w:pPr>
        <w:ind w:firstLine="482"/>
        <w:jc w:val="both"/>
        <w:rPr>
          <w:rFonts w:hint="eastAsia" w:hAnsi="宋体" w:cs="宋体"/>
          <w:color w:val="auto"/>
          <w:szCs w:val="24"/>
          <w:highlight w:val="none"/>
        </w:rPr>
      </w:pPr>
      <w:r>
        <w:rPr>
          <w:rFonts w:hint="eastAsia" w:hAnsi="宋体" w:cs="宋体"/>
          <w:b/>
          <w:bCs/>
          <w:color w:val="auto"/>
          <w:szCs w:val="24"/>
          <w:highlight w:val="none"/>
        </w:rPr>
        <w:t>第十八条</w:t>
      </w:r>
      <w:r>
        <w:rPr>
          <w:rFonts w:hint="eastAsia" w:hAnsi="宋体" w:cs="宋体"/>
          <w:color w:val="auto"/>
          <w:szCs w:val="24"/>
          <w:highlight w:val="none"/>
        </w:rPr>
        <w:t xml:space="preserve">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5B1E2915">
      <w:pPr>
        <w:ind w:firstLine="482"/>
        <w:jc w:val="both"/>
        <w:rPr>
          <w:rFonts w:hint="eastAsia" w:hAnsi="宋体" w:cs="宋体"/>
          <w:b/>
          <w:color w:val="auto"/>
          <w:szCs w:val="24"/>
          <w:highlight w:val="none"/>
        </w:rPr>
      </w:pPr>
      <w:r>
        <w:rPr>
          <w:rFonts w:hint="eastAsia" w:hAnsi="宋体" w:cs="宋体"/>
          <w:b/>
          <w:bCs/>
          <w:color w:val="auto"/>
          <w:szCs w:val="24"/>
          <w:highlight w:val="none"/>
        </w:rPr>
        <w:t>第十九条</w:t>
      </w:r>
      <w:r>
        <w:rPr>
          <w:rFonts w:hint="eastAsia" w:hAnsi="宋体" w:cs="宋体"/>
          <w:color w:val="auto"/>
          <w:szCs w:val="24"/>
          <w:highlight w:val="none"/>
        </w:rPr>
        <w:t xml:space="preserve">  评标委员会完成评标后，应通过电子交易系统提交评标报告。招标人或招标代理机构将评标报告及时交互至电子服务系统。</w:t>
      </w:r>
    </w:p>
    <w:p w14:paraId="7BC88D16">
      <w:pPr>
        <w:ind w:firstLine="482"/>
        <w:jc w:val="both"/>
        <w:rPr>
          <w:rFonts w:hint="eastAsia" w:hAnsi="宋体" w:cs="宋体"/>
          <w:color w:val="auto"/>
          <w:szCs w:val="24"/>
          <w:highlight w:val="none"/>
        </w:rPr>
      </w:pPr>
      <w:r>
        <w:rPr>
          <w:rFonts w:hint="eastAsia" w:hAnsi="宋体" w:cs="宋体"/>
          <w:b/>
          <w:bCs/>
          <w:color w:val="auto"/>
          <w:szCs w:val="24"/>
          <w:highlight w:val="none"/>
        </w:rPr>
        <w:t>第二十条</w:t>
      </w:r>
      <w:r>
        <w:rPr>
          <w:rFonts w:hint="eastAsia" w:hAnsi="宋体" w:cs="宋体"/>
          <w:color w:val="auto"/>
          <w:szCs w:val="24"/>
          <w:highlight w:val="none"/>
        </w:rPr>
        <w:t xml:space="preserve">  招标人或招标代理机构应通过电子服务系统在安徽合肥公共资源交易中心网站公示和公布中标候选人及中标结果。</w:t>
      </w:r>
    </w:p>
    <w:p w14:paraId="02F23CC6">
      <w:pPr>
        <w:ind w:firstLine="482"/>
        <w:jc w:val="both"/>
        <w:rPr>
          <w:rFonts w:hint="eastAsia" w:hAnsi="宋体" w:cs="宋体"/>
          <w:color w:val="auto"/>
          <w:szCs w:val="24"/>
          <w:highlight w:val="none"/>
        </w:rPr>
      </w:pPr>
      <w:r>
        <w:rPr>
          <w:rFonts w:hint="eastAsia" w:hAnsi="宋体" w:cs="宋体"/>
          <w:b/>
          <w:bCs/>
          <w:color w:val="auto"/>
          <w:szCs w:val="24"/>
          <w:highlight w:val="none"/>
        </w:rPr>
        <w:t>第二十一条</w:t>
      </w:r>
      <w:r>
        <w:rPr>
          <w:rFonts w:hint="eastAsia" w:hAnsi="宋体" w:cs="宋体"/>
          <w:color w:val="auto"/>
          <w:szCs w:val="24"/>
          <w:highlight w:val="none"/>
        </w:rPr>
        <w:t xml:space="preserve">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74C205FF">
      <w:pPr>
        <w:ind w:firstLine="482"/>
        <w:jc w:val="both"/>
        <w:rPr>
          <w:rFonts w:hint="eastAsia" w:hAnsi="宋体" w:cs="宋体"/>
          <w:b/>
          <w:color w:val="auto"/>
          <w:szCs w:val="24"/>
          <w:highlight w:val="none"/>
        </w:rPr>
      </w:pPr>
      <w:r>
        <w:rPr>
          <w:rFonts w:hint="eastAsia" w:hAnsi="宋体" w:cs="宋体"/>
          <w:b/>
          <w:bCs/>
          <w:color w:val="auto"/>
          <w:szCs w:val="24"/>
          <w:highlight w:val="none"/>
        </w:rPr>
        <w:t>第二十二条</w:t>
      </w:r>
      <w:r>
        <w:rPr>
          <w:rFonts w:hint="eastAsia" w:hAnsi="宋体" w:cs="宋体"/>
          <w:b/>
          <w:color w:val="auto"/>
          <w:szCs w:val="24"/>
          <w:highlight w:val="none"/>
        </w:rPr>
        <w:t xml:space="preserve">  </w:t>
      </w:r>
      <w:r>
        <w:rPr>
          <w:rFonts w:hint="eastAsia" w:hAnsi="宋体" w:cs="宋体"/>
          <w:color w:val="auto"/>
          <w:szCs w:val="24"/>
          <w:highlight w:val="none"/>
        </w:rPr>
        <w:t>招标人确定中标人后，应通过电子交易系统向中标人发出中标通知书，中标通知书发出即视为送达。</w:t>
      </w:r>
      <w:r>
        <w:rPr>
          <w:rFonts w:hint="eastAsia" w:hAnsi="宋体" w:cs="宋体"/>
          <w:b/>
          <w:color w:val="auto"/>
          <w:szCs w:val="24"/>
          <w:highlight w:val="none"/>
        </w:rPr>
        <w:t xml:space="preserve"> </w:t>
      </w:r>
    </w:p>
    <w:p w14:paraId="58C70538">
      <w:pPr>
        <w:ind w:firstLine="482"/>
        <w:jc w:val="both"/>
        <w:rPr>
          <w:rFonts w:hint="eastAsia" w:hAnsi="宋体" w:cs="宋体"/>
          <w:color w:val="auto"/>
          <w:szCs w:val="24"/>
          <w:highlight w:val="none"/>
        </w:rPr>
      </w:pPr>
      <w:r>
        <w:rPr>
          <w:rFonts w:hint="eastAsia" w:hAnsi="宋体" w:cs="宋体"/>
          <w:b/>
          <w:bCs/>
          <w:color w:val="auto"/>
          <w:szCs w:val="24"/>
          <w:highlight w:val="none"/>
        </w:rPr>
        <w:t>第二十三条</w:t>
      </w:r>
      <w:r>
        <w:rPr>
          <w:rFonts w:hint="eastAsia" w:hAnsi="宋体" w:cs="宋体"/>
          <w:color w:val="auto"/>
          <w:szCs w:val="24"/>
          <w:highlight w:val="none"/>
        </w:rPr>
        <w:t xml:space="preserve">  出现下列情形导致电子服务系统或电子交易系统无法正常运行，影响招标投标过程的公平、公正和信息安全，经第三方机构认定后，各方当事人免责：</w:t>
      </w:r>
    </w:p>
    <w:p w14:paraId="4E8D79A1">
      <w:pPr>
        <w:ind w:firstLine="480"/>
        <w:jc w:val="both"/>
        <w:rPr>
          <w:rFonts w:hint="eastAsia" w:hAnsi="宋体" w:cs="宋体"/>
          <w:color w:val="auto"/>
          <w:szCs w:val="24"/>
          <w:highlight w:val="none"/>
        </w:rPr>
      </w:pPr>
      <w:r>
        <w:rPr>
          <w:rFonts w:hint="eastAsia" w:hAnsi="宋体" w:cs="宋体"/>
          <w:color w:val="auto"/>
          <w:szCs w:val="24"/>
          <w:highlight w:val="none"/>
        </w:rPr>
        <w:t>（一）网络、服务器、数据库发生故障造成无法访问或使用的；</w:t>
      </w:r>
    </w:p>
    <w:p w14:paraId="6991FE2E">
      <w:pPr>
        <w:ind w:firstLine="480"/>
        <w:jc w:val="both"/>
        <w:rPr>
          <w:rFonts w:hint="eastAsia" w:hAnsi="宋体" w:cs="宋体"/>
          <w:color w:val="auto"/>
          <w:szCs w:val="24"/>
          <w:highlight w:val="none"/>
        </w:rPr>
      </w:pPr>
      <w:r>
        <w:rPr>
          <w:rFonts w:hint="eastAsia" w:hAnsi="宋体" w:cs="宋体"/>
          <w:color w:val="auto"/>
          <w:szCs w:val="24"/>
          <w:highlight w:val="none"/>
        </w:rPr>
        <w:t>（二）电力系统发生故障导致电子服务系统或电子交易系统无法运行的；</w:t>
      </w:r>
    </w:p>
    <w:p w14:paraId="563B1BA8">
      <w:pPr>
        <w:ind w:firstLine="480"/>
        <w:jc w:val="both"/>
        <w:rPr>
          <w:rFonts w:hint="eastAsia" w:hAnsi="宋体" w:cs="宋体"/>
          <w:color w:val="auto"/>
          <w:szCs w:val="24"/>
          <w:highlight w:val="none"/>
        </w:rPr>
      </w:pPr>
      <w:r>
        <w:rPr>
          <w:rFonts w:hint="eastAsia" w:hAnsi="宋体" w:cs="宋体"/>
          <w:color w:val="auto"/>
          <w:szCs w:val="24"/>
          <w:highlight w:val="none"/>
        </w:rPr>
        <w:t>（三）出现网络攻击、病毒入侵以及电子服务系统或电子交易系统安全漏洞导致无法正常提供服务的；</w:t>
      </w:r>
    </w:p>
    <w:p w14:paraId="6F5A46BA">
      <w:pPr>
        <w:ind w:firstLine="480"/>
        <w:jc w:val="both"/>
        <w:rPr>
          <w:rFonts w:hint="eastAsia" w:hAnsi="宋体" w:cs="宋体"/>
          <w:color w:val="auto"/>
          <w:szCs w:val="24"/>
          <w:highlight w:val="none"/>
        </w:rPr>
      </w:pPr>
      <w:r>
        <w:rPr>
          <w:rFonts w:hint="eastAsia" w:hAnsi="宋体" w:cs="宋体"/>
          <w:color w:val="auto"/>
          <w:szCs w:val="24"/>
          <w:highlight w:val="none"/>
        </w:rPr>
        <w:t>（四）其他无法保证招标投标过程公平、公正和信息安全的情形。</w:t>
      </w:r>
    </w:p>
    <w:p w14:paraId="12CD6D0A">
      <w:pPr>
        <w:ind w:firstLine="482"/>
        <w:jc w:val="both"/>
        <w:rPr>
          <w:rFonts w:hint="eastAsia" w:hAnsi="宋体" w:cs="宋体"/>
          <w:color w:val="auto"/>
          <w:szCs w:val="24"/>
          <w:highlight w:val="none"/>
        </w:rPr>
      </w:pPr>
      <w:r>
        <w:rPr>
          <w:rFonts w:hint="eastAsia" w:hAnsi="宋体" w:cs="宋体"/>
          <w:b/>
          <w:bCs/>
          <w:color w:val="auto"/>
          <w:szCs w:val="24"/>
          <w:highlight w:val="none"/>
        </w:rPr>
        <w:t>第二十四条</w:t>
      </w:r>
      <w:r>
        <w:rPr>
          <w:rFonts w:hint="eastAsia" w:hAnsi="宋体" w:cs="宋体"/>
          <w:color w:val="auto"/>
          <w:szCs w:val="24"/>
          <w:highlight w:val="none"/>
        </w:rPr>
        <w:t xml:space="preserve">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7120D621">
      <w:pPr>
        <w:ind w:firstLine="480"/>
        <w:jc w:val="both"/>
        <w:rPr>
          <w:rFonts w:hint="eastAsia" w:hAnsi="宋体" w:cs="宋体"/>
          <w:color w:val="auto"/>
          <w:szCs w:val="24"/>
          <w:highlight w:val="none"/>
        </w:rPr>
      </w:pPr>
      <w:r>
        <w:rPr>
          <w:rFonts w:hint="eastAsia" w:hAnsi="宋体" w:cs="宋体"/>
          <w:color w:val="auto"/>
          <w:szCs w:val="24"/>
          <w:highlight w:val="none"/>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256C5F21">
      <w:pPr>
        <w:ind w:firstLine="480"/>
        <w:jc w:val="both"/>
        <w:rPr>
          <w:rFonts w:hint="eastAsia" w:hAnsi="宋体" w:cs="宋体"/>
          <w:color w:val="auto"/>
          <w:szCs w:val="24"/>
          <w:highlight w:val="none"/>
        </w:rPr>
      </w:pPr>
      <w:r>
        <w:rPr>
          <w:rFonts w:hint="eastAsia" w:hAnsi="宋体" w:cs="宋体"/>
          <w:color w:val="auto"/>
          <w:szCs w:val="24"/>
          <w:highlight w:val="none"/>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1058327F">
      <w:pPr>
        <w:ind w:firstLine="482"/>
        <w:jc w:val="both"/>
        <w:rPr>
          <w:rFonts w:hint="eastAsia" w:hAnsi="宋体" w:cs="宋体"/>
          <w:color w:val="auto"/>
          <w:szCs w:val="24"/>
          <w:highlight w:val="none"/>
        </w:rPr>
      </w:pPr>
      <w:r>
        <w:rPr>
          <w:rFonts w:hint="eastAsia" w:hAnsi="宋体" w:cs="宋体"/>
          <w:b/>
          <w:bCs/>
          <w:color w:val="auto"/>
          <w:szCs w:val="24"/>
          <w:highlight w:val="none"/>
        </w:rPr>
        <w:t>第二十五条</w:t>
      </w:r>
      <w:r>
        <w:rPr>
          <w:rFonts w:hint="eastAsia" w:hAnsi="宋体" w:cs="宋体"/>
          <w:color w:val="auto"/>
          <w:szCs w:val="24"/>
          <w:highlight w:val="none"/>
        </w:rPr>
        <w:t xml:space="preserve">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701902DA">
      <w:pPr>
        <w:ind w:firstLine="482"/>
        <w:jc w:val="both"/>
        <w:rPr>
          <w:rFonts w:hint="eastAsia" w:hAnsi="宋体" w:cs="宋体"/>
          <w:color w:val="auto"/>
          <w:szCs w:val="24"/>
          <w:highlight w:val="none"/>
        </w:rPr>
      </w:pPr>
      <w:r>
        <w:rPr>
          <w:rFonts w:hint="eastAsia" w:hAnsi="宋体" w:cs="宋体"/>
          <w:b/>
          <w:bCs/>
          <w:color w:val="auto"/>
          <w:szCs w:val="24"/>
          <w:highlight w:val="none"/>
        </w:rPr>
        <w:t>第二十六条</w:t>
      </w:r>
      <w:r>
        <w:rPr>
          <w:rFonts w:hint="eastAsia" w:hAnsi="宋体" w:cs="宋体"/>
          <w:color w:val="auto"/>
          <w:szCs w:val="24"/>
          <w:highlight w:val="none"/>
        </w:rPr>
        <w:t xml:space="preserve">  本规程由合肥市公共资源交易监督管理局负责解释。</w:t>
      </w:r>
    </w:p>
    <w:p w14:paraId="722764CA">
      <w:pPr>
        <w:ind w:firstLine="482"/>
        <w:jc w:val="both"/>
        <w:rPr>
          <w:rFonts w:hint="eastAsia" w:hAnsi="宋体" w:cs="宋体"/>
          <w:color w:val="auto"/>
          <w:szCs w:val="24"/>
          <w:highlight w:val="none"/>
        </w:rPr>
      </w:pPr>
      <w:r>
        <w:rPr>
          <w:rFonts w:hint="eastAsia" w:hAnsi="宋体" w:cs="宋体"/>
          <w:b/>
          <w:bCs/>
          <w:color w:val="auto"/>
          <w:szCs w:val="24"/>
          <w:highlight w:val="none"/>
        </w:rPr>
        <w:t>第二十七条</w:t>
      </w:r>
      <w:r>
        <w:rPr>
          <w:rFonts w:hint="eastAsia" w:hAnsi="宋体" w:cs="宋体"/>
          <w:color w:val="auto"/>
          <w:szCs w:val="24"/>
          <w:highlight w:val="none"/>
        </w:rPr>
        <w:t xml:space="preserve">  本规程自发布之日起施行，有效期2年。原《合肥市公共资源交易电子招标投标操作规程》（合公法〔2020〕16号）同时废止。</w:t>
      </w:r>
      <w:bookmarkStart w:id="290" w:name="_Toc829"/>
      <w:bookmarkStart w:id="291" w:name="_Toc118052816"/>
      <w:bookmarkStart w:id="292" w:name="_Toc21446"/>
      <w:bookmarkStart w:id="293" w:name="_Toc10416"/>
    </w:p>
    <w:p w14:paraId="77DD7B62">
      <w:pPr>
        <w:pStyle w:val="5"/>
        <w:spacing w:before="240" w:after="240" w:line="240" w:lineRule="auto"/>
        <w:ind w:firstLine="643"/>
        <w:rPr>
          <w:rFonts w:hint="eastAsia" w:ascii="黑体" w:hAnsi="黑体" w:eastAsia="黑体"/>
          <w:b w:val="0"/>
          <w:color w:val="auto"/>
          <w:szCs w:val="32"/>
          <w:highlight w:val="none"/>
        </w:rPr>
      </w:pPr>
      <w:r>
        <w:rPr>
          <w:rFonts w:hint="eastAsia" w:hAnsi="宋体" w:cs="宋体"/>
          <w:color w:val="auto"/>
          <w:szCs w:val="24"/>
          <w:highlight w:val="none"/>
        </w:rPr>
        <w:br w:type="page"/>
      </w:r>
      <w:bookmarkEnd w:id="290"/>
      <w:bookmarkEnd w:id="291"/>
      <w:bookmarkEnd w:id="292"/>
      <w:bookmarkEnd w:id="293"/>
      <w:bookmarkStart w:id="294" w:name="_Toc32205"/>
      <w:bookmarkStart w:id="295" w:name="_Toc15072"/>
      <w:bookmarkStart w:id="296" w:name="_Toc3053"/>
      <w:bookmarkStart w:id="297" w:name="_Toc9562"/>
      <w:bookmarkStart w:id="298" w:name="_Toc28234"/>
      <w:bookmarkStart w:id="299" w:name="_Toc30754"/>
      <w:r>
        <w:rPr>
          <w:rFonts w:hint="eastAsia" w:ascii="黑体" w:hAnsi="黑体" w:eastAsia="黑体"/>
          <w:b w:val="0"/>
          <w:color w:val="auto"/>
          <w:szCs w:val="32"/>
          <w:highlight w:val="none"/>
        </w:rPr>
        <w:t>第三章  评标办法</w:t>
      </w:r>
      <w:bookmarkEnd w:id="294"/>
      <w:bookmarkEnd w:id="295"/>
      <w:bookmarkEnd w:id="296"/>
      <w:bookmarkEnd w:id="297"/>
      <w:bookmarkEnd w:id="298"/>
      <w:bookmarkEnd w:id="299"/>
    </w:p>
    <w:p w14:paraId="3E37F0D4">
      <w:pPr>
        <w:pStyle w:val="5"/>
        <w:spacing w:before="240" w:after="240" w:line="240" w:lineRule="auto"/>
        <w:ind w:firstLine="640"/>
        <w:rPr>
          <w:rFonts w:ascii="黑体" w:hAnsi="黑体" w:eastAsia="黑体"/>
          <w:b w:val="0"/>
          <w:color w:val="auto"/>
          <w:szCs w:val="32"/>
          <w:highlight w:val="none"/>
        </w:rPr>
      </w:pPr>
      <w:bookmarkStart w:id="300" w:name="_Toc29200"/>
      <w:bookmarkStart w:id="301" w:name="_Toc15910"/>
      <w:bookmarkStart w:id="302" w:name="_Toc22933"/>
      <w:bookmarkStart w:id="303" w:name="_Toc14032"/>
      <w:bookmarkStart w:id="304" w:name="_Toc19015"/>
      <w:bookmarkStart w:id="305" w:name="_Toc30785"/>
      <w:bookmarkStart w:id="306" w:name="_Toc180479472"/>
      <w:r>
        <w:rPr>
          <w:rFonts w:hint="eastAsia" w:ascii="黑体" w:hAnsi="黑体" w:eastAsia="黑体"/>
          <w:b w:val="0"/>
          <w:color w:val="auto"/>
          <w:szCs w:val="32"/>
          <w:highlight w:val="none"/>
        </w:rPr>
        <w:t>综合评估法（一次平均）</w:t>
      </w:r>
      <w:bookmarkEnd w:id="300"/>
      <w:bookmarkEnd w:id="301"/>
      <w:bookmarkEnd w:id="302"/>
      <w:bookmarkEnd w:id="303"/>
      <w:bookmarkEnd w:id="304"/>
      <w:bookmarkEnd w:id="305"/>
      <w:bookmarkEnd w:id="306"/>
    </w:p>
    <w:p w14:paraId="78731547">
      <w:pPr>
        <w:spacing w:line="240" w:lineRule="auto"/>
        <w:ind w:firstLine="640"/>
        <w:jc w:val="center"/>
        <w:rPr>
          <w:rFonts w:ascii="黑体" w:hAnsi="黑体" w:eastAsia="黑体"/>
          <w:color w:val="auto"/>
          <w:sz w:val="32"/>
          <w:szCs w:val="32"/>
          <w:highlight w:val="none"/>
        </w:rPr>
      </w:pPr>
      <w:bookmarkStart w:id="307" w:name="_Toc682"/>
      <w:bookmarkStart w:id="308" w:name="_Toc10334"/>
      <w:bookmarkStart w:id="309" w:name="_Toc32401"/>
      <w:bookmarkStart w:id="310" w:name="_Toc6995"/>
      <w:r>
        <w:rPr>
          <w:rFonts w:hint="eastAsia" w:ascii="黑体" w:hAnsi="黑体" w:eastAsia="黑体"/>
          <w:color w:val="auto"/>
          <w:sz w:val="32"/>
          <w:szCs w:val="32"/>
          <w:highlight w:val="none"/>
        </w:rPr>
        <w:t>评标办法前附表</w:t>
      </w:r>
      <w:bookmarkEnd w:id="307"/>
      <w:bookmarkEnd w:id="308"/>
      <w:bookmarkEnd w:id="309"/>
      <w:bookmarkEnd w:id="310"/>
    </w:p>
    <w:tbl>
      <w:tblPr>
        <w:tblStyle w:val="44"/>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7"/>
        <w:gridCol w:w="1895"/>
        <w:gridCol w:w="5373"/>
      </w:tblGrid>
      <w:tr w14:paraId="68C5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2B2BEBB4">
            <w:pPr>
              <w:widowControl/>
              <w:ind w:firstLine="482"/>
              <w:rPr>
                <w:color w:val="auto"/>
                <w:kern w:val="0"/>
                <w:szCs w:val="24"/>
                <w:highlight w:val="none"/>
              </w:rPr>
            </w:pPr>
            <w:r>
              <w:rPr>
                <w:rFonts w:hint="eastAsia"/>
                <w:b/>
                <w:bCs/>
                <w:color w:val="auto"/>
                <w:kern w:val="0"/>
                <w:szCs w:val="24"/>
                <w:highlight w:val="none"/>
              </w:rPr>
              <w:t>条款号</w:t>
            </w:r>
          </w:p>
        </w:tc>
        <w:tc>
          <w:tcPr>
            <w:tcW w:w="1082" w:type="pct"/>
            <w:noWrap w:val="0"/>
            <w:vAlign w:val="center"/>
          </w:tcPr>
          <w:p w14:paraId="1DB7B3E8">
            <w:pPr>
              <w:widowControl/>
              <w:ind w:firstLine="120" w:firstLineChars="50"/>
              <w:jc w:val="center"/>
              <w:rPr>
                <w:color w:val="auto"/>
                <w:kern w:val="0"/>
                <w:szCs w:val="24"/>
                <w:highlight w:val="none"/>
              </w:rPr>
            </w:pPr>
            <w:r>
              <w:rPr>
                <w:rFonts w:hint="eastAsia"/>
                <w:b/>
                <w:bCs/>
                <w:color w:val="auto"/>
                <w:kern w:val="0"/>
                <w:szCs w:val="24"/>
                <w:highlight w:val="none"/>
              </w:rPr>
              <w:t>评审因素</w:t>
            </w:r>
          </w:p>
        </w:tc>
        <w:tc>
          <w:tcPr>
            <w:tcW w:w="3067" w:type="pct"/>
            <w:noWrap w:val="0"/>
            <w:vAlign w:val="center"/>
          </w:tcPr>
          <w:p w14:paraId="39BA9B31">
            <w:pPr>
              <w:widowControl/>
              <w:ind w:firstLine="120" w:firstLineChars="50"/>
              <w:jc w:val="center"/>
              <w:rPr>
                <w:color w:val="auto"/>
                <w:kern w:val="0"/>
                <w:szCs w:val="24"/>
                <w:highlight w:val="none"/>
              </w:rPr>
            </w:pPr>
            <w:r>
              <w:rPr>
                <w:rFonts w:hint="eastAsia"/>
                <w:b/>
                <w:bCs/>
                <w:color w:val="auto"/>
                <w:kern w:val="0"/>
                <w:szCs w:val="24"/>
                <w:highlight w:val="none"/>
              </w:rPr>
              <w:t>评审标准</w:t>
            </w:r>
          </w:p>
        </w:tc>
      </w:tr>
      <w:tr w14:paraId="5274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3" w:hRule="atLeast"/>
        </w:trPr>
        <w:tc>
          <w:tcPr>
            <w:tcW w:w="849" w:type="pct"/>
            <w:noWrap w:val="0"/>
            <w:vAlign w:val="center"/>
          </w:tcPr>
          <w:p w14:paraId="19FA342B">
            <w:pPr>
              <w:widowControl/>
              <w:ind w:firstLine="0" w:firstLineChars="0"/>
              <w:jc w:val="center"/>
              <w:rPr>
                <w:rFonts w:cs="宋体"/>
                <w:bCs/>
                <w:color w:val="auto"/>
                <w:kern w:val="0"/>
                <w:szCs w:val="24"/>
                <w:highlight w:val="none"/>
              </w:rPr>
            </w:pPr>
            <w:r>
              <w:rPr>
                <w:rFonts w:hint="eastAsia" w:cs="宋体"/>
                <w:bCs/>
                <w:color w:val="auto"/>
                <w:kern w:val="0"/>
                <w:szCs w:val="24"/>
                <w:highlight w:val="none"/>
              </w:rPr>
              <w:t>1.2</w:t>
            </w:r>
          </w:p>
        </w:tc>
        <w:tc>
          <w:tcPr>
            <w:tcW w:w="1082" w:type="pct"/>
            <w:noWrap w:val="0"/>
            <w:tcMar>
              <w:left w:w="75" w:type="dxa"/>
            </w:tcMar>
            <w:vAlign w:val="center"/>
          </w:tcPr>
          <w:p w14:paraId="5B1C4581">
            <w:pPr>
              <w:widowControl/>
              <w:adjustRightInd w:val="0"/>
              <w:snapToGrid w:val="0"/>
              <w:ind w:firstLine="0" w:firstLineChars="0"/>
              <w:jc w:val="center"/>
              <w:rPr>
                <w:rFonts w:hint="eastAsia" w:cs="宋体"/>
                <w:color w:val="auto"/>
                <w:szCs w:val="24"/>
                <w:highlight w:val="none"/>
              </w:rPr>
            </w:pPr>
            <w:r>
              <w:rPr>
                <w:rFonts w:hint="eastAsia" w:cs="宋体"/>
                <w:color w:val="auto"/>
                <w:szCs w:val="24"/>
                <w:highlight w:val="none"/>
              </w:rPr>
              <w:t>中标候选人排序方法</w:t>
            </w:r>
          </w:p>
        </w:tc>
        <w:tc>
          <w:tcPr>
            <w:tcW w:w="3067" w:type="pct"/>
            <w:noWrap w:val="0"/>
            <w:tcMar>
              <w:left w:w="75" w:type="dxa"/>
            </w:tcMar>
            <w:vAlign w:val="center"/>
          </w:tcPr>
          <w:p w14:paraId="3EEEF3E4">
            <w:pPr>
              <w:widowControl/>
              <w:adjustRightInd w:val="0"/>
              <w:snapToGrid w:val="0"/>
              <w:ind w:left="0" w:leftChars="0" w:firstLine="0" w:firstLineChars="0"/>
              <w:jc w:val="both"/>
              <w:rPr>
                <w:rFonts w:hint="eastAsia" w:cs="宋体"/>
                <w:color w:val="auto"/>
                <w:szCs w:val="24"/>
                <w:highlight w:val="none"/>
              </w:rPr>
            </w:pPr>
            <w:r>
              <w:rPr>
                <w:rFonts w:hint="eastAsia" w:ascii="宋体" w:hAnsi="宋体"/>
                <w:color w:val="auto"/>
                <w:kern w:val="0"/>
                <w:szCs w:val="21"/>
                <w:highlight w:val="none"/>
              </w:rPr>
              <w:t>按评标办法确定，若不能确定，由评标委员会根据投标文件投票</w:t>
            </w:r>
            <w:r>
              <w:rPr>
                <w:rFonts w:hint="eastAsia"/>
                <w:color w:val="auto"/>
                <w:kern w:val="0"/>
                <w:szCs w:val="21"/>
                <w:highlight w:val="none"/>
              </w:rPr>
              <w:t>按少数服从多数的原则确定中标候选人顺序</w:t>
            </w:r>
          </w:p>
        </w:tc>
      </w:tr>
      <w:tr w14:paraId="22CC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76C19F57">
            <w:pPr>
              <w:widowControl/>
              <w:ind w:firstLine="0" w:firstLineChars="0"/>
              <w:jc w:val="center"/>
              <w:rPr>
                <w:rFonts w:cs="宋体"/>
                <w:bCs/>
                <w:color w:val="auto"/>
                <w:kern w:val="0"/>
                <w:szCs w:val="24"/>
                <w:highlight w:val="none"/>
              </w:rPr>
            </w:pPr>
            <w:r>
              <w:rPr>
                <w:rFonts w:hint="eastAsia" w:cs="宋体"/>
                <w:bCs/>
                <w:color w:val="auto"/>
                <w:kern w:val="0"/>
                <w:szCs w:val="24"/>
                <w:highlight w:val="none"/>
              </w:rPr>
              <w:t>1.3</w:t>
            </w:r>
          </w:p>
        </w:tc>
        <w:tc>
          <w:tcPr>
            <w:tcW w:w="1082" w:type="pct"/>
            <w:noWrap w:val="0"/>
            <w:tcMar>
              <w:left w:w="75" w:type="dxa"/>
            </w:tcMar>
            <w:vAlign w:val="center"/>
          </w:tcPr>
          <w:p w14:paraId="4B5B5907">
            <w:pPr>
              <w:widowControl/>
              <w:ind w:firstLine="0" w:firstLineChars="0"/>
              <w:jc w:val="center"/>
              <w:rPr>
                <w:rFonts w:hint="eastAsia" w:cs="宋体"/>
                <w:color w:val="auto"/>
                <w:szCs w:val="24"/>
                <w:highlight w:val="none"/>
              </w:rPr>
            </w:pPr>
            <w:r>
              <w:rPr>
                <w:rFonts w:hint="eastAsia" w:cs="宋体"/>
                <w:color w:val="auto"/>
                <w:szCs w:val="24"/>
                <w:highlight w:val="none"/>
              </w:rPr>
              <w:t>推荐中标候选人先后顺序</w:t>
            </w:r>
          </w:p>
        </w:tc>
        <w:tc>
          <w:tcPr>
            <w:tcW w:w="3067" w:type="pct"/>
            <w:noWrap w:val="0"/>
            <w:tcMar>
              <w:left w:w="75" w:type="dxa"/>
            </w:tcMar>
            <w:vAlign w:val="center"/>
          </w:tcPr>
          <w:p w14:paraId="1562B92D">
            <w:pPr>
              <w:widowControl/>
              <w:ind w:firstLine="0" w:firstLineChars="0"/>
              <w:jc w:val="both"/>
              <w:rPr>
                <w:rFonts w:hint="eastAsia" w:eastAsia="宋体" w:cs="宋体"/>
                <w:bCs/>
                <w:snapToGrid w:val="0"/>
                <w:color w:val="auto"/>
                <w:szCs w:val="24"/>
                <w:highlight w:val="none"/>
                <w:lang w:eastAsia="zh-CN"/>
              </w:rPr>
            </w:pPr>
            <w:r>
              <w:rPr>
                <w:rFonts w:hint="eastAsia" w:cs="宋体"/>
                <w:color w:val="auto"/>
                <w:szCs w:val="24"/>
                <w:highlight w:val="none"/>
                <w:u w:val="single"/>
                <w:lang w:val="en-US" w:eastAsia="zh-CN"/>
              </w:rPr>
              <w:t xml:space="preserve"> </w:t>
            </w:r>
            <w:r>
              <w:rPr>
                <w:rFonts w:hint="eastAsia" w:cs="宋体"/>
                <w:color w:val="auto"/>
                <w:szCs w:val="24"/>
                <w:highlight w:val="none"/>
                <w:u w:val="single"/>
              </w:rPr>
              <w:t>/</w:t>
            </w:r>
            <w:r>
              <w:rPr>
                <w:rFonts w:hint="eastAsia" w:cs="宋体"/>
                <w:color w:val="auto"/>
                <w:szCs w:val="24"/>
                <w:highlight w:val="none"/>
                <w:u w:val="single"/>
                <w:lang w:val="en-US" w:eastAsia="zh-CN"/>
              </w:rPr>
              <w:t xml:space="preserve"> </w:t>
            </w:r>
          </w:p>
        </w:tc>
      </w:tr>
      <w:tr w14:paraId="4EE4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657F1DB7">
            <w:pPr>
              <w:widowControl/>
              <w:ind w:firstLine="0" w:firstLineChars="0"/>
              <w:jc w:val="center"/>
              <w:rPr>
                <w:rFonts w:cs="宋体"/>
                <w:bCs/>
                <w:color w:val="auto"/>
                <w:kern w:val="0"/>
                <w:szCs w:val="24"/>
                <w:highlight w:val="none"/>
              </w:rPr>
            </w:pPr>
            <w:r>
              <w:rPr>
                <w:rFonts w:hint="eastAsia" w:cs="宋体"/>
                <w:bCs/>
                <w:color w:val="auto"/>
                <w:kern w:val="0"/>
                <w:szCs w:val="24"/>
                <w:highlight w:val="none"/>
              </w:rPr>
              <w:t>1.3</w:t>
            </w:r>
          </w:p>
        </w:tc>
        <w:tc>
          <w:tcPr>
            <w:tcW w:w="1082" w:type="pct"/>
            <w:noWrap w:val="0"/>
            <w:tcMar>
              <w:left w:w="75" w:type="dxa"/>
            </w:tcMar>
            <w:vAlign w:val="center"/>
          </w:tcPr>
          <w:p w14:paraId="7EFB93BE">
            <w:pPr>
              <w:widowControl/>
              <w:ind w:firstLine="0" w:firstLineChars="0"/>
              <w:jc w:val="center"/>
              <w:rPr>
                <w:rFonts w:hint="eastAsia" w:cs="宋体"/>
                <w:color w:val="auto"/>
                <w:szCs w:val="24"/>
                <w:highlight w:val="none"/>
              </w:rPr>
            </w:pPr>
            <w:r>
              <w:rPr>
                <w:rFonts w:hint="eastAsia" w:cs="宋体"/>
                <w:color w:val="auto"/>
                <w:szCs w:val="24"/>
                <w:highlight w:val="none"/>
              </w:rPr>
              <w:t>最多可中标段数量</w:t>
            </w:r>
          </w:p>
        </w:tc>
        <w:tc>
          <w:tcPr>
            <w:tcW w:w="3067" w:type="pct"/>
            <w:noWrap w:val="0"/>
            <w:tcMar>
              <w:left w:w="75" w:type="dxa"/>
            </w:tcMar>
            <w:vAlign w:val="center"/>
          </w:tcPr>
          <w:p w14:paraId="04242A1F">
            <w:pPr>
              <w:widowControl/>
              <w:ind w:firstLine="0" w:firstLineChars="0"/>
              <w:jc w:val="both"/>
              <w:rPr>
                <w:rFonts w:hint="default" w:eastAsia="宋体" w:cs="宋体"/>
                <w:color w:val="auto"/>
                <w:szCs w:val="24"/>
                <w:highlight w:val="none"/>
                <w:lang w:val="en-US" w:eastAsia="zh-CN"/>
              </w:rPr>
            </w:pPr>
            <w:r>
              <w:rPr>
                <w:rFonts w:hint="eastAsia" w:cs="宋体"/>
                <w:color w:val="auto"/>
                <w:szCs w:val="24"/>
                <w:highlight w:val="none"/>
                <w:u w:val="single"/>
                <w:lang w:val="en-US" w:eastAsia="zh-CN"/>
              </w:rPr>
              <w:t xml:space="preserve"> / </w:t>
            </w:r>
          </w:p>
        </w:tc>
      </w:tr>
      <w:tr w14:paraId="3D12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2D81306E">
            <w:pPr>
              <w:widowControl/>
              <w:ind w:firstLine="0" w:firstLineChars="0"/>
              <w:jc w:val="center"/>
              <w:rPr>
                <w:rFonts w:hint="eastAsia" w:cs="宋体"/>
                <w:color w:val="auto"/>
                <w:szCs w:val="24"/>
                <w:highlight w:val="none"/>
              </w:rPr>
            </w:pPr>
            <w:r>
              <w:rPr>
                <w:rFonts w:hint="eastAsia"/>
                <w:color w:val="auto"/>
                <w:szCs w:val="24"/>
                <w:highlight w:val="none"/>
              </w:rPr>
              <w:t>2.1</w:t>
            </w:r>
          </w:p>
        </w:tc>
        <w:tc>
          <w:tcPr>
            <w:tcW w:w="1082" w:type="pct"/>
            <w:noWrap w:val="0"/>
            <w:tcMar>
              <w:left w:w="75" w:type="dxa"/>
            </w:tcMar>
            <w:vAlign w:val="center"/>
          </w:tcPr>
          <w:p w14:paraId="6773E3C7">
            <w:pPr>
              <w:widowControl/>
              <w:ind w:firstLine="0" w:firstLineChars="0"/>
              <w:jc w:val="center"/>
              <w:rPr>
                <w:rFonts w:hint="eastAsia" w:cs="宋体"/>
                <w:b w:val="0"/>
                <w:bCs w:val="0"/>
                <w:color w:val="auto"/>
                <w:szCs w:val="24"/>
                <w:highlight w:val="none"/>
              </w:rPr>
            </w:pPr>
            <w:r>
              <w:rPr>
                <w:rFonts w:hint="eastAsia"/>
                <w:b w:val="0"/>
                <w:bCs w:val="0"/>
                <w:color w:val="auto"/>
                <w:szCs w:val="24"/>
                <w:highlight w:val="none"/>
              </w:rPr>
              <w:t>初步评审标准</w:t>
            </w:r>
          </w:p>
        </w:tc>
        <w:tc>
          <w:tcPr>
            <w:tcW w:w="3067" w:type="pct"/>
            <w:noWrap w:val="0"/>
            <w:tcMar>
              <w:left w:w="75" w:type="dxa"/>
            </w:tcMar>
            <w:vAlign w:val="center"/>
          </w:tcPr>
          <w:p w14:paraId="76950AA1">
            <w:pPr>
              <w:widowControl/>
              <w:ind w:firstLine="0" w:firstLineChars="0"/>
              <w:jc w:val="both"/>
              <w:rPr>
                <w:rFonts w:hint="eastAsia" w:cs="宋体"/>
                <w:b w:val="0"/>
                <w:bCs w:val="0"/>
                <w:color w:val="auto"/>
                <w:szCs w:val="24"/>
                <w:highlight w:val="none"/>
              </w:rPr>
            </w:pPr>
            <w:r>
              <w:rPr>
                <w:rFonts w:ascii="宋体" w:hAnsi="宋体" w:cs="宋体"/>
                <w:b w:val="0"/>
                <w:bCs w:val="0"/>
                <w:color w:val="auto"/>
                <w:szCs w:val="24"/>
                <w:highlight w:val="none"/>
              </w:rPr>
              <w:t>见</w:t>
            </w:r>
            <w:r>
              <w:rPr>
                <w:rFonts w:hint="eastAsia" w:ascii="宋体" w:hAnsi="宋体" w:cs="宋体"/>
                <w:b w:val="0"/>
                <w:bCs w:val="0"/>
                <w:color w:val="auto"/>
                <w:szCs w:val="24"/>
                <w:highlight w:val="none"/>
              </w:rPr>
              <w:t>“商务及技术文件初步评审标准”表、“</w:t>
            </w:r>
            <w:r>
              <w:rPr>
                <w:rFonts w:ascii="宋体" w:hAnsi="宋体" w:cs="宋体"/>
                <w:b w:val="0"/>
                <w:bCs w:val="0"/>
                <w:color w:val="auto"/>
                <w:szCs w:val="24"/>
                <w:highlight w:val="none"/>
              </w:rPr>
              <w:t>报价文件初步评审</w:t>
            </w:r>
            <w:r>
              <w:rPr>
                <w:rFonts w:hint="eastAsia" w:ascii="宋体" w:hAnsi="宋体" w:cs="宋体"/>
                <w:b w:val="0"/>
                <w:bCs w:val="0"/>
                <w:color w:val="auto"/>
                <w:szCs w:val="24"/>
                <w:highlight w:val="none"/>
              </w:rPr>
              <w:t>标准”表。</w:t>
            </w:r>
          </w:p>
        </w:tc>
      </w:tr>
      <w:tr w14:paraId="5BBE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2B049A28">
            <w:pPr>
              <w:widowControl/>
              <w:ind w:firstLine="0" w:firstLineChars="0"/>
              <w:jc w:val="center"/>
              <w:rPr>
                <w:rFonts w:hint="eastAsia" w:cs="宋体"/>
                <w:bCs/>
                <w:color w:val="auto"/>
                <w:kern w:val="0"/>
                <w:szCs w:val="24"/>
                <w:highlight w:val="none"/>
              </w:rPr>
            </w:pPr>
            <w:r>
              <w:rPr>
                <w:rFonts w:hint="eastAsia" w:cs="宋体"/>
                <w:bCs/>
                <w:color w:val="auto"/>
                <w:kern w:val="0"/>
                <w:szCs w:val="24"/>
                <w:highlight w:val="none"/>
              </w:rPr>
              <w:t>2.2.1</w:t>
            </w:r>
          </w:p>
        </w:tc>
        <w:tc>
          <w:tcPr>
            <w:tcW w:w="1082" w:type="pct"/>
            <w:noWrap w:val="0"/>
            <w:tcMar>
              <w:left w:w="75" w:type="dxa"/>
            </w:tcMar>
            <w:vAlign w:val="center"/>
          </w:tcPr>
          <w:p w14:paraId="3C1795B0">
            <w:pPr>
              <w:ind w:firstLine="0" w:firstLineChars="0"/>
              <w:jc w:val="center"/>
              <w:rPr>
                <w:rFonts w:hint="eastAsia" w:cs="宋体"/>
                <w:b w:val="0"/>
                <w:bCs w:val="0"/>
                <w:color w:val="auto"/>
                <w:szCs w:val="24"/>
                <w:highlight w:val="none"/>
              </w:rPr>
            </w:pPr>
            <w:r>
              <w:rPr>
                <w:rFonts w:hint="eastAsia" w:cs="宋体"/>
                <w:b w:val="0"/>
                <w:bCs w:val="0"/>
                <w:color w:val="auto"/>
                <w:szCs w:val="24"/>
                <w:highlight w:val="none"/>
              </w:rPr>
              <w:t>分值构成</w:t>
            </w:r>
          </w:p>
          <w:p w14:paraId="4E4942E3">
            <w:pPr>
              <w:widowControl/>
              <w:ind w:firstLine="0" w:firstLineChars="0"/>
              <w:jc w:val="center"/>
              <w:rPr>
                <w:rFonts w:hint="eastAsia" w:cs="宋体"/>
                <w:b w:val="0"/>
                <w:bCs w:val="0"/>
                <w:color w:val="auto"/>
                <w:kern w:val="0"/>
                <w:szCs w:val="24"/>
                <w:highlight w:val="none"/>
              </w:rPr>
            </w:pPr>
            <w:r>
              <w:rPr>
                <w:rFonts w:hint="eastAsia" w:cs="宋体"/>
                <w:b w:val="0"/>
                <w:bCs w:val="0"/>
                <w:color w:val="auto"/>
                <w:szCs w:val="24"/>
                <w:highlight w:val="none"/>
              </w:rPr>
              <w:t>（</w:t>
            </w:r>
            <w:r>
              <w:rPr>
                <w:rFonts w:hint="eastAsia" w:cs="宋体"/>
                <w:b w:val="0"/>
                <w:bCs w:val="0"/>
                <w:color w:val="auto"/>
                <w:szCs w:val="24"/>
                <w:highlight w:val="none"/>
                <w:u w:val="single"/>
                <w:lang w:val="en-US" w:eastAsia="zh-CN"/>
              </w:rPr>
              <w:t xml:space="preserve"> </w:t>
            </w:r>
            <w:r>
              <w:rPr>
                <w:rFonts w:hint="eastAsia" w:cs="宋体"/>
                <w:b w:val="0"/>
                <w:bCs w:val="0"/>
                <w:color w:val="auto"/>
                <w:szCs w:val="24"/>
                <w:highlight w:val="none"/>
                <w:u w:val="single"/>
              </w:rPr>
              <w:t>100</w:t>
            </w:r>
            <w:r>
              <w:rPr>
                <w:rFonts w:hint="eastAsia" w:cs="宋体"/>
                <w:b w:val="0"/>
                <w:bCs w:val="0"/>
                <w:color w:val="auto"/>
                <w:szCs w:val="24"/>
                <w:highlight w:val="none"/>
                <w:u w:val="single"/>
                <w:lang w:val="en-US" w:eastAsia="zh-CN"/>
              </w:rPr>
              <w:t xml:space="preserve"> </w:t>
            </w:r>
            <w:r>
              <w:rPr>
                <w:rFonts w:hint="eastAsia" w:cs="宋体"/>
                <w:b w:val="0"/>
                <w:bCs w:val="0"/>
                <w:color w:val="auto"/>
                <w:szCs w:val="24"/>
                <w:highlight w:val="none"/>
              </w:rPr>
              <w:t>分）</w:t>
            </w:r>
          </w:p>
        </w:tc>
        <w:tc>
          <w:tcPr>
            <w:tcW w:w="3067" w:type="pct"/>
            <w:noWrap w:val="0"/>
            <w:tcMar>
              <w:left w:w="75" w:type="dxa"/>
            </w:tcMar>
            <w:vAlign w:val="center"/>
          </w:tcPr>
          <w:p w14:paraId="2C30D40B">
            <w:pPr>
              <w:ind w:firstLine="0" w:firstLineChars="0"/>
              <w:jc w:val="both"/>
              <w:rPr>
                <w:rFonts w:hint="eastAsia" w:cs="宋体"/>
                <w:b w:val="0"/>
                <w:bCs w:val="0"/>
                <w:color w:val="auto"/>
                <w:szCs w:val="24"/>
                <w:highlight w:val="none"/>
              </w:rPr>
            </w:pPr>
            <w:r>
              <w:rPr>
                <w:rFonts w:hint="eastAsia" w:cs="宋体"/>
                <w:b w:val="0"/>
                <w:bCs w:val="0"/>
                <w:color w:val="auto"/>
                <w:szCs w:val="24"/>
                <w:highlight w:val="none"/>
              </w:rPr>
              <w:t>技术文件：</w:t>
            </w:r>
            <w:r>
              <w:rPr>
                <w:rFonts w:hint="eastAsia" w:cs="宋体"/>
                <w:b w:val="0"/>
                <w:bCs w:val="0"/>
                <w:color w:val="auto"/>
                <w:szCs w:val="24"/>
                <w:highlight w:val="none"/>
                <w:u w:val="single"/>
                <w:lang w:val="en-US" w:eastAsia="zh-CN"/>
              </w:rPr>
              <w:t xml:space="preserve">    </w:t>
            </w:r>
            <w:r>
              <w:rPr>
                <w:rFonts w:hint="eastAsia" w:cs="宋体"/>
                <w:b w:val="0"/>
                <w:bCs w:val="0"/>
                <w:color w:val="auto"/>
                <w:szCs w:val="24"/>
                <w:highlight w:val="none"/>
              </w:rPr>
              <w:t>分</w:t>
            </w:r>
          </w:p>
          <w:p w14:paraId="4D199E79">
            <w:pPr>
              <w:ind w:firstLine="0" w:firstLineChars="0"/>
              <w:jc w:val="both"/>
              <w:rPr>
                <w:rFonts w:hint="eastAsia" w:cs="宋体"/>
                <w:b w:val="0"/>
                <w:bCs w:val="0"/>
                <w:color w:val="auto"/>
                <w:szCs w:val="24"/>
                <w:highlight w:val="none"/>
              </w:rPr>
            </w:pPr>
            <w:r>
              <w:rPr>
                <w:rFonts w:hint="eastAsia" w:cs="宋体"/>
                <w:b w:val="0"/>
                <w:bCs w:val="0"/>
                <w:color w:val="auto"/>
                <w:szCs w:val="24"/>
                <w:highlight w:val="none"/>
              </w:rPr>
              <w:t>商务文件：</w:t>
            </w:r>
            <w:r>
              <w:rPr>
                <w:rFonts w:hint="eastAsia" w:cs="宋体"/>
                <w:b w:val="0"/>
                <w:bCs w:val="0"/>
                <w:color w:val="auto"/>
                <w:szCs w:val="24"/>
                <w:highlight w:val="none"/>
                <w:u w:val="single"/>
                <w:lang w:val="en-US" w:eastAsia="zh-CN"/>
              </w:rPr>
              <w:t xml:space="preserve">    </w:t>
            </w:r>
            <w:r>
              <w:rPr>
                <w:rFonts w:hint="eastAsia" w:cs="宋体"/>
                <w:b w:val="0"/>
                <w:bCs w:val="0"/>
                <w:color w:val="auto"/>
                <w:szCs w:val="24"/>
                <w:highlight w:val="none"/>
              </w:rPr>
              <w:t>分</w:t>
            </w:r>
          </w:p>
          <w:p w14:paraId="11090E12">
            <w:pPr>
              <w:ind w:firstLine="0" w:firstLineChars="0"/>
              <w:jc w:val="both"/>
              <w:rPr>
                <w:rFonts w:hint="eastAsia" w:cs="宋体"/>
                <w:b w:val="0"/>
                <w:bCs w:val="0"/>
                <w:color w:val="auto"/>
                <w:kern w:val="0"/>
                <w:szCs w:val="24"/>
                <w:highlight w:val="none"/>
              </w:rPr>
            </w:pPr>
            <w:r>
              <w:rPr>
                <w:rFonts w:hint="eastAsia" w:cs="宋体"/>
                <w:b w:val="0"/>
                <w:bCs w:val="0"/>
                <w:color w:val="auto"/>
                <w:szCs w:val="24"/>
                <w:highlight w:val="none"/>
              </w:rPr>
              <w:t>报价文件：</w:t>
            </w:r>
            <w:r>
              <w:rPr>
                <w:rFonts w:hint="eastAsia" w:cs="宋体"/>
                <w:b w:val="0"/>
                <w:bCs w:val="0"/>
                <w:color w:val="auto"/>
                <w:szCs w:val="24"/>
                <w:highlight w:val="none"/>
                <w:u w:val="single"/>
                <w:lang w:val="en-US" w:eastAsia="zh-CN"/>
              </w:rPr>
              <w:t xml:space="preserve">    </w:t>
            </w:r>
            <w:r>
              <w:rPr>
                <w:rFonts w:hint="eastAsia" w:cs="宋体"/>
                <w:b w:val="0"/>
                <w:bCs w:val="0"/>
                <w:color w:val="auto"/>
                <w:szCs w:val="24"/>
                <w:highlight w:val="none"/>
              </w:rPr>
              <w:t>分</w:t>
            </w:r>
          </w:p>
        </w:tc>
      </w:tr>
      <w:tr w14:paraId="63DB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1E0F9DF9">
            <w:pPr>
              <w:widowControl/>
              <w:ind w:firstLine="0" w:firstLineChars="0"/>
              <w:jc w:val="center"/>
              <w:rPr>
                <w:rFonts w:cs="宋体"/>
                <w:color w:val="auto"/>
                <w:szCs w:val="24"/>
                <w:highlight w:val="none"/>
              </w:rPr>
            </w:pPr>
            <w:r>
              <w:rPr>
                <w:rFonts w:hint="eastAsia"/>
                <w:color w:val="auto"/>
                <w:szCs w:val="24"/>
                <w:highlight w:val="none"/>
              </w:rPr>
              <w:t>2.2.2</w:t>
            </w:r>
          </w:p>
        </w:tc>
        <w:tc>
          <w:tcPr>
            <w:tcW w:w="1082" w:type="pct"/>
            <w:noWrap w:val="0"/>
            <w:tcMar>
              <w:left w:w="75" w:type="dxa"/>
            </w:tcMar>
            <w:vAlign w:val="center"/>
          </w:tcPr>
          <w:p w14:paraId="717A6B88">
            <w:pPr>
              <w:widowControl/>
              <w:ind w:firstLine="0" w:firstLineChars="0"/>
              <w:jc w:val="center"/>
              <w:rPr>
                <w:rFonts w:hint="eastAsia" w:cs="宋体"/>
                <w:color w:val="auto"/>
                <w:szCs w:val="24"/>
                <w:highlight w:val="none"/>
              </w:rPr>
            </w:pPr>
            <w:r>
              <w:rPr>
                <w:rFonts w:hint="eastAsia"/>
                <w:color w:val="auto"/>
                <w:highlight w:val="none"/>
              </w:rPr>
              <w:t>评分标准</w:t>
            </w:r>
          </w:p>
        </w:tc>
        <w:tc>
          <w:tcPr>
            <w:tcW w:w="3067" w:type="pct"/>
            <w:noWrap w:val="0"/>
            <w:tcMar>
              <w:left w:w="75" w:type="dxa"/>
            </w:tcMar>
            <w:vAlign w:val="center"/>
          </w:tcPr>
          <w:p w14:paraId="6AE8EC52">
            <w:pPr>
              <w:widowControl/>
              <w:ind w:firstLine="0" w:firstLineChars="0"/>
              <w:jc w:val="both"/>
              <w:rPr>
                <w:rFonts w:hint="eastAsia" w:cs="宋体"/>
                <w:color w:val="auto"/>
                <w:szCs w:val="24"/>
                <w:highlight w:val="none"/>
              </w:rPr>
            </w:pPr>
            <w:r>
              <w:rPr>
                <w:rFonts w:ascii="宋体" w:hAnsi="宋体" w:cs="宋体"/>
                <w:color w:val="auto"/>
                <w:szCs w:val="24"/>
                <w:highlight w:val="none"/>
              </w:rPr>
              <w:t>见</w:t>
            </w:r>
            <w:r>
              <w:rPr>
                <w:rFonts w:hint="eastAsia" w:ascii="宋体" w:hAnsi="宋体" w:cs="宋体"/>
                <w:color w:val="auto"/>
                <w:szCs w:val="24"/>
                <w:highlight w:val="none"/>
              </w:rPr>
              <w:t>“商务、技术及报价文件详细评审标准”表。</w:t>
            </w:r>
          </w:p>
        </w:tc>
      </w:tr>
      <w:tr w14:paraId="5F42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002F7074">
            <w:pPr>
              <w:widowControl/>
              <w:ind w:firstLine="0" w:firstLineChars="0"/>
              <w:jc w:val="center"/>
              <w:rPr>
                <w:rFonts w:hint="eastAsia" w:cs="宋体"/>
                <w:color w:val="auto"/>
                <w:szCs w:val="24"/>
                <w:highlight w:val="none"/>
              </w:rPr>
            </w:pPr>
            <w:r>
              <w:rPr>
                <w:rFonts w:hint="eastAsia" w:cs="宋体"/>
                <w:bCs/>
                <w:color w:val="auto"/>
                <w:szCs w:val="24"/>
                <w:highlight w:val="none"/>
              </w:rPr>
              <w:t>3.2.2（1）</w:t>
            </w:r>
          </w:p>
        </w:tc>
        <w:tc>
          <w:tcPr>
            <w:tcW w:w="1082" w:type="pct"/>
            <w:noWrap w:val="0"/>
            <w:tcMar>
              <w:left w:w="75" w:type="dxa"/>
            </w:tcMar>
            <w:vAlign w:val="center"/>
          </w:tcPr>
          <w:p w14:paraId="09986A73">
            <w:pPr>
              <w:widowControl/>
              <w:ind w:firstLine="0" w:firstLineChars="0"/>
              <w:jc w:val="center"/>
              <w:rPr>
                <w:rFonts w:hint="eastAsia" w:cs="宋体"/>
                <w:color w:val="auto"/>
                <w:szCs w:val="24"/>
                <w:highlight w:val="none"/>
              </w:rPr>
            </w:pPr>
            <w:r>
              <w:rPr>
                <w:rFonts w:hint="eastAsia" w:cs="宋体"/>
                <w:color w:val="auto"/>
                <w:szCs w:val="24"/>
                <w:highlight w:val="none"/>
              </w:rPr>
              <w:t>技术文件详细评审得分计算规则</w:t>
            </w:r>
          </w:p>
        </w:tc>
        <w:tc>
          <w:tcPr>
            <w:tcW w:w="3067" w:type="pct"/>
            <w:noWrap w:val="0"/>
            <w:tcMar>
              <w:left w:w="75" w:type="dxa"/>
            </w:tcMar>
            <w:vAlign w:val="center"/>
          </w:tcPr>
          <w:p w14:paraId="09B580BB">
            <w:pPr>
              <w:widowControl/>
              <w:ind w:firstLine="0" w:firstLineChars="0"/>
              <w:jc w:val="both"/>
              <w:rPr>
                <w:rFonts w:hint="eastAsia" w:cs="宋体"/>
                <w:color w:val="auto"/>
                <w:szCs w:val="24"/>
                <w:highlight w:val="none"/>
              </w:rPr>
            </w:pPr>
            <w:r>
              <w:rPr>
                <w:rFonts w:hint="eastAsia" w:cs="宋体"/>
                <w:color w:val="auto"/>
                <w:szCs w:val="24"/>
                <w:highlight w:val="none"/>
              </w:rPr>
              <w:t>见附件1。</w:t>
            </w:r>
          </w:p>
        </w:tc>
      </w:tr>
      <w:tr w14:paraId="4746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849" w:type="pct"/>
            <w:noWrap w:val="0"/>
            <w:vAlign w:val="center"/>
          </w:tcPr>
          <w:p w14:paraId="1D66C871">
            <w:pPr>
              <w:widowControl/>
              <w:ind w:firstLine="0" w:firstLineChars="0"/>
              <w:jc w:val="center"/>
              <w:rPr>
                <w:rFonts w:hint="eastAsia" w:cs="宋体"/>
                <w:color w:val="auto"/>
                <w:szCs w:val="24"/>
                <w:highlight w:val="none"/>
              </w:rPr>
            </w:pPr>
            <w:r>
              <w:rPr>
                <w:rFonts w:hint="eastAsia" w:cs="宋体"/>
                <w:bCs/>
                <w:color w:val="auto"/>
                <w:szCs w:val="24"/>
                <w:highlight w:val="none"/>
              </w:rPr>
              <w:t>3.7.2</w:t>
            </w:r>
          </w:p>
        </w:tc>
        <w:tc>
          <w:tcPr>
            <w:tcW w:w="1082" w:type="pct"/>
            <w:noWrap w:val="0"/>
            <w:tcMar>
              <w:left w:w="75" w:type="dxa"/>
            </w:tcMar>
            <w:vAlign w:val="center"/>
          </w:tcPr>
          <w:p w14:paraId="310F6626">
            <w:pPr>
              <w:widowControl/>
              <w:ind w:firstLine="0" w:firstLineChars="0"/>
              <w:jc w:val="center"/>
              <w:rPr>
                <w:rFonts w:hint="eastAsia" w:cs="宋体"/>
                <w:color w:val="auto"/>
                <w:szCs w:val="24"/>
                <w:highlight w:val="none"/>
              </w:rPr>
            </w:pPr>
            <w:r>
              <w:rPr>
                <w:rFonts w:hint="eastAsia" w:cs="宋体"/>
                <w:color w:val="auto"/>
                <w:szCs w:val="24"/>
                <w:highlight w:val="none"/>
              </w:rPr>
              <w:t>否决投标的其他情形</w:t>
            </w:r>
          </w:p>
        </w:tc>
        <w:tc>
          <w:tcPr>
            <w:tcW w:w="3067" w:type="pct"/>
            <w:noWrap w:val="0"/>
            <w:tcMar>
              <w:left w:w="75" w:type="dxa"/>
            </w:tcMar>
            <w:vAlign w:val="center"/>
          </w:tcPr>
          <w:p w14:paraId="3E34AF1F">
            <w:pPr>
              <w:widowControl/>
              <w:ind w:firstLine="0" w:firstLineChars="0"/>
              <w:jc w:val="both"/>
              <w:rPr>
                <w:rFonts w:hint="eastAsia" w:cs="宋体"/>
                <w:color w:val="auto"/>
                <w:szCs w:val="24"/>
                <w:highlight w:val="none"/>
              </w:rPr>
            </w:pPr>
            <w:r>
              <w:rPr>
                <w:rFonts w:hint="eastAsia" w:cs="宋体"/>
                <w:color w:val="auto"/>
                <w:szCs w:val="24"/>
                <w:highlight w:val="none"/>
              </w:rPr>
              <w:t>见附件2。</w:t>
            </w:r>
          </w:p>
        </w:tc>
      </w:tr>
    </w:tbl>
    <w:p w14:paraId="29324CA3">
      <w:pPr>
        <w:ind w:left="0" w:leftChars="0" w:firstLine="0" w:firstLineChars="0"/>
        <w:jc w:val="center"/>
        <w:rPr>
          <w:rFonts w:ascii="黑体" w:hAnsi="黑体" w:eastAsia="黑体"/>
          <w:color w:val="auto"/>
          <w:sz w:val="28"/>
          <w:szCs w:val="28"/>
          <w:highlight w:val="none"/>
        </w:rPr>
      </w:pPr>
    </w:p>
    <w:p w14:paraId="5A83D3ED">
      <w:pPr>
        <w:pStyle w:val="7"/>
        <w:spacing w:before="240" w:after="240"/>
        <w:ind w:firstLine="157"/>
        <w:jc w:val="center"/>
        <w:rPr>
          <w:rFonts w:hint="eastAsia" w:ascii="黑体"/>
          <w:color w:val="auto"/>
          <w:sz w:val="32"/>
          <w:szCs w:val="32"/>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311" w:name="_Toc14034"/>
      <w:bookmarkStart w:id="312" w:name="_Toc5657"/>
    </w:p>
    <w:p w14:paraId="01735D63">
      <w:pPr>
        <w:pStyle w:val="7"/>
        <w:spacing w:before="240" w:after="240"/>
        <w:ind w:firstLine="157"/>
        <w:jc w:val="center"/>
        <w:rPr>
          <w:color w:val="auto"/>
          <w:highlight w:val="none"/>
        </w:rPr>
      </w:pPr>
      <w:r>
        <w:rPr>
          <w:rFonts w:hint="eastAsia" w:ascii="黑体"/>
          <w:color w:val="auto"/>
          <w:sz w:val="32"/>
          <w:szCs w:val="32"/>
          <w:highlight w:val="none"/>
        </w:rPr>
        <w:t>商务及技术</w:t>
      </w:r>
      <w:r>
        <w:rPr>
          <w:rFonts w:hint="eastAsia"/>
          <w:color w:val="auto"/>
          <w:sz w:val="32"/>
          <w:szCs w:val="32"/>
          <w:highlight w:val="none"/>
        </w:rPr>
        <w:t>文件初步评审标准</w:t>
      </w:r>
      <w:bookmarkEnd w:id="311"/>
      <w:bookmarkEnd w:id="312"/>
    </w:p>
    <w:tbl>
      <w:tblPr>
        <w:tblStyle w:val="44"/>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1123"/>
        <w:gridCol w:w="2488"/>
        <w:gridCol w:w="4667"/>
      </w:tblGrid>
      <w:tr w14:paraId="3E0D4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6" w:type="dxa"/>
            <w:gridSpan w:val="2"/>
            <w:tcBorders>
              <w:top w:val="single" w:color="auto" w:sz="4" w:space="0"/>
              <w:bottom w:val="single" w:color="auto" w:sz="4" w:space="0"/>
              <w:right w:val="single" w:color="auto" w:sz="4" w:space="0"/>
            </w:tcBorders>
            <w:noWrap w:val="0"/>
            <w:vAlign w:val="center"/>
          </w:tcPr>
          <w:p w14:paraId="329FCCCA">
            <w:pPr>
              <w:ind w:firstLine="482"/>
              <w:jc w:val="center"/>
              <w:rPr>
                <w:b/>
                <w:color w:val="auto"/>
                <w:highlight w:val="none"/>
              </w:rPr>
            </w:pPr>
            <w:r>
              <w:rPr>
                <w:b/>
                <w:color w:val="auto"/>
                <w:highlight w:val="none"/>
              </w:rPr>
              <w:t>条款号</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015B1B7">
            <w:pPr>
              <w:ind w:firstLine="482"/>
              <w:jc w:val="center"/>
              <w:rPr>
                <w:b/>
                <w:color w:val="auto"/>
                <w:highlight w:val="none"/>
              </w:rPr>
            </w:pPr>
            <w:r>
              <w:rPr>
                <w:b/>
                <w:color w:val="auto"/>
                <w:highlight w:val="none"/>
              </w:rPr>
              <w:t>评审因素</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089FF9E8">
            <w:pPr>
              <w:ind w:firstLine="482"/>
              <w:jc w:val="center"/>
              <w:rPr>
                <w:b/>
                <w:color w:val="auto"/>
                <w:highlight w:val="none"/>
              </w:rPr>
            </w:pPr>
            <w:r>
              <w:rPr>
                <w:b/>
                <w:color w:val="auto"/>
                <w:highlight w:val="none"/>
              </w:rPr>
              <w:t>评审标准</w:t>
            </w:r>
          </w:p>
        </w:tc>
      </w:tr>
      <w:tr w14:paraId="1CB56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4DA46E6A">
            <w:pPr>
              <w:ind w:firstLine="0" w:firstLineChars="0"/>
              <w:jc w:val="center"/>
              <w:rPr>
                <w:color w:val="auto"/>
                <w:highlight w:val="none"/>
              </w:rPr>
            </w:pPr>
            <w:r>
              <w:rPr>
                <w:color w:val="auto"/>
                <w:highlight w:val="none"/>
              </w:rPr>
              <w:t>2.1.1</w:t>
            </w:r>
          </w:p>
        </w:tc>
        <w:tc>
          <w:tcPr>
            <w:tcW w:w="1123" w:type="dxa"/>
            <w:vMerge w:val="restart"/>
            <w:tcBorders>
              <w:top w:val="single" w:color="auto" w:sz="4" w:space="0"/>
              <w:right w:val="single" w:color="auto" w:sz="4" w:space="0"/>
            </w:tcBorders>
            <w:noWrap w:val="0"/>
            <w:vAlign w:val="center"/>
          </w:tcPr>
          <w:p w14:paraId="272A7812">
            <w:pPr>
              <w:ind w:firstLine="0" w:firstLineChars="0"/>
              <w:jc w:val="center"/>
              <w:rPr>
                <w:color w:val="auto"/>
                <w:highlight w:val="none"/>
              </w:rPr>
            </w:pPr>
            <w:r>
              <w:rPr>
                <w:color w:val="auto"/>
                <w:highlight w:val="none"/>
              </w:rPr>
              <w:t>形式评审标准</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AC26867">
            <w:pPr>
              <w:ind w:firstLine="0" w:firstLineChars="0"/>
              <w:jc w:val="center"/>
              <w:rPr>
                <w:color w:val="auto"/>
                <w:highlight w:val="none"/>
              </w:rPr>
            </w:pPr>
            <w:r>
              <w:rPr>
                <w:color w:val="auto"/>
                <w:highlight w:val="none"/>
              </w:rPr>
              <w:t>投标人名称</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454BFC33">
            <w:pPr>
              <w:ind w:firstLine="0" w:firstLineChars="0"/>
              <w:jc w:val="both"/>
              <w:rPr>
                <w:rFonts w:hint="eastAsia"/>
                <w:color w:val="auto"/>
                <w:highlight w:val="none"/>
              </w:rPr>
            </w:pPr>
            <w:r>
              <w:rPr>
                <w:color w:val="auto"/>
                <w:highlight w:val="none"/>
              </w:rPr>
              <w:t>与营业执照、资质证书一致</w:t>
            </w:r>
            <w:r>
              <w:rPr>
                <w:rFonts w:hint="eastAsia"/>
                <w:color w:val="auto"/>
                <w:highlight w:val="none"/>
              </w:rPr>
              <w:t>。</w:t>
            </w:r>
          </w:p>
        </w:tc>
      </w:tr>
      <w:tr w14:paraId="2F8FA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669BBB14">
            <w:pPr>
              <w:ind w:firstLine="480"/>
              <w:rPr>
                <w:color w:val="auto"/>
                <w:highlight w:val="none"/>
              </w:rPr>
            </w:pPr>
          </w:p>
        </w:tc>
        <w:tc>
          <w:tcPr>
            <w:tcW w:w="1123" w:type="dxa"/>
            <w:vMerge w:val="continue"/>
            <w:tcBorders>
              <w:right w:val="single" w:color="auto" w:sz="4" w:space="0"/>
            </w:tcBorders>
            <w:noWrap w:val="0"/>
            <w:vAlign w:val="center"/>
          </w:tcPr>
          <w:p w14:paraId="2DC65B81">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6BB598A">
            <w:pPr>
              <w:ind w:firstLine="0" w:firstLineChars="0"/>
              <w:jc w:val="center"/>
              <w:rPr>
                <w:color w:val="auto"/>
                <w:highlight w:val="none"/>
              </w:rPr>
            </w:pPr>
            <w:r>
              <w:rPr>
                <w:color w:val="auto"/>
                <w:highlight w:val="none"/>
              </w:rPr>
              <w:t>投标文件格式</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4B6C65BD">
            <w:pPr>
              <w:ind w:firstLine="0" w:firstLineChars="0"/>
              <w:jc w:val="both"/>
              <w:rPr>
                <w:rFonts w:hint="eastAsia"/>
                <w:color w:val="auto"/>
                <w:highlight w:val="none"/>
              </w:rPr>
            </w:pPr>
            <w:r>
              <w:rPr>
                <w:rFonts w:hint="eastAsia"/>
                <w:color w:val="auto"/>
                <w:highlight w:val="none"/>
              </w:rPr>
              <w:t>符合第六章“投标文件格式”的规定，关键字迹清晰可辨。</w:t>
            </w:r>
          </w:p>
        </w:tc>
      </w:tr>
      <w:tr w14:paraId="5E4AD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2B859AB8">
            <w:pPr>
              <w:ind w:firstLine="480"/>
              <w:rPr>
                <w:color w:val="auto"/>
                <w:highlight w:val="none"/>
              </w:rPr>
            </w:pPr>
          </w:p>
        </w:tc>
        <w:tc>
          <w:tcPr>
            <w:tcW w:w="1123" w:type="dxa"/>
            <w:vMerge w:val="continue"/>
            <w:tcBorders>
              <w:right w:val="single" w:color="auto" w:sz="4" w:space="0"/>
            </w:tcBorders>
            <w:noWrap w:val="0"/>
            <w:vAlign w:val="center"/>
          </w:tcPr>
          <w:p w14:paraId="745D225B">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C0C1326">
            <w:pPr>
              <w:ind w:firstLine="0" w:firstLineChars="0"/>
              <w:jc w:val="center"/>
              <w:rPr>
                <w:color w:val="auto"/>
                <w:highlight w:val="none"/>
              </w:rPr>
            </w:pPr>
            <w:r>
              <w:rPr>
                <w:rFonts w:hint="eastAsia"/>
                <w:color w:val="auto"/>
                <w:kern w:val="0"/>
                <w:szCs w:val="21"/>
                <w:highlight w:val="none"/>
              </w:rPr>
              <w:t>签字盖章</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791EA9E0">
            <w:pPr>
              <w:ind w:firstLine="0" w:firstLineChars="0"/>
              <w:jc w:val="both"/>
              <w:rPr>
                <w:rFonts w:hint="eastAsia"/>
                <w:color w:val="auto"/>
                <w:highlight w:val="none"/>
              </w:rPr>
            </w:pPr>
            <w:r>
              <w:rPr>
                <w:rFonts w:hint="eastAsia"/>
                <w:color w:val="auto"/>
                <w:highlight w:val="none"/>
              </w:rPr>
              <w:t>符合第二章“投标人须知”第3.7.3项规定。</w:t>
            </w:r>
          </w:p>
        </w:tc>
      </w:tr>
      <w:tr w14:paraId="3B79E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0658FC9">
            <w:pPr>
              <w:ind w:firstLine="480"/>
              <w:rPr>
                <w:color w:val="auto"/>
                <w:highlight w:val="none"/>
              </w:rPr>
            </w:pPr>
          </w:p>
        </w:tc>
        <w:tc>
          <w:tcPr>
            <w:tcW w:w="1123" w:type="dxa"/>
            <w:vMerge w:val="continue"/>
            <w:tcBorders>
              <w:right w:val="single" w:color="auto" w:sz="4" w:space="0"/>
            </w:tcBorders>
            <w:noWrap w:val="0"/>
            <w:vAlign w:val="center"/>
          </w:tcPr>
          <w:p w14:paraId="127EEF52">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31AAE5F">
            <w:pPr>
              <w:ind w:firstLine="0" w:firstLineChars="0"/>
              <w:jc w:val="center"/>
              <w:rPr>
                <w:color w:val="auto"/>
                <w:highlight w:val="none"/>
              </w:rPr>
            </w:pPr>
            <w:r>
              <w:rPr>
                <w:color w:val="auto"/>
                <w:highlight w:val="none"/>
              </w:rPr>
              <w:t>联合体投标人</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77E40CE0">
            <w:pPr>
              <w:ind w:firstLine="0" w:firstLineChars="0"/>
              <w:jc w:val="both"/>
              <w:rPr>
                <w:rFonts w:hint="eastAsia"/>
                <w:color w:val="auto"/>
                <w:highlight w:val="none"/>
              </w:rPr>
            </w:pPr>
            <w:r>
              <w:rPr>
                <w:color w:val="auto"/>
                <w:highlight w:val="none"/>
              </w:rPr>
              <w:t>提交符合招标文件要求的联合体协议书，明确各方承担连带责任，并明确联合体牵头人</w:t>
            </w:r>
            <w:r>
              <w:rPr>
                <w:rFonts w:hint="eastAsia"/>
                <w:color w:val="auto"/>
                <w:highlight w:val="none"/>
              </w:rPr>
              <w:t>。</w:t>
            </w:r>
          </w:p>
        </w:tc>
      </w:tr>
      <w:tr w14:paraId="7E276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00287681">
            <w:pPr>
              <w:ind w:firstLine="480"/>
              <w:rPr>
                <w:color w:val="auto"/>
                <w:highlight w:val="none"/>
              </w:rPr>
            </w:pPr>
          </w:p>
        </w:tc>
        <w:tc>
          <w:tcPr>
            <w:tcW w:w="1123" w:type="dxa"/>
            <w:vMerge w:val="continue"/>
            <w:tcBorders>
              <w:right w:val="single" w:color="auto" w:sz="4" w:space="0"/>
            </w:tcBorders>
            <w:noWrap w:val="0"/>
            <w:vAlign w:val="center"/>
          </w:tcPr>
          <w:p w14:paraId="0BB94D45">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3E12DE4">
            <w:pPr>
              <w:ind w:firstLine="0" w:firstLineChars="0"/>
              <w:jc w:val="center"/>
              <w:rPr>
                <w:color w:val="auto"/>
                <w:highlight w:val="none"/>
              </w:rPr>
            </w:pPr>
            <w:r>
              <w:rPr>
                <w:rFonts w:hint="eastAsia"/>
                <w:color w:val="auto"/>
                <w:highlight w:val="none"/>
              </w:rPr>
              <w:t>备选投标方案</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317DFF73">
            <w:pPr>
              <w:ind w:firstLine="0" w:firstLineChars="0"/>
              <w:jc w:val="both"/>
              <w:rPr>
                <w:rFonts w:hint="eastAsia"/>
                <w:color w:val="auto"/>
                <w:highlight w:val="none"/>
              </w:rPr>
            </w:pPr>
            <w:r>
              <w:rPr>
                <w:rFonts w:hint="eastAsia"/>
                <w:color w:val="auto"/>
                <w:highlight w:val="none"/>
              </w:rPr>
              <w:t>除招标文件明确允许备选投标方案外，投标人不得提交备选投标方案。</w:t>
            </w:r>
          </w:p>
        </w:tc>
      </w:tr>
      <w:tr w14:paraId="2AF50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7B33C90">
            <w:pPr>
              <w:ind w:firstLine="480"/>
              <w:rPr>
                <w:color w:val="auto"/>
                <w:highlight w:val="none"/>
              </w:rPr>
            </w:pPr>
          </w:p>
        </w:tc>
        <w:tc>
          <w:tcPr>
            <w:tcW w:w="1123" w:type="dxa"/>
            <w:vMerge w:val="continue"/>
            <w:tcBorders>
              <w:right w:val="single" w:color="auto" w:sz="4" w:space="0"/>
            </w:tcBorders>
            <w:noWrap w:val="0"/>
            <w:vAlign w:val="center"/>
          </w:tcPr>
          <w:p w14:paraId="201B38BF">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C0BB36E">
            <w:pPr>
              <w:ind w:firstLine="0" w:firstLineChars="0"/>
              <w:jc w:val="center"/>
              <w:rPr>
                <w:color w:val="auto"/>
                <w:highlight w:val="none"/>
              </w:rPr>
            </w:pPr>
            <w:r>
              <w:rPr>
                <w:rFonts w:hint="eastAsia"/>
                <w:color w:val="auto"/>
                <w:kern w:val="0"/>
                <w:szCs w:val="21"/>
                <w:highlight w:val="none"/>
              </w:rPr>
              <w:t>未出现异常情形</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1B35554E">
            <w:pPr>
              <w:ind w:firstLine="0" w:firstLineChars="0"/>
              <w:jc w:val="both"/>
              <w:rPr>
                <w:rFonts w:hint="eastAsia"/>
                <w:color w:val="auto"/>
                <w:highlight w:val="none"/>
              </w:rPr>
            </w:pPr>
            <w:r>
              <w:rPr>
                <w:rFonts w:hint="eastAsia"/>
                <w:color w:val="auto"/>
                <w:highlight w:val="none"/>
              </w:rPr>
              <w:t>不同投标人未出现使用相同的投标文件制作机器码进行投标的情形。</w:t>
            </w:r>
          </w:p>
        </w:tc>
      </w:tr>
      <w:tr w14:paraId="43E62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59F2679B">
            <w:pPr>
              <w:ind w:firstLine="480"/>
              <w:rPr>
                <w:color w:val="auto"/>
                <w:highlight w:val="none"/>
              </w:rPr>
            </w:pPr>
          </w:p>
        </w:tc>
        <w:tc>
          <w:tcPr>
            <w:tcW w:w="1123" w:type="dxa"/>
            <w:vMerge w:val="continue"/>
            <w:tcBorders>
              <w:right w:val="single" w:color="auto" w:sz="4" w:space="0"/>
            </w:tcBorders>
            <w:noWrap w:val="0"/>
            <w:vAlign w:val="center"/>
          </w:tcPr>
          <w:p w14:paraId="4036CE92">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512EF49">
            <w:pPr>
              <w:ind w:firstLine="0" w:firstLineChars="0"/>
              <w:jc w:val="center"/>
              <w:rPr>
                <w:color w:val="auto"/>
                <w:kern w:val="0"/>
                <w:szCs w:val="21"/>
                <w:highlight w:val="none"/>
              </w:rPr>
            </w:pPr>
            <w:r>
              <w:rPr>
                <w:rFonts w:hint="eastAsia"/>
                <w:color w:val="auto"/>
                <w:kern w:val="0"/>
                <w:szCs w:val="21"/>
                <w:highlight w:val="none"/>
              </w:rPr>
              <w:t>未出现投标报价</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41C243AE">
            <w:pPr>
              <w:ind w:firstLine="0" w:firstLineChars="0"/>
              <w:jc w:val="both"/>
              <w:rPr>
                <w:rFonts w:hint="eastAsia"/>
                <w:color w:val="auto"/>
                <w:highlight w:val="none"/>
              </w:rPr>
            </w:pPr>
            <w:r>
              <w:rPr>
                <w:rFonts w:hint="eastAsia"/>
                <w:color w:val="auto"/>
                <w:kern w:val="0"/>
                <w:szCs w:val="21"/>
                <w:highlight w:val="none"/>
              </w:rPr>
              <w:t>商务及技术文件中未出现有关投标报价的内容。</w:t>
            </w:r>
          </w:p>
        </w:tc>
      </w:tr>
      <w:tr w14:paraId="4167B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bottom w:val="single" w:color="auto" w:sz="4" w:space="0"/>
              <w:right w:val="single" w:color="auto" w:sz="4" w:space="0"/>
            </w:tcBorders>
            <w:noWrap w:val="0"/>
            <w:vAlign w:val="center"/>
          </w:tcPr>
          <w:p w14:paraId="5ACEA9DC">
            <w:pPr>
              <w:ind w:firstLine="0" w:firstLineChars="0"/>
              <w:jc w:val="center"/>
              <w:rPr>
                <w:color w:val="auto"/>
                <w:highlight w:val="none"/>
              </w:rPr>
            </w:pPr>
            <w:r>
              <w:rPr>
                <w:color w:val="auto"/>
                <w:highlight w:val="none"/>
              </w:rPr>
              <w:t>2.1.2</w:t>
            </w:r>
          </w:p>
        </w:tc>
        <w:tc>
          <w:tcPr>
            <w:tcW w:w="1123" w:type="dxa"/>
            <w:vMerge w:val="restart"/>
            <w:tcBorders>
              <w:top w:val="single" w:color="auto" w:sz="4" w:space="0"/>
              <w:left w:val="single" w:color="auto" w:sz="4" w:space="0"/>
              <w:bottom w:val="single" w:color="auto" w:sz="4" w:space="0"/>
              <w:right w:val="single" w:color="auto" w:sz="4" w:space="0"/>
            </w:tcBorders>
            <w:noWrap w:val="0"/>
            <w:vAlign w:val="center"/>
          </w:tcPr>
          <w:p w14:paraId="61221ADF">
            <w:pPr>
              <w:ind w:firstLine="0" w:firstLineChars="0"/>
              <w:jc w:val="center"/>
              <w:rPr>
                <w:color w:val="auto"/>
                <w:highlight w:val="none"/>
              </w:rPr>
            </w:pPr>
            <w:r>
              <w:rPr>
                <w:color w:val="auto"/>
                <w:highlight w:val="none"/>
              </w:rPr>
              <w:t>资格评审标准</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9B0A137">
            <w:pPr>
              <w:ind w:firstLine="0" w:firstLineChars="0"/>
              <w:jc w:val="center"/>
              <w:rPr>
                <w:color w:val="auto"/>
                <w:highlight w:val="none"/>
              </w:rPr>
            </w:pPr>
            <w:r>
              <w:rPr>
                <w:color w:val="auto"/>
                <w:kern w:val="0"/>
                <w:szCs w:val="21"/>
                <w:highlight w:val="none"/>
              </w:rPr>
              <w:t>营业执照</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55656AE8">
            <w:pPr>
              <w:ind w:firstLine="0" w:firstLineChars="0"/>
              <w:jc w:val="both"/>
              <w:rPr>
                <w:rFonts w:hint="eastAsia"/>
                <w:color w:val="auto"/>
                <w:highlight w:val="none"/>
              </w:rPr>
            </w:pPr>
            <w:r>
              <w:rPr>
                <w:rFonts w:hint="eastAsia"/>
                <w:color w:val="auto"/>
                <w:kern w:val="0"/>
                <w:szCs w:val="21"/>
                <w:highlight w:val="none"/>
              </w:rPr>
              <w:t>具备有效的营业执照</w:t>
            </w:r>
            <w:r>
              <w:rPr>
                <w:color w:val="auto"/>
                <w:kern w:val="0"/>
                <w:szCs w:val="21"/>
                <w:highlight w:val="none"/>
              </w:rPr>
              <w:t>，如</w:t>
            </w:r>
            <w:r>
              <w:rPr>
                <w:rFonts w:hint="eastAsia"/>
                <w:color w:val="auto"/>
                <w:kern w:val="0"/>
                <w:szCs w:val="21"/>
                <w:highlight w:val="none"/>
              </w:rPr>
              <w:t>为</w:t>
            </w:r>
            <w:r>
              <w:rPr>
                <w:color w:val="auto"/>
                <w:kern w:val="0"/>
                <w:szCs w:val="21"/>
                <w:highlight w:val="none"/>
              </w:rPr>
              <w:t>联合体投标，联合体各方均须提供</w:t>
            </w:r>
            <w:r>
              <w:rPr>
                <w:rFonts w:hint="eastAsia"/>
                <w:color w:val="auto"/>
                <w:kern w:val="0"/>
                <w:szCs w:val="21"/>
                <w:highlight w:val="none"/>
              </w:rPr>
              <w:t>。</w:t>
            </w:r>
          </w:p>
        </w:tc>
      </w:tr>
      <w:tr w14:paraId="48B3F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52178674">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5AA1E11D">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7A1F377F">
            <w:pPr>
              <w:ind w:firstLine="0" w:firstLineChars="0"/>
              <w:jc w:val="center"/>
              <w:rPr>
                <w:color w:val="auto"/>
                <w:highlight w:val="none"/>
              </w:rPr>
            </w:pPr>
            <w:r>
              <w:rPr>
                <w:rFonts w:hint="eastAsia"/>
                <w:color w:val="auto"/>
                <w:highlight w:val="none"/>
              </w:rPr>
              <w:t>资质等级</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01D7958A">
            <w:pPr>
              <w:ind w:firstLine="0" w:firstLineChars="0"/>
              <w:jc w:val="both"/>
              <w:rPr>
                <w:rFonts w:hint="eastAsia"/>
                <w:color w:val="auto"/>
                <w:highlight w:val="none"/>
              </w:rPr>
            </w:pPr>
            <w:r>
              <w:rPr>
                <w:color w:val="auto"/>
                <w:highlight w:val="none"/>
              </w:rPr>
              <w:t>符合第二章“投标人须知”第1.4.1项规定</w:t>
            </w:r>
            <w:r>
              <w:rPr>
                <w:rFonts w:hint="eastAsia"/>
                <w:color w:val="auto"/>
                <w:highlight w:val="none"/>
              </w:rPr>
              <w:t>。</w:t>
            </w:r>
          </w:p>
        </w:tc>
      </w:tr>
      <w:tr w14:paraId="4B3EA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4B180965">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399470F0">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D2EE125">
            <w:pPr>
              <w:ind w:firstLine="0" w:firstLineChars="0"/>
              <w:jc w:val="center"/>
              <w:rPr>
                <w:color w:val="auto"/>
                <w:highlight w:val="none"/>
              </w:rPr>
            </w:pPr>
            <w:r>
              <w:rPr>
                <w:rFonts w:hint="eastAsia"/>
                <w:color w:val="auto"/>
                <w:highlight w:val="none"/>
              </w:rPr>
              <w:t>业绩要求</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0B437139">
            <w:pPr>
              <w:ind w:firstLine="0" w:firstLineChars="0"/>
              <w:jc w:val="both"/>
              <w:rPr>
                <w:rFonts w:hint="eastAsia"/>
                <w:color w:val="auto"/>
                <w:highlight w:val="none"/>
              </w:rPr>
            </w:pPr>
            <w:r>
              <w:rPr>
                <w:color w:val="auto"/>
                <w:highlight w:val="none"/>
              </w:rPr>
              <w:t>符合第二章“投标人须知”第1.4.1项规定</w:t>
            </w:r>
            <w:r>
              <w:rPr>
                <w:rFonts w:hint="eastAsia"/>
                <w:color w:val="auto"/>
                <w:highlight w:val="none"/>
              </w:rPr>
              <w:t>。</w:t>
            </w:r>
          </w:p>
        </w:tc>
      </w:tr>
      <w:tr w14:paraId="3E727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062E1176">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2C470F9B">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F86AF29">
            <w:pPr>
              <w:ind w:firstLine="0" w:firstLineChars="0"/>
              <w:jc w:val="center"/>
              <w:rPr>
                <w:color w:val="auto"/>
                <w:highlight w:val="none"/>
              </w:rPr>
            </w:pPr>
            <w:r>
              <w:rPr>
                <w:color w:val="auto"/>
                <w:highlight w:val="none"/>
              </w:rPr>
              <w:t>信誉要求</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6E2E8876">
            <w:pPr>
              <w:ind w:firstLine="0" w:firstLineChars="0"/>
              <w:jc w:val="both"/>
              <w:rPr>
                <w:rFonts w:hint="eastAsia"/>
                <w:color w:val="auto"/>
                <w:highlight w:val="none"/>
              </w:rPr>
            </w:pPr>
            <w:r>
              <w:rPr>
                <w:rFonts w:ascii="宋体" w:hAnsi="宋体"/>
                <w:color w:val="auto"/>
                <w:highlight w:val="none"/>
              </w:rPr>
              <w:t>符合第二章“投标人须知”第1.4.1项规定</w:t>
            </w:r>
            <w:r>
              <w:rPr>
                <w:rFonts w:hint="eastAsia" w:ascii="宋体" w:hAnsi="宋体"/>
                <w:color w:val="auto"/>
                <w:highlight w:val="none"/>
              </w:rPr>
              <w:t>。</w:t>
            </w:r>
          </w:p>
        </w:tc>
      </w:tr>
      <w:tr w14:paraId="05DB6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5DF59271">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012122B6">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ED8C558">
            <w:pPr>
              <w:ind w:firstLine="0" w:firstLineChars="0"/>
              <w:jc w:val="center"/>
              <w:rPr>
                <w:color w:val="auto"/>
                <w:highlight w:val="none"/>
              </w:rPr>
            </w:pPr>
            <w:r>
              <w:rPr>
                <w:rFonts w:hint="eastAsia"/>
                <w:color w:val="auto"/>
                <w:highlight w:val="none"/>
              </w:rPr>
              <w:t>总监理工程师</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50B1B26C">
            <w:pPr>
              <w:ind w:firstLine="0" w:firstLineChars="0"/>
              <w:jc w:val="both"/>
              <w:rPr>
                <w:rFonts w:hint="eastAsia"/>
                <w:color w:val="auto"/>
                <w:highlight w:val="none"/>
              </w:rPr>
            </w:pPr>
            <w:r>
              <w:rPr>
                <w:rFonts w:hint="eastAsia"/>
                <w:color w:val="auto"/>
                <w:highlight w:val="none"/>
              </w:rPr>
              <w:t>符合第二章</w:t>
            </w:r>
            <w:r>
              <w:rPr>
                <w:color w:val="auto"/>
                <w:highlight w:val="none"/>
              </w:rPr>
              <w:t>“</w:t>
            </w:r>
            <w:r>
              <w:rPr>
                <w:rFonts w:hint="eastAsia"/>
                <w:color w:val="auto"/>
                <w:highlight w:val="none"/>
              </w:rPr>
              <w:t>投标人须知</w:t>
            </w:r>
            <w:r>
              <w:rPr>
                <w:color w:val="auto"/>
                <w:highlight w:val="none"/>
              </w:rPr>
              <w:t>”</w:t>
            </w:r>
            <w:r>
              <w:rPr>
                <w:rFonts w:hint="eastAsia"/>
                <w:color w:val="auto"/>
                <w:highlight w:val="none"/>
              </w:rPr>
              <w:t>第</w:t>
            </w:r>
            <w:r>
              <w:rPr>
                <w:color w:val="auto"/>
                <w:highlight w:val="none"/>
              </w:rPr>
              <w:t>1.4.1</w:t>
            </w:r>
            <w:r>
              <w:rPr>
                <w:rFonts w:hint="eastAsia"/>
                <w:color w:val="auto"/>
                <w:highlight w:val="none"/>
              </w:rPr>
              <w:t>项规定。</w:t>
            </w:r>
          </w:p>
        </w:tc>
      </w:tr>
      <w:tr w14:paraId="7C0F1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11B5E9E8">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45B06D88">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6AEAD39">
            <w:pPr>
              <w:ind w:firstLine="0" w:firstLineChars="0"/>
              <w:jc w:val="center"/>
              <w:rPr>
                <w:color w:val="auto"/>
                <w:highlight w:val="none"/>
              </w:rPr>
            </w:pPr>
            <w:r>
              <w:rPr>
                <w:color w:val="auto"/>
                <w:highlight w:val="none"/>
              </w:rPr>
              <w:t>其他主要人员</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174249E2">
            <w:pPr>
              <w:ind w:firstLine="0" w:firstLineChars="0"/>
              <w:jc w:val="both"/>
              <w:rPr>
                <w:rFonts w:hint="eastAsia"/>
                <w:color w:val="auto"/>
                <w:highlight w:val="none"/>
              </w:rPr>
            </w:pPr>
            <w:r>
              <w:rPr>
                <w:color w:val="auto"/>
                <w:highlight w:val="none"/>
              </w:rPr>
              <w:t>符合第二章“投标人须知”第1.4.1项规定</w:t>
            </w:r>
            <w:r>
              <w:rPr>
                <w:rFonts w:hint="eastAsia"/>
                <w:color w:val="auto"/>
                <w:highlight w:val="none"/>
              </w:rPr>
              <w:t>。</w:t>
            </w:r>
          </w:p>
        </w:tc>
      </w:tr>
      <w:tr w14:paraId="588E6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759F6465">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197A1CC7">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A906BE7">
            <w:pPr>
              <w:ind w:firstLine="0" w:firstLineChars="0"/>
              <w:jc w:val="center"/>
              <w:rPr>
                <w:color w:val="auto"/>
                <w:highlight w:val="none"/>
              </w:rPr>
            </w:pPr>
            <w:r>
              <w:rPr>
                <w:rFonts w:hint="eastAsia"/>
                <w:color w:val="auto"/>
                <w:highlight w:val="none"/>
              </w:rPr>
              <w:t>试验检测仪器设备</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423EA48B">
            <w:pPr>
              <w:ind w:firstLine="0" w:firstLineChars="0"/>
              <w:jc w:val="both"/>
              <w:rPr>
                <w:rFonts w:hint="eastAsia"/>
                <w:color w:val="auto"/>
                <w:highlight w:val="none"/>
              </w:rPr>
            </w:pPr>
            <w:r>
              <w:rPr>
                <w:rFonts w:hint="eastAsia"/>
                <w:color w:val="auto"/>
                <w:highlight w:val="none"/>
              </w:rPr>
              <w:t>符合第二章</w:t>
            </w:r>
            <w:r>
              <w:rPr>
                <w:color w:val="auto"/>
                <w:highlight w:val="none"/>
              </w:rPr>
              <w:t>“</w:t>
            </w:r>
            <w:r>
              <w:rPr>
                <w:rFonts w:hint="eastAsia"/>
                <w:color w:val="auto"/>
                <w:highlight w:val="none"/>
              </w:rPr>
              <w:t>投标人须知</w:t>
            </w:r>
            <w:r>
              <w:rPr>
                <w:color w:val="auto"/>
                <w:highlight w:val="none"/>
              </w:rPr>
              <w:t>”</w:t>
            </w:r>
            <w:r>
              <w:rPr>
                <w:rFonts w:hint="eastAsia"/>
                <w:color w:val="auto"/>
                <w:highlight w:val="none"/>
              </w:rPr>
              <w:t>第</w:t>
            </w:r>
            <w:r>
              <w:rPr>
                <w:color w:val="auto"/>
                <w:highlight w:val="none"/>
              </w:rPr>
              <w:t>1.4.1</w:t>
            </w:r>
            <w:r>
              <w:rPr>
                <w:rFonts w:hint="eastAsia"/>
                <w:color w:val="auto"/>
                <w:highlight w:val="none"/>
              </w:rPr>
              <w:t>项规定。</w:t>
            </w:r>
          </w:p>
        </w:tc>
      </w:tr>
      <w:tr w14:paraId="527EB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437A0899">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07882C17">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ADF3359">
            <w:pPr>
              <w:ind w:firstLine="0" w:firstLineChars="0"/>
              <w:jc w:val="center"/>
              <w:rPr>
                <w:color w:val="auto"/>
                <w:highlight w:val="none"/>
              </w:rPr>
            </w:pPr>
            <w:r>
              <w:rPr>
                <w:rFonts w:hint="eastAsia"/>
                <w:color w:val="auto"/>
                <w:highlight w:val="none"/>
              </w:rPr>
              <w:t>联合体投标人</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361A99A6">
            <w:pPr>
              <w:ind w:firstLine="0" w:firstLineChars="0"/>
              <w:jc w:val="both"/>
              <w:rPr>
                <w:rFonts w:hint="eastAsia"/>
                <w:color w:val="auto"/>
                <w:highlight w:val="none"/>
              </w:rPr>
            </w:pPr>
            <w:r>
              <w:rPr>
                <w:rFonts w:hint="eastAsia"/>
                <w:color w:val="auto"/>
                <w:highlight w:val="none"/>
              </w:rPr>
              <w:t>符合第二章“投标人须知”第1.4.2项规定。</w:t>
            </w:r>
          </w:p>
        </w:tc>
      </w:tr>
      <w:tr w14:paraId="4EED0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6E755C47">
            <w:pPr>
              <w:ind w:firstLine="480"/>
              <w:rPr>
                <w:color w:val="auto"/>
                <w:highlight w:val="none"/>
              </w:rPr>
            </w:pPr>
          </w:p>
        </w:tc>
        <w:tc>
          <w:tcPr>
            <w:tcW w:w="1123" w:type="dxa"/>
            <w:vMerge w:val="continue"/>
            <w:tcBorders>
              <w:top w:val="single" w:color="auto" w:sz="4" w:space="0"/>
              <w:left w:val="single" w:color="auto" w:sz="4" w:space="0"/>
              <w:bottom w:val="single" w:color="auto" w:sz="4" w:space="0"/>
              <w:right w:val="single" w:color="auto" w:sz="4" w:space="0"/>
            </w:tcBorders>
            <w:noWrap w:val="0"/>
            <w:vAlign w:val="center"/>
          </w:tcPr>
          <w:p w14:paraId="2FAC7547">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539B1B1">
            <w:pPr>
              <w:ind w:firstLine="0" w:firstLineChars="0"/>
              <w:jc w:val="center"/>
              <w:rPr>
                <w:color w:val="auto"/>
                <w:highlight w:val="none"/>
              </w:rPr>
            </w:pPr>
            <w:r>
              <w:rPr>
                <w:rFonts w:hint="eastAsia"/>
                <w:color w:val="auto"/>
                <w:highlight w:val="none"/>
              </w:rPr>
              <w:t>不存在禁止投标的情形</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7567D82C">
            <w:pPr>
              <w:ind w:firstLine="0" w:firstLineChars="0"/>
              <w:jc w:val="both"/>
              <w:rPr>
                <w:rFonts w:hint="eastAsia"/>
                <w:color w:val="auto"/>
                <w:highlight w:val="none"/>
              </w:rPr>
            </w:pPr>
            <w:r>
              <w:rPr>
                <w:color w:val="auto"/>
                <w:highlight w:val="none"/>
              </w:rPr>
              <w:t>不存在第二章“投标人须知”第1.4.3项</w:t>
            </w:r>
            <w:r>
              <w:rPr>
                <w:rFonts w:hint="eastAsia"/>
                <w:color w:val="auto"/>
                <w:highlight w:val="none"/>
              </w:rPr>
              <w:t>或</w:t>
            </w:r>
            <w:r>
              <w:rPr>
                <w:color w:val="auto"/>
                <w:highlight w:val="none"/>
              </w:rPr>
              <w:t>第1.4.</w:t>
            </w:r>
            <w:r>
              <w:rPr>
                <w:rFonts w:hint="eastAsia"/>
                <w:color w:val="auto"/>
                <w:highlight w:val="none"/>
              </w:rPr>
              <w:t>4</w:t>
            </w:r>
            <w:r>
              <w:rPr>
                <w:color w:val="auto"/>
                <w:highlight w:val="none"/>
              </w:rPr>
              <w:t>项规定的任何一种情形</w:t>
            </w:r>
            <w:r>
              <w:rPr>
                <w:rFonts w:hint="eastAsia" w:ascii="宋体" w:hAnsi="宋体"/>
                <w:color w:val="auto"/>
                <w:highlight w:val="none"/>
              </w:rPr>
              <w:t>。</w:t>
            </w:r>
            <w:r>
              <w:rPr>
                <w:rFonts w:hint="eastAsia" w:ascii="宋体" w:hAnsi="宋体" w:cs="宋体"/>
                <w:bCs/>
                <w:color w:val="auto"/>
                <w:szCs w:val="24"/>
                <w:highlight w:val="none"/>
              </w:rPr>
              <w:t>投标人应按照第六章“投标文件格式”的“诚信投标承诺书”承诺。</w:t>
            </w:r>
          </w:p>
        </w:tc>
      </w:tr>
      <w:tr w14:paraId="138C5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2B65FD80">
            <w:pPr>
              <w:ind w:firstLine="0" w:firstLineChars="0"/>
              <w:jc w:val="center"/>
              <w:rPr>
                <w:color w:val="auto"/>
                <w:highlight w:val="none"/>
              </w:rPr>
            </w:pPr>
            <w:r>
              <w:rPr>
                <w:color w:val="auto"/>
                <w:highlight w:val="none"/>
              </w:rPr>
              <w:t>2.1.3</w:t>
            </w:r>
          </w:p>
        </w:tc>
        <w:tc>
          <w:tcPr>
            <w:tcW w:w="1123" w:type="dxa"/>
            <w:vMerge w:val="restart"/>
            <w:tcBorders>
              <w:top w:val="single" w:color="auto" w:sz="4" w:space="0"/>
              <w:left w:val="single" w:color="auto" w:sz="4" w:space="0"/>
              <w:right w:val="single" w:color="auto" w:sz="4" w:space="0"/>
            </w:tcBorders>
            <w:noWrap w:val="0"/>
            <w:vAlign w:val="center"/>
          </w:tcPr>
          <w:p w14:paraId="62CD95DA">
            <w:pPr>
              <w:ind w:firstLine="0" w:firstLineChars="0"/>
              <w:jc w:val="center"/>
              <w:rPr>
                <w:color w:val="auto"/>
                <w:highlight w:val="none"/>
              </w:rPr>
            </w:pPr>
            <w:r>
              <w:rPr>
                <w:color w:val="auto"/>
                <w:highlight w:val="none"/>
              </w:rPr>
              <w:t>响应性评审标准</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BC7E42F">
            <w:pPr>
              <w:ind w:firstLine="0" w:firstLineChars="0"/>
              <w:jc w:val="center"/>
              <w:rPr>
                <w:color w:val="auto"/>
                <w:highlight w:val="none"/>
              </w:rPr>
            </w:pPr>
            <w:r>
              <w:rPr>
                <w:rFonts w:hint="eastAsia"/>
                <w:color w:val="auto"/>
                <w:highlight w:val="none"/>
              </w:rPr>
              <w:t>监理服务期限</w:t>
            </w:r>
          </w:p>
        </w:tc>
        <w:tc>
          <w:tcPr>
            <w:tcW w:w="4667" w:type="dxa"/>
            <w:tcBorders>
              <w:top w:val="single" w:color="auto" w:sz="4" w:space="0"/>
              <w:left w:val="single" w:color="auto" w:sz="4" w:space="0"/>
              <w:bottom w:val="single" w:color="auto" w:sz="4" w:space="0"/>
            </w:tcBorders>
            <w:noWrap w:val="0"/>
            <w:vAlign w:val="center"/>
          </w:tcPr>
          <w:p w14:paraId="7C25BB01">
            <w:pPr>
              <w:ind w:firstLine="0" w:firstLineChars="0"/>
              <w:jc w:val="both"/>
              <w:rPr>
                <w:rFonts w:hint="eastAsia"/>
                <w:color w:val="auto"/>
                <w:highlight w:val="none"/>
              </w:rPr>
            </w:pPr>
            <w:r>
              <w:rPr>
                <w:rFonts w:hint="eastAsia"/>
                <w:color w:val="auto"/>
                <w:highlight w:val="none"/>
              </w:rPr>
              <w:t>符合第二章</w:t>
            </w:r>
            <w:r>
              <w:rPr>
                <w:color w:val="auto"/>
                <w:highlight w:val="none"/>
              </w:rPr>
              <w:t>“</w:t>
            </w:r>
            <w:r>
              <w:rPr>
                <w:rFonts w:hint="eastAsia"/>
                <w:color w:val="auto"/>
                <w:highlight w:val="none"/>
              </w:rPr>
              <w:t>投标人须知</w:t>
            </w:r>
            <w:r>
              <w:rPr>
                <w:color w:val="auto"/>
                <w:highlight w:val="none"/>
              </w:rPr>
              <w:t>”</w:t>
            </w:r>
            <w:r>
              <w:rPr>
                <w:rFonts w:hint="eastAsia"/>
                <w:color w:val="auto"/>
                <w:highlight w:val="none"/>
              </w:rPr>
              <w:t>第</w:t>
            </w:r>
            <w:r>
              <w:rPr>
                <w:color w:val="auto"/>
                <w:highlight w:val="none"/>
              </w:rPr>
              <w:t>1.3.2</w:t>
            </w:r>
            <w:r>
              <w:rPr>
                <w:rFonts w:hint="eastAsia"/>
                <w:color w:val="auto"/>
                <w:highlight w:val="none"/>
              </w:rPr>
              <w:t>项规定。</w:t>
            </w:r>
          </w:p>
        </w:tc>
      </w:tr>
      <w:tr w14:paraId="6930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90CA7B8">
            <w:pPr>
              <w:ind w:firstLine="480"/>
              <w:jc w:val="center"/>
              <w:rPr>
                <w:color w:val="auto"/>
                <w:highlight w:val="none"/>
              </w:rPr>
            </w:pPr>
          </w:p>
        </w:tc>
        <w:tc>
          <w:tcPr>
            <w:tcW w:w="1123" w:type="dxa"/>
            <w:vMerge w:val="continue"/>
            <w:tcBorders>
              <w:left w:val="single" w:color="auto" w:sz="4" w:space="0"/>
              <w:right w:val="single" w:color="auto" w:sz="4" w:space="0"/>
            </w:tcBorders>
            <w:noWrap w:val="0"/>
            <w:vAlign w:val="center"/>
          </w:tcPr>
          <w:p w14:paraId="624ED409">
            <w:pPr>
              <w:ind w:firstLine="480"/>
              <w:jc w:val="center"/>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8C62DCD">
            <w:pPr>
              <w:ind w:firstLine="0" w:firstLineChars="0"/>
              <w:jc w:val="center"/>
              <w:rPr>
                <w:rFonts w:hint="eastAsia"/>
                <w:color w:val="auto"/>
                <w:highlight w:val="none"/>
              </w:rPr>
            </w:pPr>
            <w:r>
              <w:rPr>
                <w:rFonts w:hint="eastAsia"/>
                <w:color w:val="auto"/>
                <w:highlight w:val="none"/>
              </w:rPr>
              <w:t>质量标准</w:t>
            </w:r>
          </w:p>
        </w:tc>
        <w:tc>
          <w:tcPr>
            <w:tcW w:w="4667" w:type="dxa"/>
            <w:tcBorders>
              <w:top w:val="single" w:color="auto" w:sz="4" w:space="0"/>
              <w:left w:val="single" w:color="auto" w:sz="4" w:space="0"/>
              <w:bottom w:val="single" w:color="auto" w:sz="4" w:space="0"/>
            </w:tcBorders>
            <w:noWrap w:val="0"/>
            <w:vAlign w:val="center"/>
          </w:tcPr>
          <w:p w14:paraId="363E1BE1">
            <w:pPr>
              <w:ind w:firstLine="0" w:firstLineChars="0"/>
              <w:jc w:val="both"/>
              <w:rPr>
                <w:rFonts w:hint="eastAsia"/>
                <w:color w:val="auto"/>
                <w:highlight w:val="none"/>
              </w:rPr>
            </w:pPr>
            <w:r>
              <w:rPr>
                <w:color w:val="auto"/>
                <w:highlight w:val="none"/>
              </w:rPr>
              <w:t>符合第二章“投标人须知”第1.3.</w:t>
            </w:r>
            <w:r>
              <w:rPr>
                <w:rFonts w:hint="eastAsia"/>
                <w:color w:val="auto"/>
                <w:highlight w:val="none"/>
              </w:rPr>
              <w:t>3</w:t>
            </w:r>
            <w:r>
              <w:rPr>
                <w:color w:val="auto"/>
                <w:highlight w:val="none"/>
              </w:rPr>
              <w:t>项规定</w:t>
            </w:r>
            <w:r>
              <w:rPr>
                <w:rFonts w:hint="eastAsia"/>
                <w:color w:val="auto"/>
                <w:highlight w:val="none"/>
              </w:rPr>
              <w:t>。</w:t>
            </w:r>
          </w:p>
        </w:tc>
      </w:tr>
      <w:tr w14:paraId="00C40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25EC58D5">
            <w:pPr>
              <w:ind w:firstLine="480"/>
              <w:jc w:val="center"/>
              <w:rPr>
                <w:color w:val="auto"/>
                <w:highlight w:val="none"/>
              </w:rPr>
            </w:pPr>
          </w:p>
        </w:tc>
        <w:tc>
          <w:tcPr>
            <w:tcW w:w="1123" w:type="dxa"/>
            <w:vMerge w:val="continue"/>
            <w:tcBorders>
              <w:left w:val="single" w:color="auto" w:sz="4" w:space="0"/>
              <w:right w:val="single" w:color="auto" w:sz="4" w:space="0"/>
            </w:tcBorders>
            <w:noWrap w:val="0"/>
            <w:vAlign w:val="center"/>
          </w:tcPr>
          <w:p w14:paraId="4CC055A7">
            <w:pPr>
              <w:ind w:firstLine="480"/>
              <w:jc w:val="center"/>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7D62C330">
            <w:pPr>
              <w:ind w:firstLine="0" w:firstLineChars="0"/>
              <w:jc w:val="center"/>
              <w:rPr>
                <w:color w:val="auto"/>
                <w:highlight w:val="none"/>
              </w:rPr>
            </w:pPr>
            <w:r>
              <w:rPr>
                <w:color w:val="auto"/>
                <w:highlight w:val="none"/>
              </w:rPr>
              <w:t>投标有效期</w:t>
            </w:r>
          </w:p>
        </w:tc>
        <w:tc>
          <w:tcPr>
            <w:tcW w:w="4667" w:type="dxa"/>
            <w:tcBorders>
              <w:top w:val="single" w:color="auto" w:sz="4" w:space="0"/>
              <w:left w:val="single" w:color="auto" w:sz="4" w:space="0"/>
              <w:bottom w:val="single" w:color="auto" w:sz="4" w:space="0"/>
            </w:tcBorders>
            <w:noWrap w:val="0"/>
            <w:vAlign w:val="top"/>
          </w:tcPr>
          <w:p w14:paraId="5461AF98">
            <w:pPr>
              <w:ind w:firstLine="0" w:firstLineChars="0"/>
              <w:jc w:val="both"/>
              <w:rPr>
                <w:rFonts w:hint="eastAsia"/>
                <w:color w:val="auto"/>
                <w:highlight w:val="none"/>
              </w:rPr>
            </w:pPr>
            <w:r>
              <w:rPr>
                <w:color w:val="auto"/>
                <w:highlight w:val="none"/>
              </w:rPr>
              <w:t>符合第二章“投标人须知”第3.3.1项规定</w:t>
            </w:r>
            <w:r>
              <w:rPr>
                <w:rFonts w:hint="eastAsia"/>
                <w:color w:val="auto"/>
                <w:highlight w:val="none"/>
              </w:rPr>
              <w:t>。</w:t>
            </w:r>
          </w:p>
        </w:tc>
      </w:tr>
      <w:tr w14:paraId="6CE8C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04DA7681">
            <w:pPr>
              <w:ind w:firstLine="480"/>
              <w:jc w:val="center"/>
              <w:rPr>
                <w:color w:val="auto"/>
                <w:highlight w:val="none"/>
              </w:rPr>
            </w:pPr>
          </w:p>
        </w:tc>
        <w:tc>
          <w:tcPr>
            <w:tcW w:w="1123" w:type="dxa"/>
            <w:vMerge w:val="continue"/>
            <w:tcBorders>
              <w:left w:val="single" w:color="auto" w:sz="4" w:space="0"/>
              <w:right w:val="single" w:color="auto" w:sz="4" w:space="0"/>
            </w:tcBorders>
            <w:noWrap w:val="0"/>
            <w:vAlign w:val="center"/>
          </w:tcPr>
          <w:p w14:paraId="27B9D2F5">
            <w:pPr>
              <w:ind w:firstLine="480"/>
              <w:jc w:val="center"/>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278F82E">
            <w:pPr>
              <w:ind w:firstLine="0" w:firstLineChars="0"/>
              <w:jc w:val="center"/>
              <w:rPr>
                <w:color w:val="auto"/>
                <w:highlight w:val="none"/>
              </w:rPr>
            </w:pPr>
            <w:r>
              <w:rPr>
                <w:color w:val="auto"/>
                <w:highlight w:val="none"/>
              </w:rPr>
              <w:t>投标保证金</w:t>
            </w:r>
          </w:p>
        </w:tc>
        <w:tc>
          <w:tcPr>
            <w:tcW w:w="4667" w:type="dxa"/>
            <w:tcBorders>
              <w:top w:val="single" w:color="auto" w:sz="4" w:space="0"/>
              <w:left w:val="single" w:color="auto" w:sz="4" w:space="0"/>
              <w:bottom w:val="single" w:color="auto" w:sz="4" w:space="0"/>
            </w:tcBorders>
            <w:noWrap w:val="0"/>
            <w:vAlign w:val="top"/>
          </w:tcPr>
          <w:p w14:paraId="1A5837E0">
            <w:pPr>
              <w:ind w:firstLine="0" w:firstLineChars="0"/>
              <w:jc w:val="both"/>
              <w:rPr>
                <w:rFonts w:hint="eastAsia"/>
                <w:color w:val="auto"/>
                <w:highlight w:val="none"/>
              </w:rPr>
            </w:pPr>
            <w:r>
              <w:rPr>
                <w:color w:val="auto"/>
                <w:highlight w:val="none"/>
              </w:rPr>
              <w:t>符合第二章“投标人须知”第3.4</w:t>
            </w:r>
            <w:r>
              <w:rPr>
                <w:rFonts w:hint="eastAsia"/>
                <w:color w:val="auto"/>
                <w:highlight w:val="none"/>
              </w:rPr>
              <w:t>.1项</w:t>
            </w:r>
            <w:r>
              <w:rPr>
                <w:color w:val="auto"/>
                <w:highlight w:val="none"/>
              </w:rPr>
              <w:t>规定</w:t>
            </w:r>
            <w:r>
              <w:rPr>
                <w:rFonts w:hint="eastAsia"/>
                <w:color w:val="auto"/>
                <w:highlight w:val="none"/>
              </w:rPr>
              <w:t>（符合免缴投标保证金的须满足免缴条件且须进行相应承诺）。</w:t>
            </w:r>
          </w:p>
        </w:tc>
      </w:tr>
      <w:tr w14:paraId="4898C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659B17B7">
            <w:pPr>
              <w:ind w:firstLine="480"/>
              <w:rPr>
                <w:color w:val="auto"/>
                <w:highlight w:val="none"/>
              </w:rPr>
            </w:pPr>
          </w:p>
        </w:tc>
        <w:tc>
          <w:tcPr>
            <w:tcW w:w="1123" w:type="dxa"/>
            <w:vMerge w:val="continue"/>
            <w:tcBorders>
              <w:left w:val="single" w:color="auto" w:sz="4" w:space="0"/>
              <w:right w:val="single" w:color="auto" w:sz="4" w:space="0"/>
            </w:tcBorders>
            <w:noWrap w:val="0"/>
            <w:vAlign w:val="center"/>
          </w:tcPr>
          <w:p w14:paraId="19657882">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023851E">
            <w:pPr>
              <w:ind w:firstLine="0" w:firstLineChars="0"/>
              <w:jc w:val="center"/>
              <w:rPr>
                <w:color w:val="auto"/>
                <w:highlight w:val="none"/>
              </w:rPr>
            </w:pPr>
            <w:r>
              <w:rPr>
                <w:rFonts w:hint="eastAsia"/>
                <w:color w:val="auto"/>
                <w:highlight w:val="none"/>
              </w:rPr>
              <w:t>监理大纲</w:t>
            </w:r>
          </w:p>
        </w:tc>
        <w:tc>
          <w:tcPr>
            <w:tcW w:w="4667" w:type="dxa"/>
            <w:tcBorders>
              <w:top w:val="single" w:color="auto" w:sz="4" w:space="0"/>
              <w:left w:val="single" w:color="auto" w:sz="4" w:space="0"/>
              <w:bottom w:val="single" w:color="auto" w:sz="4" w:space="0"/>
            </w:tcBorders>
            <w:noWrap w:val="0"/>
            <w:vAlign w:val="top"/>
          </w:tcPr>
          <w:p w14:paraId="6250C4FA">
            <w:pPr>
              <w:ind w:firstLine="0" w:firstLineChars="0"/>
              <w:jc w:val="both"/>
              <w:rPr>
                <w:rFonts w:hint="eastAsia"/>
                <w:color w:val="auto"/>
                <w:highlight w:val="none"/>
              </w:rPr>
            </w:pPr>
            <w:r>
              <w:rPr>
                <w:rFonts w:hint="eastAsia"/>
                <w:color w:val="auto"/>
                <w:highlight w:val="none"/>
              </w:rPr>
              <w:t>符合第五章</w:t>
            </w:r>
            <w:r>
              <w:rPr>
                <w:color w:val="auto"/>
                <w:highlight w:val="none"/>
              </w:rPr>
              <w:t>“</w:t>
            </w:r>
            <w:r>
              <w:rPr>
                <w:rFonts w:hint="eastAsia"/>
                <w:color w:val="auto"/>
                <w:highlight w:val="none"/>
              </w:rPr>
              <w:t>委托人要求</w:t>
            </w:r>
            <w:r>
              <w:rPr>
                <w:color w:val="auto"/>
                <w:highlight w:val="none"/>
              </w:rPr>
              <w:t>”</w:t>
            </w:r>
            <w:r>
              <w:rPr>
                <w:rFonts w:hint="eastAsia"/>
                <w:color w:val="auto"/>
                <w:highlight w:val="none"/>
              </w:rPr>
              <w:t>中的实质性要求和条件。</w:t>
            </w:r>
          </w:p>
        </w:tc>
      </w:tr>
      <w:tr w14:paraId="56A50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4D939BED">
            <w:pPr>
              <w:ind w:firstLine="480"/>
              <w:rPr>
                <w:color w:val="auto"/>
                <w:highlight w:val="none"/>
              </w:rPr>
            </w:pPr>
          </w:p>
        </w:tc>
        <w:tc>
          <w:tcPr>
            <w:tcW w:w="1123" w:type="dxa"/>
            <w:vMerge w:val="continue"/>
            <w:tcBorders>
              <w:left w:val="single" w:color="auto" w:sz="4" w:space="0"/>
              <w:right w:val="single" w:color="auto" w:sz="4" w:space="0"/>
            </w:tcBorders>
            <w:noWrap w:val="0"/>
            <w:vAlign w:val="center"/>
          </w:tcPr>
          <w:p w14:paraId="1D0A4801">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78541A1">
            <w:pPr>
              <w:ind w:firstLine="0" w:firstLineChars="0"/>
              <w:jc w:val="center"/>
              <w:rPr>
                <w:color w:val="auto"/>
                <w:kern w:val="0"/>
                <w:szCs w:val="21"/>
                <w:highlight w:val="none"/>
              </w:rPr>
            </w:pPr>
            <w:r>
              <w:rPr>
                <w:rFonts w:hint="eastAsia"/>
                <w:color w:val="auto"/>
                <w:kern w:val="0"/>
                <w:szCs w:val="21"/>
                <w:highlight w:val="none"/>
              </w:rPr>
              <w:t>偏差</w:t>
            </w:r>
          </w:p>
        </w:tc>
        <w:tc>
          <w:tcPr>
            <w:tcW w:w="4667" w:type="dxa"/>
            <w:tcBorders>
              <w:top w:val="single" w:color="auto" w:sz="4" w:space="0"/>
              <w:left w:val="single" w:color="auto" w:sz="4" w:space="0"/>
              <w:bottom w:val="single" w:color="auto" w:sz="4" w:space="0"/>
            </w:tcBorders>
            <w:noWrap w:val="0"/>
            <w:vAlign w:val="center"/>
          </w:tcPr>
          <w:p w14:paraId="32EAAC9B">
            <w:pPr>
              <w:ind w:firstLine="0" w:firstLineChars="0"/>
              <w:jc w:val="both"/>
              <w:rPr>
                <w:rFonts w:hint="eastAsia"/>
                <w:color w:val="auto"/>
                <w:kern w:val="0"/>
                <w:szCs w:val="21"/>
                <w:highlight w:val="none"/>
              </w:rPr>
            </w:pPr>
            <w:r>
              <w:rPr>
                <w:rFonts w:hint="eastAsia"/>
                <w:color w:val="auto"/>
                <w:kern w:val="0"/>
                <w:szCs w:val="21"/>
                <w:highlight w:val="none"/>
              </w:rPr>
              <w:t>符合第二章“投标人须知”第1.12.1项规定，</w:t>
            </w:r>
            <w:r>
              <w:rPr>
                <w:rFonts w:hint="eastAsia" w:hAnsi="宋体"/>
                <w:color w:val="auto"/>
                <w:szCs w:val="21"/>
                <w:highlight w:val="none"/>
              </w:rPr>
              <w:t>投标文件中没有招标人不能接受的条件。</w:t>
            </w:r>
          </w:p>
        </w:tc>
      </w:tr>
      <w:tr w14:paraId="1EF5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699E359D">
            <w:pPr>
              <w:ind w:firstLine="480"/>
              <w:rPr>
                <w:color w:val="auto"/>
                <w:highlight w:val="none"/>
              </w:rPr>
            </w:pPr>
          </w:p>
        </w:tc>
        <w:tc>
          <w:tcPr>
            <w:tcW w:w="1123" w:type="dxa"/>
            <w:vMerge w:val="continue"/>
            <w:tcBorders>
              <w:left w:val="single" w:color="auto" w:sz="4" w:space="0"/>
              <w:bottom w:val="single" w:color="auto" w:sz="4" w:space="0"/>
              <w:right w:val="single" w:color="auto" w:sz="4" w:space="0"/>
            </w:tcBorders>
            <w:noWrap w:val="0"/>
            <w:vAlign w:val="center"/>
          </w:tcPr>
          <w:p w14:paraId="2BD4B9F4">
            <w:pPr>
              <w:ind w:firstLine="480"/>
              <w:rPr>
                <w:color w:val="auto"/>
                <w:highlight w:val="none"/>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55189939">
            <w:pPr>
              <w:ind w:firstLine="0" w:firstLineChars="0"/>
              <w:jc w:val="center"/>
              <w:rPr>
                <w:color w:val="auto"/>
                <w:kern w:val="0"/>
                <w:szCs w:val="21"/>
                <w:highlight w:val="none"/>
              </w:rPr>
            </w:pPr>
            <w:r>
              <w:rPr>
                <w:rFonts w:hint="eastAsia"/>
                <w:color w:val="auto"/>
                <w:kern w:val="0"/>
                <w:szCs w:val="21"/>
                <w:highlight w:val="none"/>
              </w:rPr>
              <w:t>其他实质性要求</w:t>
            </w:r>
          </w:p>
        </w:tc>
        <w:tc>
          <w:tcPr>
            <w:tcW w:w="4667" w:type="dxa"/>
            <w:tcBorders>
              <w:top w:val="single" w:color="auto" w:sz="4" w:space="0"/>
              <w:left w:val="single" w:color="auto" w:sz="4" w:space="0"/>
              <w:bottom w:val="single" w:color="auto" w:sz="4" w:space="0"/>
            </w:tcBorders>
            <w:noWrap w:val="0"/>
            <w:vAlign w:val="center"/>
          </w:tcPr>
          <w:p w14:paraId="5B4F4040">
            <w:pPr>
              <w:ind w:firstLine="0" w:firstLineChars="0"/>
              <w:jc w:val="both"/>
              <w:rPr>
                <w:rFonts w:hint="eastAsia"/>
                <w:color w:val="auto"/>
                <w:kern w:val="0"/>
                <w:szCs w:val="21"/>
                <w:highlight w:val="none"/>
              </w:rPr>
            </w:pPr>
            <w:r>
              <w:rPr>
                <w:rFonts w:hint="eastAsia" w:cs="宋体"/>
                <w:color w:val="auto"/>
                <w:szCs w:val="24"/>
                <w:highlight w:val="none"/>
              </w:rPr>
              <w:t>符合招标文件的其他实质性要求和条件</w:t>
            </w:r>
            <w:r>
              <w:rPr>
                <w:rFonts w:hint="eastAsia"/>
                <w:color w:val="auto"/>
                <w:kern w:val="0"/>
                <w:szCs w:val="21"/>
                <w:highlight w:val="none"/>
              </w:rPr>
              <w:t>。</w:t>
            </w:r>
          </w:p>
        </w:tc>
      </w:tr>
    </w:tbl>
    <w:p w14:paraId="0D4F0499">
      <w:pPr>
        <w:ind w:firstLine="480"/>
        <w:jc w:val="both"/>
        <w:rPr>
          <w:rFonts w:hint="eastAsia" w:ascii="宋体" w:hAnsi="宋体" w:cs="宋体"/>
          <w:color w:val="auto"/>
          <w:szCs w:val="24"/>
          <w:highlight w:val="none"/>
        </w:rPr>
      </w:pPr>
      <w:r>
        <w:rPr>
          <w:rFonts w:hint="eastAsia" w:ascii="宋体" w:hAnsi="宋体" w:cs="宋体"/>
          <w:color w:val="auto"/>
          <w:szCs w:val="24"/>
          <w:highlight w:val="none"/>
        </w:rPr>
        <w:t>注：</w:t>
      </w:r>
    </w:p>
    <w:p w14:paraId="330C2692">
      <w:pPr>
        <w:ind w:firstLine="480"/>
        <w:jc w:val="both"/>
        <w:rPr>
          <w:rFonts w:hint="eastAsia" w:ascii="宋体" w:hAnsi="宋体" w:cs="宋体"/>
          <w:color w:val="auto"/>
          <w:szCs w:val="24"/>
          <w:highlight w:val="none"/>
        </w:rPr>
      </w:pPr>
      <w:r>
        <w:rPr>
          <w:rFonts w:hint="eastAsia" w:ascii="宋体" w:hAnsi="宋体" w:cs="宋体"/>
          <w:color w:val="auto"/>
          <w:szCs w:val="24"/>
          <w:highlight w:val="none"/>
        </w:rPr>
        <w:t>1.评审因素“投标人业绩”和“总监理工程师业绩”，投标人应按照第六章“投标文件格式”的要求填写相应表格，并附相应业绩证明材料。</w:t>
      </w:r>
    </w:p>
    <w:p w14:paraId="6979EB9C">
      <w:pPr>
        <w:ind w:firstLine="480"/>
        <w:jc w:val="both"/>
        <w:rPr>
          <w:rFonts w:ascii="黑体" w:hAnsi="黑体" w:eastAsia="黑体"/>
          <w:color w:val="auto"/>
          <w:szCs w:val="24"/>
          <w:highlight w:val="none"/>
        </w:rPr>
      </w:pPr>
      <w:r>
        <w:rPr>
          <w:rFonts w:hint="eastAsia" w:ascii="宋体" w:hAnsi="宋体" w:cs="宋体"/>
          <w:color w:val="auto"/>
          <w:szCs w:val="24"/>
          <w:highlight w:val="none"/>
        </w:rPr>
        <w:t>2.评标委员会应按照第六章“投标文件格式”中“投标人业绩情况表（资格审查）”“总监理工程师业绩情况表（资格审查）”列明的业绩序号先后顺序依次进行评审，且仅评审“附录2  资格审查条件（业绩最低要求）”（或“附录4  资格审查条件（总监理工程师最低要求）”）规定数量的业绩，超出规定数量部分或未在表中列明的业绩均不作为资格审查投标人业绩（或总监理工程师业绩）予以评审。</w:t>
      </w:r>
    </w:p>
    <w:p w14:paraId="05991934">
      <w:pPr>
        <w:pStyle w:val="7"/>
        <w:spacing w:before="240" w:after="240"/>
        <w:ind w:firstLine="157"/>
        <w:jc w:val="center"/>
        <w:rPr>
          <w:rFonts w:hint="eastAsia"/>
          <w:color w:val="auto"/>
          <w:sz w:val="32"/>
          <w:szCs w:val="32"/>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313" w:name="_Toc18737"/>
      <w:bookmarkStart w:id="314" w:name="_Toc20420"/>
    </w:p>
    <w:p w14:paraId="651508BA">
      <w:pPr>
        <w:pStyle w:val="7"/>
        <w:spacing w:before="240" w:after="240"/>
        <w:ind w:firstLine="157"/>
        <w:jc w:val="center"/>
        <w:rPr>
          <w:color w:val="auto"/>
          <w:highlight w:val="none"/>
        </w:rPr>
      </w:pPr>
      <w:r>
        <w:rPr>
          <w:rFonts w:hint="eastAsia"/>
          <w:color w:val="auto"/>
          <w:sz w:val="32"/>
          <w:szCs w:val="32"/>
          <w:highlight w:val="none"/>
        </w:rPr>
        <w:t>报价文件初步评审标准</w:t>
      </w:r>
      <w:bookmarkEnd w:id="313"/>
      <w:bookmarkEnd w:id="314"/>
    </w:p>
    <w:tbl>
      <w:tblPr>
        <w:tblStyle w:val="44"/>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1B848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37CB658D">
            <w:pPr>
              <w:ind w:firstLine="482"/>
              <w:jc w:val="center"/>
              <w:rPr>
                <w:b/>
                <w:color w:val="auto"/>
                <w:highlight w:val="none"/>
              </w:rPr>
            </w:pPr>
            <w:r>
              <w:rPr>
                <w:b/>
                <w:color w:val="auto"/>
                <w:highlight w:val="none"/>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1F33A93">
            <w:pPr>
              <w:ind w:firstLine="482"/>
              <w:jc w:val="center"/>
              <w:rPr>
                <w:b/>
                <w:color w:val="auto"/>
                <w:highlight w:val="none"/>
              </w:rPr>
            </w:pPr>
            <w:r>
              <w:rPr>
                <w:b/>
                <w:color w:val="auto"/>
                <w:highlight w:val="none"/>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2B18DCB">
            <w:pPr>
              <w:ind w:firstLine="482"/>
              <w:jc w:val="center"/>
              <w:rPr>
                <w:b/>
                <w:color w:val="auto"/>
                <w:highlight w:val="none"/>
              </w:rPr>
            </w:pPr>
            <w:r>
              <w:rPr>
                <w:b/>
                <w:color w:val="auto"/>
                <w:highlight w:val="none"/>
              </w:rPr>
              <w:t>评审标准</w:t>
            </w:r>
          </w:p>
        </w:tc>
      </w:tr>
      <w:tr w14:paraId="6DB2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14:paraId="18086ED6">
            <w:pPr>
              <w:ind w:firstLine="0" w:firstLineChars="0"/>
              <w:jc w:val="center"/>
              <w:rPr>
                <w:color w:val="auto"/>
                <w:highlight w:val="none"/>
              </w:rPr>
            </w:pPr>
            <w:r>
              <w:rPr>
                <w:color w:val="auto"/>
                <w:highlight w:val="none"/>
              </w:rPr>
              <w:t>2.1.1</w:t>
            </w:r>
          </w:p>
        </w:tc>
        <w:tc>
          <w:tcPr>
            <w:tcW w:w="1124" w:type="dxa"/>
            <w:vMerge w:val="restart"/>
            <w:tcBorders>
              <w:top w:val="single" w:color="auto" w:sz="4" w:space="0"/>
              <w:right w:val="single" w:color="auto" w:sz="4" w:space="0"/>
            </w:tcBorders>
            <w:noWrap w:val="0"/>
            <w:vAlign w:val="center"/>
          </w:tcPr>
          <w:p w14:paraId="2B442E14">
            <w:pPr>
              <w:ind w:firstLine="0" w:firstLineChars="0"/>
              <w:jc w:val="center"/>
              <w:rPr>
                <w:color w:val="auto"/>
                <w:highlight w:val="none"/>
              </w:rPr>
            </w:pPr>
            <w:r>
              <w:rPr>
                <w:color w:val="auto"/>
                <w:highlight w:val="none"/>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D013E38">
            <w:pPr>
              <w:ind w:firstLine="0" w:firstLineChars="0"/>
              <w:jc w:val="center"/>
              <w:rPr>
                <w:rFonts w:ascii="宋体" w:hAnsi="宋体"/>
                <w:color w:val="auto"/>
                <w:highlight w:val="none"/>
              </w:rPr>
            </w:pPr>
            <w:r>
              <w:rPr>
                <w:rFonts w:hint="eastAsia" w:ascii="宋体" w:hAnsi="宋体"/>
                <w:color w:val="auto"/>
                <w:highlight w:val="none"/>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B14803A">
            <w:pPr>
              <w:ind w:firstLine="0" w:firstLineChars="0"/>
              <w:jc w:val="both"/>
              <w:rPr>
                <w:rFonts w:hint="eastAsia" w:ascii="宋体" w:hAnsi="宋体"/>
                <w:color w:val="auto"/>
                <w:highlight w:val="none"/>
              </w:rPr>
            </w:pPr>
            <w:r>
              <w:rPr>
                <w:rFonts w:hint="eastAsia" w:ascii="宋体" w:hAnsi="宋体"/>
                <w:color w:val="auto"/>
                <w:highlight w:val="none"/>
              </w:rPr>
              <w:t>与营业执照、资质证书一致。</w:t>
            </w:r>
          </w:p>
        </w:tc>
      </w:tr>
      <w:tr w14:paraId="057D8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39CFDDC2">
            <w:pPr>
              <w:ind w:firstLine="480"/>
              <w:jc w:val="center"/>
              <w:rPr>
                <w:color w:val="auto"/>
                <w:highlight w:val="none"/>
              </w:rPr>
            </w:pPr>
          </w:p>
        </w:tc>
        <w:tc>
          <w:tcPr>
            <w:tcW w:w="1124" w:type="dxa"/>
            <w:vMerge w:val="continue"/>
            <w:tcBorders>
              <w:right w:val="single" w:color="auto" w:sz="4" w:space="0"/>
            </w:tcBorders>
            <w:noWrap w:val="0"/>
            <w:vAlign w:val="center"/>
          </w:tcPr>
          <w:p w14:paraId="288339C3">
            <w:pPr>
              <w:ind w:firstLine="480"/>
              <w:jc w:val="center"/>
              <w:rPr>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EF6EF4B">
            <w:pPr>
              <w:ind w:firstLine="0" w:firstLineChars="0"/>
              <w:jc w:val="center"/>
              <w:rPr>
                <w:color w:val="auto"/>
                <w:highlight w:val="none"/>
              </w:rPr>
            </w:pPr>
            <w:r>
              <w:rPr>
                <w:rFonts w:hint="eastAsia" w:ascii="宋体" w:hAnsi="宋体"/>
                <w:color w:val="auto"/>
                <w:highlight w:val="none"/>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2D498AD">
            <w:pPr>
              <w:widowControl/>
              <w:ind w:firstLine="0" w:firstLineChars="0"/>
              <w:jc w:val="both"/>
              <w:rPr>
                <w:rFonts w:ascii="宋体" w:hAnsi="宋体"/>
                <w:color w:val="auto"/>
                <w:highlight w:val="none"/>
              </w:rPr>
            </w:pPr>
            <w:r>
              <w:rPr>
                <w:rFonts w:hint="eastAsia" w:ascii="宋体" w:hAnsi="宋体"/>
                <w:color w:val="auto"/>
                <w:highlight w:val="none"/>
              </w:rPr>
              <w:t>（1）报价文件电子文件可以正常</w:t>
            </w:r>
            <w:r>
              <w:rPr>
                <w:rFonts w:ascii="宋体" w:hAnsi="宋体"/>
                <w:color w:val="auto"/>
                <w:highlight w:val="none"/>
              </w:rPr>
              <w:t>读取</w:t>
            </w:r>
            <w:r>
              <w:rPr>
                <w:rFonts w:hint="eastAsia" w:ascii="宋体" w:hAnsi="宋体"/>
                <w:color w:val="auto"/>
                <w:highlight w:val="none"/>
              </w:rPr>
              <w:t>；</w:t>
            </w:r>
          </w:p>
          <w:p w14:paraId="7B82E6C3">
            <w:pPr>
              <w:ind w:firstLine="0" w:firstLineChars="0"/>
              <w:jc w:val="both"/>
              <w:rPr>
                <w:rFonts w:hint="eastAsia" w:ascii="宋体" w:hAnsi="宋体"/>
                <w:color w:val="auto"/>
                <w:highlight w:val="none"/>
              </w:rPr>
            </w:pPr>
            <w:r>
              <w:rPr>
                <w:rFonts w:hint="eastAsia" w:ascii="宋体" w:hAnsi="宋体"/>
                <w:color w:val="auto"/>
                <w:highlight w:val="none"/>
              </w:rPr>
              <w:t>（2）符合第六章“投标文件格式”的规定，</w:t>
            </w:r>
            <w:r>
              <w:rPr>
                <w:rFonts w:ascii="宋体" w:hAnsi="宋体"/>
                <w:color w:val="auto"/>
                <w:highlight w:val="none"/>
              </w:rPr>
              <w:t>关键字迹</w:t>
            </w:r>
            <w:r>
              <w:rPr>
                <w:rFonts w:hint="eastAsia" w:ascii="宋体" w:hAnsi="宋体"/>
                <w:color w:val="auto"/>
                <w:highlight w:val="none"/>
              </w:rPr>
              <w:t>清晰可辨。</w:t>
            </w:r>
          </w:p>
        </w:tc>
      </w:tr>
      <w:tr w14:paraId="77370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05EC5FED">
            <w:pPr>
              <w:ind w:firstLine="480"/>
              <w:jc w:val="center"/>
              <w:rPr>
                <w:color w:val="auto"/>
                <w:highlight w:val="none"/>
              </w:rPr>
            </w:pPr>
          </w:p>
        </w:tc>
        <w:tc>
          <w:tcPr>
            <w:tcW w:w="1124" w:type="dxa"/>
            <w:vMerge w:val="continue"/>
            <w:tcBorders>
              <w:right w:val="single" w:color="auto" w:sz="4" w:space="0"/>
            </w:tcBorders>
            <w:noWrap w:val="0"/>
            <w:vAlign w:val="center"/>
          </w:tcPr>
          <w:p w14:paraId="50A220B1">
            <w:pPr>
              <w:ind w:firstLine="480"/>
              <w:jc w:val="center"/>
              <w:rPr>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87D0CE4">
            <w:pPr>
              <w:ind w:firstLine="0" w:firstLineChars="0"/>
              <w:jc w:val="center"/>
              <w:rPr>
                <w:color w:val="auto"/>
                <w:highlight w:val="none"/>
              </w:rPr>
            </w:pPr>
            <w:r>
              <w:rPr>
                <w:rFonts w:hint="eastAsia"/>
                <w:color w:val="auto"/>
                <w:kern w:val="0"/>
                <w:szCs w:val="21"/>
                <w:highlight w:val="none"/>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2730AE8">
            <w:pPr>
              <w:ind w:firstLine="0" w:firstLineChars="0"/>
              <w:jc w:val="both"/>
              <w:rPr>
                <w:rFonts w:hint="eastAsia"/>
                <w:color w:val="auto"/>
                <w:highlight w:val="none"/>
              </w:rPr>
            </w:pPr>
            <w:r>
              <w:rPr>
                <w:rFonts w:hint="eastAsia"/>
                <w:color w:val="auto"/>
                <w:kern w:val="0"/>
                <w:szCs w:val="21"/>
                <w:highlight w:val="none"/>
              </w:rPr>
              <w:t>符合第二章“投标人须知”第</w:t>
            </w:r>
            <w:r>
              <w:rPr>
                <w:color w:val="auto"/>
                <w:kern w:val="0"/>
                <w:szCs w:val="21"/>
                <w:highlight w:val="none"/>
              </w:rPr>
              <w:t>3.7.3</w:t>
            </w:r>
            <w:r>
              <w:rPr>
                <w:rFonts w:hint="eastAsia"/>
                <w:color w:val="auto"/>
                <w:kern w:val="0"/>
                <w:szCs w:val="21"/>
                <w:highlight w:val="none"/>
              </w:rPr>
              <w:t>项规定。</w:t>
            </w:r>
          </w:p>
        </w:tc>
      </w:tr>
      <w:tr w14:paraId="72E97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1B1BCE6C">
            <w:pPr>
              <w:ind w:firstLine="480"/>
              <w:jc w:val="center"/>
              <w:rPr>
                <w:color w:val="auto"/>
                <w:highlight w:val="none"/>
              </w:rPr>
            </w:pPr>
          </w:p>
        </w:tc>
        <w:tc>
          <w:tcPr>
            <w:tcW w:w="1124" w:type="dxa"/>
            <w:vMerge w:val="continue"/>
            <w:tcBorders>
              <w:right w:val="single" w:color="auto" w:sz="4" w:space="0"/>
            </w:tcBorders>
            <w:noWrap w:val="0"/>
            <w:vAlign w:val="center"/>
          </w:tcPr>
          <w:p w14:paraId="59FF6080">
            <w:pPr>
              <w:ind w:firstLine="480"/>
              <w:jc w:val="center"/>
              <w:rPr>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FF86AC5">
            <w:pPr>
              <w:ind w:firstLine="0" w:firstLineChars="0"/>
              <w:jc w:val="center"/>
              <w:rPr>
                <w:color w:val="auto"/>
                <w:kern w:val="0"/>
                <w:szCs w:val="21"/>
                <w:highlight w:val="none"/>
              </w:rPr>
            </w:pPr>
            <w:r>
              <w:rPr>
                <w:rFonts w:hint="eastAsia"/>
                <w:color w:val="auto"/>
                <w:kern w:val="0"/>
                <w:szCs w:val="21"/>
                <w:highlight w:val="none"/>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0BA445F4">
            <w:pPr>
              <w:ind w:firstLine="0" w:firstLineChars="0"/>
              <w:jc w:val="both"/>
              <w:rPr>
                <w:rFonts w:hint="eastAsia"/>
                <w:color w:val="auto"/>
                <w:kern w:val="0"/>
                <w:szCs w:val="21"/>
                <w:highlight w:val="none"/>
              </w:rPr>
            </w:pPr>
            <w:r>
              <w:rPr>
                <w:rFonts w:hint="eastAsia"/>
                <w:color w:val="auto"/>
                <w:kern w:val="0"/>
                <w:szCs w:val="21"/>
                <w:highlight w:val="none"/>
              </w:rPr>
              <w:t>除招标文件明确允许备选投标方案外，投标人不得提交备选投标方案。</w:t>
            </w:r>
          </w:p>
        </w:tc>
      </w:tr>
      <w:tr w14:paraId="6C1C2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noWrap w:val="0"/>
            <w:vAlign w:val="center"/>
          </w:tcPr>
          <w:p w14:paraId="0EE66495">
            <w:pPr>
              <w:ind w:firstLine="480"/>
              <w:jc w:val="center"/>
              <w:rPr>
                <w:color w:val="auto"/>
                <w:highlight w:val="none"/>
              </w:rPr>
            </w:pPr>
          </w:p>
        </w:tc>
        <w:tc>
          <w:tcPr>
            <w:tcW w:w="1124" w:type="dxa"/>
            <w:vMerge w:val="continue"/>
            <w:tcBorders>
              <w:right w:val="single" w:color="auto" w:sz="4" w:space="0"/>
            </w:tcBorders>
            <w:noWrap w:val="0"/>
            <w:vAlign w:val="center"/>
          </w:tcPr>
          <w:p w14:paraId="0332E15F">
            <w:pPr>
              <w:ind w:firstLine="480"/>
              <w:jc w:val="center"/>
              <w:rPr>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5D1C44C">
            <w:pPr>
              <w:ind w:firstLine="0" w:firstLineChars="0"/>
              <w:jc w:val="center"/>
              <w:rPr>
                <w:color w:val="auto"/>
                <w:kern w:val="0"/>
                <w:szCs w:val="21"/>
                <w:highlight w:val="none"/>
              </w:rPr>
            </w:pPr>
            <w:r>
              <w:rPr>
                <w:rFonts w:hint="eastAsia"/>
                <w:color w:val="auto"/>
                <w:kern w:val="0"/>
                <w:szCs w:val="21"/>
                <w:highlight w:val="none"/>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3ACE1A0">
            <w:pPr>
              <w:ind w:firstLine="0" w:firstLineChars="0"/>
              <w:jc w:val="both"/>
              <w:rPr>
                <w:rFonts w:hint="eastAsia"/>
                <w:color w:val="auto"/>
                <w:kern w:val="0"/>
                <w:szCs w:val="21"/>
                <w:highlight w:val="none"/>
              </w:rPr>
            </w:pPr>
            <w:r>
              <w:rPr>
                <w:rFonts w:hint="eastAsia"/>
                <w:color w:val="auto"/>
                <w:highlight w:val="none"/>
              </w:rPr>
              <w:t>不同投标人未出现使用相同的投标文件制作机器码进行投标的情形。</w:t>
            </w:r>
          </w:p>
        </w:tc>
      </w:tr>
      <w:tr w14:paraId="6F4CF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1173A770">
            <w:pPr>
              <w:ind w:firstLine="0" w:firstLineChars="0"/>
              <w:jc w:val="center"/>
              <w:rPr>
                <w:color w:val="auto"/>
                <w:highlight w:val="none"/>
              </w:rPr>
            </w:pPr>
            <w:r>
              <w:rPr>
                <w:color w:val="auto"/>
                <w:highlight w:val="none"/>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6443A53F">
            <w:pPr>
              <w:ind w:firstLine="0" w:firstLineChars="0"/>
              <w:jc w:val="center"/>
              <w:rPr>
                <w:color w:val="auto"/>
                <w:highlight w:val="none"/>
              </w:rPr>
            </w:pPr>
            <w:r>
              <w:rPr>
                <w:color w:val="auto"/>
                <w:highlight w:val="none"/>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5C691E5">
            <w:pPr>
              <w:ind w:firstLine="0" w:firstLineChars="0"/>
              <w:jc w:val="center"/>
              <w:rPr>
                <w:color w:val="auto"/>
                <w:highlight w:val="none"/>
              </w:rPr>
            </w:pPr>
            <w:r>
              <w:rPr>
                <w:color w:val="auto"/>
                <w:highlight w:val="none"/>
              </w:rPr>
              <w:t>投标内容</w:t>
            </w:r>
          </w:p>
        </w:tc>
        <w:tc>
          <w:tcPr>
            <w:tcW w:w="4680" w:type="dxa"/>
            <w:tcBorders>
              <w:top w:val="single" w:color="auto" w:sz="4" w:space="0"/>
              <w:left w:val="single" w:color="auto" w:sz="4" w:space="0"/>
              <w:bottom w:val="single" w:color="auto" w:sz="4" w:space="0"/>
            </w:tcBorders>
            <w:noWrap w:val="0"/>
            <w:vAlign w:val="center"/>
          </w:tcPr>
          <w:p w14:paraId="5EC8E68F">
            <w:pPr>
              <w:ind w:firstLine="0" w:firstLineChars="0"/>
              <w:jc w:val="both"/>
              <w:rPr>
                <w:rFonts w:hint="eastAsia"/>
                <w:color w:val="auto"/>
                <w:highlight w:val="none"/>
              </w:rPr>
            </w:pPr>
            <w:r>
              <w:rPr>
                <w:color w:val="auto"/>
                <w:highlight w:val="none"/>
              </w:rPr>
              <w:t>符合第二章“投标人须知”第1.3.1项规定</w:t>
            </w:r>
            <w:r>
              <w:rPr>
                <w:rFonts w:hint="eastAsia"/>
                <w:color w:val="auto"/>
                <w:highlight w:val="none"/>
              </w:rPr>
              <w:t>。</w:t>
            </w:r>
          </w:p>
        </w:tc>
      </w:tr>
      <w:tr w14:paraId="049DB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70D822E4">
            <w:pPr>
              <w:ind w:firstLine="480"/>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4F09DCA">
            <w:pPr>
              <w:ind w:firstLine="480"/>
              <w:jc w:val="center"/>
              <w:rPr>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A709EB1">
            <w:pPr>
              <w:ind w:firstLine="0" w:firstLineChars="0"/>
              <w:jc w:val="center"/>
              <w:rPr>
                <w:color w:val="auto"/>
                <w:highlight w:val="none"/>
              </w:rPr>
            </w:pPr>
            <w:r>
              <w:rPr>
                <w:color w:val="auto"/>
                <w:highlight w:val="none"/>
              </w:rPr>
              <w:t>投标报价</w:t>
            </w:r>
          </w:p>
        </w:tc>
        <w:tc>
          <w:tcPr>
            <w:tcW w:w="4680" w:type="dxa"/>
            <w:tcBorders>
              <w:top w:val="single" w:color="auto" w:sz="4" w:space="0"/>
              <w:left w:val="single" w:color="auto" w:sz="4" w:space="0"/>
              <w:bottom w:val="single" w:color="auto" w:sz="4" w:space="0"/>
            </w:tcBorders>
            <w:noWrap w:val="0"/>
            <w:vAlign w:val="center"/>
          </w:tcPr>
          <w:p w14:paraId="0CDC522E">
            <w:pPr>
              <w:widowControl/>
              <w:ind w:firstLine="0" w:firstLineChars="0"/>
              <w:jc w:val="both"/>
              <w:rPr>
                <w:rFonts w:hint="eastAsia"/>
                <w:color w:val="auto"/>
                <w:highlight w:val="none"/>
              </w:rPr>
            </w:pPr>
            <w:r>
              <w:rPr>
                <w:rFonts w:hint="eastAsia" w:ascii="宋体" w:hAnsi="宋体" w:cs="宋体"/>
                <w:color w:val="auto"/>
                <w:kern w:val="0"/>
                <w:highlight w:val="none"/>
              </w:rPr>
              <w:t>符合第二章“投标人须知”第</w:t>
            </w:r>
            <w:r>
              <w:rPr>
                <w:rFonts w:hint="eastAsia"/>
                <w:color w:val="auto"/>
                <w:highlight w:val="none"/>
              </w:rPr>
              <w:t>3.2</w:t>
            </w:r>
            <w:r>
              <w:rPr>
                <w:rFonts w:hint="eastAsia" w:ascii="宋体" w:hAnsi="宋体" w:cs="宋体"/>
                <w:color w:val="auto"/>
                <w:kern w:val="0"/>
                <w:highlight w:val="none"/>
              </w:rPr>
              <w:t>款规定</w:t>
            </w:r>
            <w:r>
              <w:rPr>
                <w:rFonts w:hint="eastAsia"/>
                <w:color w:val="auto"/>
                <w:kern w:val="0"/>
                <w:szCs w:val="21"/>
                <w:highlight w:val="none"/>
              </w:rPr>
              <w:t>。</w:t>
            </w:r>
          </w:p>
        </w:tc>
      </w:tr>
      <w:tr w14:paraId="5BEB2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71A2ADC1">
            <w:pPr>
              <w:ind w:firstLine="480"/>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F43124B">
            <w:pPr>
              <w:ind w:firstLine="480"/>
              <w:jc w:val="center"/>
              <w:rPr>
                <w:color w:val="auto"/>
                <w:highlight w:val="none"/>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FCD4528">
            <w:pPr>
              <w:ind w:firstLine="0" w:firstLineChars="0"/>
              <w:jc w:val="center"/>
              <w:rPr>
                <w:rFonts w:ascii="宋体" w:hAnsi="宋体"/>
                <w:color w:val="auto"/>
                <w:highlight w:val="none"/>
              </w:rPr>
            </w:pPr>
            <w:r>
              <w:rPr>
                <w:rFonts w:ascii="宋体" w:hAnsi="宋体"/>
                <w:color w:val="auto"/>
                <w:highlight w:val="none"/>
              </w:rPr>
              <w:t>其</w:t>
            </w:r>
            <w:r>
              <w:rPr>
                <w:rFonts w:hint="eastAsia" w:ascii="宋体" w:hAnsi="宋体"/>
                <w:color w:val="auto"/>
                <w:highlight w:val="none"/>
              </w:rPr>
              <w:t>他</w:t>
            </w:r>
            <w:r>
              <w:rPr>
                <w:rFonts w:ascii="宋体" w:hAnsi="宋体"/>
                <w:color w:val="auto"/>
                <w:highlight w:val="none"/>
              </w:rPr>
              <w:t>情形</w:t>
            </w:r>
          </w:p>
        </w:tc>
        <w:tc>
          <w:tcPr>
            <w:tcW w:w="4680" w:type="dxa"/>
            <w:tcBorders>
              <w:top w:val="single" w:color="auto" w:sz="4" w:space="0"/>
              <w:left w:val="single" w:color="auto" w:sz="4" w:space="0"/>
              <w:bottom w:val="single" w:color="auto" w:sz="4" w:space="0"/>
            </w:tcBorders>
            <w:noWrap w:val="0"/>
            <w:vAlign w:val="center"/>
          </w:tcPr>
          <w:p w14:paraId="6D32A7BA">
            <w:pPr>
              <w:widowControl/>
              <w:ind w:firstLine="0" w:firstLineChars="0"/>
              <w:jc w:val="both"/>
              <w:rPr>
                <w:rFonts w:hint="eastAsia" w:ascii="宋体" w:hAnsi="宋体"/>
                <w:color w:val="auto"/>
                <w:highlight w:val="none"/>
              </w:rPr>
            </w:pPr>
            <w:r>
              <w:rPr>
                <w:rFonts w:hint="eastAsia"/>
                <w:color w:val="auto"/>
                <w:kern w:val="0"/>
                <w:szCs w:val="21"/>
                <w:highlight w:val="none"/>
              </w:rPr>
              <w:t>（1）</w:t>
            </w:r>
            <w:r>
              <w:rPr>
                <w:rFonts w:ascii="宋体" w:hAnsi="宋体"/>
                <w:color w:val="auto"/>
                <w:highlight w:val="none"/>
              </w:rPr>
              <w:t>投标文件中</w:t>
            </w:r>
            <w:r>
              <w:rPr>
                <w:rFonts w:hint="eastAsia" w:ascii="宋体" w:hAnsi="宋体"/>
                <w:color w:val="auto"/>
                <w:highlight w:val="none"/>
              </w:rPr>
              <w:t>不得</w:t>
            </w:r>
            <w:r>
              <w:rPr>
                <w:rFonts w:ascii="宋体" w:hAnsi="宋体"/>
                <w:color w:val="auto"/>
                <w:highlight w:val="none"/>
              </w:rPr>
              <w:t>存在招标人不能接受的其</w:t>
            </w:r>
            <w:r>
              <w:rPr>
                <w:rFonts w:hint="eastAsia" w:ascii="宋体" w:hAnsi="宋体"/>
                <w:color w:val="auto"/>
                <w:highlight w:val="none"/>
              </w:rPr>
              <w:t>他</w:t>
            </w:r>
            <w:r>
              <w:rPr>
                <w:rFonts w:ascii="宋体" w:hAnsi="宋体"/>
                <w:color w:val="auto"/>
                <w:highlight w:val="none"/>
              </w:rPr>
              <w:t>实质性条件</w:t>
            </w:r>
            <w:r>
              <w:rPr>
                <w:rFonts w:hint="eastAsia" w:ascii="宋体" w:hAnsi="宋体"/>
                <w:color w:val="auto"/>
                <w:highlight w:val="none"/>
              </w:rPr>
              <w:t>；</w:t>
            </w:r>
          </w:p>
          <w:p w14:paraId="1E1451CF">
            <w:pPr>
              <w:widowControl/>
              <w:ind w:firstLine="0" w:firstLineChars="0"/>
              <w:jc w:val="both"/>
              <w:rPr>
                <w:rFonts w:ascii="宋体" w:hAnsi="宋体"/>
                <w:color w:val="auto"/>
                <w:highlight w:val="none"/>
              </w:rPr>
            </w:pPr>
            <w:r>
              <w:rPr>
                <w:rFonts w:hint="eastAsia"/>
                <w:color w:val="auto"/>
                <w:kern w:val="0"/>
                <w:szCs w:val="21"/>
                <w:highlight w:val="none"/>
              </w:rPr>
              <w:t>（2）</w:t>
            </w:r>
            <w:r>
              <w:rPr>
                <w:rFonts w:ascii="宋体" w:hAnsi="宋体"/>
                <w:color w:val="auto"/>
                <w:highlight w:val="none"/>
              </w:rPr>
              <w:t>法律、法规规定的其</w:t>
            </w:r>
            <w:r>
              <w:rPr>
                <w:rFonts w:hint="eastAsia" w:ascii="宋体" w:hAnsi="宋体"/>
                <w:color w:val="auto"/>
                <w:highlight w:val="none"/>
              </w:rPr>
              <w:t>他</w:t>
            </w:r>
            <w:r>
              <w:rPr>
                <w:rFonts w:ascii="宋体" w:hAnsi="宋体"/>
                <w:color w:val="auto"/>
                <w:highlight w:val="none"/>
              </w:rPr>
              <w:t>情形</w:t>
            </w:r>
            <w:r>
              <w:rPr>
                <w:rFonts w:hint="eastAsia" w:ascii="宋体" w:hAnsi="宋体"/>
                <w:color w:val="auto"/>
                <w:highlight w:val="none"/>
              </w:rPr>
              <w:t>。</w:t>
            </w:r>
          </w:p>
        </w:tc>
      </w:tr>
    </w:tbl>
    <w:p w14:paraId="1D97F64C">
      <w:pPr>
        <w:ind w:firstLine="480"/>
        <w:jc w:val="center"/>
        <w:rPr>
          <w:rFonts w:ascii="黑体" w:hAnsi="黑体" w:eastAsia="黑体"/>
          <w:color w:val="auto"/>
          <w:szCs w:val="24"/>
          <w:highlight w:val="none"/>
        </w:rPr>
      </w:pPr>
    </w:p>
    <w:p w14:paraId="0549AFA6">
      <w:pPr>
        <w:pStyle w:val="6"/>
        <w:spacing w:before="240" w:after="240"/>
        <w:ind w:firstLine="640"/>
        <w:jc w:val="center"/>
        <w:rPr>
          <w:color w:val="auto"/>
          <w:highlight w:val="none"/>
        </w:rPr>
      </w:pPr>
      <w:bookmarkStart w:id="315" w:name="_Toc15307"/>
      <w:bookmarkStart w:id="316" w:name="_Toc25876"/>
      <w:bookmarkStart w:id="317" w:name="_Toc10673"/>
      <w:r>
        <w:rPr>
          <w:color w:val="auto"/>
          <w:highlight w:val="none"/>
        </w:rPr>
        <w:br w:type="page"/>
      </w:r>
      <w:r>
        <w:rPr>
          <w:rFonts w:hint="eastAsia"/>
          <w:color w:val="auto"/>
          <w:highlight w:val="none"/>
        </w:rPr>
        <w:t>商务、技术及报价文件详细评审标准</w:t>
      </w:r>
      <w:bookmarkEnd w:id="315"/>
      <w:bookmarkEnd w:id="316"/>
      <w:bookmarkEnd w:id="317"/>
    </w:p>
    <w:tbl>
      <w:tblPr>
        <w:tblStyle w:val="44"/>
        <w:tblW w:w="91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13" w:type="dxa"/>
          <w:left w:w="0" w:type="dxa"/>
          <w:bottom w:w="0" w:type="dxa"/>
          <w:right w:w="0" w:type="dxa"/>
        </w:tblCellMar>
      </w:tblPr>
      <w:tblGrid>
        <w:gridCol w:w="903"/>
        <w:gridCol w:w="1214"/>
        <w:gridCol w:w="1395"/>
        <w:gridCol w:w="1050"/>
        <w:gridCol w:w="4637"/>
      </w:tblGrid>
      <w:tr w14:paraId="76D23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jc w:val="center"/>
        </w:trPr>
        <w:tc>
          <w:tcPr>
            <w:tcW w:w="2117" w:type="dxa"/>
            <w:gridSpan w:val="2"/>
            <w:tcBorders>
              <w:top w:val="single" w:color="auto" w:sz="4" w:space="0"/>
              <w:bottom w:val="single" w:color="auto" w:sz="4" w:space="0"/>
              <w:right w:val="single" w:color="auto" w:sz="4" w:space="0"/>
            </w:tcBorders>
            <w:noWrap w:val="0"/>
            <w:vAlign w:val="center"/>
          </w:tcPr>
          <w:p w14:paraId="34AA77FE">
            <w:pPr>
              <w:ind w:firstLine="482"/>
              <w:jc w:val="center"/>
              <w:rPr>
                <w:color w:val="auto"/>
                <w:highlight w:val="none"/>
              </w:rPr>
            </w:pPr>
            <w:r>
              <w:rPr>
                <w:b/>
                <w:color w:val="auto"/>
                <w:highlight w:val="none"/>
              </w:rPr>
              <w:t>条款号</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37D4D7F">
            <w:pPr>
              <w:spacing w:line="440" w:lineRule="exact"/>
              <w:ind w:left="0" w:leftChars="0" w:firstLine="0" w:firstLineChars="0"/>
              <w:rPr>
                <w:color w:val="auto"/>
                <w:highlight w:val="none"/>
              </w:rPr>
            </w:pPr>
            <w:r>
              <w:rPr>
                <w:b/>
                <w:color w:val="auto"/>
                <w:highlight w:val="none"/>
              </w:rPr>
              <w:t>评审因素</w:t>
            </w:r>
          </w:p>
        </w:tc>
        <w:tc>
          <w:tcPr>
            <w:tcW w:w="5687" w:type="dxa"/>
            <w:gridSpan w:val="2"/>
            <w:tcBorders>
              <w:top w:val="single" w:color="auto" w:sz="4" w:space="0"/>
              <w:left w:val="single" w:color="auto" w:sz="4" w:space="0"/>
              <w:bottom w:val="single" w:color="auto" w:sz="4" w:space="0"/>
              <w:right w:val="single" w:color="auto" w:sz="4" w:space="0"/>
            </w:tcBorders>
            <w:noWrap w:val="0"/>
            <w:vAlign w:val="center"/>
          </w:tcPr>
          <w:p w14:paraId="0B79C2CF">
            <w:pPr>
              <w:spacing w:line="440" w:lineRule="exact"/>
              <w:ind w:firstLine="482"/>
              <w:jc w:val="center"/>
              <w:rPr>
                <w:b/>
                <w:color w:val="auto"/>
                <w:sz w:val="32"/>
                <w:highlight w:val="none"/>
              </w:rPr>
            </w:pPr>
            <w:r>
              <w:rPr>
                <w:b/>
                <w:color w:val="auto"/>
                <w:highlight w:val="none"/>
              </w:rPr>
              <w:t>评审标准</w:t>
            </w:r>
          </w:p>
        </w:tc>
      </w:tr>
      <w:tr w14:paraId="53DAA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2259" w:hRule="atLeast"/>
          <w:jc w:val="center"/>
        </w:trPr>
        <w:tc>
          <w:tcPr>
            <w:tcW w:w="903" w:type="dxa"/>
            <w:vMerge w:val="restart"/>
            <w:tcBorders>
              <w:top w:val="single" w:color="auto" w:sz="4" w:space="0"/>
              <w:right w:val="single" w:color="auto" w:sz="4" w:space="0"/>
            </w:tcBorders>
            <w:noWrap w:val="0"/>
            <w:vAlign w:val="center"/>
          </w:tcPr>
          <w:p w14:paraId="75F2E24B">
            <w:pPr>
              <w:spacing w:line="440" w:lineRule="exact"/>
              <w:ind w:firstLine="0" w:firstLineChars="0"/>
              <w:rPr>
                <w:color w:val="auto"/>
                <w:highlight w:val="none"/>
              </w:rPr>
            </w:pPr>
            <w:r>
              <w:rPr>
                <w:rFonts w:hint="eastAsia"/>
                <w:color w:val="auto"/>
                <w:highlight w:val="none"/>
              </w:rPr>
              <w:t>2.2.2（1）</w:t>
            </w:r>
          </w:p>
        </w:tc>
        <w:tc>
          <w:tcPr>
            <w:tcW w:w="1214" w:type="dxa"/>
            <w:vMerge w:val="restart"/>
            <w:tcBorders>
              <w:top w:val="single" w:color="auto" w:sz="4" w:space="0"/>
              <w:right w:val="single" w:color="auto" w:sz="4" w:space="0"/>
            </w:tcBorders>
            <w:noWrap w:val="0"/>
            <w:vAlign w:val="center"/>
          </w:tcPr>
          <w:p w14:paraId="46B8E4BB">
            <w:pPr>
              <w:spacing w:line="440" w:lineRule="exact"/>
              <w:ind w:firstLine="0" w:firstLineChars="0"/>
              <w:rPr>
                <w:color w:val="auto"/>
                <w:highlight w:val="none"/>
              </w:rPr>
            </w:pPr>
            <w:r>
              <w:rPr>
                <w:rFonts w:hint="eastAsia"/>
                <w:bCs/>
                <w:color w:val="auto"/>
                <w:kern w:val="0"/>
                <w:szCs w:val="21"/>
                <w:highlight w:val="none"/>
              </w:rPr>
              <w:t>技术评分标准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EA82BDC">
            <w:pPr>
              <w:spacing w:line="360" w:lineRule="auto"/>
              <w:ind w:firstLine="0" w:firstLineChars="0"/>
              <w:jc w:val="center"/>
              <w:rPr>
                <w:color w:val="auto"/>
                <w:highlight w:val="none"/>
              </w:rPr>
            </w:pPr>
            <w:r>
              <w:rPr>
                <w:rFonts w:ascii="宋体" w:hAnsi="宋体" w:cs="宋体"/>
                <w:color w:val="auto"/>
                <w:szCs w:val="24"/>
                <w:highlight w:val="none"/>
              </w:rPr>
              <w:t>监理</w:t>
            </w:r>
            <w:r>
              <w:rPr>
                <w:rFonts w:hint="eastAsia" w:ascii="宋体" w:hAnsi="宋体" w:cs="宋体"/>
                <w:color w:val="auto"/>
                <w:szCs w:val="24"/>
                <w:highlight w:val="none"/>
                <w:lang w:val="en-US" w:eastAsia="zh-CN"/>
              </w:rPr>
              <w:t>整体</w:t>
            </w:r>
            <w:r>
              <w:rPr>
                <w:rFonts w:ascii="宋体" w:hAnsi="宋体" w:cs="宋体"/>
                <w:color w:val="auto"/>
                <w:szCs w:val="24"/>
                <w:highlight w:val="none"/>
              </w:rPr>
              <w:t>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12AA633">
            <w:pPr>
              <w:spacing w:line="360" w:lineRule="auto"/>
              <w:ind w:firstLine="0" w:firstLineChars="0"/>
              <w:jc w:val="center"/>
              <w:rPr>
                <w:color w:val="auto"/>
                <w:highlight w:val="none"/>
              </w:rPr>
            </w:pPr>
            <w:r>
              <w:rPr>
                <w:rFonts w:hint="eastAsia" w:ascii="宋体" w:hAnsi="宋体"/>
                <w:color w:val="auto"/>
                <w:kern w:val="0"/>
                <w:szCs w:val="21"/>
                <w:highlight w:val="none"/>
                <w:lang w:val="en-US" w:eastAsia="zh-CN"/>
              </w:rPr>
              <w:t>分析</w:t>
            </w:r>
            <w:r>
              <w:rPr>
                <w:rFonts w:hint="eastAsia" w:ascii="宋体" w:hAnsi="宋体"/>
                <w:color w:val="auto"/>
                <w:kern w:val="0"/>
                <w:szCs w:val="21"/>
                <w:highlight w:val="none"/>
              </w:rPr>
              <w:t>10分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7222A0C3">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监理大纲内容全面，制度健全，有具体措施。</w:t>
            </w:r>
          </w:p>
          <w:p w14:paraId="40B17A0F">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详细、计划可行性合理有效得</w:t>
            </w:r>
            <w:r>
              <w:rPr>
                <w:rFonts w:hint="eastAsia" w:ascii="宋体" w:hAnsi="宋体" w:cs="宋体"/>
                <w:color w:val="auto"/>
                <w:szCs w:val="24"/>
                <w:highlight w:val="none"/>
                <w:lang w:val="en-US" w:eastAsia="zh-CN"/>
              </w:rPr>
              <w:t>9</w:t>
            </w:r>
            <w:r>
              <w:rPr>
                <w:rFonts w:ascii="宋体" w:hAnsi="宋体" w:cs="宋体"/>
                <w:color w:val="auto"/>
                <w:szCs w:val="24"/>
                <w:highlight w:val="none"/>
              </w:rPr>
              <w:t>≤F≤10分；</w:t>
            </w:r>
          </w:p>
          <w:p w14:paraId="4A89936A">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可行性一般、计划一般得</w:t>
            </w:r>
            <w:r>
              <w:rPr>
                <w:rFonts w:hint="eastAsia" w:ascii="宋体" w:hAnsi="宋体" w:cs="宋体"/>
                <w:color w:val="auto"/>
                <w:szCs w:val="24"/>
                <w:highlight w:val="none"/>
                <w:lang w:val="en-US" w:eastAsia="zh-CN"/>
              </w:rPr>
              <w:t>6</w:t>
            </w:r>
            <w:r>
              <w:rPr>
                <w:rFonts w:ascii="宋体" w:hAnsi="宋体" w:cs="宋体"/>
                <w:color w:val="auto"/>
                <w:szCs w:val="24"/>
                <w:highlight w:val="none"/>
              </w:rPr>
              <w:t>≤F＜</w:t>
            </w:r>
            <w:r>
              <w:rPr>
                <w:rFonts w:hint="eastAsia" w:ascii="宋体" w:hAnsi="宋体" w:cs="宋体"/>
                <w:color w:val="auto"/>
                <w:szCs w:val="24"/>
                <w:highlight w:val="none"/>
                <w:lang w:val="en-US" w:eastAsia="zh-CN"/>
              </w:rPr>
              <w:t>9</w:t>
            </w:r>
            <w:r>
              <w:rPr>
                <w:rFonts w:ascii="宋体" w:hAnsi="宋体" w:cs="宋体"/>
                <w:color w:val="auto"/>
                <w:szCs w:val="24"/>
                <w:highlight w:val="none"/>
              </w:rPr>
              <w:t>分；</w:t>
            </w:r>
          </w:p>
          <w:p w14:paraId="41F36F47">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较差，缺乏针对性和合理性0</w:t>
            </w:r>
            <w:r>
              <w:rPr>
                <w:rFonts w:hint="eastAsia" w:ascii="宋体" w:hAnsi="宋体" w:cs="宋体"/>
                <w:color w:val="auto"/>
                <w:szCs w:val="24"/>
                <w:highlight w:val="none"/>
                <w:lang w:val="en-US" w:eastAsia="zh-CN"/>
              </w:rPr>
              <w:t>≤</w:t>
            </w:r>
            <w:r>
              <w:rPr>
                <w:rFonts w:ascii="宋体" w:hAnsi="宋体" w:cs="宋体"/>
                <w:color w:val="auto"/>
                <w:szCs w:val="24"/>
                <w:highlight w:val="none"/>
              </w:rPr>
              <w:t>F＜</w:t>
            </w:r>
            <w:r>
              <w:rPr>
                <w:rFonts w:hint="eastAsia" w:ascii="宋体" w:hAnsi="宋体" w:cs="宋体"/>
                <w:color w:val="auto"/>
                <w:szCs w:val="24"/>
                <w:highlight w:val="none"/>
                <w:lang w:val="en-US" w:eastAsia="zh-CN"/>
              </w:rPr>
              <w:t>6</w:t>
            </w:r>
            <w:r>
              <w:rPr>
                <w:rFonts w:ascii="宋体" w:hAnsi="宋体" w:cs="宋体"/>
                <w:color w:val="auto"/>
                <w:szCs w:val="24"/>
                <w:highlight w:val="none"/>
              </w:rPr>
              <w:t>分；</w:t>
            </w:r>
          </w:p>
          <w:p w14:paraId="41051CE6">
            <w:pPr>
              <w:spacing w:line="360" w:lineRule="auto"/>
              <w:ind w:firstLine="0" w:firstLineChars="0"/>
              <w:rPr>
                <w:rFonts w:hint="eastAsia" w:eastAsia="宋体"/>
                <w:color w:val="auto"/>
                <w:highlight w:val="none"/>
                <w:lang w:eastAsia="zh-CN"/>
              </w:rPr>
            </w:pPr>
            <w:r>
              <w:rPr>
                <w:rFonts w:ascii="宋体" w:hAnsi="宋体" w:cs="宋体"/>
                <w:color w:val="auto"/>
                <w:szCs w:val="24"/>
                <w:highlight w:val="none"/>
              </w:rPr>
              <w:t>未提供或无任何针对性、可行性，本项不得分</w:t>
            </w:r>
            <w:r>
              <w:rPr>
                <w:rFonts w:hint="eastAsia" w:ascii="宋体" w:hAnsi="宋体" w:cs="宋体"/>
                <w:color w:val="auto"/>
                <w:szCs w:val="24"/>
                <w:highlight w:val="none"/>
                <w:lang w:eastAsia="zh-CN"/>
              </w:rPr>
              <w:t>。</w:t>
            </w:r>
          </w:p>
        </w:tc>
      </w:tr>
      <w:tr w14:paraId="37BA0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90" w:hRule="atLeast"/>
          <w:jc w:val="center"/>
        </w:trPr>
        <w:tc>
          <w:tcPr>
            <w:tcW w:w="903" w:type="dxa"/>
            <w:vMerge w:val="continue"/>
            <w:tcBorders>
              <w:top w:val="single" w:color="auto" w:sz="4" w:space="0"/>
              <w:right w:val="single" w:color="auto" w:sz="4" w:space="0"/>
            </w:tcBorders>
            <w:noWrap w:val="0"/>
            <w:vAlign w:val="center"/>
          </w:tcPr>
          <w:p w14:paraId="57B2F92D">
            <w:pPr>
              <w:spacing w:line="440" w:lineRule="exact"/>
              <w:ind w:firstLine="480"/>
              <w:jc w:val="center"/>
              <w:rPr>
                <w:color w:val="auto"/>
                <w:highlight w:val="none"/>
              </w:rPr>
            </w:pPr>
          </w:p>
        </w:tc>
        <w:tc>
          <w:tcPr>
            <w:tcW w:w="1214" w:type="dxa"/>
            <w:vMerge w:val="continue"/>
            <w:tcBorders>
              <w:top w:val="single" w:color="auto" w:sz="4" w:space="0"/>
              <w:right w:val="single" w:color="auto" w:sz="4" w:space="0"/>
            </w:tcBorders>
            <w:noWrap w:val="0"/>
            <w:vAlign w:val="center"/>
          </w:tcPr>
          <w:p w14:paraId="6113ADED">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A58261E">
            <w:pPr>
              <w:spacing w:line="360" w:lineRule="auto"/>
              <w:ind w:firstLine="0" w:firstLineChars="0"/>
              <w:jc w:val="center"/>
              <w:rPr>
                <w:color w:val="auto"/>
                <w:szCs w:val="21"/>
                <w:highlight w:val="none"/>
              </w:rPr>
            </w:pPr>
            <w:r>
              <w:rPr>
                <w:rFonts w:ascii="宋体" w:hAnsi="宋体" w:cs="宋体"/>
                <w:color w:val="auto"/>
                <w:szCs w:val="24"/>
                <w:highlight w:val="none"/>
              </w:rPr>
              <w:t>工程质量控制措施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3163A57">
            <w:pPr>
              <w:spacing w:line="360" w:lineRule="auto"/>
              <w:ind w:firstLine="0" w:firstLineChars="0"/>
              <w:jc w:val="center"/>
              <w:rPr>
                <w:color w:val="auto"/>
                <w:highlight w:val="none"/>
              </w:rPr>
            </w:pPr>
            <w:r>
              <w:rPr>
                <w:rFonts w:hint="eastAsia" w:ascii="宋体" w:hAnsi="宋体"/>
                <w:color w:val="auto"/>
                <w:kern w:val="0"/>
                <w:szCs w:val="21"/>
                <w:highlight w:val="none"/>
              </w:rPr>
              <w:t>10分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619B6C56">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工程质量控制措施。</w:t>
            </w:r>
          </w:p>
          <w:p w14:paraId="3AE396F6">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详细、计划可行性合理有效得</w:t>
            </w:r>
            <w:r>
              <w:rPr>
                <w:rFonts w:hint="eastAsia" w:ascii="宋体" w:hAnsi="宋体" w:cs="宋体"/>
                <w:color w:val="auto"/>
                <w:szCs w:val="24"/>
                <w:highlight w:val="none"/>
                <w:lang w:val="en-US" w:eastAsia="zh-CN"/>
              </w:rPr>
              <w:t>9</w:t>
            </w:r>
            <w:r>
              <w:rPr>
                <w:rFonts w:ascii="宋体" w:hAnsi="宋体" w:cs="宋体"/>
                <w:color w:val="auto"/>
                <w:szCs w:val="24"/>
                <w:highlight w:val="none"/>
              </w:rPr>
              <w:t>≤F≤10分；</w:t>
            </w:r>
          </w:p>
          <w:p w14:paraId="63837BC8">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可行性一般、计划一般得</w:t>
            </w:r>
            <w:r>
              <w:rPr>
                <w:rFonts w:hint="eastAsia" w:ascii="宋体" w:hAnsi="宋体" w:cs="宋体"/>
                <w:color w:val="auto"/>
                <w:szCs w:val="24"/>
                <w:highlight w:val="none"/>
                <w:lang w:val="en-US" w:eastAsia="zh-CN"/>
              </w:rPr>
              <w:t>6</w:t>
            </w:r>
            <w:r>
              <w:rPr>
                <w:rFonts w:ascii="宋体" w:hAnsi="宋体" w:cs="宋体"/>
                <w:color w:val="auto"/>
                <w:szCs w:val="24"/>
                <w:highlight w:val="none"/>
              </w:rPr>
              <w:t>≤F＜</w:t>
            </w:r>
            <w:r>
              <w:rPr>
                <w:rFonts w:hint="eastAsia" w:ascii="宋体" w:hAnsi="宋体" w:cs="宋体"/>
                <w:color w:val="auto"/>
                <w:szCs w:val="24"/>
                <w:highlight w:val="none"/>
                <w:lang w:val="en-US" w:eastAsia="zh-CN"/>
              </w:rPr>
              <w:t>9</w:t>
            </w:r>
            <w:r>
              <w:rPr>
                <w:rFonts w:ascii="宋体" w:hAnsi="宋体" w:cs="宋体"/>
                <w:color w:val="auto"/>
                <w:szCs w:val="24"/>
                <w:highlight w:val="none"/>
              </w:rPr>
              <w:t>分；</w:t>
            </w:r>
          </w:p>
          <w:p w14:paraId="6C7AD9CE">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较差，缺乏针对性和合理性0</w:t>
            </w:r>
            <w:r>
              <w:rPr>
                <w:rFonts w:hint="eastAsia" w:ascii="宋体" w:hAnsi="宋体" w:cs="宋体"/>
                <w:color w:val="auto"/>
                <w:szCs w:val="24"/>
                <w:highlight w:val="none"/>
                <w:lang w:val="en-US" w:eastAsia="zh-CN"/>
              </w:rPr>
              <w:t>≤</w:t>
            </w:r>
            <w:r>
              <w:rPr>
                <w:rFonts w:ascii="宋体" w:hAnsi="宋体" w:cs="宋体"/>
                <w:color w:val="auto"/>
                <w:szCs w:val="24"/>
                <w:highlight w:val="none"/>
              </w:rPr>
              <w:t>F＜</w:t>
            </w:r>
            <w:r>
              <w:rPr>
                <w:rFonts w:hint="eastAsia" w:ascii="宋体" w:hAnsi="宋体" w:cs="宋体"/>
                <w:color w:val="auto"/>
                <w:szCs w:val="24"/>
                <w:highlight w:val="none"/>
                <w:lang w:val="en-US" w:eastAsia="zh-CN"/>
              </w:rPr>
              <w:t>6</w:t>
            </w:r>
            <w:r>
              <w:rPr>
                <w:rFonts w:ascii="宋体" w:hAnsi="宋体" w:cs="宋体"/>
                <w:color w:val="auto"/>
                <w:szCs w:val="24"/>
                <w:highlight w:val="none"/>
              </w:rPr>
              <w:t>分；</w:t>
            </w:r>
          </w:p>
          <w:p w14:paraId="0C3C4446">
            <w:pPr>
              <w:spacing w:line="360" w:lineRule="auto"/>
              <w:ind w:firstLine="0" w:firstLineChars="0"/>
              <w:rPr>
                <w:rFonts w:hint="eastAsia" w:eastAsia="宋体"/>
                <w:color w:val="auto"/>
                <w:highlight w:val="none"/>
                <w:lang w:eastAsia="zh-CN"/>
              </w:rPr>
            </w:pPr>
            <w:r>
              <w:rPr>
                <w:rFonts w:ascii="宋体" w:hAnsi="宋体" w:cs="宋体"/>
                <w:color w:val="auto"/>
                <w:szCs w:val="24"/>
                <w:highlight w:val="none"/>
              </w:rPr>
              <w:t>未提供或无任何针对性、可行性，本项不得分</w:t>
            </w:r>
            <w:r>
              <w:rPr>
                <w:rFonts w:hint="eastAsia" w:ascii="宋体" w:hAnsi="宋体" w:cs="宋体"/>
                <w:color w:val="auto"/>
                <w:szCs w:val="24"/>
                <w:highlight w:val="none"/>
                <w:lang w:eastAsia="zh-CN"/>
              </w:rPr>
              <w:t>。</w:t>
            </w:r>
          </w:p>
        </w:tc>
      </w:tr>
      <w:tr w14:paraId="1ECB6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jc w:val="center"/>
        </w:trPr>
        <w:tc>
          <w:tcPr>
            <w:tcW w:w="903" w:type="dxa"/>
            <w:vMerge w:val="continue"/>
            <w:tcBorders>
              <w:top w:val="single" w:color="auto" w:sz="4" w:space="0"/>
              <w:right w:val="single" w:color="auto" w:sz="4" w:space="0"/>
            </w:tcBorders>
            <w:noWrap w:val="0"/>
            <w:vAlign w:val="center"/>
          </w:tcPr>
          <w:p w14:paraId="7BD125DB">
            <w:pPr>
              <w:spacing w:line="440" w:lineRule="exact"/>
              <w:ind w:firstLine="480"/>
              <w:jc w:val="center"/>
              <w:rPr>
                <w:color w:val="auto"/>
                <w:highlight w:val="none"/>
              </w:rPr>
            </w:pPr>
          </w:p>
        </w:tc>
        <w:tc>
          <w:tcPr>
            <w:tcW w:w="1214" w:type="dxa"/>
            <w:vMerge w:val="continue"/>
            <w:tcBorders>
              <w:top w:val="single" w:color="auto" w:sz="4" w:space="0"/>
              <w:right w:val="single" w:color="auto" w:sz="4" w:space="0"/>
            </w:tcBorders>
            <w:noWrap w:val="0"/>
            <w:vAlign w:val="center"/>
          </w:tcPr>
          <w:p w14:paraId="3900001E">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877D065">
            <w:pPr>
              <w:spacing w:line="360" w:lineRule="auto"/>
              <w:ind w:firstLine="0" w:firstLineChars="0"/>
              <w:jc w:val="center"/>
              <w:rPr>
                <w:color w:val="auto"/>
                <w:szCs w:val="21"/>
                <w:highlight w:val="none"/>
              </w:rPr>
            </w:pPr>
            <w:r>
              <w:rPr>
                <w:rFonts w:ascii="宋体" w:hAnsi="宋体" w:cs="宋体"/>
                <w:color w:val="auto"/>
                <w:szCs w:val="24"/>
                <w:highlight w:val="none"/>
              </w:rPr>
              <w:t>工程进度控制措施对策及监理建议</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551F071">
            <w:pPr>
              <w:spacing w:line="360" w:lineRule="auto"/>
              <w:ind w:firstLine="0" w:firstLineChars="0"/>
              <w:jc w:val="center"/>
              <w:rPr>
                <w:color w:val="auto"/>
                <w:highlight w:val="none"/>
              </w:rPr>
            </w:pPr>
            <w:r>
              <w:rPr>
                <w:rFonts w:hint="eastAsia" w:ascii="宋体" w:hAnsi="宋体"/>
                <w:color w:val="auto"/>
                <w:kern w:val="0"/>
                <w:szCs w:val="21"/>
                <w:highlight w:val="none"/>
              </w:rPr>
              <w:t>10分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350E4E5D">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现状分析、工程进度控制措施对策及监理建议。</w:t>
            </w:r>
          </w:p>
          <w:p w14:paraId="737194C0">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详细、计划可行性合理有效得</w:t>
            </w:r>
            <w:r>
              <w:rPr>
                <w:rFonts w:hint="eastAsia" w:ascii="宋体" w:hAnsi="宋体" w:cs="宋体"/>
                <w:color w:val="auto"/>
                <w:szCs w:val="24"/>
                <w:highlight w:val="none"/>
                <w:lang w:val="en-US" w:eastAsia="zh-CN"/>
              </w:rPr>
              <w:t>9</w:t>
            </w:r>
            <w:r>
              <w:rPr>
                <w:rFonts w:ascii="宋体" w:hAnsi="宋体" w:cs="宋体"/>
                <w:color w:val="auto"/>
                <w:szCs w:val="24"/>
                <w:highlight w:val="none"/>
              </w:rPr>
              <w:t>≤F≤10分；</w:t>
            </w:r>
          </w:p>
          <w:p w14:paraId="6118FD91">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可行性一般、计划一般得</w:t>
            </w:r>
            <w:r>
              <w:rPr>
                <w:rFonts w:hint="eastAsia" w:ascii="宋体" w:hAnsi="宋体" w:cs="宋体"/>
                <w:color w:val="auto"/>
                <w:szCs w:val="24"/>
                <w:highlight w:val="none"/>
                <w:lang w:val="en-US" w:eastAsia="zh-CN"/>
              </w:rPr>
              <w:t>6</w:t>
            </w:r>
            <w:r>
              <w:rPr>
                <w:rFonts w:ascii="宋体" w:hAnsi="宋体" w:cs="宋体"/>
                <w:color w:val="auto"/>
                <w:szCs w:val="24"/>
                <w:highlight w:val="none"/>
              </w:rPr>
              <w:t>≤F＜</w:t>
            </w:r>
            <w:r>
              <w:rPr>
                <w:rFonts w:hint="eastAsia" w:ascii="宋体" w:hAnsi="宋体" w:cs="宋体"/>
                <w:color w:val="auto"/>
                <w:szCs w:val="24"/>
                <w:highlight w:val="none"/>
                <w:lang w:val="en-US" w:eastAsia="zh-CN"/>
              </w:rPr>
              <w:t>9</w:t>
            </w:r>
            <w:r>
              <w:rPr>
                <w:rFonts w:ascii="宋体" w:hAnsi="宋体" w:cs="宋体"/>
                <w:color w:val="auto"/>
                <w:szCs w:val="24"/>
                <w:highlight w:val="none"/>
              </w:rPr>
              <w:t>分；</w:t>
            </w:r>
          </w:p>
          <w:p w14:paraId="4003AF4D">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较差，缺乏针对性和合理性0</w:t>
            </w:r>
            <w:r>
              <w:rPr>
                <w:rFonts w:hint="eastAsia" w:ascii="宋体" w:hAnsi="宋体" w:cs="宋体"/>
                <w:color w:val="auto"/>
                <w:szCs w:val="24"/>
                <w:highlight w:val="none"/>
                <w:lang w:val="en-US" w:eastAsia="zh-CN"/>
              </w:rPr>
              <w:t>≤</w:t>
            </w:r>
            <w:r>
              <w:rPr>
                <w:rFonts w:ascii="宋体" w:hAnsi="宋体" w:cs="宋体"/>
                <w:color w:val="auto"/>
                <w:szCs w:val="24"/>
                <w:highlight w:val="none"/>
              </w:rPr>
              <w:t>F＜</w:t>
            </w:r>
            <w:r>
              <w:rPr>
                <w:rFonts w:hint="eastAsia" w:ascii="宋体" w:hAnsi="宋体" w:cs="宋体"/>
                <w:color w:val="auto"/>
                <w:szCs w:val="24"/>
                <w:highlight w:val="none"/>
                <w:lang w:val="en-US" w:eastAsia="zh-CN"/>
              </w:rPr>
              <w:t>6</w:t>
            </w:r>
            <w:r>
              <w:rPr>
                <w:rFonts w:ascii="宋体" w:hAnsi="宋体" w:cs="宋体"/>
                <w:color w:val="auto"/>
                <w:szCs w:val="24"/>
                <w:highlight w:val="none"/>
              </w:rPr>
              <w:t>分；</w:t>
            </w:r>
          </w:p>
          <w:p w14:paraId="471E9936">
            <w:pPr>
              <w:spacing w:line="360" w:lineRule="auto"/>
              <w:ind w:firstLine="0" w:firstLineChars="0"/>
              <w:rPr>
                <w:color w:val="auto"/>
                <w:highlight w:val="none"/>
              </w:rPr>
            </w:pPr>
            <w:r>
              <w:rPr>
                <w:rFonts w:ascii="宋体" w:hAnsi="宋体" w:cs="宋体"/>
                <w:color w:val="auto"/>
                <w:szCs w:val="24"/>
                <w:highlight w:val="none"/>
              </w:rPr>
              <w:t>未提供或无任何针对性、可行性，本项不得分</w:t>
            </w:r>
          </w:p>
        </w:tc>
      </w:tr>
      <w:tr w14:paraId="74F18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jc w:val="center"/>
        </w:trPr>
        <w:tc>
          <w:tcPr>
            <w:tcW w:w="903" w:type="dxa"/>
            <w:vMerge w:val="continue"/>
            <w:tcBorders>
              <w:top w:val="single" w:color="auto" w:sz="4" w:space="0"/>
              <w:right w:val="single" w:color="auto" w:sz="4" w:space="0"/>
            </w:tcBorders>
            <w:noWrap w:val="0"/>
            <w:vAlign w:val="center"/>
          </w:tcPr>
          <w:p w14:paraId="40E96611">
            <w:pPr>
              <w:spacing w:line="440" w:lineRule="exact"/>
              <w:ind w:firstLine="480"/>
              <w:jc w:val="center"/>
              <w:rPr>
                <w:color w:val="auto"/>
                <w:highlight w:val="none"/>
              </w:rPr>
            </w:pPr>
          </w:p>
        </w:tc>
        <w:tc>
          <w:tcPr>
            <w:tcW w:w="1214" w:type="dxa"/>
            <w:vMerge w:val="continue"/>
            <w:tcBorders>
              <w:top w:val="single" w:color="auto" w:sz="4" w:space="0"/>
              <w:right w:val="single" w:color="auto" w:sz="4" w:space="0"/>
            </w:tcBorders>
            <w:noWrap w:val="0"/>
            <w:vAlign w:val="center"/>
          </w:tcPr>
          <w:p w14:paraId="6D69CADA">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C1267C0">
            <w:pPr>
              <w:spacing w:line="360" w:lineRule="auto"/>
              <w:ind w:firstLine="0" w:firstLineChars="0"/>
              <w:jc w:val="center"/>
              <w:rPr>
                <w:color w:val="auto"/>
                <w:szCs w:val="21"/>
                <w:highlight w:val="none"/>
              </w:rPr>
            </w:pPr>
            <w:r>
              <w:rPr>
                <w:rFonts w:ascii="宋体" w:hAnsi="宋体" w:cs="宋体"/>
                <w:color w:val="auto"/>
                <w:szCs w:val="24"/>
                <w:highlight w:val="none"/>
              </w:rPr>
              <w:t>工程投资控制措施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B79222">
            <w:pPr>
              <w:spacing w:line="360" w:lineRule="auto"/>
              <w:ind w:firstLine="0" w:firstLineChars="0"/>
              <w:jc w:val="center"/>
              <w:rPr>
                <w:color w:val="auto"/>
                <w:highlight w:val="none"/>
              </w:rPr>
            </w:pPr>
            <w:r>
              <w:rPr>
                <w:rFonts w:hint="eastAsia" w:ascii="宋体" w:hAnsi="宋体"/>
                <w:color w:val="auto"/>
                <w:kern w:val="0"/>
                <w:szCs w:val="21"/>
                <w:highlight w:val="none"/>
              </w:rPr>
              <w:t>10分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4401CAEE">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工程投资控制措施。</w:t>
            </w:r>
          </w:p>
          <w:p w14:paraId="7DB3A925">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详细、计划可行性合理有效得</w:t>
            </w:r>
            <w:r>
              <w:rPr>
                <w:rFonts w:hint="eastAsia" w:ascii="宋体" w:hAnsi="宋体" w:cs="宋体"/>
                <w:color w:val="auto"/>
                <w:szCs w:val="24"/>
                <w:highlight w:val="none"/>
                <w:lang w:val="en-US" w:eastAsia="zh-CN"/>
              </w:rPr>
              <w:t>9</w:t>
            </w:r>
            <w:r>
              <w:rPr>
                <w:rFonts w:ascii="宋体" w:hAnsi="宋体" w:cs="宋体"/>
                <w:color w:val="auto"/>
                <w:szCs w:val="24"/>
                <w:highlight w:val="none"/>
              </w:rPr>
              <w:t>≤F≤10分；</w:t>
            </w:r>
          </w:p>
          <w:p w14:paraId="59A20904">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可行性一般、计划一般得</w:t>
            </w:r>
            <w:r>
              <w:rPr>
                <w:rFonts w:hint="eastAsia" w:ascii="宋体" w:hAnsi="宋体" w:cs="宋体"/>
                <w:color w:val="auto"/>
                <w:szCs w:val="24"/>
                <w:highlight w:val="none"/>
                <w:lang w:val="en-US" w:eastAsia="zh-CN"/>
              </w:rPr>
              <w:t>6</w:t>
            </w:r>
            <w:r>
              <w:rPr>
                <w:rFonts w:ascii="宋体" w:hAnsi="宋体" w:cs="宋体"/>
                <w:color w:val="auto"/>
                <w:szCs w:val="24"/>
                <w:highlight w:val="none"/>
              </w:rPr>
              <w:t>≤F＜</w:t>
            </w:r>
            <w:r>
              <w:rPr>
                <w:rFonts w:hint="eastAsia" w:ascii="宋体" w:hAnsi="宋体" w:cs="宋体"/>
                <w:color w:val="auto"/>
                <w:szCs w:val="24"/>
                <w:highlight w:val="none"/>
                <w:lang w:val="en-US" w:eastAsia="zh-CN"/>
              </w:rPr>
              <w:t>9</w:t>
            </w:r>
            <w:r>
              <w:rPr>
                <w:rFonts w:ascii="宋体" w:hAnsi="宋体" w:cs="宋体"/>
                <w:color w:val="auto"/>
                <w:szCs w:val="24"/>
                <w:highlight w:val="none"/>
              </w:rPr>
              <w:t>分；</w:t>
            </w:r>
          </w:p>
          <w:p w14:paraId="25AD0C61">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较差，缺乏针对性和合理性0</w:t>
            </w:r>
            <w:r>
              <w:rPr>
                <w:rFonts w:hint="eastAsia" w:ascii="宋体" w:hAnsi="宋体" w:cs="宋体"/>
                <w:color w:val="auto"/>
                <w:szCs w:val="24"/>
                <w:highlight w:val="none"/>
                <w:lang w:val="en-US" w:eastAsia="zh-CN"/>
              </w:rPr>
              <w:t>≤</w:t>
            </w:r>
            <w:r>
              <w:rPr>
                <w:rFonts w:ascii="宋体" w:hAnsi="宋体" w:cs="宋体"/>
                <w:color w:val="auto"/>
                <w:szCs w:val="24"/>
                <w:highlight w:val="none"/>
              </w:rPr>
              <w:t>F＜</w:t>
            </w:r>
            <w:r>
              <w:rPr>
                <w:rFonts w:hint="eastAsia" w:ascii="宋体" w:hAnsi="宋体" w:cs="宋体"/>
                <w:color w:val="auto"/>
                <w:szCs w:val="24"/>
                <w:highlight w:val="none"/>
                <w:lang w:val="en-US" w:eastAsia="zh-CN"/>
              </w:rPr>
              <w:t>6</w:t>
            </w:r>
            <w:r>
              <w:rPr>
                <w:rFonts w:ascii="宋体" w:hAnsi="宋体" w:cs="宋体"/>
                <w:color w:val="auto"/>
                <w:szCs w:val="24"/>
                <w:highlight w:val="none"/>
              </w:rPr>
              <w:t>分；</w:t>
            </w:r>
          </w:p>
          <w:p w14:paraId="681C1A4B">
            <w:pPr>
              <w:spacing w:line="360" w:lineRule="auto"/>
              <w:ind w:firstLine="0" w:firstLineChars="0"/>
              <w:rPr>
                <w:color w:val="auto"/>
                <w:highlight w:val="none"/>
              </w:rPr>
            </w:pPr>
            <w:r>
              <w:rPr>
                <w:rFonts w:ascii="宋体" w:hAnsi="宋体" w:cs="宋体"/>
                <w:color w:val="auto"/>
                <w:szCs w:val="24"/>
                <w:highlight w:val="none"/>
              </w:rPr>
              <w:t>未提供或无任何针对性、可行性，本项不得分</w:t>
            </w:r>
          </w:p>
        </w:tc>
      </w:tr>
      <w:tr w14:paraId="70ECB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jc w:val="center"/>
        </w:trPr>
        <w:tc>
          <w:tcPr>
            <w:tcW w:w="903" w:type="dxa"/>
            <w:vMerge w:val="continue"/>
            <w:tcBorders>
              <w:top w:val="single" w:color="auto" w:sz="4" w:space="0"/>
              <w:right w:val="single" w:color="auto" w:sz="4" w:space="0"/>
            </w:tcBorders>
            <w:noWrap w:val="0"/>
            <w:vAlign w:val="center"/>
          </w:tcPr>
          <w:p w14:paraId="0714250A">
            <w:pPr>
              <w:spacing w:line="440" w:lineRule="exact"/>
              <w:ind w:firstLine="480"/>
              <w:jc w:val="center"/>
              <w:rPr>
                <w:color w:val="auto"/>
                <w:highlight w:val="none"/>
              </w:rPr>
            </w:pPr>
          </w:p>
        </w:tc>
        <w:tc>
          <w:tcPr>
            <w:tcW w:w="1214" w:type="dxa"/>
            <w:vMerge w:val="continue"/>
            <w:tcBorders>
              <w:top w:val="single" w:color="auto" w:sz="4" w:space="0"/>
              <w:right w:val="single" w:color="auto" w:sz="4" w:space="0"/>
            </w:tcBorders>
            <w:noWrap w:val="0"/>
            <w:vAlign w:val="center"/>
          </w:tcPr>
          <w:p w14:paraId="68BEA8DE">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425ED4">
            <w:pPr>
              <w:spacing w:line="360" w:lineRule="auto"/>
              <w:ind w:firstLine="0" w:firstLineChars="0"/>
              <w:jc w:val="center"/>
              <w:rPr>
                <w:color w:val="auto"/>
                <w:kern w:val="2"/>
                <w:sz w:val="24"/>
                <w:szCs w:val="22"/>
                <w:highlight w:val="none"/>
                <w:lang w:val="en-US" w:eastAsia="zh-CN" w:bidi="ar-SA"/>
              </w:rPr>
            </w:pPr>
            <w:r>
              <w:rPr>
                <w:rFonts w:ascii="宋体" w:hAnsi="宋体" w:cs="宋体"/>
                <w:color w:val="auto"/>
                <w:szCs w:val="24"/>
                <w:highlight w:val="none"/>
              </w:rPr>
              <w:t>本工程的重点、难点的处理措施及合理化建议</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3E963E">
            <w:pPr>
              <w:spacing w:line="360" w:lineRule="auto"/>
              <w:ind w:firstLine="0" w:firstLineChars="0"/>
              <w:jc w:val="center"/>
              <w:rPr>
                <w:rFonts w:ascii="宋体" w:hAnsi="宋体"/>
                <w:color w:val="auto"/>
                <w:kern w:val="0"/>
                <w:sz w:val="24"/>
                <w:szCs w:val="21"/>
                <w:highlight w:val="none"/>
                <w:lang w:val="en-US" w:eastAsia="zh-CN" w:bidi="ar-SA"/>
              </w:rPr>
            </w:pPr>
            <w:r>
              <w:rPr>
                <w:rFonts w:hint="eastAsia" w:ascii="宋体" w:hAnsi="宋体"/>
                <w:color w:val="auto"/>
                <w:kern w:val="0"/>
                <w:szCs w:val="21"/>
                <w:highlight w:val="none"/>
              </w:rPr>
              <w:t>10分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111D5329">
            <w:pPr>
              <w:widowControl/>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针对本工程</w:t>
            </w:r>
            <w:r>
              <w:rPr>
                <w:rFonts w:hint="eastAsia" w:ascii="宋体" w:hAnsi="宋体" w:cs="宋体"/>
                <w:color w:val="auto"/>
                <w:szCs w:val="24"/>
                <w:highlight w:val="none"/>
              </w:rPr>
              <w:t>潜在</w:t>
            </w:r>
            <w:r>
              <w:rPr>
                <w:rFonts w:ascii="宋体" w:hAnsi="宋体" w:cs="宋体"/>
                <w:color w:val="auto"/>
                <w:szCs w:val="24"/>
                <w:highlight w:val="none"/>
              </w:rPr>
              <w:t xml:space="preserve">的重点、难点的处理措施及合理化建议。 </w:t>
            </w:r>
          </w:p>
          <w:p w14:paraId="7082F650">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详细、计划可行性合理有效得</w:t>
            </w:r>
            <w:r>
              <w:rPr>
                <w:rFonts w:hint="eastAsia" w:ascii="宋体" w:hAnsi="宋体" w:cs="宋体"/>
                <w:color w:val="auto"/>
                <w:szCs w:val="24"/>
                <w:highlight w:val="none"/>
                <w:lang w:val="en-US" w:eastAsia="zh-CN"/>
              </w:rPr>
              <w:t>9</w:t>
            </w:r>
            <w:r>
              <w:rPr>
                <w:rFonts w:ascii="宋体" w:hAnsi="宋体" w:cs="宋体"/>
                <w:color w:val="auto"/>
                <w:szCs w:val="24"/>
                <w:highlight w:val="none"/>
              </w:rPr>
              <w:t>≤F≤10分；</w:t>
            </w:r>
          </w:p>
          <w:p w14:paraId="4E81866C">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可行性一般、计划一般得</w:t>
            </w:r>
            <w:r>
              <w:rPr>
                <w:rFonts w:hint="eastAsia" w:ascii="宋体" w:hAnsi="宋体" w:cs="宋体"/>
                <w:color w:val="auto"/>
                <w:szCs w:val="24"/>
                <w:highlight w:val="none"/>
                <w:lang w:val="en-US" w:eastAsia="zh-CN"/>
              </w:rPr>
              <w:t>6</w:t>
            </w:r>
            <w:r>
              <w:rPr>
                <w:rFonts w:ascii="宋体" w:hAnsi="宋体" w:cs="宋体"/>
                <w:color w:val="auto"/>
                <w:szCs w:val="24"/>
                <w:highlight w:val="none"/>
              </w:rPr>
              <w:t>≤F＜</w:t>
            </w:r>
            <w:r>
              <w:rPr>
                <w:rFonts w:hint="eastAsia" w:ascii="宋体" w:hAnsi="宋体" w:cs="宋体"/>
                <w:color w:val="auto"/>
                <w:szCs w:val="24"/>
                <w:highlight w:val="none"/>
                <w:lang w:val="en-US" w:eastAsia="zh-CN"/>
              </w:rPr>
              <w:t>9</w:t>
            </w:r>
            <w:r>
              <w:rPr>
                <w:rFonts w:ascii="宋体" w:hAnsi="宋体" w:cs="宋体"/>
                <w:color w:val="auto"/>
                <w:szCs w:val="24"/>
                <w:highlight w:val="none"/>
              </w:rPr>
              <w:t>分；</w:t>
            </w:r>
          </w:p>
          <w:p w14:paraId="4CC137B4">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较差，缺乏针对性和合理性0</w:t>
            </w:r>
            <w:r>
              <w:rPr>
                <w:rFonts w:hint="eastAsia" w:ascii="宋体" w:hAnsi="宋体" w:cs="宋体"/>
                <w:color w:val="auto"/>
                <w:szCs w:val="24"/>
                <w:highlight w:val="none"/>
                <w:lang w:val="en-US" w:eastAsia="zh-CN"/>
              </w:rPr>
              <w:t>≤</w:t>
            </w:r>
            <w:r>
              <w:rPr>
                <w:rFonts w:ascii="宋体" w:hAnsi="宋体" w:cs="宋体"/>
                <w:color w:val="auto"/>
                <w:szCs w:val="24"/>
                <w:highlight w:val="none"/>
              </w:rPr>
              <w:t>F＜</w:t>
            </w:r>
            <w:r>
              <w:rPr>
                <w:rFonts w:hint="eastAsia" w:ascii="宋体" w:hAnsi="宋体" w:cs="宋体"/>
                <w:color w:val="auto"/>
                <w:szCs w:val="24"/>
                <w:highlight w:val="none"/>
                <w:lang w:val="en-US" w:eastAsia="zh-CN"/>
              </w:rPr>
              <w:t>6</w:t>
            </w:r>
            <w:r>
              <w:rPr>
                <w:rFonts w:ascii="宋体" w:hAnsi="宋体" w:cs="宋体"/>
                <w:color w:val="auto"/>
                <w:szCs w:val="24"/>
                <w:highlight w:val="none"/>
              </w:rPr>
              <w:t>分；</w:t>
            </w:r>
          </w:p>
          <w:p w14:paraId="06D774EE">
            <w:pPr>
              <w:widowControl/>
              <w:spacing w:line="360" w:lineRule="auto"/>
              <w:ind w:firstLine="0" w:firstLineChars="0"/>
              <w:rPr>
                <w:rFonts w:hint="eastAsia"/>
                <w:color w:val="auto"/>
                <w:kern w:val="2"/>
                <w:sz w:val="24"/>
                <w:szCs w:val="21"/>
                <w:highlight w:val="none"/>
                <w:lang w:val="en-US" w:eastAsia="zh-CN" w:bidi="ar-SA"/>
              </w:rPr>
            </w:pPr>
            <w:r>
              <w:rPr>
                <w:rFonts w:ascii="宋体" w:hAnsi="宋体" w:cs="宋体"/>
                <w:color w:val="auto"/>
                <w:szCs w:val="24"/>
                <w:highlight w:val="none"/>
              </w:rPr>
              <w:t>未提供或无任何针对性、可行性，本项不得分</w:t>
            </w:r>
          </w:p>
        </w:tc>
      </w:tr>
      <w:tr w14:paraId="2B354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jc w:val="center"/>
        </w:trPr>
        <w:tc>
          <w:tcPr>
            <w:tcW w:w="903" w:type="dxa"/>
            <w:vMerge w:val="continue"/>
            <w:tcBorders>
              <w:top w:val="single" w:color="auto" w:sz="4" w:space="0"/>
              <w:right w:val="single" w:color="auto" w:sz="4" w:space="0"/>
            </w:tcBorders>
            <w:noWrap w:val="0"/>
            <w:vAlign w:val="center"/>
          </w:tcPr>
          <w:p w14:paraId="77325E6E">
            <w:pPr>
              <w:spacing w:line="440" w:lineRule="exact"/>
              <w:ind w:firstLine="480"/>
              <w:jc w:val="center"/>
              <w:rPr>
                <w:color w:val="auto"/>
                <w:highlight w:val="none"/>
              </w:rPr>
            </w:pPr>
          </w:p>
        </w:tc>
        <w:tc>
          <w:tcPr>
            <w:tcW w:w="1214" w:type="dxa"/>
            <w:vMerge w:val="continue"/>
            <w:tcBorders>
              <w:top w:val="single" w:color="auto" w:sz="4" w:space="0"/>
              <w:right w:val="single" w:color="auto" w:sz="4" w:space="0"/>
            </w:tcBorders>
            <w:noWrap w:val="0"/>
            <w:vAlign w:val="center"/>
          </w:tcPr>
          <w:p w14:paraId="4721AB11">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192B0AF">
            <w:pPr>
              <w:spacing w:line="360" w:lineRule="auto"/>
              <w:ind w:firstLine="0" w:firstLineChars="0"/>
              <w:jc w:val="center"/>
              <w:rPr>
                <w:color w:val="auto"/>
                <w:kern w:val="2"/>
                <w:sz w:val="24"/>
                <w:szCs w:val="21"/>
                <w:highlight w:val="none"/>
                <w:lang w:val="en-US" w:eastAsia="zh-CN" w:bidi="ar-SA"/>
              </w:rPr>
            </w:pPr>
            <w:r>
              <w:rPr>
                <w:rFonts w:ascii="宋体" w:hAnsi="宋体" w:cs="宋体"/>
                <w:color w:val="auto"/>
                <w:szCs w:val="24"/>
                <w:highlight w:val="none"/>
              </w:rPr>
              <w:t>工程合同与信息管理措施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CBC4D8">
            <w:pPr>
              <w:spacing w:line="360" w:lineRule="auto"/>
              <w:ind w:firstLine="0" w:firstLineChars="0"/>
              <w:jc w:val="center"/>
              <w:rPr>
                <w:rFonts w:hint="eastAsia"/>
                <w:color w:val="auto"/>
                <w:kern w:val="2"/>
                <w:sz w:val="24"/>
                <w:szCs w:val="22"/>
                <w:highlight w:val="none"/>
                <w:lang w:val="en-US" w:eastAsia="zh-CN" w:bidi="ar-SA"/>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3128CA46">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 xml:space="preserve">工程合同与信息管理措施。 </w:t>
            </w:r>
          </w:p>
          <w:p w14:paraId="3E868C9B">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详细、可行性合理有效得</w:t>
            </w:r>
            <w:r>
              <w:rPr>
                <w:rFonts w:hint="eastAsia" w:ascii="宋体" w:hAnsi="宋体" w:cs="宋体"/>
                <w:color w:val="auto"/>
                <w:szCs w:val="24"/>
                <w:highlight w:val="none"/>
                <w:lang w:val="en-US" w:eastAsia="zh-CN"/>
              </w:rPr>
              <w:t>9</w:t>
            </w:r>
            <w:r>
              <w:rPr>
                <w:rFonts w:ascii="宋体" w:hAnsi="宋体" w:cs="宋体"/>
                <w:color w:val="auto"/>
                <w:szCs w:val="24"/>
                <w:highlight w:val="none"/>
              </w:rPr>
              <w:t>≤F≤10分；</w:t>
            </w:r>
          </w:p>
          <w:p w14:paraId="60B7E151">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可行性一般、计划一般得</w:t>
            </w:r>
            <w:r>
              <w:rPr>
                <w:rFonts w:hint="eastAsia" w:ascii="宋体" w:hAnsi="宋体" w:cs="宋体"/>
                <w:color w:val="auto"/>
                <w:szCs w:val="24"/>
                <w:highlight w:val="none"/>
                <w:lang w:val="en-US" w:eastAsia="zh-CN"/>
              </w:rPr>
              <w:t>6</w:t>
            </w:r>
            <w:r>
              <w:rPr>
                <w:rFonts w:ascii="宋体" w:hAnsi="宋体" w:cs="宋体"/>
                <w:color w:val="auto"/>
                <w:szCs w:val="24"/>
                <w:highlight w:val="none"/>
              </w:rPr>
              <w:t>≤F＜</w:t>
            </w:r>
            <w:r>
              <w:rPr>
                <w:rFonts w:hint="eastAsia" w:ascii="宋体" w:hAnsi="宋体" w:cs="宋体"/>
                <w:color w:val="auto"/>
                <w:szCs w:val="24"/>
                <w:highlight w:val="none"/>
                <w:lang w:val="en-US" w:eastAsia="zh-CN"/>
              </w:rPr>
              <w:t>9</w:t>
            </w:r>
            <w:r>
              <w:rPr>
                <w:rFonts w:ascii="宋体" w:hAnsi="宋体" w:cs="宋体"/>
                <w:color w:val="auto"/>
                <w:szCs w:val="24"/>
                <w:highlight w:val="none"/>
              </w:rPr>
              <w:t>分；</w:t>
            </w:r>
          </w:p>
          <w:p w14:paraId="4F3F5B88">
            <w:pPr>
              <w:spacing w:line="360" w:lineRule="auto"/>
              <w:ind w:firstLine="0" w:firstLineChars="0"/>
              <w:rPr>
                <w:rFonts w:ascii="宋体" w:hAnsi="宋体" w:cs="宋体"/>
                <w:color w:val="auto"/>
                <w:szCs w:val="24"/>
                <w:highlight w:val="none"/>
              </w:rPr>
            </w:pPr>
            <w:r>
              <w:rPr>
                <w:rFonts w:ascii="宋体" w:hAnsi="宋体" w:cs="宋体"/>
                <w:color w:val="auto"/>
                <w:szCs w:val="24"/>
                <w:highlight w:val="none"/>
              </w:rPr>
              <w:t>较差，缺乏针对性和合理性0</w:t>
            </w:r>
            <w:r>
              <w:rPr>
                <w:rFonts w:hint="eastAsia" w:ascii="宋体" w:hAnsi="宋体" w:cs="宋体"/>
                <w:color w:val="auto"/>
                <w:szCs w:val="24"/>
                <w:highlight w:val="none"/>
                <w:lang w:val="en-US" w:eastAsia="zh-CN"/>
              </w:rPr>
              <w:t>≤</w:t>
            </w:r>
            <w:r>
              <w:rPr>
                <w:rFonts w:ascii="宋体" w:hAnsi="宋体" w:cs="宋体"/>
                <w:color w:val="auto"/>
                <w:szCs w:val="24"/>
                <w:highlight w:val="none"/>
              </w:rPr>
              <w:t>F＜</w:t>
            </w:r>
            <w:r>
              <w:rPr>
                <w:rFonts w:hint="eastAsia" w:ascii="宋体" w:hAnsi="宋体" w:cs="宋体"/>
                <w:color w:val="auto"/>
                <w:szCs w:val="24"/>
                <w:highlight w:val="none"/>
                <w:lang w:val="en-US" w:eastAsia="zh-CN"/>
              </w:rPr>
              <w:t>6</w:t>
            </w:r>
            <w:r>
              <w:rPr>
                <w:rFonts w:ascii="宋体" w:hAnsi="宋体" w:cs="宋体"/>
                <w:color w:val="auto"/>
                <w:szCs w:val="24"/>
                <w:highlight w:val="none"/>
              </w:rPr>
              <w:t>分；</w:t>
            </w:r>
          </w:p>
          <w:p w14:paraId="740A7EAF">
            <w:pPr>
              <w:spacing w:line="360" w:lineRule="auto"/>
              <w:ind w:firstLine="0" w:firstLineChars="0"/>
              <w:rPr>
                <w:rFonts w:hint="eastAsia"/>
                <w:color w:val="auto"/>
                <w:kern w:val="2"/>
                <w:sz w:val="24"/>
                <w:szCs w:val="22"/>
                <w:highlight w:val="none"/>
                <w:lang w:val="en-US" w:eastAsia="zh-CN" w:bidi="ar-SA"/>
              </w:rPr>
            </w:pPr>
            <w:r>
              <w:rPr>
                <w:rFonts w:ascii="宋体" w:hAnsi="宋体" w:cs="宋体"/>
                <w:color w:val="auto"/>
                <w:szCs w:val="24"/>
                <w:highlight w:val="none"/>
              </w:rPr>
              <w:t>未提供或无任何针对性、可行性，本项不得分</w:t>
            </w:r>
          </w:p>
        </w:tc>
      </w:tr>
      <w:tr w14:paraId="7885F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jc w:val="center"/>
        </w:trPr>
        <w:tc>
          <w:tcPr>
            <w:tcW w:w="903" w:type="dxa"/>
            <w:vMerge w:val="restart"/>
            <w:tcBorders>
              <w:top w:val="single" w:color="auto" w:sz="4" w:space="0"/>
              <w:right w:val="single" w:color="auto" w:sz="4" w:space="0"/>
            </w:tcBorders>
            <w:noWrap w:val="0"/>
            <w:vAlign w:val="center"/>
          </w:tcPr>
          <w:p w14:paraId="3AB27AEA">
            <w:pPr>
              <w:spacing w:line="440" w:lineRule="exact"/>
              <w:ind w:firstLine="0" w:firstLineChars="0"/>
              <w:rPr>
                <w:color w:val="auto"/>
                <w:highlight w:val="none"/>
              </w:rPr>
            </w:pPr>
            <w:r>
              <w:rPr>
                <w:color w:val="auto"/>
                <w:highlight w:val="none"/>
              </w:rPr>
              <w:t>2.2.</w:t>
            </w:r>
            <w:r>
              <w:rPr>
                <w:rFonts w:hint="eastAsia"/>
                <w:color w:val="auto"/>
                <w:highlight w:val="none"/>
              </w:rPr>
              <w:t>2（2）</w:t>
            </w:r>
          </w:p>
        </w:tc>
        <w:tc>
          <w:tcPr>
            <w:tcW w:w="1214" w:type="dxa"/>
            <w:vMerge w:val="restart"/>
            <w:tcBorders>
              <w:top w:val="single" w:color="auto" w:sz="4" w:space="0"/>
              <w:right w:val="single" w:color="auto" w:sz="4" w:space="0"/>
            </w:tcBorders>
            <w:noWrap w:val="0"/>
            <w:vAlign w:val="center"/>
          </w:tcPr>
          <w:p w14:paraId="49FCD548">
            <w:pPr>
              <w:spacing w:line="440" w:lineRule="exact"/>
              <w:ind w:firstLine="0" w:firstLineChars="0"/>
              <w:rPr>
                <w:color w:val="auto"/>
                <w:highlight w:val="none"/>
              </w:rPr>
            </w:pPr>
            <w:r>
              <w:rPr>
                <w:rFonts w:hint="eastAsia"/>
                <w:color w:val="auto"/>
                <w:highlight w:val="none"/>
              </w:rPr>
              <w:t>商务评分标准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B83ADE3">
            <w:pPr>
              <w:spacing w:line="440" w:lineRule="exact"/>
              <w:ind w:firstLine="0" w:firstLineChars="0"/>
              <w:jc w:val="center"/>
              <w:rPr>
                <w:color w:val="auto"/>
                <w:szCs w:val="21"/>
                <w:highlight w:val="none"/>
              </w:rPr>
            </w:pPr>
            <w:r>
              <w:rPr>
                <w:rFonts w:ascii="宋体" w:hAnsi="宋体" w:cs="宋体"/>
                <w:color w:val="auto"/>
                <w:szCs w:val="24"/>
                <w:highlight w:val="none"/>
              </w:rPr>
              <w:t>拟委任人员资格</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D13D0FA">
            <w:pPr>
              <w:spacing w:line="440" w:lineRule="exact"/>
              <w:ind w:firstLine="0" w:firstLineChars="0"/>
              <w:jc w:val="center"/>
              <w:rPr>
                <w:color w:val="auto"/>
                <w:highlight w:val="none"/>
              </w:rPr>
            </w:pPr>
            <w:r>
              <w:rPr>
                <w:rFonts w:hint="eastAsia" w:ascii="宋体" w:hAnsi="宋体"/>
                <w:color w:val="auto"/>
                <w:kern w:val="0"/>
                <w:szCs w:val="21"/>
                <w:highlight w:val="none"/>
              </w:rPr>
              <w:t>6分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7FFB3B39">
            <w:pPr>
              <w:spacing w:line="360" w:lineRule="auto"/>
              <w:ind w:firstLine="480" w:firstLineChars="200"/>
              <w:jc w:val="both"/>
              <w:rPr>
                <w:rFonts w:ascii="宋体" w:hAnsi="宋体" w:cs="宋体"/>
                <w:b w:val="0"/>
                <w:bCs w:val="0"/>
                <w:color w:val="auto"/>
                <w:szCs w:val="24"/>
                <w:highlight w:val="none"/>
              </w:rPr>
            </w:pPr>
            <w:r>
              <w:rPr>
                <w:rFonts w:ascii="宋体" w:hAnsi="宋体" w:cs="宋体"/>
                <w:b w:val="0"/>
                <w:bCs w:val="0"/>
                <w:color w:val="auto"/>
                <w:szCs w:val="24"/>
                <w:highlight w:val="none"/>
              </w:rPr>
              <w:t>1、拟任总</w:t>
            </w:r>
            <w:r>
              <w:rPr>
                <w:rFonts w:hint="eastAsia" w:ascii="宋体" w:hAnsi="宋体" w:cs="宋体"/>
                <w:b w:val="0"/>
                <w:bCs w:val="0"/>
                <w:color w:val="auto"/>
                <w:szCs w:val="24"/>
                <w:highlight w:val="none"/>
                <w:lang w:val="en-US" w:eastAsia="zh-CN"/>
              </w:rPr>
              <w:t>监理工程师</w:t>
            </w:r>
            <w:r>
              <w:rPr>
                <w:rFonts w:ascii="宋体" w:hAnsi="宋体" w:cs="宋体"/>
                <w:b w:val="0"/>
                <w:bCs w:val="0"/>
                <w:color w:val="auto"/>
                <w:szCs w:val="24"/>
                <w:highlight w:val="none"/>
              </w:rPr>
              <w:t>具有高级工程师及以上职称的得2分，本小项满分2分。</w:t>
            </w:r>
          </w:p>
          <w:p w14:paraId="77CD5779">
            <w:pPr>
              <w:spacing w:line="360" w:lineRule="auto"/>
              <w:ind w:firstLine="480" w:firstLineChars="200"/>
              <w:jc w:val="both"/>
              <w:rPr>
                <w:rFonts w:ascii="宋体" w:hAnsi="宋体" w:cs="宋体"/>
                <w:b w:val="0"/>
                <w:bCs w:val="0"/>
                <w:color w:val="auto"/>
                <w:szCs w:val="24"/>
                <w:highlight w:val="none"/>
              </w:rPr>
            </w:pPr>
            <w:r>
              <w:rPr>
                <w:rFonts w:ascii="宋体" w:hAnsi="宋体" w:cs="宋体"/>
                <w:b w:val="0"/>
                <w:bCs w:val="0"/>
                <w:color w:val="auto"/>
                <w:szCs w:val="24"/>
                <w:highlight w:val="none"/>
              </w:rPr>
              <w:t>2、拟派监理团队人员（项目总</w:t>
            </w:r>
            <w:r>
              <w:rPr>
                <w:rFonts w:hint="eastAsia" w:ascii="宋体" w:hAnsi="宋体" w:cs="宋体"/>
                <w:b w:val="0"/>
                <w:bCs w:val="0"/>
                <w:color w:val="auto"/>
                <w:szCs w:val="24"/>
                <w:highlight w:val="none"/>
                <w:lang w:val="en-US" w:eastAsia="zh-CN"/>
              </w:rPr>
              <w:t>监理工程师</w:t>
            </w:r>
            <w:r>
              <w:rPr>
                <w:rFonts w:ascii="宋体" w:hAnsi="宋体" w:cs="宋体"/>
                <w:b w:val="0"/>
                <w:bCs w:val="0"/>
                <w:color w:val="auto"/>
                <w:szCs w:val="24"/>
                <w:highlight w:val="none"/>
              </w:rPr>
              <w:t>除外）中具有工程师及以上职称或</w:t>
            </w:r>
            <w:r>
              <w:rPr>
                <w:rFonts w:hint="eastAsia" w:ascii="宋体" w:hAnsi="宋体" w:eastAsia="宋体" w:cs="宋体"/>
                <w:b w:val="0"/>
                <w:bCs w:val="0"/>
                <w:color w:val="auto"/>
                <w:szCs w:val="24"/>
                <w:highlight w:val="none"/>
                <w:lang w:val="en-US" w:eastAsia="zh-CN"/>
              </w:rPr>
              <w:t>一级注册造价工程师（或国家级注册造价工程师）</w:t>
            </w:r>
            <w:r>
              <w:rPr>
                <w:rFonts w:ascii="宋体" w:hAnsi="宋体" w:cs="宋体"/>
                <w:b w:val="0"/>
                <w:bCs w:val="0"/>
                <w:color w:val="auto"/>
                <w:szCs w:val="24"/>
                <w:highlight w:val="none"/>
              </w:rPr>
              <w:t>或</w:t>
            </w:r>
            <w:r>
              <w:rPr>
                <w:rFonts w:hint="eastAsia" w:ascii="宋体" w:hAnsi="宋体" w:eastAsia="宋体" w:cs="宋体"/>
                <w:b w:val="0"/>
                <w:bCs w:val="0"/>
                <w:color w:val="auto"/>
                <w:szCs w:val="24"/>
                <w:highlight w:val="none"/>
                <w:lang w:val="en-US" w:eastAsia="zh-CN"/>
              </w:rPr>
              <w:t>注册安全工程师</w:t>
            </w:r>
            <w:r>
              <w:rPr>
                <w:rFonts w:ascii="宋体" w:hAnsi="宋体" w:cs="宋体"/>
                <w:b w:val="0"/>
                <w:bCs w:val="0"/>
                <w:color w:val="auto"/>
                <w:szCs w:val="24"/>
                <w:highlight w:val="none"/>
              </w:rPr>
              <w:t>中任意一类证书的得2分，本小项满分</w:t>
            </w:r>
            <w:r>
              <w:rPr>
                <w:rFonts w:hint="eastAsia" w:ascii="宋体" w:hAnsi="宋体" w:cs="宋体"/>
                <w:b w:val="0"/>
                <w:bCs w:val="0"/>
                <w:color w:val="auto"/>
                <w:szCs w:val="24"/>
                <w:highlight w:val="none"/>
              </w:rPr>
              <w:t>4</w:t>
            </w:r>
            <w:r>
              <w:rPr>
                <w:rFonts w:ascii="宋体" w:hAnsi="宋体" w:cs="宋体"/>
                <w:b w:val="0"/>
                <w:bCs w:val="0"/>
                <w:color w:val="auto"/>
                <w:szCs w:val="24"/>
                <w:highlight w:val="none"/>
              </w:rPr>
              <w:t>分。</w:t>
            </w:r>
          </w:p>
          <w:p w14:paraId="1529F70B">
            <w:pPr>
              <w:spacing w:line="360" w:lineRule="auto"/>
              <w:ind w:firstLine="240" w:firstLineChars="100"/>
              <w:jc w:val="both"/>
              <w:rPr>
                <w:rFonts w:ascii="宋体" w:hAnsi="宋体" w:cs="宋体"/>
                <w:b w:val="0"/>
                <w:bCs w:val="0"/>
                <w:color w:val="auto"/>
                <w:szCs w:val="24"/>
                <w:highlight w:val="none"/>
              </w:rPr>
            </w:pPr>
            <w:r>
              <w:rPr>
                <w:rFonts w:ascii="宋体" w:hAnsi="宋体" w:cs="宋体"/>
                <w:b w:val="0"/>
                <w:bCs w:val="0"/>
                <w:color w:val="auto"/>
                <w:szCs w:val="24"/>
                <w:highlight w:val="none"/>
              </w:rPr>
              <w:t>注：</w:t>
            </w:r>
          </w:p>
          <w:p w14:paraId="6A62B311">
            <w:pPr>
              <w:spacing w:line="360" w:lineRule="auto"/>
              <w:ind w:firstLine="480" w:firstLineChars="200"/>
              <w:jc w:val="both"/>
              <w:rPr>
                <w:rFonts w:hint="eastAsia" w:ascii="宋体" w:hAnsi="宋体" w:eastAsia="宋体" w:cs="宋体"/>
                <w:b w:val="0"/>
                <w:bCs w:val="0"/>
                <w:color w:val="auto"/>
                <w:szCs w:val="24"/>
                <w:highlight w:val="none"/>
                <w:lang w:eastAsia="zh-CN"/>
              </w:rPr>
            </w:pPr>
            <w:r>
              <w:rPr>
                <w:rFonts w:ascii="宋体" w:hAnsi="宋体" w:cs="宋体"/>
                <w:b w:val="0"/>
                <w:bCs w:val="0"/>
                <w:color w:val="auto"/>
                <w:szCs w:val="24"/>
                <w:highlight w:val="none"/>
              </w:rPr>
              <w:t>①投标文件中须提供相关证书扫描件，同时提供投标人为上述人员缴纳的自</w:t>
            </w:r>
            <w:r>
              <w:rPr>
                <w:rFonts w:ascii="宋体" w:hAnsi="宋体" w:cs="宋体"/>
                <w:b w:val="0"/>
                <w:bCs w:val="0"/>
                <w:color w:val="auto"/>
                <w:szCs w:val="24"/>
                <w:highlight w:val="none"/>
              </w:rPr>
              <w:t>202</w:t>
            </w:r>
            <w:r>
              <w:rPr>
                <w:rFonts w:hint="eastAsia" w:ascii="宋体" w:hAnsi="宋体" w:cs="宋体"/>
                <w:b w:val="0"/>
                <w:bCs w:val="0"/>
                <w:color w:val="auto"/>
                <w:szCs w:val="24"/>
                <w:highlight w:val="none"/>
                <w:lang w:val="en-US" w:eastAsia="zh-CN"/>
              </w:rPr>
              <w:t>4</w:t>
            </w:r>
            <w:r>
              <w:rPr>
                <w:rFonts w:ascii="宋体" w:hAnsi="宋体" w:cs="宋体"/>
                <w:b w:val="0"/>
                <w:bCs w:val="0"/>
                <w:color w:val="auto"/>
                <w:szCs w:val="24"/>
                <w:highlight w:val="none"/>
              </w:rPr>
              <w:t>年</w:t>
            </w:r>
            <w:r>
              <w:rPr>
                <w:rFonts w:hint="eastAsia" w:ascii="宋体" w:hAnsi="宋体" w:cs="宋体"/>
                <w:b w:val="0"/>
                <w:bCs w:val="0"/>
                <w:color w:val="auto"/>
                <w:szCs w:val="24"/>
                <w:highlight w:val="none"/>
                <w:lang w:val="en-US" w:eastAsia="zh-CN"/>
              </w:rPr>
              <w:t>11</w:t>
            </w:r>
            <w:r>
              <w:rPr>
                <w:rFonts w:ascii="宋体" w:hAnsi="宋体" w:cs="宋体"/>
                <w:b w:val="0"/>
                <w:bCs w:val="0"/>
                <w:color w:val="auto"/>
                <w:szCs w:val="24"/>
                <w:highlight w:val="none"/>
              </w:rPr>
              <w:t>月1日</w:t>
            </w:r>
            <w:r>
              <w:rPr>
                <w:rFonts w:hint="eastAsia" w:ascii="宋体" w:hAnsi="宋体" w:cs="宋体"/>
                <w:b w:val="0"/>
                <w:bCs w:val="0"/>
                <w:color w:val="auto"/>
                <w:szCs w:val="24"/>
                <w:highlight w:val="none"/>
                <w:lang w:eastAsia="zh-CN"/>
              </w:rPr>
              <w:t>（</w:t>
            </w:r>
            <w:r>
              <w:rPr>
                <w:rFonts w:hint="eastAsia" w:ascii="宋体" w:hAnsi="宋体" w:cs="宋体"/>
                <w:b w:val="0"/>
                <w:bCs w:val="0"/>
                <w:color w:val="auto"/>
                <w:szCs w:val="24"/>
                <w:highlight w:val="none"/>
                <w:lang w:val="en-US" w:eastAsia="zh-CN"/>
              </w:rPr>
              <w:t>含当月</w:t>
            </w:r>
            <w:r>
              <w:rPr>
                <w:rFonts w:hint="eastAsia" w:ascii="宋体" w:hAnsi="宋体" w:cs="宋体"/>
                <w:b w:val="0"/>
                <w:bCs w:val="0"/>
                <w:color w:val="auto"/>
                <w:szCs w:val="24"/>
                <w:highlight w:val="none"/>
                <w:lang w:eastAsia="zh-CN"/>
              </w:rPr>
              <w:t>）</w:t>
            </w:r>
            <w:r>
              <w:rPr>
                <w:rFonts w:ascii="宋体" w:hAnsi="宋体" w:cs="宋体"/>
                <w:b w:val="0"/>
                <w:bCs w:val="0"/>
                <w:color w:val="auto"/>
                <w:szCs w:val="24"/>
                <w:highlight w:val="none"/>
              </w:rPr>
              <w:t>起任意连续3个月的社保证明材料扫描件，</w:t>
            </w:r>
            <w:r>
              <w:rPr>
                <w:rFonts w:hint="eastAsia" w:cs="楷体"/>
                <w:b w:val="0"/>
                <w:bCs/>
                <w:snapToGrid w:val="0"/>
                <w:color w:val="auto"/>
                <w:szCs w:val="24"/>
                <w:highlight w:val="none"/>
              </w:rPr>
              <w:t>社保缴费证明或社保的有效证明材料至少含养老保险</w:t>
            </w:r>
            <w:r>
              <w:rPr>
                <w:rFonts w:hint="eastAsia" w:cs="楷体"/>
                <w:b w:val="0"/>
                <w:bCs/>
                <w:snapToGrid w:val="0"/>
                <w:color w:val="auto"/>
                <w:szCs w:val="24"/>
                <w:highlight w:val="none"/>
                <w:lang w:eastAsia="zh-CN"/>
              </w:rPr>
              <w:t>。</w:t>
            </w:r>
          </w:p>
          <w:p w14:paraId="14A419F3">
            <w:pPr>
              <w:spacing w:line="360" w:lineRule="auto"/>
              <w:ind w:firstLine="480" w:firstLineChars="200"/>
              <w:jc w:val="both"/>
              <w:rPr>
                <w:b w:val="0"/>
                <w:bCs w:val="0"/>
                <w:color w:val="auto"/>
                <w:highlight w:val="none"/>
              </w:rPr>
            </w:pPr>
            <w:r>
              <w:rPr>
                <w:rFonts w:ascii="宋体" w:hAnsi="宋体" w:cs="宋体"/>
                <w:b w:val="0"/>
                <w:bCs w:val="0"/>
                <w:color w:val="auto"/>
                <w:szCs w:val="24"/>
                <w:highlight w:val="none"/>
              </w:rPr>
              <w:t>②拟派监理团队人员（项目总</w:t>
            </w:r>
            <w:r>
              <w:rPr>
                <w:rFonts w:hint="eastAsia" w:ascii="宋体" w:hAnsi="宋体" w:cs="宋体"/>
                <w:b w:val="0"/>
                <w:bCs w:val="0"/>
                <w:color w:val="auto"/>
                <w:szCs w:val="24"/>
                <w:highlight w:val="none"/>
                <w:lang w:val="en-US" w:eastAsia="zh-CN"/>
              </w:rPr>
              <w:t>监理工程师</w:t>
            </w:r>
            <w:r>
              <w:rPr>
                <w:rFonts w:ascii="宋体" w:hAnsi="宋体" w:cs="宋体"/>
                <w:b w:val="0"/>
                <w:bCs w:val="0"/>
                <w:color w:val="auto"/>
                <w:szCs w:val="24"/>
                <w:highlight w:val="none"/>
              </w:rPr>
              <w:t>除外）中，如一人同时具有多类证书</w:t>
            </w:r>
            <w:r>
              <w:rPr>
                <w:rFonts w:hint="eastAsia" w:ascii="宋体" w:hAnsi="宋体" w:cs="宋体"/>
                <w:b w:val="0"/>
                <w:bCs w:val="0"/>
                <w:color w:val="auto"/>
                <w:szCs w:val="24"/>
                <w:highlight w:val="none"/>
                <w:lang w:val="en-US" w:eastAsia="zh-CN"/>
              </w:rPr>
              <w:t>的</w:t>
            </w:r>
            <w:r>
              <w:rPr>
                <w:rFonts w:ascii="宋体" w:hAnsi="宋体" w:cs="宋体"/>
                <w:b w:val="0"/>
                <w:bCs w:val="0"/>
                <w:color w:val="auto"/>
                <w:szCs w:val="24"/>
                <w:highlight w:val="none"/>
              </w:rPr>
              <w:t>，只计分一次。</w:t>
            </w:r>
          </w:p>
        </w:tc>
      </w:tr>
      <w:tr w14:paraId="3C609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4500" w:hRule="atLeast"/>
          <w:jc w:val="center"/>
        </w:trPr>
        <w:tc>
          <w:tcPr>
            <w:tcW w:w="903" w:type="dxa"/>
            <w:vMerge w:val="continue"/>
            <w:tcBorders>
              <w:right w:val="single" w:color="auto" w:sz="4" w:space="0"/>
            </w:tcBorders>
            <w:noWrap w:val="0"/>
            <w:vAlign w:val="center"/>
          </w:tcPr>
          <w:p w14:paraId="75CD64DC">
            <w:pPr>
              <w:spacing w:line="440" w:lineRule="exact"/>
              <w:ind w:firstLine="480"/>
              <w:jc w:val="center"/>
              <w:rPr>
                <w:color w:val="auto"/>
                <w:highlight w:val="none"/>
              </w:rPr>
            </w:pPr>
          </w:p>
        </w:tc>
        <w:tc>
          <w:tcPr>
            <w:tcW w:w="1214" w:type="dxa"/>
            <w:vMerge w:val="continue"/>
            <w:tcBorders>
              <w:right w:val="single" w:color="auto" w:sz="4" w:space="0"/>
            </w:tcBorders>
            <w:noWrap w:val="0"/>
            <w:vAlign w:val="center"/>
          </w:tcPr>
          <w:p w14:paraId="651BA65F">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078B101">
            <w:pPr>
              <w:spacing w:line="440" w:lineRule="exact"/>
              <w:ind w:firstLine="0" w:firstLineChars="0"/>
              <w:jc w:val="center"/>
              <w:rPr>
                <w:color w:val="auto"/>
                <w:highlight w:val="none"/>
              </w:rPr>
            </w:pPr>
            <w:r>
              <w:rPr>
                <w:rFonts w:ascii="宋体" w:hAnsi="宋体" w:cs="宋体"/>
                <w:color w:val="auto"/>
                <w:szCs w:val="24"/>
                <w:highlight w:val="none"/>
              </w:rPr>
              <w:t>投标人业绩</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83492E">
            <w:pPr>
              <w:spacing w:line="440" w:lineRule="exact"/>
              <w:ind w:firstLine="0" w:firstLineChars="0"/>
              <w:jc w:val="center"/>
              <w:rPr>
                <w:color w:val="auto"/>
                <w:highlight w:val="none"/>
              </w:rPr>
            </w:pP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0E34FB26">
            <w:pPr>
              <w:spacing w:line="360" w:lineRule="auto"/>
              <w:ind w:firstLine="480"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lang w:val="en-US" w:eastAsia="zh-CN"/>
              </w:rPr>
              <w:t>投标人具有下列情况之一的，每个业绩得3分；</w:t>
            </w:r>
            <w:r>
              <w:rPr>
                <w:rFonts w:hint="eastAsia" w:ascii="宋体" w:hAnsi="宋体" w:cs="宋体"/>
                <w:b w:val="0"/>
                <w:bCs w:val="0"/>
                <w:color w:val="auto"/>
                <w:szCs w:val="24"/>
                <w:highlight w:val="none"/>
              </w:rPr>
              <w:t>  </w:t>
            </w:r>
          </w:p>
          <w:p w14:paraId="43E8871F">
            <w:pPr>
              <w:ind w:firstLine="0" w:firstLineChars="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①自2020年1月1日以来（以合同签订时间为准），投标人具备单个合同中工程总投资额不低于2.5亿元的建筑工程监理业绩。</w:t>
            </w:r>
          </w:p>
          <w:p w14:paraId="3B0CD10D">
            <w:pPr>
              <w:spacing w:line="360" w:lineRule="auto"/>
              <w:ind w:firstLine="0" w:firstLineChars="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  ②自2020年1月1日以来（以合同签订时间为准），投标人具备单个合同中总建筑面积不少于</w:t>
            </w:r>
            <w:r>
              <w:rPr>
                <w:rFonts w:hint="eastAsia" w:ascii="宋体" w:hAnsi="宋体" w:cs="宋体"/>
                <w:b w:val="0"/>
                <w:bCs w:val="0"/>
                <w:color w:val="auto"/>
                <w:szCs w:val="24"/>
                <w:highlight w:val="none"/>
                <w:lang w:val="en-US" w:eastAsia="zh-CN"/>
              </w:rPr>
              <w:t>8</w:t>
            </w:r>
            <w:r>
              <w:rPr>
                <w:rFonts w:hint="eastAsia" w:ascii="宋体" w:hAnsi="宋体" w:cs="宋体"/>
                <w:b w:val="0"/>
                <w:bCs w:val="0"/>
                <w:color w:val="auto"/>
                <w:szCs w:val="24"/>
                <w:highlight w:val="none"/>
              </w:rPr>
              <w:t>万平方米的建筑工程监理业绩。</w:t>
            </w:r>
            <w:r>
              <w:rPr>
                <w:rFonts w:hint="eastAsia" w:ascii="宋体" w:hAnsi="宋体" w:cs="宋体"/>
                <w:b w:val="0"/>
                <w:bCs w:val="0"/>
                <w:color w:val="auto"/>
                <w:szCs w:val="24"/>
                <w:highlight w:val="none"/>
              </w:rPr>
              <w:t>注：</w:t>
            </w:r>
          </w:p>
          <w:p w14:paraId="003C62A8">
            <w:pPr>
              <w:spacing w:line="360" w:lineRule="auto"/>
              <w:ind w:firstLine="480" w:firstLineChars="200"/>
              <w:jc w:val="both"/>
              <w:rPr>
                <w:rFonts w:ascii="宋体" w:hAnsi="宋体" w:cs="宋体"/>
                <w:b w:val="0"/>
                <w:bCs w:val="0"/>
                <w:color w:val="auto"/>
                <w:szCs w:val="24"/>
                <w:highlight w:val="none"/>
              </w:rPr>
            </w:pPr>
            <w:r>
              <w:rPr>
                <w:rFonts w:hint="eastAsia" w:ascii="宋体" w:hAnsi="宋体" w:cs="宋体"/>
                <w:b w:val="0"/>
                <w:bCs w:val="0"/>
                <w:color w:val="auto"/>
                <w:szCs w:val="24"/>
                <w:highlight w:val="none"/>
                <w:lang w:val="en-US" w:eastAsia="zh-CN"/>
              </w:rPr>
              <w:t>1.</w:t>
            </w:r>
            <w:r>
              <w:rPr>
                <w:rFonts w:hint="eastAsia" w:ascii="宋体" w:hAnsi="宋体" w:cs="宋体"/>
                <w:b w:val="0"/>
                <w:bCs w:val="0"/>
                <w:color w:val="auto"/>
                <w:szCs w:val="24"/>
                <w:highlight w:val="none"/>
              </w:rPr>
              <w:t>投标人业绩（详细评审）规定数量</w:t>
            </w:r>
            <w:r>
              <w:rPr>
                <w:rFonts w:hint="eastAsia" w:ascii="宋体" w:hAnsi="宋体" w:cs="宋体"/>
                <w:b w:val="0"/>
                <w:bCs w:val="0"/>
                <w:color w:val="auto"/>
                <w:szCs w:val="24"/>
                <w:highlight w:val="none"/>
                <w:lang w:val="en-US" w:eastAsia="zh-CN"/>
              </w:rPr>
              <w:t>为3</w:t>
            </w:r>
            <w:r>
              <w:rPr>
                <w:rFonts w:hint="eastAsia" w:ascii="宋体" w:hAnsi="宋体" w:cs="宋体"/>
                <w:b w:val="0"/>
                <w:bCs w:val="0"/>
                <w:color w:val="auto"/>
                <w:szCs w:val="24"/>
                <w:highlight w:val="none"/>
              </w:rPr>
              <w:t>个</w:t>
            </w:r>
            <w:r>
              <w:rPr>
                <w:rFonts w:ascii="宋体" w:hAnsi="宋体" w:cs="宋体"/>
                <w:b w:val="0"/>
                <w:bCs w:val="0"/>
                <w:color w:val="auto"/>
                <w:szCs w:val="24"/>
                <w:highlight w:val="none"/>
              </w:rPr>
              <w:t>。</w:t>
            </w:r>
          </w:p>
          <w:p w14:paraId="08674625">
            <w:pPr>
              <w:spacing w:line="360" w:lineRule="auto"/>
              <w:ind w:firstLine="480" w:firstLineChars="200"/>
              <w:jc w:val="both"/>
              <w:rPr>
                <w:rFonts w:hint="eastAsia" w:ascii="宋体" w:hAnsi="宋体" w:eastAsia="宋体" w:cs="宋体"/>
                <w:b w:val="0"/>
                <w:bCs w:val="0"/>
                <w:color w:val="auto"/>
                <w:szCs w:val="24"/>
                <w:highlight w:val="none"/>
                <w:lang w:val="en-US" w:eastAsia="zh-CN"/>
              </w:rPr>
            </w:pPr>
            <w:r>
              <w:rPr>
                <w:rFonts w:hint="eastAsia" w:ascii="宋体" w:hAnsi="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lang w:val="en-US" w:eastAsia="zh-CN"/>
              </w:rPr>
              <w:t>.投标人需按照“需要补充的其他内容”相关要求提供业绩证明材料。</w:t>
            </w:r>
          </w:p>
          <w:p w14:paraId="03683758">
            <w:pPr>
              <w:spacing w:line="360" w:lineRule="auto"/>
              <w:ind w:firstLine="0" w:firstLineChars="0"/>
              <w:jc w:val="both"/>
              <w:rPr>
                <w:rFonts w:hint="default"/>
                <w:b w:val="0"/>
                <w:bCs w:val="0"/>
                <w:color w:val="auto"/>
                <w:highlight w:val="none"/>
                <w:lang w:val="en-US" w:eastAsia="zh-CN"/>
              </w:rPr>
            </w:pPr>
          </w:p>
        </w:tc>
      </w:tr>
      <w:tr w14:paraId="69430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1389" w:hRule="atLeast"/>
          <w:jc w:val="center"/>
        </w:trPr>
        <w:tc>
          <w:tcPr>
            <w:tcW w:w="903" w:type="dxa"/>
            <w:vMerge w:val="continue"/>
            <w:tcBorders>
              <w:right w:val="single" w:color="auto" w:sz="4" w:space="0"/>
            </w:tcBorders>
            <w:noWrap w:val="0"/>
            <w:vAlign w:val="center"/>
          </w:tcPr>
          <w:p w14:paraId="31BAEA59">
            <w:pPr>
              <w:spacing w:line="440" w:lineRule="exact"/>
              <w:ind w:firstLine="480"/>
              <w:jc w:val="center"/>
              <w:rPr>
                <w:color w:val="auto"/>
                <w:highlight w:val="none"/>
              </w:rPr>
            </w:pPr>
          </w:p>
        </w:tc>
        <w:tc>
          <w:tcPr>
            <w:tcW w:w="1214" w:type="dxa"/>
            <w:vMerge w:val="continue"/>
            <w:tcBorders>
              <w:right w:val="single" w:color="auto" w:sz="4" w:space="0"/>
            </w:tcBorders>
            <w:noWrap w:val="0"/>
            <w:vAlign w:val="center"/>
          </w:tcPr>
          <w:p w14:paraId="57590FD4">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E915A99">
            <w:pPr>
              <w:spacing w:line="440" w:lineRule="exact"/>
              <w:ind w:firstLine="0" w:firstLineChars="0"/>
              <w:jc w:val="center"/>
              <w:rPr>
                <w:color w:val="auto"/>
                <w:highlight w:val="none"/>
              </w:rPr>
            </w:pPr>
            <w:r>
              <w:rPr>
                <w:rFonts w:hint="eastAsia"/>
                <w:color w:val="auto"/>
                <w:highlight w:val="none"/>
              </w:rPr>
              <w:t>总监理工程师业绩</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996FB8E">
            <w:pPr>
              <w:spacing w:line="440" w:lineRule="exact"/>
              <w:ind w:firstLine="0" w:firstLineChars="0"/>
              <w:jc w:val="center"/>
              <w:rPr>
                <w:color w:val="auto"/>
                <w:highlight w:val="none"/>
              </w:rPr>
            </w:pP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7005B596">
            <w:pPr>
              <w:spacing w:line="360" w:lineRule="auto"/>
              <w:ind w:firstLine="480"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投标人</w:t>
            </w:r>
            <w:r>
              <w:rPr>
                <w:rFonts w:hint="eastAsia" w:ascii="宋体" w:hAnsi="宋体" w:cs="宋体"/>
                <w:b w:val="0"/>
                <w:bCs w:val="0"/>
                <w:color w:val="auto"/>
                <w:szCs w:val="24"/>
                <w:highlight w:val="none"/>
                <w:lang w:val="en-US" w:eastAsia="zh-CN"/>
              </w:rPr>
              <w:t>拟任总监理工程师</w:t>
            </w:r>
            <w:r>
              <w:rPr>
                <w:rFonts w:hint="eastAsia" w:ascii="宋体" w:hAnsi="宋体" w:cs="宋体"/>
                <w:b w:val="0"/>
                <w:bCs w:val="0"/>
                <w:color w:val="auto"/>
                <w:szCs w:val="24"/>
                <w:highlight w:val="none"/>
              </w:rPr>
              <w:t>具有</w:t>
            </w:r>
            <w:r>
              <w:rPr>
                <w:rFonts w:hint="eastAsia" w:ascii="宋体" w:hAnsi="宋体" w:cs="宋体"/>
                <w:b w:val="0"/>
                <w:bCs w:val="0"/>
                <w:color w:val="auto"/>
                <w:szCs w:val="24"/>
                <w:highlight w:val="none"/>
                <w:lang w:val="en-US" w:eastAsia="zh-CN"/>
              </w:rPr>
              <w:t>具有下列情况之一的，每个业绩得3分；</w:t>
            </w:r>
            <w:r>
              <w:rPr>
                <w:rFonts w:hint="eastAsia" w:ascii="宋体" w:hAnsi="宋体" w:cs="宋体"/>
                <w:b w:val="0"/>
                <w:bCs w:val="0"/>
                <w:color w:val="auto"/>
                <w:szCs w:val="24"/>
                <w:highlight w:val="none"/>
              </w:rPr>
              <w:t>  </w:t>
            </w:r>
          </w:p>
          <w:p w14:paraId="7A510179">
            <w:pPr>
              <w:ind w:firstLine="0" w:firstLineChars="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①自2020年1月1日以来（以合同签订时间为准），投标人具备单个合同中工程总投资额不低于2.5亿元的建筑工程监理业绩。</w:t>
            </w:r>
          </w:p>
          <w:p w14:paraId="2996F4B9">
            <w:pPr>
              <w:ind w:firstLine="0" w:firstLineChars="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  ②自2020年1月1日以来（以合同签订时间为准），投标人具备单个合同中总建筑面积不少于</w:t>
            </w:r>
            <w:r>
              <w:rPr>
                <w:rFonts w:hint="eastAsia" w:ascii="宋体" w:hAnsi="宋体" w:cs="宋体"/>
                <w:b w:val="0"/>
                <w:bCs w:val="0"/>
                <w:color w:val="auto"/>
                <w:szCs w:val="24"/>
                <w:highlight w:val="none"/>
                <w:lang w:val="en-US" w:eastAsia="zh-CN"/>
              </w:rPr>
              <w:t>8</w:t>
            </w:r>
            <w:r>
              <w:rPr>
                <w:rFonts w:hint="eastAsia" w:ascii="宋体" w:hAnsi="宋体" w:cs="宋体"/>
                <w:b w:val="0"/>
                <w:bCs w:val="0"/>
                <w:color w:val="auto"/>
                <w:szCs w:val="24"/>
                <w:highlight w:val="none"/>
              </w:rPr>
              <w:t>万平方米的建筑工程监理业绩。</w:t>
            </w:r>
            <w:r>
              <w:rPr>
                <w:rFonts w:hint="eastAsia" w:ascii="宋体" w:hAnsi="宋体" w:cs="宋体"/>
                <w:b w:val="0"/>
                <w:bCs w:val="0"/>
                <w:color w:val="auto"/>
                <w:szCs w:val="24"/>
                <w:highlight w:val="none"/>
              </w:rPr>
              <w:t>注：</w:t>
            </w:r>
          </w:p>
          <w:p w14:paraId="250BBC3A">
            <w:pPr>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w:t>
            </w:r>
            <w:r>
              <w:rPr>
                <w:rFonts w:hint="eastAsia"/>
                <w:color w:val="auto"/>
                <w:highlight w:val="none"/>
              </w:rPr>
              <w:t>总监理工程师</w:t>
            </w:r>
            <w:r>
              <w:rPr>
                <w:rFonts w:hint="eastAsia" w:ascii="宋体" w:hAnsi="宋体" w:cs="宋体"/>
                <w:color w:val="auto"/>
                <w:szCs w:val="24"/>
                <w:highlight w:val="none"/>
              </w:rPr>
              <w:t>业绩（详细评审）规定数量</w:t>
            </w:r>
            <w:r>
              <w:rPr>
                <w:rFonts w:hint="eastAsia" w:ascii="宋体" w:hAnsi="宋体" w:cs="宋体"/>
                <w:color w:val="auto"/>
                <w:szCs w:val="24"/>
                <w:highlight w:val="none"/>
                <w:lang w:val="en-US" w:eastAsia="zh-CN"/>
              </w:rPr>
              <w:t>为2</w:t>
            </w:r>
            <w:r>
              <w:rPr>
                <w:rFonts w:hint="eastAsia" w:ascii="宋体" w:hAnsi="宋体" w:cs="宋体"/>
                <w:color w:val="auto"/>
                <w:szCs w:val="24"/>
                <w:highlight w:val="none"/>
              </w:rPr>
              <w:t>个</w:t>
            </w:r>
            <w:r>
              <w:rPr>
                <w:rFonts w:ascii="宋体" w:hAnsi="宋体" w:cs="宋体"/>
                <w:color w:val="auto"/>
                <w:szCs w:val="24"/>
                <w:highlight w:val="none"/>
              </w:rPr>
              <w:t>。</w:t>
            </w:r>
          </w:p>
          <w:p w14:paraId="1CE040BE">
            <w:pPr>
              <w:pStyle w:val="7"/>
              <w:spacing w:before="0" w:beforeLines="0" w:after="0" w:afterLines="0"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拟任总监理工程师</w:t>
            </w:r>
            <w:r>
              <w:rPr>
                <w:rFonts w:hint="eastAsia" w:ascii="宋体" w:hAnsi="宋体" w:eastAsia="宋体" w:cs="宋体"/>
                <w:color w:val="auto"/>
                <w:szCs w:val="24"/>
                <w:highlight w:val="none"/>
              </w:rPr>
              <w:t>须在上述业绩中任职总监理工程师。</w:t>
            </w:r>
          </w:p>
          <w:p w14:paraId="6E12DF72">
            <w:pPr>
              <w:pStyle w:val="7"/>
              <w:spacing w:before="0" w:beforeLines="0" w:after="0" w:afterLines="0"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3.投标人需按照“需要补充的其他内容”相关要求提供业绩证明材料。</w:t>
            </w:r>
          </w:p>
          <w:p w14:paraId="30E824F1">
            <w:pPr>
              <w:pStyle w:val="7"/>
              <w:spacing w:before="0" w:beforeLines="0" w:after="0" w:afterLines="0" w:line="360" w:lineRule="auto"/>
              <w:ind w:firstLine="0" w:firstLineChars="0"/>
              <w:jc w:val="both"/>
              <w:rPr>
                <w:rFonts w:hint="eastAsia"/>
                <w:color w:val="auto"/>
                <w:highlight w:val="none"/>
                <w:lang w:val="en-US" w:eastAsia="zh-CN"/>
              </w:rPr>
            </w:pPr>
          </w:p>
        </w:tc>
      </w:tr>
      <w:tr w14:paraId="5804F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483" w:hRule="atLeast"/>
          <w:jc w:val="center"/>
        </w:trPr>
        <w:tc>
          <w:tcPr>
            <w:tcW w:w="903" w:type="dxa"/>
            <w:vMerge w:val="continue"/>
            <w:tcBorders>
              <w:right w:val="single" w:color="auto" w:sz="4" w:space="0"/>
            </w:tcBorders>
            <w:noWrap w:val="0"/>
            <w:vAlign w:val="center"/>
          </w:tcPr>
          <w:p w14:paraId="1EE1D087">
            <w:pPr>
              <w:spacing w:line="440" w:lineRule="exact"/>
              <w:ind w:firstLine="480"/>
              <w:jc w:val="center"/>
              <w:rPr>
                <w:color w:val="auto"/>
                <w:highlight w:val="none"/>
              </w:rPr>
            </w:pPr>
          </w:p>
        </w:tc>
        <w:tc>
          <w:tcPr>
            <w:tcW w:w="1214" w:type="dxa"/>
            <w:vMerge w:val="continue"/>
            <w:tcBorders>
              <w:right w:val="single" w:color="auto" w:sz="4" w:space="0"/>
            </w:tcBorders>
            <w:noWrap w:val="0"/>
            <w:vAlign w:val="center"/>
          </w:tcPr>
          <w:p w14:paraId="1296102A">
            <w:pPr>
              <w:spacing w:line="440" w:lineRule="exact"/>
              <w:ind w:firstLine="480"/>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398ACEC">
            <w:pPr>
              <w:spacing w:line="440" w:lineRule="exact"/>
              <w:ind w:firstLine="0" w:firstLineChars="0"/>
              <w:jc w:val="center"/>
              <w:rPr>
                <w:color w:val="auto"/>
                <w:highlight w:val="none"/>
              </w:rPr>
            </w:pPr>
            <w:r>
              <w:rPr>
                <w:rFonts w:ascii="宋体" w:hAnsi="宋体" w:cs="宋体"/>
                <w:color w:val="auto"/>
                <w:szCs w:val="24"/>
                <w:highlight w:val="none"/>
              </w:rPr>
              <w:t>投标人奖项、荣誉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654BC20">
            <w:pPr>
              <w:spacing w:line="440" w:lineRule="exact"/>
              <w:ind w:firstLine="0" w:firstLineChars="0"/>
              <w:jc w:val="center"/>
              <w:rPr>
                <w:color w:val="auto"/>
                <w:highlight w:val="none"/>
              </w:rPr>
            </w:pP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147A0D34">
            <w:pPr>
              <w:numPr>
                <w:ilvl w:val="0"/>
                <w:numId w:val="0"/>
              </w:numPr>
              <w:spacing w:line="360" w:lineRule="auto"/>
              <w:jc w:val="both"/>
              <w:rPr>
                <w:rFonts w:hint="default"/>
                <w:color w:val="auto"/>
                <w:highlight w:val="none"/>
                <w:lang w:val="en-US" w:eastAsia="zh-CN"/>
              </w:rPr>
            </w:pPr>
            <w:r>
              <w:rPr>
                <w:rFonts w:hint="eastAsia" w:ascii="宋体" w:hAnsi="宋体" w:cs="宋体"/>
                <w:b w:val="0"/>
                <w:bCs w:val="0"/>
                <w:color w:val="auto"/>
                <w:szCs w:val="24"/>
                <w:highlight w:val="none"/>
                <w:lang w:val="en-US" w:eastAsia="zh-CN"/>
              </w:rPr>
              <w:t xml:space="preserve">   1.</w:t>
            </w:r>
            <w:r>
              <w:rPr>
                <w:rFonts w:hint="eastAsia" w:ascii="宋体" w:hAnsi="宋体" w:cs="宋体"/>
                <w:b w:val="0"/>
                <w:bCs w:val="0"/>
                <w:color w:val="auto"/>
                <w:szCs w:val="24"/>
                <w:highlight w:val="none"/>
              </w:rPr>
              <w:t>自20</w:t>
            </w:r>
            <w:r>
              <w:rPr>
                <w:rFonts w:hint="eastAsia" w:ascii="宋体" w:hAnsi="宋体" w:cs="宋体"/>
                <w:b w:val="0"/>
                <w:bCs w:val="0"/>
                <w:color w:val="auto"/>
                <w:szCs w:val="24"/>
                <w:highlight w:val="none"/>
                <w:lang w:val="en-US" w:eastAsia="zh-CN"/>
              </w:rPr>
              <w:t>20</w:t>
            </w:r>
            <w:r>
              <w:rPr>
                <w:rFonts w:hint="eastAsia" w:ascii="宋体" w:hAnsi="宋体" w:cs="宋体"/>
                <w:b w:val="0"/>
                <w:bCs w:val="0"/>
                <w:color w:val="auto"/>
                <w:szCs w:val="24"/>
                <w:highlight w:val="none"/>
              </w:rPr>
              <w:t>年1月1日以来（以颁奖时间为准），投标人获行政主管部门或在国内依法登记注册的行业协（学）会颁发的优秀</w:t>
            </w:r>
            <w:r>
              <w:rPr>
                <w:rFonts w:hint="eastAsia" w:ascii="宋体" w:hAnsi="宋体" w:cs="宋体"/>
                <w:b w:val="0"/>
                <w:bCs w:val="0"/>
                <w:color w:val="auto"/>
                <w:szCs w:val="24"/>
                <w:highlight w:val="none"/>
                <w:lang w:val="en-US" w:eastAsia="zh-CN"/>
              </w:rPr>
              <w:t>监理企业</w:t>
            </w:r>
            <w:r>
              <w:rPr>
                <w:rFonts w:hint="eastAsia" w:ascii="宋体" w:hAnsi="宋体" w:cs="宋体"/>
                <w:b w:val="0"/>
                <w:bCs w:val="0"/>
                <w:color w:val="auto"/>
                <w:szCs w:val="24"/>
                <w:highlight w:val="none"/>
              </w:rPr>
              <w:t>或先进监理企业的，市级及以上的每个得2分，本小项满分2分。</w:t>
            </w:r>
          </w:p>
          <w:p w14:paraId="1DD4CD69">
            <w:pPr>
              <w:spacing w:line="360" w:lineRule="auto"/>
              <w:ind w:firstLine="480"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2、</w:t>
            </w:r>
            <w:r>
              <w:rPr>
                <w:rFonts w:ascii="宋体" w:hAnsi="宋体" w:cs="宋体"/>
                <w:b w:val="0"/>
                <w:bCs w:val="0"/>
                <w:color w:val="auto"/>
                <w:szCs w:val="24"/>
                <w:highlight w:val="none"/>
              </w:rPr>
              <w:t>自20</w:t>
            </w:r>
            <w:r>
              <w:rPr>
                <w:rFonts w:hint="eastAsia" w:ascii="宋体" w:hAnsi="宋体" w:cs="宋体"/>
                <w:b w:val="0"/>
                <w:bCs w:val="0"/>
                <w:color w:val="auto"/>
                <w:szCs w:val="24"/>
                <w:highlight w:val="none"/>
                <w:lang w:val="en-US" w:eastAsia="zh-CN"/>
              </w:rPr>
              <w:t>20</w:t>
            </w:r>
            <w:r>
              <w:rPr>
                <w:rFonts w:ascii="宋体" w:hAnsi="宋体" w:cs="宋体"/>
                <w:b w:val="0"/>
                <w:bCs w:val="0"/>
                <w:color w:val="auto"/>
                <w:szCs w:val="24"/>
                <w:highlight w:val="none"/>
              </w:rPr>
              <w:t>年1月1日以来（以颁奖时间为准），投标人所监理的</w:t>
            </w:r>
            <w:r>
              <w:rPr>
                <w:rFonts w:hint="eastAsia" w:ascii="宋体" w:hAnsi="宋体" w:cs="宋体"/>
                <w:b w:val="0"/>
                <w:bCs w:val="0"/>
                <w:color w:val="auto"/>
                <w:szCs w:val="24"/>
                <w:highlight w:val="none"/>
                <w:lang w:val="en-US" w:eastAsia="zh-CN"/>
              </w:rPr>
              <w:t>建筑工程项目</w:t>
            </w:r>
            <w:r>
              <w:rPr>
                <w:rFonts w:ascii="宋体" w:hAnsi="宋体" w:cs="宋体"/>
                <w:b w:val="0"/>
                <w:bCs w:val="0"/>
                <w:color w:val="auto"/>
                <w:szCs w:val="24"/>
                <w:highlight w:val="none"/>
              </w:rPr>
              <w:t>获行政主管部门或在国内依法登记注册的行业协（或学）会颁发的</w:t>
            </w:r>
            <w:r>
              <w:rPr>
                <w:rFonts w:hint="eastAsia" w:ascii="宋体" w:hAnsi="宋体" w:cs="宋体"/>
                <w:b w:val="0"/>
                <w:bCs w:val="0"/>
                <w:color w:val="auto"/>
                <w:szCs w:val="24"/>
                <w:highlight w:val="none"/>
              </w:rPr>
              <w:t>优质工程奖项</w:t>
            </w:r>
            <w:r>
              <w:rPr>
                <w:rFonts w:ascii="宋体" w:hAnsi="宋体" w:cs="宋体"/>
                <w:b w:val="0"/>
                <w:bCs w:val="0"/>
                <w:color w:val="auto"/>
                <w:szCs w:val="24"/>
                <w:highlight w:val="none"/>
              </w:rPr>
              <w:t>，市级及以上的，每个得2分；本小项满分</w:t>
            </w:r>
            <w:r>
              <w:rPr>
                <w:rFonts w:hint="eastAsia" w:ascii="宋体" w:hAnsi="宋体" w:cs="宋体"/>
                <w:b w:val="0"/>
                <w:bCs w:val="0"/>
                <w:color w:val="auto"/>
                <w:szCs w:val="24"/>
                <w:highlight w:val="none"/>
                <w:lang w:val="en-US" w:eastAsia="zh-CN"/>
              </w:rPr>
              <w:t>4</w:t>
            </w:r>
            <w:r>
              <w:rPr>
                <w:rFonts w:ascii="宋体" w:hAnsi="宋体" w:cs="宋体"/>
                <w:b w:val="0"/>
                <w:bCs w:val="0"/>
                <w:color w:val="auto"/>
                <w:szCs w:val="24"/>
                <w:highlight w:val="none"/>
              </w:rPr>
              <w:t>分。</w:t>
            </w:r>
          </w:p>
          <w:p w14:paraId="61449E66">
            <w:pPr>
              <w:spacing w:line="360" w:lineRule="auto"/>
              <w:ind w:firstLine="240" w:firstLineChars="100"/>
              <w:jc w:val="both"/>
              <w:rPr>
                <w:color w:val="auto"/>
                <w:highlight w:val="none"/>
              </w:rPr>
            </w:pPr>
          </w:p>
        </w:tc>
      </w:tr>
      <w:tr w14:paraId="37E38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101" w:hRule="atLeast"/>
          <w:jc w:val="center"/>
        </w:trPr>
        <w:tc>
          <w:tcPr>
            <w:tcW w:w="903" w:type="dxa"/>
            <w:vMerge w:val="continue"/>
            <w:tcBorders>
              <w:right w:val="single" w:color="auto" w:sz="4" w:space="0"/>
            </w:tcBorders>
            <w:noWrap w:val="0"/>
            <w:vAlign w:val="center"/>
          </w:tcPr>
          <w:p w14:paraId="1071A215">
            <w:pPr>
              <w:spacing w:line="440" w:lineRule="exact"/>
              <w:ind w:firstLine="480"/>
              <w:jc w:val="center"/>
              <w:rPr>
                <w:color w:val="auto"/>
                <w:highlight w:val="none"/>
              </w:rPr>
            </w:pPr>
          </w:p>
        </w:tc>
        <w:tc>
          <w:tcPr>
            <w:tcW w:w="1214" w:type="dxa"/>
            <w:vMerge w:val="continue"/>
            <w:tcBorders>
              <w:right w:val="single" w:color="auto" w:sz="4" w:space="0"/>
            </w:tcBorders>
            <w:noWrap w:val="0"/>
            <w:vAlign w:val="center"/>
          </w:tcPr>
          <w:p w14:paraId="7CD6B6E3">
            <w:pPr>
              <w:spacing w:line="440" w:lineRule="exact"/>
              <w:ind w:firstLine="480"/>
              <w:jc w:val="center"/>
              <w:rPr>
                <w:color w:val="auto"/>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C40B5E7">
            <w:pPr>
              <w:spacing w:line="400" w:lineRule="exact"/>
              <w:ind w:left="0" w:leftChars="0" w:firstLine="0" w:firstLineChars="0"/>
              <w:jc w:val="both"/>
              <w:rPr>
                <w:color w:val="auto"/>
                <w:highlight w:val="none"/>
              </w:rPr>
            </w:pPr>
            <w:r>
              <w:rPr>
                <w:rFonts w:hint="eastAsia" w:ascii="宋体" w:hAnsi="宋体" w:cs="宋体"/>
                <w:color w:val="auto"/>
                <w:szCs w:val="21"/>
                <w:highlight w:val="none"/>
              </w:rPr>
              <w:t xml:space="preserve">服务承诺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9BB719">
            <w:pPr>
              <w:spacing w:line="400" w:lineRule="exact"/>
              <w:ind w:left="0" w:leftChars="0" w:firstLine="240" w:firstLineChars="100"/>
              <w:rPr>
                <w:color w:val="auto"/>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0C9F451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1.承诺一旦中标，将根据业主单位要求和工程建设需要，成立工程建设现场领导小组。 </w:t>
            </w:r>
          </w:p>
          <w:p w14:paraId="27B5884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2.承诺一旦中标，将根据工程需要及业主要求提供相关办公、检测设备。</w:t>
            </w:r>
          </w:p>
          <w:p w14:paraId="13389E26">
            <w:pPr>
              <w:spacing w:line="400" w:lineRule="exact"/>
              <w:rPr>
                <w:rFonts w:hint="eastAsia" w:ascii="宋体" w:hAnsi="宋体" w:cs="宋体"/>
                <w:color w:val="auto"/>
                <w:szCs w:val="21"/>
                <w:highlight w:val="none"/>
              </w:rPr>
            </w:pPr>
          </w:p>
          <w:p w14:paraId="69FF2F09">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注：1.承诺函</w:t>
            </w:r>
            <w:r>
              <w:rPr>
                <w:rFonts w:hint="eastAsia" w:ascii="宋体" w:hAnsi="宋体" w:cs="宋体"/>
                <w:b/>
                <w:bCs/>
                <w:color w:val="auto"/>
                <w:szCs w:val="21"/>
                <w:highlight w:val="none"/>
                <w:lang w:val="en-US" w:eastAsia="zh-CN"/>
              </w:rPr>
              <w:t>格式自拟</w:t>
            </w:r>
            <w:r>
              <w:rPr>
                <w:rFonts w:hint="eastAsia" w:ascii="宋体" w:hAnsi="宋体" w:cs="宋体"/>
                <w:color w:val="auto"/>
                <w:szCs w:val="21"/>
                <w:highlight w:val="none"/>
                <w:lang w:val="en-US" w:eastAsia="zh-CN"/>
              </w:rPr>
              <w:t>，投标文件中提供此承诺函且承诺内容</w:t>
            </w:r>
            <w:r>
              <w:rPr>
                <w:rFonts w:hint="eastAsia" w:ascii="宋体" w:hAnsi="宋体" w:cs="宋体"/>
                <w:b/>
                <w:bCs/>
                <w:color w:val="auto"/>
                <w:szCs w:val="21"/>
                <w:highlight w:val="none"/>
                <w:lang w:val="en-US" w:eastAsia="zh-CN"/>
              </w:rPr>
              <w:t>包含上述两项</w:t>
            </w:r>
            <w:r>
              <w:rPr>
                <w:rFonts w:hint="eastAsia" w:ascii="宋体" w:hAnsi="宋体" w:cs="宋体"/>
                <w:color w:val="auto"/>
                <w:szCs w:val="21"/>
                <w:highlight w:val="none"/>
                <w:lang w:val="en-US" w:eastAsia="zh-CN"/>
              </w:rPr>
              <w:t>的得满分，未提供的或只提供上述一项承诺的不得分。</w:t>
            </w:r>
          </w:p>
          <w:p w14:paraId="0F3651CA">
            <w:pPr>
              <w:spacing w:line="400" w:lineRule="exact"/>
              <w:ind w:firstLine="960" w:firstLineChars="400"/>
              <w:rPr>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提供符合要求的承诺得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 </w:t>
            </w:r>
          </w:p>
        </w:tc>
      </w:tr>
      <w:tr w14:paraId="1547F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483" w:hRule="atLeast"/>
          <w:jc w:val="center"/>
        </w:trPr>
        <w:tc>
          <w:tcPr>
            <w:tcW w:w="903" w:type="dxa"/>
            <w:tcBorders>
              <w:top w:val="single" w:color="auto" w:sz="4" w:space="0"/>
              <w:bottom w:val="single" w:color="auto" w:sz="4" w:space="0"/>
              <w:right w:val="single" w:color="auto" w:sz="4" w:space="0"/>
            </w:tcBorders>
            <w:noWrap w:val="0"/>
            <w:vAlign w:val="center"/>
          </w:tcPr>
          <w:p w14:paraId="66EF640B">
            <w:pPr>
              <w:spacing w:line="440" w:lineRule="exact"/>
              <w:ind w:firstLine="0" w:firstLineChars="0"/>
              <w:rPr>
                <w:color w:val="auto"/>
                <w:highlight w:val="none"/>
              </w:rPr>
            </w:pPr>
            <w:r>
              <w:rPr>
                <w:color w:val="auto"/>
                <w:highlight w:val="none"/>
              </w:rPr>
              <w:t>2.2.</w:t>
            </w:r>
            <w:r>
              <w:rPr>
                <w:rFonts w:hint="eastAsia"/>
                <w:color w:val="auto"/>
                <w:highlight w:val="none"/>
              </w:rPr>
              <w:t>2</w:t>
            </w:r>
            <w:r>
              <w:rPr>
                <w:color w:val="auto"/>
                <w:highlight w:val="none"/>
              </w:rPr>
              <w:t>（3）</w:t>
            </w:r>
          </w:p>
        </w:tc>
        <w:tc>
          <w:tcPr>
            <w:tcW w:w="1214" w:type="dxa"/>
            <w:tcBorders>
              <w:top w:val="single" w:color="auto" w:sz="4" w:space="0"/>
              <w:bottom w:val="single" w:color="auto" w:sz="4" w:space="0"/>
              <w:right w:val="single" w:color="auto" w:sz="4" w:space="0"/>
            </w:tcBorders>
            <w:noWrap w:val="0"/>
            <w:vAlign w:val="center"/>
          </w:tcPr>
          <w:p w14:paraId="7DB8D80B">
            <w:pPr>
              <w:spacing w:line="440" w:lineRule="exact"/>
              <w:ind w:firstLine="0" w:firstLineChars="0"/>
              <w:rPr>
                <w:color w:val="auto"/>
                <w:highlight w:val="none"/>
              </w:rPr>
            </w:pPr>
            <w:r>
              <w:rPr>
                <w:rFonts w:hint="eastAsia"/>
                <w:color w:val="auto"/>
                <w:highlight w:val="none"/>
              </w:rPr>
              <w:t>报价文件</w:t>
            </w:r>
            <w:r>
              <w:rPr>
                <w:color w:val="auto"/>
                <w:highlight w:val="none"/>
              </w:rPr>
              <w:t>评分标准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DC759CA">
            <w:pPr>
              <w:spacing w:line="440" w:lineRule="exact"/>
              <w:ind w:firstLine="0" w:firstLineChars="0"/>
              <w:jc w:val="center"/>
              <w:rPr>
                <w:color w:val="auto"/>
                <w:highlight w:val="none"/>
              </w:rPr>
            </w:pPr>
            <w:r>
              <w:rPr>
                <w:rFonts w:hint="eastAsia"/>
                <w:color w:val="auto"/>
                <w:highlight w:val="none"/>
              </w:rPr>
              <w:t>评标价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662438">
            <w:pPr>
              <w:spacing w:line="440" w:lineRule="exact"/>
              <w:ind w:firstLine="0" w:firstLineChars="0"/>
              <w:jc w:val="center"/>
              <w:rPr>
                <w:color w:val="auto"/>
                <w:highlight w:val="none"/>
              </w:rPr>
            </w:pPr>
            <w:r>
              <w:rPr>
                <w:rFonts w:hint="eastAsia"/>
                <w:color w:val="auto"/>
                <w:szCs w:val="21"/>
                <w:highlight w:val="none"/>
              </w:rPr>
              <w:t>1</w:t>
            </w:r>
            <w:r>
              <w:rPr>
                <w:rFonts w:hint="eastAsia"/>
                <w:color w:val="auto"/>
                <w:szCs w:val="21"/>
                <w:highlight w:val="none"/>
                <w:lang w:val="en-US" w:eastAsia="zh-CN"/>
              </w:rPr>
              <w:t>0</w:t>
            </w:r>
            <w:r>
              <w:rPr>
                <w:color w:val="auto"/>
                <w:szCs w:val="21"/>
                <w:highlight w:val="none"/>
              </w:rPr>
              <w:t>分</w:t>
            </w:r>
          </w:p>
        </w:tc>
        <w:tc>
          <w:tcPr>
            <w:tcW w:w="4637" w:type="dxa"/>
            <w:tcBorders>
              <w:top w:val="single" w:color="auto" w:sz="4" w:space="0"/>
              <w:left w:val="single" w:color="auto" w:sz="4" w:space="0"/>
              <w:bottom w:val="single" w:color="auto" w:sz="4" w:space="0"/>
              <w:right w:val="single" w:color="auto" w:sz="4" w:space="0"/>
            </w:tcBorders>
            <w:noWrap w:val="0"/>
            <w:vAlign w:val="center"/>
          </w:tcPr>
          <w:p w14:paraId="49A7C48F">
            <w:pPr>
              <w:widowControl/>
              <w:numPr>
                <w:ilvl w:val="0"/>
                <w:numId w:val="0"/>
              </w:numPr>
              <w:ind w:leftChars="0"/>
              <w:jc w:val="both"/>
              <w:rPr>
                <w:rFonts w:ascii="宋体" w:hAnsi="宋体" w:cs="宋体"/>
                <w:color w:val="auto"/>
                <w:szCs w:val="24"/>
                <w:highlight w:val="none"/>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lang w:eastAsia="zh-CN"/>
              </w:rPr>
              <w:t>）</w:t>
            </w:r>
            <w:r>
              <w:rPr>
                <w:rFonts w:ascii="宋体" w:hAnsi="宋体" w:cs="宋体"/>
                <w:color w:val="auto"/>
                <w:szCs w:val="24"/>
                <w:highlight w:val="none"/>
              </w:rPr>
              <w:t>确定评标价</w:t>
            </w:r>
          </w:p>
          <w:p w14:paraId="33B8297C">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评标价=投标函文字报价；</w:t>
            </w:r>
          </w:p>
          <w:p w14:paraId="5939FC46">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2）评标价平均值计算</w:t>
            </w:r>
          </w:p>
          <w:p w14:paraId="62A8B913">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①当通过报价文件初步评审的投标人数量≤5家时，取通过报价文件初步评审且商务及技术文件得分大于等于招标项目标段商务及技术文件总分*60%的投标人评标价进行算术平均得出评标价平均值。（如通过报价文件初步评审且商务及技术文件得分大于等于招标项目标段商务及技术文件总分*60%的投标人为1家时，则该投标人评标价即为评标价平均值）注：如出现无法计算评标价平均值的情况，评标委员会将否决所有投标。</w:t>
            </w:r>
          </w:p>
          <w:p w14:paraId="1370B130">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②当通过报价文件初步评审的投标人数量＞5家时：</w:t>
            </w:r>
          </w:p>
          <w:p w14:paraId="6DB5AF7D">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a.其中通过报价文件初步评审且商务及技术文件得分大于等于招标项目标段商务及技术文件总分*70%的投标人数量＞5家，取通过报价文件初步评审且商务及技术文件得分大于等于招标项目标段商务及技术文件总分*70%的投标人评标价进行算术平均得出评标价平均值。</w:t>
            </w:r>
          </w:p>
          <w:p w14:paraId="6C557336">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b.其中通过报价文件初步评审且商务及技术文件得分大于等于招标项目标段商务及技术文件总分*70%的投标人数量≤5家时，取通过报价文件初步评审且商务及技术文件得分大于等于招标项目标段商务及技术文件总分*60%的投标人评标价进行算术平均得出评标价平均值。（如通过报价文件初步评审且商务及技术文件得分大于等于招标项目标段商务及技术文件总分*60%的投标人为1家时，则该投标人评标价即为评标价平均值）</w:t>
            </w:r>
          </w:p>
          <w:p w14:paraId="68BC02A4">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注：如出现无法计算评标价平均值的情况，评标委员会将否决所有投标。</w:t>
            </w:r>
          </w:p>
          <w:p w14:paraId="3608562D">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3）确定评标基准价</w:t>
            </w:r>
          </w:p>
          <w:p w14:paraId="77617B8A">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评标基准价=评标价平均值*C值</w:t>
            </w:r>
          </w:p>
          <w:p w14:paraId="0F4089F5">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C值确定如下：</w:t>
            </w:r>
          </w:p>
          <w:p w14:paraId="690FA4A0">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将在投标截止时间后系统成功接收投标文件的投标人总数（无论是否成功解密）除以5，根据余数对应取C值，见下表（多标段按各自标段在投标截止时间后系统成功接收投标文件的投标人总数（无论是否成功解密）计算选取）</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2049"/>
            </w:tblGrid>
            <w:tr w14:paraId="0C57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5E2DCFB8">
                  <w:pPr>
                    <w:spacing w:line="240" w:lineRule="auto"/>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余数</w:t>
                  </w:r>
                </w:p>
              </w:tc>
              <w:tc>
                <w:tcPr>
                  <w:tcW w:w="2049" w:type="dxa"/>
                  <w:noWrap w:val="0"/>
                  <w:vAlign w:val="top"/>
                </w:tcPr>
                <w:p w14:paraId="5F290A7A">
                  <w:pPr>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C值</w:t>
                  </w:r>
                </w:p>
              </w:tc>
            </w:tr>
            <w:tr w14:paraId="727C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67A777D7">
                  <w:pPr>
                    <w:spacing w:line="240" w:lineRule="auto"/>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0</w:t>
                  </w:r>
                </w:p>
              </w:tc>
              <w:tc>
                <w:tcPr>
                  <w:tcW w:w="2049" w:type="dxa"/>
                  <w:noWrap w:val="0"/>
                  <w:vAlign w:val="top"/>
                </w:tcPr>
                <w:p w14:paraId="011D5974">
                  <w:pPr>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0.95</w:t>
                  </w:r>
                </w:p>
              </w:tc>
            </w:tr>
            <w:tr w14:paraId="377C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3C956FA0">
                  <w:pPr>
                    <w:spacing w:line="240" w:lineRule="auto"/>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2049" w:type="dxa"/>
                  <w:noWrap w:val="0"/>
                  <w:vAlign w:val="top"/>
                </w:tcPr>
                <w:p w14:paraId="1656B15A">
                  <w:pPr>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0.96</w:t>
                  </w:r>
                </w:p>
              </w:tc>
            </w:tr>
            <w:tr w14:paraId="09F9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4A7E9471">
                  <w:pPr>
                    <w:spacing w:line="240" w:lineRule="auto"/>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2049" w:type="dxa"/>
                  <w:noWrap w:val="0"/>
                  <w:vAlign w:val="top"/>
                </w:tcPr>
                <w:p w14:paraId="1F34B3E4">
                  <w:pPr>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0.97</w:t>
                  </w:r>
                </w:p>
              </w:tc>
            </w:tr>
            <w:tr w14:paraId="6E8C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5A37EE26">
                  <w:pPr>
                    <w:spacing w:line="240" w:lineRule="auto"/>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2049" w:type="dxa"/>
                  <w:noWrap w:val="0"/>
                  <w:vAlign w:val="top"/>
                </w:tcPr>
                <w:p w14:paraId="01F8E26D">
                  <w:pPr>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0.98</w:t>
                  </w:r>
                </w:p>
              </w:tc>
            </w:tr>
            <w:tr w14:paraId="01EF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1" w:type="dxa"/>
                  <w:noWrap w:val="0"/>
                  <w:vAlign w:val="top"/>
                </w:tcPr>
                <w:p w14:paraId="01720F11">
                  <w:pPr>
                    <w:spacing w:line="240" w:lineRule="auto"/>
                    <w:ind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t>4</w:t>
                  </w:r>
                </w:p>
              </w:tc>
              <w:tc>
                <w:tcPr>
                  <w:tcW w:w="2049" w:type="dxa"/>
                  <w:noWrap w:val="0"/>
                  <w:vAlign w:val="top"/>
                </w:tcPr>
                <w:p w14:paraId="6966F655">
                  <w:pPr>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0.99</w:t>
                  </w:r>
                </w:p>
              </w:tc>
            </w:tr>
          </w:tbl>
          <w:p w14:paraId="58C50427">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在评标过程中，评标委员会应对评标基准价进行复核，存在计算错误的应予以修正并在评标报告中作出说明。除此之外，评标基准价在整个评标期间保持不变，不随任何因素发生变化。</w:t>
            </w:r>
          </w:p>
          <w:p w14:paraId="664D0AA2">
            <w:pPr>
              <w:widowControl/>
              <w:ind w:firstLine="0" w:firstLineChars="0"/>
              <w:jc w:val="both"/>
              <w:rPr>
                <w:rFonts w:hint="eastAsia" w:ascii="宋体" w:hAnsi="宋体" w:eastAsia="宋体" w:cs="宋体"/>
                <w:color w:val="auto"/>
                <w:szCs w:val="24"/>
                <w:highlight w:val="none"/>
                <w:lang w:eastAsia="zh-CN"/>
              </w:rPr>
            </w:pPr>
            <w:r>
              <w:rPr>
                <w:rFonts w:ascii="宋体" w:hAnsi="宋体" w:cs="宋体"/>
                <w:color w:val="auto"/>
                <w:szCs w:val="24"/>
                <w:highlight w:val="none"/>
              </w:rPr>
              <w:t>评标价的偏差率计算</w:t>
            </w:r>
          </w:p>
          <w:p w14:paraId="32EAD21A">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偏差率=100%×（投标人评标价-评标基准价）/评标基准价</w:t>
            </w:r>
          </w:p>
          <w:p w14:paraId="7D5EE607">
            <w:pPr>
              <w:widowControl/>
              <w:ind w:firstLine="0" w:firstLineChars="0"/>
              <w:jc w:val="both"/>
              <w:rPr>
                <w:rFonts w:hint="eastAsia" w:ascii="宋体" w:hAnsi="宋体" w:eastAsia="宋体" w:cs="宋体"/>
                <w:color w:val="auto"/>
                <w:szCs w:val="24"/>
                <w:highlight w:val="none"/>
                <w:lang w:eastAsia="zh-CN"/>
              </w:rPr>
            </w:pPr>
            <w:r>
              <w:rPr>
                <w:rFonts w:ascii="宋体" w:hAnsi="宋体" w:cs="宋体"/>
                <w:color w:val="auto"/>
                <w:szCs w:val="24"/>
                <w:highlight w:val="none"/>
              </w:rPr>
              <w:t>偏差率保留两位小数（小数点后第三位“四舍五入”），即为*.**%。</w:t>
            </w:r>
          </w:p>
          <w:p w14:paraId="072899D8">
            <w:pPr>
              <w:widowControl/>
              <w:ind w:firstLine="0" w:firstLineChars="0"/>
              <w:jc w:val="both"/>
              <w:rPr>
                <w:rFonts w:ascii="宋体" w:hAnsi="宋体" w:cs="宋体"/>
                <w:color w:val="auto"/>
                <w:szCs w:val="24"/>
                <w:highlight w:val="none"/>
              </w:rPr>
            </w:pPr>
            <w:r>
              <w:rPr>
                <w:rFonts w:hint="eastAsia" w:ascii="宋体" w:hAnsi="宋体" w:cs="宋体"/>
                <w:color w:val="auto"/>
                <w:szCs w:val="24"/>
                <w:highlight w:val="none"/>
              </w:rPr>
              <w:t>（5）</w:t>
            </w:r>
            <w:r>
              <w:rPr>
                <w:rFonts w:ascii="宋体" w:hAnsi="宋体" w:cs="宋体"/>
                <w:color w:val="auto"/>
                <w:szCs w:val="24"/>
                <w:highlight w:val="none"/>
              </w:rPr>
              <w:t>评标价得分</w:t>
            </w:r>
            <w:r>
              <w:rPr>
                <w:rFonts w:hint="eastAsia" w:ascii="宋体" w:hAnsi="宋体" w:cs="宋体"/>
                <w:color w:val="auto"/>
                <w:szCs w:val="24"/>
                <w:highlight w:val="none"/>
              </w:rPr>
              <w:t>计算</w:t>
            </w:r>
          </w:p>
          <w:p w14:paraId="54896014">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①当投标人评标价＞评标基准价，</w:t>
            </w:r>
          </w:p>
          <w:p w14:paraId="3C46A2DF">
            <w:pPr>
              <w:widowControl/>
              <w:ind w:firstLine="0" w:firstLineChars="0"/>
              <w:jc w:val="both"/>
              <w:rPr>
                <w:rFonts w:hint="eastAsia" w:ascii="宋体" w:hAnsi="宋体" w:eastAsia="宋体" w:cs="宋体"/>
                <w:color w:val="auto"/>
                <w:szCs w:val="24"/>
                <w:highlight w:val="none"/>
                <w:lang w:eastAsia="zh-CN"/>
              </w:rPr>
            </w:pPr>
            <w:r>
              <w:rPr>
                <w:rFonts w:ascii="宋体" w:hAnsi="宋体" w:cs="宋体"/>
                <w:color w:val="auto"/>
                <w:szCs w:val="24"/>
                <w:highlight w:val="none"/>
              </w:rPr>
              <w:t>评标价得分=F-偏差率*100*E1</w:t>
            </w:r>
          </w:p>
          <w:p w14:paraId="7D1A880B">
            <w:pPr>
              <w:widowControl/>
              <w:ind w:firstLine="0" w:firstLineChars="0"/>
              <w:jc w:val="both"/>
              <w:rPr>
                <w:rFonts w:ascii="宋体" w:hAnsi="宋体" w:cs="宋体"/>
                <w:color w:val="auto"/>
                <w:szCs w:val="24"/>
                <w:highlight w:val="none"/>
              </w:rPr>
            </w:pPr>
            <w:r>
              <w:rPr>
                <w:rFonts w:ascii="宋体" w:hAnsi="宋体" w:cs="宋体"/>
                <w:color w:val="auto"/>
                <w:szCs w:val="24"/>
                <w:highlight w:val="none"/>
              </w:rPr>
              <w:t>②当投标人评标价≤评标基准价，</w:t>
            </w:r>
          </w:p>
          <w:p w14:paraId="29D51EEE">
            <w:pPr>
              <w:widowControl/>
              <w:ind w:firstLine="0" w:firstLineChars="0"/>
              <w:jc w:val="both"/>
              <w:rPr>
                <w:rFonts w:hint="eastAsia" w:ascii="宋体" w:hAnsi="宋体" w:eastAsia="宋体" w:cs="宋体"/>
                <w:color w:val="auto"/>
                <w:szCs w:val="24"/>
                <w:highlight w:val="none"/>
                <w:lang w:eastAsia="zh-CN"/>
              </w:rPr>
            </w:pPr>
            <w:r>
              <w:rPr>
                <w:rFonts w:ascii="宋体" w:hAnsi="宋体" w:cs="宋体"/>
                <w:color w:val="auto"/>
                <w:szCs w:val="24"/>
                <w:highlight w:val="none"/>
              </w:rPr>
              <w:t>评标价得分=F+偏差率*100*E2</w:t>
            </w:r>
          </w:p>
          <w:p w14:paraId="670AD4F6">
            <w:pPr>
              <w:widowControl/>
              <w:ind w:firstLine="0" w:firstLineChars="0"/>
              <w:jc w:val="both"/>
              <w:rPr>
                <w:rFonts w:hint="eastAsia" w:ascii="宋体" w:hAnsi="宋体" w:eastAsia="宋体" w:cs="宋体"/>
                <w:color w:val="auto"/>
                <w:szCs w:val="24"/>
                <w:highlight w:val="none"/>
                <w:lang w:eastAsia="zh-CN"/>
              </w:rPr>
            </w:pPr>
            <w:r>
              <w:rPr>
                <w:rFonts w:ascii="宋体" w:hAnsi="宋体" w:cs="宋体"/>
                <w:color w:val="auto"/>
                <w:szCs w:val="24"/>
                <w:highlight w:val="none"/>
              </w:rPr>
              <w:t>其中：F是评标价所占的权重分值。E1=0.5</w:t>
            </w:r>
            <w:r>
              <w:rPr>
                <w:rFonts w:hint="eastAsia" w:ascii="宋体" w:hAnsi="宋体" w:cs="宋体"/>
                <w:color w:val="auto"/>
                <w:szCs w:val="24"/>
                <w:highlight w:val="none"/>
                <w:lang w:eastAsia="zh-CN"/>
              </w:rPr>
              <w:t>，</w:t>
            </w:r>
            <w:r>
              <w:rPr>
                <w:rFonts w:ascii="宋体" w:hAnsi="宋体" w:cs="宋体"/>
                <w:color w:val="auto"/>
                <w:szCs w:val="24"/>
                <w:highlight w:val="none"/>
              </w:rPr>
              <w:t>E2=0.3。</w:t>
            </w:r>
          </w:p>
          <w:p w14:paraId="06E6CA39">
            <w:pPr>
              <w:widowControl/>
              <w:ind w:firstLine="0" w:firstLineChars="0"/>
              <w:jc w:val="both"/>
              <w:rPr>
                <w:color w:val="auto"/>
                <w:highlight w:val="none"/>
              </w:rPr>
            </w:pPr>
            <w:r>
              <w:rPr>
                <w:rFonts w:ascii="宋体" w:hAnsi="宋体" w:cs="宋体"/>
                <w:color w:val="auto"/>
                <w:szCs w:val="24"/>
                <w:highlight w:val="none"/>
              </w:rPr>
              <w:t>当评标价得分为负时，均按0分计算。评标价得分保留小数点后两位，小数点后</w:t>
            </w:r>
            <w:r>
              <w:rPr>
                <w:rFonts w:hint="eastAsia" w:ascii="宋体" w:hAnsi="宋体" w:cs="宋体"/>
                <w:color w:val="auto"/>
                <w:szCs w:val="24"/>
                <w:highlight w:val="none"/>
              </w:rPr>
              <w:t>第</w:t>
            </w:r>
            <w:r>
              <w:rPr>
                <w:rFonts w:ascii="宋体" w:hAnsi="宋体" w:cs="宋体"/>
                <w:color w:val="auto"/>
                <w:szCs w:val="24"/>
                <w:highlight w:val="none"/>
              </w:rPr>
              <w:t>三位“四舍五入”，即为*.**。</w:t>
            </w:r>
          </w:p>
        </w:tc>
      </w:tr>
      <w:tr w14:paraId="74CA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483" w:hRule="atLeast"/>
          <w:jc w:val="center"/>
        </w:trPr>
        <w:tc>
          <w:tcPr>
            <w:tcW w:w="9199" w:type="dxa"/>
            <w:gridSpan w:val="5"/>
            <w:tcBorders>
              <w:top w:val="single" w:color="auto" w:sz="4" w:space="0"/>
              <w:bottom w:val="single" w:color="auto" w:sz="4" w:space="0"/>
              <w:right w:val="single" w:color="auto" w:sz="4" w:space="0"/>
            </w:tcBorders>
            <w:noWrap w:val="0"/>
            <w:vAlign w:val="center"/>
          </w:tcPr>
          <w:p w14:paraId="09343D8E">
            <w:pPr>
              <w:spacing w:line="440" w:lineRule="exact"/>
              <w:ind w:firstLine="0" w:firstLineChars="0"/>
              <w:rPr>
                <w:color w:val="auto"/>
                <w:spacing w:val="-2"/>
                <w:szCs w:val="21"/>
                <w:highlight w:val="none"/>
              </w:rPr>
            </w:pPr>
            <w:r>
              <w:rPr>
                <w:rFonts w:hint="eastAsia"/>
                <w:b/>
                <w:color w:val="auto"/>
                <w:kern w:val="0"/>
                <w:szCs w:val="21"/>
                <w:highlight w:val="none"/>
              </w:rPr>
              <w:t>需要补充的其他内容</w:t>
            </w:r>
          </w:p>
        </w:tc>
      </w:tr>
      <w:tr w14:paraId="2FC35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13" w:type="dxa"/>
            <w:left w:w="0" w:type="dxa"/>
            <w:bottom w:w="0" w:type="dxa"/>
            <w:right w:w="0" w:type="dxa"/>
          </w:tblCellMar>
        </w:tblPrEx>
        <w:trPr>
          <w:trHeight w:val="483" w:hRule="atLeast"/>
          <w:jc w:val="center"/>
        </w:trPr>
        <w:tc>
          <w:tcPr>
            <w:tcW w:w="9199" w:type="dxa"/>
            <w:gridSpan w:val="5"/>
            <w:tcBorders>
              <w:top w:val="single" w:color="auto" w:sz="4" w:space="0"/>
              <w:bottom w:val="single" w:color="auto" w:sz="4" w:space="0"/>
              <w:right w:val="single" w:color="auto" w:sz="4" w:space="0"/>
            </w:tcBorders>
            <w:noWrap w:val="0"/>
            <w:vAlign w:val="center"/>
          </w:tcPr>
          <w:p w14:paraId="4903F72B">
            <w:pPr>
              <w:snapToGrid w:val="0"/>
              <w:ind w:firstLine="482"/>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rPr>
              <w:t>一、</w:t>
            </w:r>
            <w:r>
              <w:rPr>
                <w:rFonts w:ascii="宋体" w:hAnsi="宋体" w:cs="宋体"/>
                <w:b/>
                <w:bCs/>
                <w:color w:val="auto"/>
                <w:szCs w:val="24"/>
                <w:highlight w:val="none"/>
              </w:rPr>
              <w:t>对于详细评审技术评分标准</w:t>
            </w:r>
          </w:p>
          <w:p w14:paraId="5F5E59A0">
            <w:pPr>
              <w:snapToGrid w:val="0"/>
              <w:ind w:firstLine="480"/>
              <w:rPr>
                <w:rFonts w:ascii="宋体" w:hAnsi="宋体" w:cs="宋体"/>
                <w:color w:val="auto"/>
                <w:szCs w:val="24"/>
                <w:highlight w:val="none"/>
              </w:rPr>
            </w:pPr>
            <w:r>
              <w:rPr>
                <w:rFonts w:hint="eastAsia"/>
                <w:bCs/>
                <w:color w:val="auto"/>
                <w:kern w:val="0"/>
                <w:szCs w:val="21"/>
                <w:highlight w:val="none"/>
                <w:lang w:val="en-US" w:eastAsia="zh-CN"/>
              </w:rPr>
              <w:t>建议监理大纲</w:t>
            </w:r>
            <w:r>
              <w:rPr>
                <w:rFonts w:ascii="宋体" w:hAnsi="宋体" w:cs="宋体"/>
                <w:color w:val="auto"/>
                <w:szCs w:val="24"/>
                <w:highlight w:val="none"/>
              </w:rPr>
              <w:t>篇幅不超过</w:t>
            </w:r>
            <w:r>
              <w:rPr>
                <w:rFonts w:hint="eastAsia" w:ascii="宋体" w:hAnsi="宋体" w:cs="宋体"/>
                <w:color w:val="auto"/>
                <w:szCs w:val="24"/>
                <w:highlight w:val="none"/>
                <w:lang w:val="en-US" w:eastAsia="zh-CN"/>
              </w:rPr>
              <w:t>200</w:t>
            </w:r>
            <w:r>
              <w:rPr>
                <w:rFonts w:ascii="宋体" w:hAnsi="宋体" w:cs="宋体"/>
                <w:color w:val="auto"/>
                <w:szCs w:val="24"/>
                <w:highlight w:val="none"/>
              </w:rPr>
              <w:t>页</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封面及目录除外)</w:t>
            </w:r>
            <w:r>
              <w:rPr>
                <w:rFonts w:ascii="宋体" w:hAnsi="宋体" w:cs="宋体"/>
                <w:color w:val="auto"/>
                <w:szCs w:val="24"/>
                <w:highlight w:val="none"/>
              </w:rPr>
              <w:t>。</w:t>
            </w:r>
          </w:p>
          <w:p w14:paraId="0A6F969F">
            <w:pPr>
              <w:snapToGrid w:val="0"/>
              <w:ind w:firstLine="482"/>
              <w:rPr>
                <w:rFonts w:ascii="宋体" w:hAnsi="宋体" w:cs="宋体"/>
                <w:color w:val="auto"/>
                <w:szCs w:val="24"/>
                <w:highlight w:val="none"/>
              </w:rPr>
            </w:pPr>
            <w:r>
              <w:rPr>
                <w:rFonts w:hint="eastAsia" w:ascii="宋体" w:hAnsi="宋体" w:cs="宋体"/>
                <w:b/>
                <w:bCs/>
                <w:color w:val="auto"/>
                <w:szCs w:val="24"/>
                <w:highlight w:val="none"/>
              </w:rPr>
              <w:t>二、</w:t>
            </w:r>
            <w:r>
              <w:rPr>
                <w:rFonts w:ascii="宋体" w:hAnsi="宋体" w:cs="宋体"/>
                <w:b/>
                <w:bCs/>
                <w:color w:val="auto"/>
                <w:szCs w:val="24"/>
                <w:highlight w:val="none"/>
              </w:rPr>
              <w:t>对于详细评审业绩：</w:t>
            </w:r>
          </w:p>
          <w:p w14:paraId="3DE33CA0">
            <w:pPr>
              <w:snapToGrid w:val="0"/>
              <w:ind w:firstLine="480"/>
              <w:rPr>
                <w:rFonts w:ascii="宋体" w:hAnsi="宋体" w:cs="宋体"/>
                <w:color w:val="auto"/>
                <w:szCs w:val="24"/>
                <w:highlight w:val="none"/>
              </w:rPr>
            </w:pPr>
            <w:r>
              <w:rPr>
                <w:rFonts w:ascii="宋体" w:hAnsi="宋体" w:cs="宋体"/>
                <w:color w:val="auto"/>
                <w:szCs w:val="24"/>
                <w:highlight w:val="none"/>
              </w:rPr>
              <w:t>1、评审因素“投标人业绩”</w:t>
            </w:r>
            <w:r>
              <w:rPr>
                <w:rFonts w:hint="eastAsia" w:ascii="宋体" w:hAnsi="宋体" w:cs="宋体"/>
                <w:color w:val="auto"/>
                <w:szCs w:val="24"/>
                <w:highlight w:val="none"/>
                <w:lang w:eastAsia="zh-CN"/>
              </w:rPr>
              <w:t>、“</w:t>
            </w:r>
            <w:r>
              <w:rPr>
                <w:rFonts w:hint="eastAsia"/>
                <w:color w:val="auto"/>
                <w:highlight w:val="none"/>
              </w:rPr>
              <w:t>总监理工程师业绩</w:t>
            </w:r>
            <w:r>
              <w:rPr>
                <w:rFonts w:hint="eastAsia" w:ascii="宋体" w:hAnsi="宋体" w:cs="宋体"/>
                <w:color w:val="auto"/>
                <w:szCs w:val="24"/>
                <w:highlight w:val="none"/>
                <w:lang w:eastAsia="zh-CN"/>
              </w:rPr>
              <w:t>”</w:t>
            </w:r>
            <w:r>
              <w:rPr>
                <w:rFonts w:ascii="宋体" w:hAnsi="宋体" w:cs="宋体"/>
                <w:color w:val="auto"/>
                <w:szCs w:val="24"/>
                <w:highlight w:val="none"/>
              </w:rPr>
              <w:t>，投标人应按照第六章“投标文件格式”的要求填写相应表格，并附相应业绩证明材料。</w:t>
            </w:r>
          </w:p>
          <w:p w14:paraId="57269699">
            <w:pPr>
              <w:snapToGrid w:val="0"/>
              <w:ind w:firstLine="480"/>
              <w:rPr>
                <w:rFonts w:ascii="宋体" w:hAnsi="宋体" w:cs="宋体"/>
                <w:color w:val="auto"/>
                <w:szCs w:val="24"/>
                <w:highlight w:val="none"/>
              </w:rPr>
            </w:pPr>
            <w:r>
              <w:rPr>
                <w:rFonts w:ascii="宋体" w:hAnsi="宋体" w:cs="宋体"/>
                <w:color w:val="auto"/>
                <w:szCs w:val="24"/>
                <w:highlight w:val="none"/>
              </w:rPr>
              <w:t>2、评标委员会应按照第六章“投标文件格式”中“投标人业绩情况表（详细评审）”“</w:t>
            </w:r>
            <w:r>
              <w:rPr>
                <w:rFonts w:hint="eastAsia" w:ascii="宋体" w:hAnsi="宋体" w:cs="宋体"/>
                <w:color w:val="auto"/>
                <w:szCs w:val="24"/>
                <w:highlight w:val="none"/>
              </w:rPr>
              <w:t>总监理工程师</w:t>
            </w:r>
            <w:r>
              <w:rPr>
                <w:rFonts w:ascii="宋体" w:hAnsi="宋体" w:cs="宋体"/>
                <w:color w:val="auto"/>
                <w:szCs w:val="24"/>
                <w:highlight w:val="none"/>
              </w:rPr>
              <w:t>业绩情况表（详细评审）”列明的业绩序号先后顺序依次进行评审（如未填写序号或序号填写错误，评标委员会将按照表格中列明的业绩从上到下进行评审），且仅评审“详细评审标准”规定数量的业绩，超出规定数量部分或未在表中列明的业绩均不作为详细评审标准予以评审。</w:t>
            </w:r>
          </w:p>
          <w:p w14:paraId="677C22CF">
            <w:pPr>
              <w:snapToGrid w:val="0"/>
              <w:spacing w:after="120" w:afterLines="50"/>
              <w:ind w:firstLine="480"/>
              <w:rPr>
                <w:rFonts w:ascii="宋体" w:hAnsi="宋体" w:cs="宋体"/>
                <w:color w:val="auto"/>
                <w:szCs w:val="24"/>
                <w:highlight w:val="none"/>
              </w:rPr>
            </w:pPr>
            <w:r>
              <w:rPr>
                <w:rFonts w:ascii="宋体" w:hAnsi="宋体" w:cs="宋体"/>
                <w:color w:val="auto"/>
                <w:szCs w:val="24"/>
                <w:highlight w:val="none"/>
              </w:rPr>
              <w:t>3、</w:t>
            </w:r>
            <w:r>
              <w:rPr>
                <w:rFonts w:ascii="宋体" w:hAnsi="宋体" w:cs="宋体"/>
                <w:b/>
                <w:bCs/>
                <w:color w:val="auto"/>
                <w:szCs w:val="24"/>
                <w:highlight w:val="none"/>
              </w:rPr>
              <w:t>投标人业绩和</w:t>
            </w:r>
            <w:r>
              <w:rPr>
                <w:rFonts w:hint="eastAsia" w:ascii="宋体" w:hAnsi="宋体" w:cs="宋体"/>
                <w:b/>
                <w:bCs/>
                <w:color w:val="auto"/>
                <w:szCs w:val="24"/>
                <w:highlight w:val="none"/>
              </w:rPr>
              <w:t>总监理工程师业绩</w:t>
            </w:r>
            <w:r>
              <w:rPr>
                <w:rFonts w:ascii="宋体" w:hAnsi="宋体" w:cs="宋体"/>
                <w:b/>
                <w:bCs/>
                <w:color w:val="auto"/>
                <w:szCs w:val="24"/>
                <w:highlight w:val="none"/>
              </w:rPr>
              <w:t>为同一业绩的，可重复得分；经评审委员会评审通过的资格审查业绩</w:t>
            </w:r>
            <w:r>
              <w:rPr>
                <w:rFonts w:hint="eastAsia" w:ascii="宋体" w:hAnsi="宋体" w:cs="宋体"/>
                <w:b/>
                <w:bCs/>
                <w:color w:val="auto"/>
                <w:szCs w:val="24"/>
                <w:highlight w:val="none"/>
                <w:lang w:val="en-US" w:eastAsia="zh-CN"/>
              </w:rPr>
              <w:t>不</w:t>
            </w:r>
            <w:r>
              <w:rPr>
                <w:rFonts w:ascii="宋体" w:hAnsi="宋体" w:cs="宋体"/>
                <w:b/>
                <w:bCs/>
                <w:color w:val="auto"/>
                <w:szCs w:val="24"/>
                <w:highlight w:val="none"/>
              </w:rPr>
              <w:t>可作为详细评审业绩。</w:t>
            </w:r>
          </w:p>
          <w:p w14:paraId="2BF88734">
            <w:pPr>
              <w:snapToGrid w:val="0"/>
              <w:ind w:firstLine="480"/>
              <w:rPr>
                <w:rFonts w:ascii="宋体" w:hAnsi="宋体" w:cs="宋体"/>
                <w:color w:val="auto"/>
                <w:szCs w:val="24"/>
                <w:highlight w:val="none"/>
              </w:rPr>
            </w:pPr>
            <w:r>
              <w:rPr>
                <w:rFonts w:ascii="宋体" w:hAnsi="宋体" w:cs="宋体"/>
                <w:color w:val="auto"/>
                <w:szCs w:val="24"/>
                <w:highlight w:val="none"/>
              </w:rPr>
              <w:t>4、投标人应按下列规定提供业绩证明资料：</w:t>
            </w:r>
          </w:p>
          <w:p w14:paraId="5A20AC23">
            <w:pPr>
              <w:snapToGrid w:val="0"/>
              <w:ind w:firstLine="480"/>
              <w:rPr>
                <w:rFonts w:ascii="宋体" w:hAnsi="宋体" w:cs="宋体"/>
                <w:color w:val="auto"/>
                <w:szCs w:val="24"/>
                <w:highlight w:val="none"/>
              </w:rPr>
            </w:pPr>
            <w:r>
              <w:rPr>
                <w:rFonts w:ascii="宋体" w:hAnsi="宋体" w:cs="宋体"/>
                <w:color w:val="auto"/>
                <w:szCs w:val="24"/>
                <w:highlight w:val="none"/>
              </w:rPr>
              <w:t>（1）合同协议书。</w:t>
            </w:r>
          </w:p>
          <w:p w14:paraId="3EE7B19B">
            <w:pPr>
              <w:snapToGrid w:val="0"/>
              <w:ind w:firstLine="480"/>
              <w:rPr>
                <w:rFonts w:ascii="宋体" w:hAnsi="宋体" w:cs="宋体"/>
                <w:color w:val="auto"/>
                <w:szCs w:val="24"/>
                <w:highlight w:val="none"/>
              </w:rPr>
            </w:pPr>
            <w:r>
              <w:rPr>
                <w:rFonts w:ascii="宋体" w:hAnsi="宋体" w:cs="宋体"/>
                <w:color w:val="auto"/>
                <w:szCs w:val="24"/>
                <w:highlight w:val="none"/>
              </w:rPr>
              <w:t>（2）中标查询网址及查询截图，或住房和城乡建设主管部门网站公布的施工许可证办理查询截图，或信用评价体系查询截图。无法提供以上截图的，应当提供住房和城乡建设主管部门证明材料。</w:t>
            </w:r>
          </w:p>
          <w:p w14:paraId="116CD35D">
            <w:pPr>
              <w:snapToGrid w:val="0"/>
              <w:ind w:firstLine="480"/>
              <w:rPr>
                <w:rFonts w:ascii="宋体" w:hAnsi="宋体" w:cs="宋体"/>
                <w:color w:val="auto"/>
                <w:szCs w:val="24"/>
                <w:highlight w:val="none"/>
              </w:rPr>
            </w:pPr>
            <w:r>
              <w:rPr>
                <w:rFonts w:ascii="宋体" w:hAnsi="宋体" w:cs="宋体"/>
                <w:color w:val="auto"/>
                <w:szCs w:val="24"/>
                <w:highlight w:val="none"/>
              </w:rPr>
              <w:t>（3）竣工验收证明文件（至少有建设单位、设计单位、监理单位、施工单位四方参与竣工验收并盖单位章）。</w:t>
            </w:r>
          </w:p>
          <w:p w14:paraId="6643F43E">
            <w:pPr>
              <w:snapToGrid w:val="0"/>
              <w:ind w:firstLine="480"/>
              <w:rPr>
                <w:rFonts w:ascii="宋体" w:hAnsi="宋体" w:cs="宋体"/>
                <w:color w:val="auto"/>
                <w:szCs w:val="24"/>
                <w:highlight w:val="none"/>
              </w:rPr>
            </w:pPr>
            <w:r>
              <w:rPr>
                <w:rFonts w:ascii="宋体" w:hAnsi="宋体" w:cs="宋体"/>
                <w:color w:val="auto"/>
                <w:szCs w:val="24"/>
                <w:highlight w:val="none"/>
              </w:rPr>
              <w:t>（4）其他材料：投标人业绩需在商务文件中“详细评审资料”栏“投标人业绩情况表（详细评审）”中注明并提供相关证明材料。总监理工程师业绩需在商务文件中“详细评审资料”栏“总监理工程师业绩情况表（详细评审）”中注明并提供相关证明材料。如投标人提供的上述业绩证明材料未能完整或充分反映评审因素的，应另附合同甲方证明材料（须加盖合同甲方单位章）予以明确说明，否则评标委员会不予认可。</w:t>
            </w:r>
          </w:p>
          <w:p w14:paraId="635EA5E8">
            <w:pPr>
              <w:snapToGrid w:val="0"/>
              <w:ind w:firstLine="482"/>
              <w:rPr>
                <w:rFonts w:ascii="宋体" w:hAnsi="宋体" w:cs="宋体"/>
                <w:b/>
                <w:bCs/>
                <w:color w:val="auto"/>
                <w:szCs w:val="24"/>
                <w:highlight w:val="none"/>
              </w:rPr>
            </w:pPr>
            <w:r>
              <w:rPr>
                <w:rFonts w:ascii="宋体" w:hAnsi="宋体" w:cs="宋体"/>
                <w:b/>
                <w:bCs/>
                <w:color w:val="auto"/>
                <w:szCs w:val="24"/>
                <w:highlight w:val="none"/>
              </w:rPr>
              <w:t>三、对于详细评审奖项、荣誉：</w:t>
            </w:r>
          </w:p>
          <w:p w14:paraId="6EBF53ED">
            <w:pPr>
              <w:snapToGrid w:val="0"/>
              <w:ind w:firstLine="480"/>
              <w:rPr>
                <w:rFonts w:hint="eastAsia" w:ascii="宋体" w:hAnsi="宋体" w:eastAsia="宋体" w:cs="宋体"/>
                <w:color w:val="auto"/>
                <w:szCs w:val="24"/>
                <w:highlight w:val="none"/>
                <w:lang w:eastAsia="zh-CN"/>
              </w:rPr>
            </w:pPr>
            <w:r>
              <w:rPr>
                <w:rFonts w:ascii="宋体" w:hAnsi="宋体" w:cs="宋体"/>
                <w:color w:val="auto"/>
                <w:szCs w:val="24"/>
                <w:highlight w:val="none"/>
              </w:rPr>
              <w:t>（1）同一项目多次获奖仅计分一次并以最高表彰计；</w:t>
            </w:r>
          </w:p>
          <w:p w14:paraId="4E482C11">
            <w:pPr>
              <w:snapToGrid w:val="0"/>
              <w:ind w:firstLine="480"/>
              <w:rPr>
                <w:rFonts w:ascii="宋体" w:hAnsi="宋体" w:cs="宋体"/>
                <w:color w:val="auto"/>
                <w:szCs w:val="24"/>
                <w:highlight w:val="none"/>
              </w:rPr>
            </w:pPr>
            <w:r>
              <w:rPr>
                <w:rFonts w:ascii="宋体" w:hAnsi="宋体" w:cs="宋体"/>
                <w:color w:val="auto"/>
                <w:szCs w:val="24"/>
                <w:highlight w:val="none"/>
              </w:rPr>
              <w:t>（2）时间以颁奖时间为准；</w:t>
            </w:r>
          </w:p>
          <w:p w14:paraId="69C63D1E">
            <w:pPr>
              <w:snapToGrid w:val="0"/>
              <w:ind w:firstLine="480"/>
              <w:rPr>
                <w:rFonts w:ascii="宋体" w:hAnsi="宋体" w:cs="宋体"/>
                <w:color w:val="auto"/>
                <w:szCs w:val="24"/>
                <w:highlight w:val="none"/>
              </w:rPr>
            </w:pPr>
            <w:r>
              <w:rPr>
                <w:rFonts w:ascii="宋体" w:hAnsi="宋体" w:cs="宋体"/>
                <w:color w:val="auto"/>
                <w:szCs w:val="24"/>
                <w:highlight w:val="none"/>
              </w:rPr>
              <w:t>（3）投标文件中须提供颁奖单位的颁奖文件或颁奖单位官网文件截图（颁奖文件不含荣誉证书、奖杯、奖牌、奖状）。若为投标人奖项、荣誉，颁奖文件或颁奖单位官网文件截图能体现单位名称；若为人员奖项、荣誉，颁奖文件或颁奖单位官网文件截图能体现相应获奖人员名单；</w:t>
            </w:r>
          </w:p>
          <w:p w14:paraId="6223D4A5">
            <w:pPr>
              <w:snapToGrid w:val="0"/>
              <w:ind w:firstLine="480"/>
              <w:rPr>
                <w:rFonts w:ascii="宋体" w:hAnsi="宋体" w:cs="宋体"/>
                <w:color w:val="auto"/>
                <w:szCs w:val="24"/>
                <w:highlight w:val="none"/>
              </w:rPr>
            </w:pPr>
            <w:r>
              <w:rPr>
                <w:rFonts w:ascii="宋体" w:hAnsi="宋体" w:cs="宋体"/>
                <w:color w:val="auto"/>
                <w:szCs w:val="24"/>
                <w:highlight w:val="none"/>
              </w:rPr>
              <w:t>（4）“国内依法登记注册”以中国社会组织政务服务平台中“全国社会组织信用信息公示平台”查询结果为准。针对国内依法登记注册的行业协会（或学会）颁发的奖项、荣誉，投标文件中须提供该协会在中国社会组织政务服务平台中“全国社会组织信用信息公示平台”查询结果截图。</w:t>
            </w:r>
          </w:p>
          <w:p w14:paraId="09515A4B">
            <w:pPr>
              <w:snapToGrid w:val="0"/>
              <w:ind w:firstLine="480"/>
              <w:rPr>
                <w:rFonts w:ascii="宋体" w:hAnsi="宋体" w:cs="宋体"/>
                <w:color w:val="auto"/>
                <w:szCs w:val="24"/>
                <w:highlight w:val="none"/>
              </w:rPr>
            </w:pPr>
            <w:r>
              <w:rPr>
                <w:rFonts w:ascii="宋体" w:hAnsi="宋体" w:cs="宋体"/>
                <w:color w:val="auto"/>
                <w:szCs w:val="24"/>
                <w:highlight w:val="none"/>
              </w:rPr>
              <w:t>（5）民政部公布的“离岸社团”、“山寨社团”或中国社会组织政务服务平台中“全国社会组织信用信息公示平台”公示的“涉嫌非法社会组织”颁发的荣誉、奖励均无效。</w:t>
            </w:r>
          </w:p>
          <w:p w14:paraId="51B82A6D">
            <w:pPr>
              <w:spacing w:line="360" w:lineRule="auto"/>
              <w:ind w:firstLine="240" w:firstLineChars="100"/>
              <w:jc w:val="both"/>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lang w:eastAsia="zh-CN"/>
              </w:rPr>
              <w:t>）</w:t>
            </w:r>
            <w:r>
              <w:rPr>
                <w:rFonts w:hint="eastAsia" w:ascii="宋体" w:hAnsi="宋体" w:cs="宋体"/>
                <w:b w:val="0"/>
                <w:bCs w:val="0"/>
                <w:color w:val="auto"/>
                <w:szCs w:val="24"/>
                <w:highlight w:val="none"/>
              </w:rPr>
              <w:t>投标文件中</w:t>
            </w:r>
            <w:r>
              <w:rPr>
                <w:rFonts w:hint="eastAsia" w:ascii="宋体" w:hAnsi="宋体" w:cs="宋体"/>
                <w:b w:val="0"/>
                <w:bCs w:val="0"/>
                <w:color w:val="auto"/>
                <w:szCs w:val="24"/>
                <w:highlight w:val="none"/>
                <w:lang w:val="en-US" w:eastAsia="zh-CN"/>
              </w:rPr>
              <w:t>还</w:t>
            </w:r>
            <w:r>
              <w:rPr>
                <w:rFonts w:hint="eastAsia" w:ascii="宋体" w:hAnsi="宋体" w:cs="宋体"/>
                <w:b w:val="0"/>
                <w:bCs w:val="0"/>
                <w:color w:val="auto"/>
                <w:szCs w:val="24"/>
                <w:highlight w:val="none"/>
              </w:rPr>
              <w:t>须提供获奖项目合同扫描件</w:t>
            </w:r>
            <w:r>
              <w:rPr>
                <w:rFonts w:hint="eastAsia" w:ascii="宋体" w:hAnsi="宋体" w:cs="宋体"/>
                <w:b w:val="0"/>
                <w:bCs w:val="0"/>
                <w:color w:val="auto"/>
                <w:szCs w:val="24"/>
                <w:highlight w:val="none"/>
                <w:lang w:eastAsia="zh-CN"/>
              </w:rPr>
              <w:t>。</w:t>
            </w:r>
          </w:p>
        </w:tc>
      </w:tr>
    </w:tbl>
    <w:p w14:paraId="16AF81A1">
      <w:pPr>
        <w:pStyle w:val="7"/>
        <w:spacing w:before="240" w:after="240"/>
        <w:ind w:firstLine="0" w:firstLineChars="0"/>
        <w:jc w:val="center"/>
        <w:rPr>
          <w:rFonts w:hint="eastAsia"/>
          <w:color w:val="auto"/>
          <w:highlight w:val="none"/>
        </w:rPr>
      </w:pPr>
      <w:r>
        <w:rPr>
          <w:rFonts w:hint="eastAsia"/>
          <w:color w:val="auto"/>
          <w:highlight w:val="none"/>
        </w:rPr>
        <w:br w:type="page"/>
      </w:r>
      <w:r>
        <w:rPr>
          <w:rFonts w:hint="eastAsia"/>
          <w:color w:val="auto"/>
          <w:highlight w:val="none"/>
        </w:rPr>
        <w:t>附件1：技术文件详细评审得分计算规则</w:t>
      </w:r>
    </w:p>
    <w:p w14:paraId="7D31804E">
      <w:pPr>
        <w:ind w:firstLine="482"/>
        <w:rPr>
          <w:rFonts w:hint="eastAsia"/>
          <w:b/>
          <w:bCs/>
          <w:color w:val="auto"/>
          <w:highlight w:val="none"/>
        </w:rPr>
      </w:pPr>
      <w:r>
        <w:rPr>
          <w:rFonts w:hint="eastAsia"/>
          <w:b/>
          <w:bCs/>
          <w:color w:val="auto"/>
          <w:highlight w:val="none"/>
        </w:rPr>
        <w:t>针对评标办法正文“3.2商务及技术文件详细评审”中“技术文件详细评审得分计算”规则，</w:t>
      </w:r>
      <w:r>
        <w:rPr>
          <w:rFonts w:hint="eastAsia"/>
          <w:b/>
          <w:bCs/>
          <w:color w:val="auto"/>
          <w:szCs w:val="24"/>
          <w:highlight w:val="none"/>
        </w:rPr>
        <w:t>具体如下，计算保留小数点后两位，小数点后第三位“四舍五入”：</w:t>
      </w:r>
    </w:p>
    <w:p w14:paraId="14F38C34">
      <w:pPr>
        <w:ind w:firstLine="480"/>
        <w:rPr>
          <w:color w:val="auto"/>
          <w:highlight w:val="none"/>
        </w:rPr>
      </w:pPr>
      <w:r>
        <w:rPr>
          <w:rFonts w:hint="eastAsia"/>
          <w:color w:val="auto"/>
          <w:highlight w:val="none"/>
        </w:rPr>
        <w:t>技术文件详细评审得分计算如下：</w:t>
      </w:r>
    </w:p>
    <w:p w14:paraId="67FF1134">
      <w:pPr>
        <w:ind w:firstLine="480"/>
        <w:rPr>
          <w:rFonts w:hint="eastAsia"/>
          <w:color w:val="auto"/>
          <w:highlight w:val="none"/>
        </w:rPr>
      </w:pPr>
      <w:r>
        <w:rPr>
          <w:rFonts w:hint="eastAsia"/>
          <w:color w:val="auto"/>
          <w:highlight w:val="none"/>
        </w:rPr>
        <w:t xml:space="preserve">①首先，根据评委技术文件详细评审打分汇总（以下简称“技术打分”），计算偏差率 </w:t>
      </w:r>
    </w:p>
    <w:p w14:paraId="6E261EF2">
      <w:pPr>
        <w:ind w:firstLine="480"/>
        <w:rPr>
          <w:rFonts w:hint="eastAsia"/>
          <w:color w:val="auto"/>
          <w:highlight w:val="none"/>
        </w:rPr>
      </w:pPr>
      <w:r>
        <w:rPr>
          <w:rFonts w:hint="eastAsia"/>
          <w:color w:val="auto"/>
          <w:highlight w:val="none"/>
        </w:rPr>
        <w:t>根据评委对其评审的各投标人的技术打分进行排序，计算该评委最高与次高技术打分的纵向偏差率（该评委最高与次高技术打分的差值占该评委最高技术打分的百分比）；</w:t>
      </w:r>
    </w:p>
    <w:p w14:paraId="36B470F9">
      <w:pPr>
        <w:ind w:firstLine="480"/>
        <w:rPr>
          <w:rFonts w:hint="eastAsia"/>
          <w:color w:val="auto"/>
          <w:highlight w:val="none"/>
        </w:rPr>
      </w:pPr>
      <w:r>
        <w:rPr>
          <w:rFonts w:hint="eastAsia"/>
          <w:color w:val="auto"/>
          <w:highlight w:val="none"/>
        </w:rPr>
        <w:t>针对上述评委确定的最高技术打分的投标人，计算该投标人最高技术打分与其他评委对该投标人平均技术打分（技术打分的算术平均值）的横向偏差率（该投标人最高技术打分与其他评委对该投标人平均技术打分的差值占其他评委对该投标人平均技术打分的百分比；出现同一评委不同投标人的最高技术打分相同时，分别计算确定）；</w:t>
      </w:r>
    </w:p>
    <w:p w14:paraId="381A473D">
      <w:pPr>
        <w:ind w:firstLine="480"/>
        <w:rPr>
          <w:rFonts w:hint="eastAsia"/>
          <w:color w:val="auto"/>
          <w:highlight w:val="none"/>
        </w:rPr>
      </w:pPr>
      <w:r>
        <w:rPr>
          <w:rFonts w:hint="eastAsia"/>
          <w:color w:val="auto"/>
          <w:highlight w:val="none"/>
        </w:rPr>
        <w:t>当纵向偏差率达到或超过20%，同时横向偏差率达到或超过15%时，该评委的技术打分不纳入投标人得分计算。当出现2名或以上评委技术打分同时出现上述情况时，纵向偏差率最大的评委技术打分不纳入投标人得分计算；如纵向偏差率最大的相同时，以横向偏差率最大的评委技术打分不纳入投标人得分计算；如横向偏差率最大的也相同时，则计算该情形评委最高与次次高技术打分的偏差率，该偏差率最大的评委技术打分不纳入投标人得分计算；若最终仍然无法判断的，由评标委员会随机确定1位该情形评委技术打分不纳入投标人得分计算。</w:t>
      </w:r>
    </w:p>
    <w:p w14:paraId="4FB9162E">
      <w:pPr>
        <w:ind w:firstLine="480"/>
        <w:rPr>
          <w:rFonts w:hint="eastAsia"/>
          <w:color w:val="auto"/>
          <w:highlight w:val="none"/>
        </w:rPr>
      </w:pPr>
      <w:r>
        <w:rPr>
          <w:rFonts w:hint="eastAsia"/>
          <w:color w:val="auto"/>
          <w:highlight w:val="none"/>
        </w:rPr>
        <w:t>注：</w:t>
      </w:r>
      <w:r>
        <w:rPr>
          <w:rFonts w:hint="eastAsia"/>
          <w:color w:val="auto"/>
          <w:szCs w:val="24"/>
          <w:highlight w:val="none"/>
        </w:rPr>
        <w:t>技术打分相同的，一并纳入同情形偏差率计算（见示例标示）。上述差值按照绝对值计算</w:t>
      </w:r>
      <w:r>
        <w:rPr>
          <w:rFonts w:hint="eastAsia"/>
          <w:color w:val="auto"/>
          <w:highlight w:val="none"/>
        </w:rPr>
        <w:t>；</w:t>
      </w:r>
    </w:p>
    <w:p w14:paraId="1B188C55">
      <w:pPr>
        <w:ind w:firstLine="480"/>
        <w:rPr>
          <w:rFonts w:hint="eastAsia"/>
          <w:color w:val="auto"/>
          <w:highlight w:val="none"/>
        </w:rPr>
      </w:pPr>
      <w:r>
        <w:rPr>
          <w:rFonts w:hint="eastAsia"/>
          <w:color w:val="auto"/>
          <w:highlight w:val="none"/>
        </w:rPr>
        <w:t>示例：如某项目的投标人共6家，共有5位评委参与评审，评委进行技术打分分值见下表，现列举其中1位评委相关计算，具体如下：</w:t>
      </w:r>
    </w:p>
    <w:tbl>
      <w:tblPr>
        <w:tblStyle w:val="44"/>
        <w:tblW w:w="8681" w:type="dxa"/>
        <w:jc w:val="center"/>
        <w:tblLayout w:type="fixed"/>
        <w:tblCellMar>
          <w:top w:w="0" w:type="dxa"/>
          <w:left w:w="108" w:type="dxa"/>
          <w:bottom w:w="0" w:type="dxa"/>
          <w:right w:w="108" w:type="dxa"/>
        </w:tblCellMar>
      </w:tblPr>
      <w:tblGrid>
        <w:gridCol w:w="1253"/>
        <w:gridCol w:w="129"/>
        <w:gridCol w:w="1358"/>
        <w:gridCol w:w="1550"/>
        <w:gridCol w:w="1475"/>
        <w:gridCol w:w="1450"/>
        <w:gridCol w:w="1466"/>
      </w:tblGrid>
      <w:tr w14:paraId="452A1E02">
        <w:trPr>
          <w:trHeight w:val="387" w:hRule="atLeast"/>
          <w:jc w:val="center"/>
        </w:trPr>
        <w:tc>
          <w:tcPr>
            <w:tcW w:w="8681" w:type="dxa"/>
            <w:gridSpan w:val="7"/>
            <w:tcBorders>
              <w:top w:val="single" w:color="000000" w:sz="8" w:space="0"/>
              <w:left w:val="single" w:color="000000" w:sz="8" w:space="0"/>
              <w:bottom w:val="single" w:color="auto" w:sz="4" w:space="0"/>
              <w:right w:val="single" w:color="000000" w:sz="8" w:space="0"/>
            </w:tcBorders>
            <w:shd w:val="clear" w:color="auto" w:fill="BEBEBE"/>
            <w:noWrap/>
            <w:vAlign w:val="center"/>
          </w:tcPr>
          <w:p w14:paraId="4F759629">
            <w:pPr>
              <w:widowControl/>
              <w:adjustRightInd w:val="0"/>
              <w:snapToGrid w:val="0"/>
              <w:spacing w:line="240" w:lineRule="auto"/>
              <w:ind w:firstLine="422"/>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技术打分分值</w:t>
            </w:r>
          </w:p>
        </w:tc>
      </w:tr>
      <w:tr w14:paraId="261D386B">
        <w:tblPrEx>
          <w:tblCellMar>
            <w:top w:w="0" w:type="dxa"/>
            <w:left w:w="108" w:type="dxa"/>
            <w:bottom w:w="0" w:type="dxa"/>
            <w:right w:w="108" w:type="dxa"/>
          </w:tblCellMar>
        </w:tblPrEx>
        <w:trPr>
          <w:trHeight w:val="387" w:hRule="atLeast"/>
          <w:jc w:val="center"/>
        </w:trPr>
        <w:tc>
          <w:tcPr>
            <w:tcW w:w="1253" w:type="dxa"/>
            <w:tcBorders>
              <w:top w:val="single" w:color="000000" w:sz="8" w:space="0"/>
              <w:left w:val="single" w:color="000000" w:sz="8" w:space="0"/>
              <w:bottom w:val="single" w:color="auto" w:sz="4" w:space="0"/>
              <w:right w:val="single" w:color="000000" w:sz="8" w:space="0"/>
            </w:tcBorders>
            <w:noWrap/>
            <w:vAlign w:val="center"/>
          </w:tcPr>
          <w:p w14:paraId="3AC49511">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评委名称</w:t>
            </w:r>
          </w:p>
        </w:tc>
        <w:tc>
          <w:tcPr>
            <w:tcW w:w="1487" w:type="dxa"/>
            <w:gridSpan w:val="2"/>
            <w:tcBorders>
              <w:top w:val="single" w:color="000000" w:sz="8" w:space="0"/>
              <w:left w:val="nil"/>
              <w:bottom w:val="single" w:color="auto" w:sz="4" w:space="0"/>
              <w:right w:val="single" w:color="000000" w:sz="8" w:space="0"/>
            </w:tcBorders>
            <w:noWrap/>
            <w:vAlign w:val="center"/>
          </w:tcPr>
          <w:p w14:paraId="5FD73EDB">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评委1</w:t>
            </w:r>
          </w:p>
        </w:tc>
        <w:tc>
          <w:tcPr>
            <w:tcW w:w="1550" w:type="dxa"/>
            <w:tcBorders>
              <w:top w:val="single" w:color="000000" w:sz="8" w:space="0"/>
              <w:left w:val="nil"/>
              <w:bottom w:val="single" w:color="auto" w:sz="4" w:space="0"/>
              <w:right w:val="single" w:color="000000" w:sz="8" w:space="0"/>
            </w:tcBorders>
            <w:noWrap/>
            <w:vAlign w:val="center"/>
          </w:tcPr>
          <w:p w14:paraId="05502708">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评委2</w:t>
            </w:r>
          </w:p>
        </w:tc>
        <w:tc>
          <w:tcPr>
            <w:tcW w:w="1475" w:type="dxa"/>
            <w:tcBorders>
              <w:top w:val="single" w:color="000000" w:sz="8" w:space="0"/>
              <w:left w:val="nil"/>
              <w:bottom w:val="single" w:color="auto" w:sz="4" w:space="0"/>
              <w:right w:val="single" w:color="000000" w:sz="8" w:space="0"/>
            </w:tcBorders>
            <w:noWrap/>
            <w:vAlign w:val="center"/>
          </w:tcPr>
          <w:p w14:paraId="5B287B92">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评委3</w:t>
            </w:r>
          </w:p>
        </w:tc>
        <w:tc>
          <w:tcPr>
            <w:tcW w:w="1450" w:type="dxa"/>
            <w:tcBorders>
              <w:top w:val="single" w:color="000000" w:sz="8" w:space="0"/>
              <w:left w:val="nil"/>
              <w:bottom w:val="single" w:color="auto" w:sz="4" w:space="0"/>
              <w:right w:val="single" w:color="000000" w:sz="8" w:space="0"/>
            </w:tcBorders>
            <w:noWrap/>
            <w:vAlign w:val="center"/>
          </w:tcPr>
          <w:p w14:paraId="1E0F066D">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评委4</w:t>
            </w:r>
          </w:p>
        </w:tc>
        <w:tc>
          <w:tcPr>
            <w:tcW w:w="1466" w:type="dxa"/>
            <w:tcBorders>
              <w:top w:val="single" w:color="000000" w:sz="8" w:space="0"/>
              <w:left w:val="nil"/>
              <w:bottom w:val="single" w:color="auto" w:sz="4" w:space="0"/>
              <w:right w:val="single" w:color="000000" w:sz="8" w:space="0"/>
            </w:tcBorders>
            <w:noWrap/>
            <w:vAlign w:val="center"/>
          </w:tcPr>
          <w:p w14:paraId="0988FAF9">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评委5</w:t>
            </w:r>
          </w:p>
        </w:tc>
      </w:tr>
      <w:tr w14:paraId="1BE44FD3">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DF5A67">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投标人1</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72AF94">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28.0分</w:t>
            </w:r>
          </w:p>
          <w:p w14:paraId="1D390BF5">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06AA57">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30.0分</w:t>
            </w:r>
          </w:p>
          <w:p w14:paraId="687AEF97">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AC7437">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5E61BB42">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F38BDE">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25.0分</w:t>
            </w:r>
          </w:p>
          <w:p w14:paraId="348C3796">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w:t>
            </w:r>
          </w:p>
        </w:tc>
        <w:tc>
          <w:tcPr>
            <w:tcW w:w="14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BC0584">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20.0分</w:t>
            </w:r>
          </w:p>
          <w:p w14:paraId="0B76CB38">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（最低分）</w:t>
            </w:r>
          </w:p>
        </w:tc>
      </w:tr>
      <w:tr w14:paraId="200DEEDD">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67411E">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投标人2</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278860">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28.0分</w:t>
            </w:r>
          </w:p>
          <w:p w14:paraId="4A931FD7">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2AC6CD">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28.0分</w:t>
            </w:r>
          </w:p>
          <w:p w14:paraId="6FD41224">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D14BEB">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28.0分</w:t>
            </w:r>
          </w:p>
          <w:p w14:paraId="6DCF7D0C">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892EC5">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24.0分</w:t>
            </w:r>
          </w:p>
          <w:p w14:paraId="5CAF4B95">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（次高分）</w:t>
            </w:r>
          </w:p>
        </w:tc>
        <w:tc>
          <w:tcPr>
            <w:tcW w:w="14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719B46">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28E5952F">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（次次高分）</w:t>
            </w:r>
          </w:p>
        </w:tc>
      </w:tr>
      <w:tr w14:paraId="0DE0E4D9">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CF3E7">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投标人3</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110924">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26.0分</w:t>
            </w:r>
          </w:p>
          <w:p w14:paraId="3BF59B41">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CCDD66">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28.0分</w:t>
            </w:r>
          </w:p>
          <w:p w14:paraId="0B9E3391">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D6E8B0">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25.0分</w:t>
            </w:r>
          </w:p>
          <w:p w14:paraId="14921D47">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D45828">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25.0分</w:t>
            </w:r>
          </w:p>
          <w:p w14:paraId="5C37229F">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w:t>
            </w:r>
          </w:p>
        </w:tc>
        <w:tc>
          <w:tcPr>
            <w:tcW w:w="14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C45F8B">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23.0分</w:t>
            </w:r>
          </w:p>
          <w:p w14:paraId="51254D0B">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（次高分）</w:t>
            </w:r>
          </w:p>
        </w:tc>
      </w:tr>
      <w:tr w14:paraId="22CA5EE6">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EC9619">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投标人4</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154943">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24.0分</w:t>
            </w:r>
          </w:p>
          <w:p w14:paraId="34E82403">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62190E">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24.0分</w:t>
            </w:r>
          </w:p>
          <w:p w14:paraId="4822F762">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BA1152">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28.0分</w:t>
            </w:r>
          </w:p>
          <w:p w14:paraId="15873936">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0D0725">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23.0分</w:t>
            </w:r>
          </w:p>
          <w:p w14:paraId="26EC5F25">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（次次高分）</w:t>
            </w:r>
          </w:p>
        </w:tc>
        <w:tc>
          <w:tcPr>
            <w:tcW w:w="14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93D707">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20.0分</w:t>
            </w:r>
          </w:p>
          <w:p w14:paraId="62D492B0">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（最低分）</w:t>
            </w:r>
          </w:p>
        </w:tc>
      </w:tr>
      <w:tr w14:paraId="66D85E77">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04E4F7">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投标人5</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C6B44C">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7B17986C">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58361F">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1D620BB2">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236B4D">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24.0分</w:t>
            </w:r>
          </w:p>
          <w:p w14:paraId="44685DE4">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96CC3E">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5E171E89">
            <w:pPr>
              <w:widowControl/>
              <w:adjustRightInd w:val="0"/>
              <w:snapToGrid w:val="0"/>
              <w:spacing w:line="240" w:lineRule="auto"/>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（最低分）</w:t>
            </w:r>
          </w:p>
        </w:tc>
        <w:tc>
          <w:tcPr>
            <w:tcW w:w="14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53D2EE">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34B2048D">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（次次高分）</w:t>
            </w:r>
          </w:p>
        </w:tc>
      </w:tr>
      <w:tr w14:paraId="3DDB7489">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25537A">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投标人6</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0E4F12">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69CFADC4">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BF3361">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4429B190">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0DE2B2">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1964B7C1">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DE1478">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22.0分</w:t>
            </w:r>
          </w:p>
          <w:p w14:paraId="5B236AFD">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（最低分）</w:t>
            </w:r>
          </w:p>
        </w:tc>
        <w:tc>
          <w:tcPr>
            <w:tcW w:w="14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ACA22F">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30.0分</w:t>
            </w:r>
          </w:p>
          <w:p w14:paraId="277962D2">
            <w:pPr>
              <w:widowControl/>
              <w:adjustRightInd w:val="0"/>
              <w:snapToGrid w:val="0"/>
              <w:spacing w:line="240" w:lineRule="auto"/>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（最高分）</w:t>
            </w:r>
          </w:p>
        </w:tc>
      </w:tr>
      <w:tr w14:paraId="1F782A1F">
        <w:tblPrEx>
          <w:tblCellMar>
            <w:top w:w="0" w:type="dxa"/>
            <w:left w:w="108" w:type="dxa"/>
            <w:bottom w:w="0" w:type="dxa"/>
            <w:right w:w="108" w:type="dxa"/>
          </w:tblCellMar>
        </w:tblPrEx>
        <w:trPr>
          <w:trHeight w:val="415" w:hRule="atLeast"/>
          <w:jc w:val="center"/>
        </w:trPr>
        <w:tc>
          <w:tcPr>
            <w:tcW w:w="8681"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1D970AA5">
            <w:pPr>
              <w:widowControl/>
              <w:adjustRightInd w:val="0"/>
              <w:snapToGrid w:val="0"/>
              <w:ind w:firstLine="422"/>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列举评委1纵向偏差率计算</w:t>
            </w:r>
          </w:p>
        </w:tc>
      </w:tr>
      <w:tr w14:paraId="68EB4145">
        <w:tblPrEx>
          <w:tblCellMar>
            <w:top w:w="0" w:type="dxa"/>
            <w:left w:w="108" w:type="dxa"/>
            <w:bottom w:w="0" w:type="dxa"/>
            <w:right w:w="108" w:type="dxa"/>
          </w:tblCellMar>
        </w:tblPrEx>
        <w:trPr>
          <w:trHeight w:val="472" w:hRule="atLeast"/>
          <w:jc w:val="center"/>
        </w:trPr>
        <w:tc>
          <w:tcPr>
            <w:tcW w:w="27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7073038">
            <w:pPr>
              <w:widowControl/>
              <w:adjustRightInd w:val="0"/>
              <w:snapToGrid w:val="0"/>
              <w:ind w:firstLine="0" w:firstLineChars="0"/>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评委1的纵向偏差率</w:t>
            </w:r>
          </w:p>
        </w:tc>
        <w:tc>
          <w:tcPr>
            <w:tcW w:w="5941"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2F4D71F">
            <w:pPr>
              <w:widowControl/>
              <w:adjustRightInd w:val="0"/>
              <w:snapToGrid w:val="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【（28.0-26.0）÷28.0】×100%=7.14% </w:t>
            </w:r>
          </w:p>
        </w:tc>
      </w:tr>
      <w:tr w14:paraId="69B81A3E">
        <w:tblPrEx>
          <w:tblCellMar>
            <w:top w:w="0" w:type="dxa"/>
            <w:left w:w="108" w:type="dxa"/>
            <w:bottom w:w="0" w:type="dxa"/>
            <w:right w:w="108" w:type="dxa"/>
          </w:tblCellMar>
        </w:tblPrEx>
        <w:trPr>
          <w:trHeight w:val="412" w:hRule="atLeast"/>
          <w:jc w:val="center"/>
        </w:trPr>
        <w:tc>
          <w:tcPr>
            <w:tcW w:w="8681"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0E44FDE8">
            <w:pPr>
              <w:widowControl/>
              <w:adjustRightInd w:val="0"/>
              <w:snapToGrid w:val="0"/>
              <w:ind w:firstLine="422"/>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列举评委1横向偏差率计算</w:t>
            </w:r>
          </w:p>
        </w:tc>
      </w:tr>
      <w:tr w14:paraId="295BB87C">
        <w:tblPrEx>
          <w:tblCellMar>
            <w:top w:w="0" w:type="dxa"/>
            <w:left w:w="108" w:type="dxa"/>
            <w:bottom w:w="0" w:type="dxa"/>
            <w:right w:w="108" w:type="dxa"/>
          </w:tblCellMar>
        </w:tblPrEx>
        <w:trPr>
          <w:trHeight w:val="1017" w:hRule="atLeast"/>
          <w:jc w:val="center"/>
        </w:trPr>
        <w:tc>
          <w:tcPr>
            <w:tcW w:w="1382" w:type="dxa"/>
            <w:gridSpan w:val="2"/>
            <w:vMerge w:val="restart"/>
            <w:tcBorders>
              <w:top w:val="single" w:color="auto" w:sz="4" w:space="0"/>
              <w:left w:val="single" w:color="auto" w:sz="4" w:space="0"/>
              <w:right w:val="single" w:color="auto" w:sz="4" w:space="0"/>
            </w:tcBorders>
            <w:shd w:val="clear" w:color="auto" w:fill="FFFFFF"/>
            <w:noWrap/>
            <w:vAlign w:val="center"/>
          </w:tcPr>
          <w:p w14:paraId="46C87B54">
            <w:pPr>
              <w:widowControl/>
              <w:adjustRightInd w:val="0"/>
              <w:snapToGrid w:val="0"/>
              <w:ind w:left="0" w:lef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评委1的横向偏差</w:t>
            </w:r>
          </w:p>
        </w:tc>
        <w:tc>
          <w:tcPr>
            <w:tcW w:w="7299"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27F8950D">
            <w:pPr>
              <w:widowControl/>
              <w:adjustRightInd w:val="0"/>
              <w:snapToGrid w:val="0"/>
              <w:ind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对投标人1计算横向偏差={28.0-[（30.0+22.0+25.0+20.0）÷4]}÷[（30.0+22.0+25.0+20.0）÷4]×100%={28.0-24.25}÷[24.25]×100%=15.46%</w:t>
            </w:r>
          </w:p>
        </w:tc>
      </w:tr>
      <w:tr w14:paraId="35604A7D">
        <w:tblPrEx>
          <w:tblCellMar>
            <w:top w:w="0" w:type="dxa"/>
            <w:left w:w="108" w:type="dxa"/>
            <w:bottom w:w="0" w:type="dxa"/>
            <w:right w:w="108" w:type="dxa"/>
          </w:tblCellMar>
        </w:tblPrEx>
        <w:trPr>
          <w:trHeight w:val="905" w:hRule="atLeast"/>
          <w:jc w:val="center"/>
        </w:trPr>
        <w:tc>
          <w:tcPr>
            <w:tcW w:w="1382" w:type="dxa"/>
            <w:gridSpan w:val="2"/>
            <w:vMerge w:val="continue"/>
            <w:tcBorders>
              <w:left w:val="single" w:color="auto" w:sz="4" w:space="0"/>
              <w:bottom w:val="single" w:color="auto" w:sz="4" w:space="0"/>
              <w:right w:val="single" w:color="auto" w:sz="4" w:space="0"/>
            </w:tcBorders>
            <w:shd w:val="clear" w:color="auto" w:fill="FFFFFF"/>
            <w:noWrap/>
            <w:vAlign w:val="center"/>
          </w:tcPr>
          <w:p w14:paraId="6AC9287B">
            <w:pPr>
              <w:widowControl/>
              <w:adjustRightInd w:val="0"/>
              <w:snapToGrid w:val="0"/>
              <w:jc w:val="center"/>
              <w:textAlignment w:val="center"/>
              <w:rPr>
                <w:rFonts w:hint="eastAsia" w:ascii="宋体" w:hAnsi="宋体" w:eastAsia="宋体" w:cs="宋体"/>
                <w:color w:val="auto"/>
                <w:kern w:val="0"/>
                <w:sz w:val="21"/>
                <w:szCs w:val="21"/>
                <w:highlight w:val="none"/>
                <w:lang w:bidi="ar"/>
              </w:rPr>
            </w:pPr>
          </w:p>
        </w:tc>
        <w:tc>
          <w:tcPr>
            <w:tcW w:w="7299"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136D5326">
            <w:pPr>
              <w:widowControl/>
              <w:adjustRightInd w:val="0"/>
              <w:snapToGrid w:val="0"/>
              <w:ind w:firstLine="0" w:firstLineChars="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对投标人2计算横向偏差={28.0-[（28.0+28.0+24.0+22.0）÷4]}÷[（28.0+28.0+24.0+22.0）÷4]×100%={28.0-25.50}÷[25.50]×100%=9.80%</w:t>
            </w:r>
          </w:p>
        </w:tc>
      </w:tr>
    </w:tbl>
    <w:p w14:paraId="4B120305">
      <w:pPr>
        <w:ind w:firstLine="480"/>
        <w:rPr>
          <w:rFonts w:hint="eastAsia"/>
          <w:color w:val="auto"/>
          <w:highlight w:val="none"/>
        </w:rPr>
      </w:pPr>
      <w:r>
        <w:rPr>
          <w:rFonts w:hint="eastAsia"/>
          <w:color w:val="auto"/>
          <w:highlight w:val="none"/>
        </w:rPr>
        <w:t>②其次，根据评委技术文件详细评审打分汇总（以下简称“技术打分”），计算打分差值</w:t>
      </w:r>
    </w:p>
    <w:p w14:paraId="242A0928">
      <w:pPr>
        <w:ind w:firstLine="480"/>
        <w:rPr>
          <w:rFonts w:hint="eastAsia"/>
          <w:color w:val="auto"/>
          <w:highlight w:val="none"/>
        </w:rPr>
      </w:pPr>
      <w:r>
        <w:rPr>
          <w:rFonts w:hint="eastAsia"/>
          <w:color w:val="auto"/>
          <w:highlight w:val="none"/>
        </w:rPr>
        <w:t>a.当未出现上述①中评委的技术打分不纳入投标人得分计算的情形时，根据评委对其评审的各投标人的技术打分进行排序，计算该评委最高与最低技术打分的差值；</w:t>
      </w:r>
    </w:p>
    <w:p w14:paraId="0A2D51CE">
      <w:pPr>
        <w:ind w:firstLine="480"/>
        <w:rPr>
          <w:rFonts w:hint="eastAsia"/>
          <w:color w:val="auto"/>
          <w:highlight w:val="none"/>
        </w:rPr>
      </w:pPr>
      <w:r>
        <w:rPr>
          <w:rFonts w:hint="eastAsia"/>
          <w:color w:val="auto"/>
          <w:highlight w:val="none"/>
        </w:rPr>
        <w:t>所有评委中技术打分差值最大的</w:t>
      </w:r>
      <w:r>
        <w:rPr>
          <w:rFonts w:hint="eastAsia"/>
          <w:color w:val="auto"/>
          <w:szCs w:val="21"/>
          <w:highlight w:val="none"/>
        </w:rPr>
        <w:t>，其技术打分不纳入投标人得分计算。当出现技术打分差值最大的评委为2名或以上时，则计算该情形的评委次最高与最低技</w:t>
      </w:r>
      <w:r>
        <w:rPr>
          <w:rFonts w:hint="eastAsia"/>
          <w:color w:val="auto"/>
          <w:highlight w:val="none"/>
        </w:rPr>
        <w:t>术打分的差值，次差值最大的评委的技术打分不纳入投标人得分计算；如次差值也相同时，则计算该情形的评委次次最高与最低技术打分的差值，次次差值最大的评委的技术打分不纳入投标人得分计算；以此类推。若最终仍然无法判断的，由评标委员会随机确定1位该情形评委的技术打分不纳入投标人得分计算。</w:t>
      </w:r>
    </w:p>
    <w:p w14:paraId="167B90AA">
      <w:pPr>
        <w:ind w:firstLine="480"/>
        <w:rPr>
          <w:rFonts w:hint="eastAsia"/>
          <w:color w:val="auto"/>
          <w:highlight w:val="none"/>
        </w:rPr>
      </w:pPr>
      <w:r>
        <w:rPr>
          <w:rFonts w:hint="eastAsia"/>
          <w:color w:val="auto"/>
          <w:highlight w:val="none"/>
        </w:rPr>
        <w:t>注：技术打分相同的，一并纳入同情形差值计算（见示例标示）。</w:t>
      </w:r>
    </w:p>
    <w:p w14:paraId="7616F5B1">
      <w:pPr>
        <w:ind w:firstLine="480"/>
        <w:rPr>
          <w:rFonts w:hint="eastAsia"/>
          <w:color w:val="auto"/>
          <w:highlight w:val="none"/>
        </w:rPr>
      </w:pPr>
      <w:r>
        <w:rPr>
          <w:rFonts w:hint="eastAsia"/>
          <w:color w:val="auto"/>
          <w:highlight w:val="none"/>
        </w:rPr>
        <w:t>b.当出现上述①中评委的技术打分不纳入投标人得分计算的情形时，不再计算技术打分最大差值，直接进入下一步计算。</w:t>
      </w:r>
    </w:p>
    <w:p w14:paraId="3224014E">
      <w:pPr>
        <w:ind w:firstLine="480"/>
        <w:rPr>
          <w:rFonts w:hint="eastAsia"/>
          <w:color w:val="auto"/>
          <w:highlight w:val="none"/>
        </w:rPr>
      </w:pPr>
      <w:r>
        <w:rPr>
          <w:rFonts w:hint="eastAsia"/>
          <w:color w:val="auto"/>
          <w:highlight w:val="none"/>
        </w:rPr>
        <w:t>③再次，计算技术文件详细评审得分</w:t>
      </w:r>
    </w:p>
    <w:p w14:paraId="472E7A38">
      <w:pPr>
        <w:ind w:firstLine="480"/>
        <w:rPr>
          <w:color w:val="auto"/>
          <w:szCs w:val="24"/>
          <w:highlight w:val="none"/>
        </w:rPr>
      </w:pPr>
      <w:r>
        <w:rPr>
          <w:rFonts w:hint="eastAsia"/>
          <w:color w:val="auto"/>
          <w:szCs w:val="24"/>
          <w:highlight w:val="none"/>
        </w:rPr>
        <w:t>依据上述①②的判断，按照剩余各评委的技术文件详细评审（本章第2.2.2（1）目）中对应的各评分（评审）因素的打分，去掉一个最高分和一个最低分后计算算术平均值，为该评分（评审）因素的得分；</w:t>
      </w:r>
    </w:p>
    <w:p w14:paraId="4C32DF49">
      <w:pPr>
        <w:ind w:firstLine="480"/>
        <w:rPr>
          <w:color w:val="auto"/>
          <w:szCs w:val="24"/>
          <w:highlight w:val="none"/>
        </w:rPr>
      </w:pPr>
      <w:r>
        <w:rPr>
          <w:rFonts w:hint="eastAsia"/>
          <w:color w:val="auto"/>
          <w:szCs w:val="24"/>
          <w:highlight w:val="none"/>
        </w:rPr>
        <w:t>投标人第2.2.2（1）目得分A为该目中对应各评分（评审）因素得分的和；</w:t>
      </w:r>
    </w:p>
    <w:p w14:paraId="6368C015">
      <w:pPr>
        <w:ind w:firstLine="480"/>
        <w:rPr>
          <w:rFonts w:hint="eastAsia"/>
          <w:color w:val="auto"/>
          <w:highlight w:val="none"/>
        </w:rPr>
      </w:pPr>
      <w:r>
        <w:rPr>
          <w:rFonts w:hint="eastAsia"/>
          <w:color w:val="auto"/>
          <w:szCs w:val="24"/>
          <w:highlight w:val="none"/>
        </w:rPr>
        <w:t>投标人技术文件详细评审得分=A。</w:t>
      </w:r>
    </w:p>
    <w:p w14:paraId="48376EE9">
      <w:pPr>
        <w:pStyle w:val="7"/>
        <w:spacing w:before="240" w:after="240"/>
        <w:ind w:firstLine="0" w:firstLineChars="0"/>
        <w:jc w:val="center"/>
        <w:rPr>
          <w:rFonts w:hint="eastAsia"/>
          <w:color w:val="auto"/>
          <w:highlight w:val="none"/>
        </w:rPr>
      </w:pPr>
      <w:r>
        <w:rPr>
          <w:rFonts w:hint="eastAsia"/>
          <w:color w:val="auto"/>
          <w:highlight w:val="none"/>
        </w:rPr>
        <w:br w:type="page"/>
      </w:r>
      <w:r>
        <w:rPr>
          <w:rFonts w:hint="eastAsia"/>
          <w:color w:val="auto"/>
          <w:highlight w:val="none"/>
        </w:rPr>
        <w:t>附件2：否决投标的其他情形</w:t>
      </w:r>
    </w:p>
    <w:p w14:paraId="6C69DF06">
      <w:pPr>
        <w:ind w:firstLine="480"/>
        <w:rPr>
          <w:rFonts w:hint="eastAsia"/>
          <w:color w:val="auto"/>
          <w:highlight w:val="none"/>
        </w:rPr>
      </w:pPr>
      <w:r>
        <w:rPr>
          <w:rFonts w:hint="eastAsia"/>
          <w:color w:val="auto"/>
          <w:highlight w:val="none"/>
        </w:rPr>
        <w:t>1.评标委员会应对在评标过程中发现的投标人与投标人之间、投标人与招标人之间存在的串通投标的情形进行评审和认定。投标人存在串通投标、弄虚作假、行贿等违法行为的，评标委员会应否决其投标。</w:t>
      </w:r>
    </w:p>
    <w:p w14:paraId="20F1654B">
      <w:pPr>
        <w:ind w:firstLine="480"/>
        <w:rPr>
          <w:rFonts w:hint="eastAsia"/>
          <w:color w:val="auto"/>
          <w:highlight w:val="none"/>
        </w:rPr>
      </w:pPr>
      <w:bookmarkStart w:id="318" w:name="_Toc9058"/>
      <w:bookmarkStart w:id="319" w:name="_Toc29142"/>
      <w:r>
        <w:rPr>
          <w:rFonts w:hint="eastAsia"/>
          <w:color w:val="auto"/>
          <w:highlight w:val="none"/>
        </w:rPr>
        <w:t>（1）有下列情形之一的，属于投标人相互串通投标：</w:t>
      </w:r>
      <w:bookmarkEnd w:id="318"/>
      <w:bookmarkEnd w:id="319"/>
    </w:p>
    <w:p w14:paraId="625B2AE3">
      <w:pPr>
        <w:ind w:firstLine="480"/>
        <w:rPr>
          <w:rFonts w:hint="eastAsia"/>
          <w:color w:val="auto"/>
          <w:highlight w:val="none"/>
        </w:rPr>
      </w:pPr>
      <w:r>
        <w:rPr>
          <w:rFonts w:hint="eastAsia"/>
          <w:color w:val="auto"/>
          <w:highlight w:val="none"/>
        </w:rPr>
        <w:t>①投标人之间协商投标报价等投标文件的实质性内容；</w:t>
      </w:r>
    </w:p>
    <w:p w14:paraId="3CC9A3E3">
      <w:pPr>
        <w:ind w:firstLine="480"/>
        <w:rPr>
          <w:rFonts w:hint="eastAsia"/>
          <w:color w:val="auto"/>
          <w:highlight w:val="none"/>
        </w:rPr>
      </w:pPr>
      <w:r>
        <w:rPr>
          <w:rFonts w:hint="eastAsia"/>
          <w:color w:val="auto"/>
          <w:highlight w:val="none"/>
        </w:rPr>
        <w:t>②投标人之间约定中标人；</w:t>
      </w:r>
    </w:p>
    <w:p w14:paraId="57379191">
      <w:pPr>
        <w:ind w:firstLine="480"/>
        <w:rPr>
          <w:rFonts w:hint="eastAsia"/>
          <w:color w:val="auto"/>
          <w:highlight w:val="none"/>
        </w:rPr>
      </w:pPr>
      <w:r>
        <w:rPr>
          <w:rFonts w:hint="eastAsia"/>
          <w:color w:val="auto"/>
          <w:highlight w:val="none"/>
        </w:rPr>
        <w:t>③投标人之间约定部分投标人放弃投标或中标；</w:t>
      </w:r>
    </w:p>
    <w:p w14:paraId="6DD5726B">
      <w:pPr>
        <w:ind w:firstLine="480"/>
        <w:rPr>
          <w:rFonts w:hint="eastAsia"/>
          <w:color w:val="auto"/>
          <w:highlight w:val="none"/>
        </w:rPr>
      </w:pPr>
      <w:r>
        <w:rPr>
          <w:rFonts w:hint="eastAsia"/>
          <w:color w:val="auto"/>
          <w:highlight w:val="none"/>
        </w:rPr>
        <w:t>④属于同一集团、协会、商会等组织成员的投标人按照该组织要求协同投标；</w:t>
      </w:r>
    </w:p>
    <w:p w14:paraId="2C28A891">
      <w:pPr>
        <w:ind w:firstLine="480"/>
        <w:rPr>
          <w:rFonts w:hint="eastAsia"/>
          <w:color w:val="auto"/>
          <w:highlight w:val="none"/>
        </w:rPr>
      </w:pPr>
      <w:r>
        <w:rPr>
          <w:rFonts w:hint="eastAsia"/>
          <w:color w:val="auto"/>
          <w:highlight w:val="none"/>
        </w:rPr>
        <w:t>⑤投标人之间为谋取中标或排斥特定投标人而采取的其他联合行动。</w:t>
      </w:r>
    </w:p>
    <w:p w14:paraId="5EFC66F2">
      <w:pPr>
        <w:ind w:firstLine="480"/>
        <w:rPr>
          <w:rFonts w:hint="eastAsia"/>
          <w:color w:val="auto"/>
          <w:highlight w:val="none"/>
        </w:rPr>
      </w:pPr>
      <w:bookmarkStart w:id="320" w:name="_Toc4835"/>
      <w:bookmarkStart w:id="321" w:name="_Toc8749"/>
      <w:r>
        <w:rPr>
          <w:rFonts w:hint="eastAsia"/>
          <w:color w:val="auto"/>
          <w:highlight w:val="none"/>
        </w:rPr>
        <w:t>（2）有下列情形之一的，视为投标人相互串通投标：</w:t>
      </w:r>
      <w:bookmarkEnd w:id="320"/>
      <w:bookmarkEnd w:id="321"/>
    </w:p>
    <w:p w14:paraId="49E6AB0E">
      <w:pPr>
        <w:ind w:firstLine="480"/>
        <w:rPr>
          <w:rFonts w:hint="eastAsia"/>
          <w:color w:val="auto"/>
          <w:highlight w:val="none"/>
        </w:rPr>
      </w:pPr>
      <w:r>
        <w:rPr>
          <w:rFonts w:hint="eastAsia"/>
          <w:color w:val="auto"/>
          <w:highlight w:val="none"/>
        </w:rPr>
        <w:t>①不同投标人的投标文件由同一单位或个人编制；</w:t>
      </w:r>
    </w:p>
    <w:p w14:paraId="0441BDE0">
      <w:pPr>
        <w:ind w:firstLine="480"/>
        <w:rPr>
          <w:rFonts w:hint="eastAsia"/>
          <w:color w:val="auto"/>
          <w:highlight w:val="none"/>
        </w:rPr>
      </w:pPr>
      <w:r>
        <w:rPr>
          <w:rFonts w:hint="eastAsia"/>
          <w:color w:val="auto"/>
          <w:highlight w:val="none"/>
        </w:rPr>
        <w:t>②不同投标人委托同一单位或个人办理投标事宜；</w:t>
      </w:r>
    </w:p>
    <w:p w14:paraId="1E6EBCD1">
      <w:pPr>
        <w:ind w:firstLine="480"/>
        <w:rPr>
          <w:rFonts w:hint="eastAsia"/>
          <w:color w:val="auto"/>
          <w:highlight w:val="none"/>
        </w:rPr>
      </w:pPr>
      <w:r>
        <w:rPr>
          <w:rFonts w:hint="eastAsia"/>
          <w:color w:val="auto"/>
          <w:highlight w:val="none"/>
        </w:rPr>
        <w:t>③不同投标人的投标文件载明的项目管理成员为同一人；</w:t>
      </w:r>
    </w:p>
    <w:p w14:paraId="44615C0F">
      <w:pPr>
        <w:ind w:firstLine="480"/>
        <w:rPr>
          <w:rFonts w:hint="eastAsia"/>
          <w:color w:val="auto"/>
          <w:highlight w:val="none"/>
        </w:rPr>
      </w:pPr>
      <w:r>
        <w:rPr>
          <w:rFonts w:hint="eastAsia"/>
          <w:color w:val="auto"/>
          <w:highlight w:val="none"/>
        </w:rPr>
        <w:t>④不同投标人的投标文件异常一致或投标报价呈规律性差异；</w:t>
      </w:r>
    </w:p>
    <w:p w14:paraId="33778764">
      <w:pPr>
        <w:ind w:firstLine="480"/>
        <w:rPr>
          <w:rFonts w:hint="eastAsia"/>
          <w:color w:val="auto"/>
          <w:highlight w:val="none"/>
        </w:rPr>
      </w:pPr>
      <w:r>
        <w:rPr>
          <w:rFonts w:hint="eastAsia"/>
          <w:color w:val="auto"/>
          <w:highlight w:val="none"/>
        </w:rPr>
        <w:t>⑤不同投标人的投标文件相互混装；</w:t>
      </w:r>
    </w:p>
    <w:p w14:paraId="1D0EB03D">
      <w:pPr>
        <w:ind w:firstLine="480"/>
        <w:rPr>
          <w:rFonts w:hint="eastAsia"/>
          <w:color w:val="auto"/>
          <w:highlight w:val="none"/>
        </w:rPr>
      </w:pPr>
      <w:r>
        <w:rPr>
          <w:rFonts w:hint="eastAsia"/>
          <w:color w:val="auto"/>
          <w:highlight w:val="none"/>
        </w:rPr>
        <w:t>⑥不同投标人的投标保证金从同一单位或个人的账户转出。</w:t>
      </w:r>
    </w:p>
    <w:p w14:paraId="27405393">
      <w:pPr>
        <w:ind w:firstLine="480"/>
        <w:rPr>
          <w:rFonts w:hint="eastAsia"/>
          <w:color w:val="auto"/>
          <w:highlight w:val="none"/>
        </w:rPr>
      </w:pPr>
      <w:bookmarkStart w:id="322" w:name="_Toc19926"/>
      <w:bookmarkStart w:id="323" w:name="_Toc31738"/>
      <w:r>
        <w:rPr>
          <w:rFonts w:hint="eastAsia"/>
          <w:color w:val="auto"/>
          <w:highlight w:val="none"/>
        </w:rPr>
        <w:t>（3）有下列情形之一的，属于招标人与投标人串通投标：</w:t>
      </w:r>
      <w:bookmarkEnd w:id="322"/>
      <w:bookmarkEnd w:id="323"/>
    </w:p>
    <w:p w14:paraId="5E1933CB">
      <w:pPr>
        <w:ind w:firstLine="480"/>
        <w:rPr>
          <w:rFonts w:hint="eastAsia"/>
          <w:color w:val="auto"/>
          <w:highlight w:val="none"/>
        </w:rPr>
      </w:pPr>
      <w:r>
        <w:rPr>
          <w:rFonts w:hint="eastAsia"/>
          <w:color w:val="auto"/>
          <w:highlight w:val="none"/>
        </w:rPr>
        <w:t>①招标人在开标前开启投标文件并将有关信息泄露给其他投标人；</w:t>
      </w:r>
    </w:p>
    <w:p w14:paraId="45BE2519">
      <w:pPr>
        <w:ind w:firstLine="480"/>
        <w:rPr>
          <w:rFonts w:hint="eastAsia"/>
          <w:color w:val="auto"/>
          <w:highlight w:val="none"/>
        </w:rPr>
      </w:pPr>
      <w:r>
        <w:rPr>
          <w:rFonts w:hint="eastAsia"/>
          <w:color w:val="auto"/>
          <w:highlight w:val="none"/>
        </w:rPr>
        <w:t>②招标人直接或间接向投标人泄露标底、评标委员会成员等信息；</w:t>
      </w:r>
    </w:p>
    <w:p w14:paraId="1B28D397">
      <w:pPr>
        <w:ind w:firstLine="480"/>
        <w:rPr>
          <w:rFonts w:hint="eastAsia"/>
          <w:color w:val="auto"/>
          <w:highlight w:val="none"/>
        </w:rPr>
      </w:pPr>
      <w:r>
        <w:rPr>
          <w:rFonts w:hint="eastAsia"/>
          <w:color w:val="auto"/>
          <w:highlight w:val="none"/>
        </w:rPr>
        <w:t>③招标人明示或暗示投标人压低或抬高投标报价；</w:t>
      </w:r>
    </w:p>
    <w:p w14:paraId="4BC68057">
      <w:pPr>
        <w:ind w:firstLine="480"/>
        <w:rPr>
          <w:rFonts w:hint="eastAsia"/>
          <w:color w:val="auto"/>
          <w:highlight w:val="none"/>
        </w:rPr>
      </w:pPr>
      <w:r>
        <w:rPr>
          <w:rFonts w:hint="eastAsia"/>
          <w:color w:val="auto"/>
          <w:highlight w:val="none"/>
        </w:rPr>
        <w:t>④招标人授意投标人撤换、修改投标文件；</w:t>
      </w:r>
    </w:p>
    <w:p w14:paraId="04EAFA3B">
      <w:pPr>
        <w:ind w:firstLine="480"/>
        <w:rPr>
          <w:rFonts w:hint="eastAsia"/>
          <w:color w:val="auto"/>
          <w:highlight w:val="none"/>
        </w:rPr>
      </w:pPr>
      <w:r>
        <w:rPr>
          <w:rFonts w:hint="eastAsia"/>
          <w:color w:val="auto"/>
          <w:highlight w:val="none"/>
        </w:rPr>
        <w:t>⑤招标人明示或暗示投标人为特定投标人中标提供方便；</w:t>
      </w:r>
    </w:p>
    <w:p w14:paraId="6CBFA204">
      <w:pPr>
        <w:ind w:firstLine="480"/>
        <w:rPr>
          <w:rFonts w:hint="eastAsia"/>
          <w:color w:val="auto"/>
          <w:highlight w:val="none"/>
        </w:rPr>
      </w:pPr>
      <w:r>
        <w:rPr>
          <w:rFonts w:hint="eastAsia"/>
          <w:color w:val="auto"/>
          <w:highlight w:val="none"/>
        </w:rPr>
        <w:t>⑥招标人与投标人为谋求特定投标人中标而采取的其他串通行为。</w:t>
      </w:r>
    </w:p>
    <w:p w14:paraId="16168383">
      <w:pPr>
        <w:ind w:firstLine="480"/>
        <w:rPr>
          <w:rFonts w:hint="eastAsia"/>
          <w:color w:val="auto"/>
          <w:highlight w:val="none"/>
        </w:rPr>
      </w:pPr>
      <w:bookmarkStart w:id="324" w:name="_Toc20087"/>
      <w:bookmarkStart w:id="325" w:name="_Toc28236"/>
      <w:r>
        <w:rPr>
          <w:rFonts w:hint="eastAsia"/>
          <w:color w:val="auto"/>
          <w:highlight w:val="none"/>
        </w:rPr>
        <w:t>（4）投标人有下列情形之一的，属于弄虚作假的行为：</w:t>
      </w:r>
      <w:bookmarkEnd w:id="324"/>
      <w:bookmarkEnd w:id="325"/>
    </w:p>
    <w:p w14:paraId="0BFEBB47">
      <w:pPr>
        <w:ind w:firstLine="480"/>
        <w:rPr>
          <w:rFonts w:hint="eastAsia"/>
          <w:color w:val="auto"/>
          <w:highlight w:val="none"/>
        </w:rPr>
      </w:pPr>
      <w:r>
        <w:rPr>
          <w:rFonts w:hint="eastAsia"/>
          <w:color w:val="auto"/>
          <w:highlight w:val="none"/>
        </w:rPr>
        <w:t>①使用通过受让或租借等方式获取的资格、资质证书投标；</w:t>
      </w:r>
    </w:p>
    <w:p w14:paraId="2BBED8F9">
      <w:pPr>
        <w:ind w:firstLine="480"/>
        <w:rPr>
          <w:rFonts w:hint="eastAsia"/>
          <w:color w:val="auto"/>
          <w:highlight w:val="none"/>
        </w:rPr>
      </w:pPr>
      <w:r>
        <w:rPr>
          <w:rFonts w:hint="eastAsia"/>
          <w:color w:val="auto"/>
          <w:highlight w:val="none"/>
        </w:rPr>
        <w:t>②使用伪造、变造的许可证件；</w:t>
      </w:r>
    </w:p>
    <w:p w14:paraId="16951ACB">
      <w:pPr>
        <w:ind w:firstLine="480"/>
        <w:rPr>
          <w:rFonts w:hint="eastAsia"/>
          <w:color w:val="auto"/>
          <w:highlight w:val="none"/>
        </w:rPr>
      </w:pPr>
      <w:r>
        <w:rPr>
          <w:rFonts w:hint="eastAsia"/>
          <w:color w:val="auto"/>
          <w:highlight w:val="none"/>
        </w:rPr>
        <w:t>③提供虚假的财务状况或业绩；</w:t>
      </w:r>
    </w:p>
    <w:p w14:paraId="07CACFA3">
      <w:pPr>
        <w:ind w:firstLine="480"/>
        <w:rPr>
          <w:rFonts w:hint="eastAsia"/>
          <w:color w:val="auto"/>
          <w:highlight w:val="none"/>
        </w:rPr>
      </w:pPr>
      <w:r>
        <w:rPr>
          <w:rFonts w:hint="eastAsia"/>
          <w:color w:val="auto"/>
          <w:highlight w:val="none"/>
        </w:rPr>
        <w:t>④提供虚假的总监理工程师或主要技术人员简历、劳动关系证明；</w:t>
      </w:r>
    </w:p>
    <w:p w14:paraId="29B7F344">
      <w:pPr>
        <w:ind w:firstLine="480"/>
        <w:rPr>
          <w:rFonts w:hint="eastAsia"/>
          <w:color w:val="auto"/>
          <w:highlight w:val="none"/>
        </w:rPr>
      </w:pPr>
      <w:r>
        <w:rPr>
          <w:rFonts w:hint="eastAsia"/>
          <w:color w:val="auto"/>
          <w:highlight w:val="none"/>
        </w:rPr>
        <w:t>⑤提供虚假的信用状况；</w:t>
      </w:r>
    </w:p>
    <w:p w14:paraId="3541194B">
      <w:pPr>
        <w:ind w:firstLine="480"/>
        <w:rPr>
          <w:rFonts w:hint="eastAsia" w:ascii="宋体" w:hAnsi="宋体"/>
          <w:color w:val="auto"/>
          <w:szCs w:val="21"/>
          <w:highlight w:val="none"/>
          <w:u w:val="single"/>
        </w:rPr>
      </w:pPr>
      <w:r>
        <w:rPr>
          <w:rFonts w:hint="eastAsia"/>
          <w:color w:val="auto"/>
          <w:highlight w:val="none"/>
        </w:rPr>
        <w:t>⑥其他弄虚作假的行为。</w:t>
      </w:r>
      <w:bookmarkStart w:id="326" w:name="_Toc15316"/>
    </w:p>
    <w:p w14:paraId="29097BC8">
      <w:pPr>
        <w:spacing w:line="240" w:lineRule="auto"/>
        <w:ind w:firstLine="480"/>
        <w:rPr>
          <w:rStyle w:val="56"/>
          <w:color w:val="auto"/>
          <w:highlight w:val="none"/>
        </w:rPr>
      </w:pPr>
      <w:r>
        <w:rPr>
          <w:rFonts w:hint="eastAsia" w:ascii="宋体" w:hAnsi="宋体"/>
          <w:color w:val="auto"/>
          <w:szCs w:val="21"/>
          <w:highlight w:val="none"/>
          <w:u w:val="single"/>
        </w:rPr>
        <w:br w:type="page"/>
      </w:r>
      <w:r>
        <w:rPr>
          <w:rStyle w:val="56"/>
          <w:color w:val="auto"/>
          <w:highlight w:val="none"/>
        </w:rPr>
        <w:t>1. 评标方法</w:t>
      </w:r>
      <w:bookmarkEnd w:id="326"/>
    </w:p>
    <w:p w14:paraId="2063D274">
      <w:pPr>
        <w:ind w:firstLine="480"/>
        <w:rPr>
          <w:rFonts w:hint="eastAsia"/>
          <w:color w:val="auto"/>
          <w:highlight w:val="none"/>
        </w:rPr>
      </w:pPr>
      <w:r>
        <w:rPr>
          <w:rFonts w:hint="eastAsia"/>
          <w:color w:val="auto"/>
          <w:highlight w:val="none"/>
        </w:rPr>
        <w:t>1.1</w:t>
      </w:r>
      <w:r>
        <w:rPr>
          <w:color w:val="auto"/>
          <w:highlight w:val="none"/>
        </w:rPr>
        <w:t>本次评标采用</w:t>
      </w:r>
      <w:r>
        <w:rPr>
          <w:rFonts w:hint="eastAsia"/>
          <w:color w:val="auto"/>
          <w:highlight w:val="none"/>
        </w:rPr>
        <w:t>综合评估法（一次平均）。</w:t>
      </w:r>
    </w:p>
    <w:p w14:paraId="167E66F9">
      <w:pPr>
        <w:ind w:firstLine="480"/>
        <w:rPr>
          <w:color w:val="auto"/>
          <w:highlight w:val="none"/>
        </w:rPr>
      </w:pPr>
      <w:r>
        <w:rPr>
          <w:rFonts w:hint="eastAsia"/>
          <w:color w:val="auto"/>
          <w:szCs w:val="24"/>
          <w:highlight w:val="none"/>
        </w:rPr>
        <w:t>1.2评标委员会对所有按规定递交并成功导入评标系统的投标文件进行评审，评标委员会对投标文件按照规定的评审标准和评标程序进行评审，并按综合得分由高到低顺序推荐中标候选人，综合得分相等时，中标候选人排序方法见评标办法前附表；或根据招标人授权直接确定中标人。不得推荐为中标候选人、确定为中标人的情形见本章第3.7款、第3.8.1项。</w:t>
      </w:r>
    </w:p>
    <w:p w14:paraId="1262A15E">
      <w:pPr>
        <w:ind w:firstLine="480"/>
        <w:rPr>
          <w:color w:val="auto"/>
          <w:highlight w:val="none"/>
        </w:rPr>
      </w:pPr>
      <w:r>
        <w:rPr>
          <w:rFonts w:hint="eastAsia"/>
          <w:color w:val="auto"/>
          <w:highlight w:val="none"/>
        </w:rPr>
        <w:t>1.3本次推荐中标候选人的先后顺序及最多可中标段数量见评标办法前附表。被推荐为第一中标候选人的标段个数已达到最多允许中标的标段个数的投标人，在后续标段不再被推荐为中标候选人，但仍参与评审。</w:t>
      </w:r>
    </w:p>
    <w:p w14:paraId="478098CA">
      <w:pPr>
        <w:ind w:firstLine="480"/>
        <w:rPr>
          <w:rFonts w:hint="eastAsia"/>
          <w:color w:val="auto"/>
          <w:highlight w:val="none"/>
        </w:rPr>
      </w:pPr>
      <w:r>
        <w:rPr>
          <w:rFonts w:hint="eastAsia"/>
          <w:color w:val="auto"/>
          <w:highlight w:val="none"/>
        </w:rPr>
        <w:t>1.4评标结束后如有某标段的第一中标候选人发生变化的情况，不影响其他标段排序。</w:t>
      </w:r>
    </w:p>
    <w:p w14:paraId="03497133">
      <w:pPr>
        <w:ind w:firstLine="480"/>
        <w:rPr>
          <w:color w:val="auto"/>
          <w:highlight w:val="none"/>
        </w:rPr>
      </w:pPr>
      <w:r>
        <w:rPr>
          <w:rFonts w:hint="eastAsia"/>
          <w:color w:val="auto"/>
          <w:highlight w:val="none"/>
        </w:rPr>
        <w:t>1.5招标人</w:t>
      </w:r>
      <w:r>
        <w:rPr>
          <w:rFonts w:hint="eastAsia"/>
          <w:color w:val="auto"/>
          <w:szCs w:val="24"/>
          <w:highlight w:val="none"/>
        </w:rPr>
        <w:t>应当</w:t>
      </w:r>
      <w:r>
        <w:rPr>
          <w:rFonts w:hint="eastAsia"/>
          <w:color w:val="auto"/>
          <w:highlight w:val="none"/>
        </w:rPr>
        <w:t>根据项目的实际情况，在评标办法正文及前附表中列明所有否决投标的情形；第三章“评标办法”没有列明的否决投标的情形，一律不得作为评审依据。</w:t>
      </w:r>
    </w:p>
    <w:p w14:paraId="11E07759">
      <w:pPr>
        <w:spacing w:line="240" w:lineRule="auto"/>
        <w:ind w:firstLine="640"/>
        <w:rPr>
          <w:rStyle w:val="56"/>
          <w:color w:val="auto"/>
          <w:highlight w:val="none"/>
        </w:rPr>
      </w:pPr>
      <w:bookmarkStart w:id="327" w:name="_Toc20794"/>
      <w:bookmarkStart w:id="328" w:name="_Toc16347"/>
      <w:bookmarkStart w:id="329" w:name="_Toc13732"/>
      <w:bookmarkStart w:id="330" w:name="_Toc6042"/>
      <w:r>
        <w:rPr>
          <w:rStyle w:val="56"/>
          <w:color w:val="auto"/>
          <w:highlight w:val="none"/>
        </w:rPr>
        <w:t>2. 评审标准</w:t>
      </w:r>
      <w:bookmarkEnd w:id="327"/>
      <w:bookmarkEnd w:id="328"/>
      <w:bookmarkEnd w:id="329"/>
      <w:bookmarkEnd w:id="330"/>
    </w:p>
    <w:p w14:paraId="2729131A">
      <w:pPr>
        <w:pStyle w:val="7"/>
        <w:spacing w:before="240" w:after="240"/>
        <w:ind w:firstLine="118"/>
        <w:rPr>
          <w:color w:val="auto"/>
          <w:highlight w:val="none"/>
        </w:rPr>
      </w:pPr>
      <w:r>
        <w:rPr>
          <w:color w:val="auto"/>
          <w:highlight w:val="none"/>
        </w:rPr>
        <w:t>2.1 初步评审标准</w:t>
      </w:r>
    </w:p>
    <w:p w14:paraId="55A7DE03">
      <w:pPr>
        <w:ind w:firstLine="480"/>
        <w:rPr>
          <w:color w:val="auto"/>
          <w:highlight w:val="none"/>
        </w:rPr>
      </w:pPr>
      <w:r>
        <w:rPr>
          <w:color w:val="auto"/>
          <w:highlight w:val="none"/>
        </w:rPr>
        <w:t>2.1.1 形式评审标准：见评标办法前附表。</w:t>
      </w:r>
    </w:p>
    <w:p w14:paraId="586F103A">
      <w:pPr>
        <w:ind w:firstLine="480"/>
        <w:rPr>
          <w:color w:val="auto"/>
          <w:highlight w:val="none"/>
        </w:rPr>
      </w:pPr>
      <w:r>
        <w:rPr>
          <w:color w:val="auto"/>
          <w:highlight w:val="none"/>
        </w:rPr>
        <w:t>2.1.2 资格评审标准：见评标办法前附表。</w:t>
      </w:r>
    </w:p>
    <w:p w14:paraId="4F34A526">
      <w:pPr>
        <w:ind w:firstLine="480"/>
        <w:rPr>
          <w:color w:val="auto"/>
          <w:highlight w:val="none"/>
        </w:rPr>
      </w:pPr>
      <w:r>
        <w:rPr>
          <w:color w:val="auto"/>
          <w:highlight w:val="none"/>
        </w:rPr>
        <w:t>2.1.3 响应性评审标准：见评标办法前附表。</w:t>
      </w:r>
    </w:p>
    <w:p w14:paraId="4CD8DE2C">
      <w:pPr>
        <w:pStyle w:val="7"/>
        <w:spacing w:before="240" w:after="240"/>
        <w:ind w:firstLine="118"/>
        <w:rPr>
          <w:color w:val="auto"/>
          <w:highlight w:val="none"/>
        </w:rPr>
      </w:pPr>
      <w:r>
        <w:rPr>
          <w:color w:val="auto"/>
          <w:highlight w:val="none"/>
        </w:rPr>
        <w:t>2.2 详细评审标准</w:t>
      </w:r>
    </w:p>
    <w:p w14:paraId="7E71D1A3">
      <w:pPr>
        <w:ind w:firstLine="480"/>
        <w:rPr>
          <w:rFonts w:hint="eastAsia"/>
          <w:color w:val="auto"/>
          <w:highlight w:val="none"/>
        </w:rPr>
      </w:pPr>
      <w:r>
        <w:rPr>
          <w:rFonts w:hint="eastAsia"/>
          <w:color w:val="auto"/>
          <w:highlight w:val="none"/>
        </w:rPr>
        <w:t>2.2.1 商务、技术和报价文件分值构成：见评标办法前附表。</w:t>
      </w:r>
    </w:p>
    <w:p w14:paraId="73682F1D">
      <w:pPr>
        <w:ind w:firstLine="480"/>
        <w:rPr>
          <w:rFonts w:hint="eastAsia"/>
          <w:color w:val="auto"/>
          <w:highlight w:val="none"/>
        </w:rPr>
      </w:pPr>
      <w:r>
        <w:rPr>
          <w:rFonts w:hint="eastAsia"/>
          <w:color w:val="auto"/>
          <w:highlight w:val="none"/>
        </w:rPr>
        <w:t>2.2.2 商务、技术文件和报价文件评分标准</w:t>
      </w:r>
    </w:p>
    <w:p w14:paraId="7C426D13">
      <w:pPr>
        <w:ind w:firstLine="480"/>
        <w:rPr>
          <w:color w:val="auto"/>
          <w:highlight w:val="none"/>
        </w:rPr>
      </w:pPr>
      <w:r>
        <w:rPr>
          <w:color w:val="auto"/>
          <w:highlight w:val="none"/>
        </w:rPr>
        <w:t>（1）技术文件评分标准：见评标办法前附表；</w:t>
      </w:r>
    </w:p>
    <w:p w14:paraId="0346A416">
      <w:pPr>
        <w:ind w:firstLine="480"/>
        <w:rPr>
          <w:color w:val="auto"/>
          <w:highlight w:val="none"/>
        </w:rPr>
      </w:pPr>
      <w:r>
        <w:rPr>
          <w:color w:val="auto"/>
          <w:highlight w:val="none"/>
        </w:rPr>
        <w:t>（2）商务文件评分标准：见评标办法前附表；</w:t>
      </w:r>
    </w:p>
    <w:p w14:paraId="2E730DE1">
      <w:pPr>
        <w:ind w:firstLine="480"/>
        <w:rPr>
          <w:color w:val="auto"/>
          <w:highlight w:val="none"/>
        </w:rPr>
      </w:pPr>
      <w:r>
        <w:rPr>
          <w:color w:val="auto"/>
          <w:highlight w:val="none"/>
        </w:rPr>
        <w:t>（3）</w:t>
      </w:r>
      <w:r>
        <w:rPr>
          <w:rFonts w:hint="eastAsia"/>
          <w:color w:val="auto"/>
          <w:highlight w:val="none"/>
        </w:rPr>
        <w:t>报价文件</w:t>
      </w:r>
      <w:r>
        <w:rPr>
          <w:color w:val="auto"/>
          <w:highlight w:val="none"/>
        </w:rPr>
        <w:t>评分标准：见评标办法前附表。</w:t>
      </w:r>
    </w:p>
    <w:p w14:paraId="11ACCCE1">
      <w:pPr>
        <w:spacing w:line="240" w:lineRule="auto"/>
        <w:ind w:firstLine="640"/>
        <w:rPr>
          <w:rStyle w:val="56"/>
          <w:color w:val="auto"/>
          <w:highlight w:val="none"/>
        </w:rPr>
      </w:pPr>
      <w:bookmarkStart w:id="331" w:name="_Toc13013"/>
      <w:bookmarkStart w:id="332" w:name="_Toc3884"/>
      <w:bookmarkStart w:id="333" w:name="_Toc32518"/>
      <w:bookmarkStart w:id="334" w:name="_Toc23697"/>
      <w:r>
        <w:rPr>
          <w:rStyle w:val="56"/>
          <w:color w:val="auto"/>
          <w:highlight w:val="none"/>
        </w:rPr>
        <w:t>3. 评标程序</w:t>
      </w:r>
      <w:bookmarkEnd w:id="331"/>
      <w:bookmarkEnd w:id="332"/>
      <w:bookmarkEnd w:id="333"/>
      <w:bookmarkEnd w:id="334"/>
    </w:p>
    <w:p w14:paraId="408ADF53">
      <w:pPr>
        <w:pStyle w:val="7"/>
        <w:spacing w:before="240" w:after="240"/>
        <w:ind w:firstLine="118"/>
        <w:rPr>
          <w:color w:val="auto"/>
          <w:highlight w:val="none"/>
        </w:rPr>
      </w:pPr>
      <w:r>
        <w:rPr>
          <w:color w:val="auto"/>
          <w:highlight w:val="none"/>
        </w:rPr>
        <w:t xml:space="preserve">3.1 </w:t>
      </w:r>
      <w:r>
        <w:rPr>
          <w:rFonts w:hint="eastAsia"/>
          <w:color w:val="auto"/>
          <w:highlight w:val="none"/>
        </w:rPr>
        <w:t>商务及技术文件</w:t>
      </w:r>
      <w:r>
        <w:rPr>
          <w:color w:val="auto"/>
          <w:highlight w:val="none"/>
        </w:rPr>
        <w:t>初步评审</w:t>
      </w:r>
    </w:p>
    <w:p w14:paraId="35F4184D">
      <w:pPr>
        <w:ind w:firstLine="480"/>
        <w:rPr>
          <w:color w:val="auto"/>
          <w:szCs w:val="21"/>
          <w:highlight w:val="none"/>
        </w:rPr>
      </w:pPr>
      <w:r>
        <w:rPr>
          <w:rFonts w:hint="eastAsia"/>
          <w:color w:val="auto"/>
          <w:highlight w:val="none"/>
        </w:rPr>
        <w:t>评标委员会依据本章第2.1.1项、第2.1.2项、第2.1.3项规定的评审标准对商务及技术文件进行初步评审。有一项不符合评审标准的，评标委员会应否决其投标。</w:t>
      </w:r>
    </w:p>
    <w:p w14:paraId="3689FE88">
      <w:pPr>
        <w:pStyle w:val="7"/>
        <w:spacing w:before="240" w:after="240"/>
        <w:ind w:firstLine="118"/>
        <w:rPr>
          <w:color w:val="auto"/>
          <w:highlight w:val="none"/>
        </w:rPr>
      </w:pPr>
      <w:r>
        <w:rPr>
          <w:rFonts w:hint="eastAsia"/>
          <w:color w:val="auto"/>
          <w:highlight w:val="none"/>
        </w:rPr>
        <w:t>3.</w:t>
      </w:r>
      <w:r>
        <w:rPr>
          <w:color w:val="auto"/>
          <w:highlight w:val="none"/>
        </w:rPr>
        <w:t>2</w:t>
      </w:r>
      <w:r>
        <w:rPr>
          <w:rFonts w:hint="eastAsia"/>
          <w:color w:val="auto"/>
          <w:highlight w:val="none"/>
        </w:rPr>
        <w:t>商务及技术文件详细评审</w:t>
      </w:r>
    </w:p>
    <w:p w14:paraId="3413159E">
      <w:pPr>
        <w:ind w:firstLine="480"/>
        <w:rPr>
          <w:color w:val="auto"/>
          <w:highlight w:val="none"/>
        </w:rPr>
      </w:pPr>
      <w:r>
        <w:rPr>
          <w:color w:val="auto"/>
          <w:highlight w:val="none"/>
        </w:rPr>
        <w:t>3.</w:t>
      </w:r>
      <w:r>
        <w:rPr>
          <w:rFonts w:hint="eastAsia"/>
          <w:color w:val="auto"/>
          <w:highlight w:val="none"/>
        </w:rPr>
        <w:t>2</w:t>
      </w:r>
      <w:r>
        <w:rPr>
          <w:color w:val="auto"/>
          <w:highlight w:val="none"/>
        </w:rPr>
        <w:t>.1评标委员会</w:t>
      </w:r>
      <w:r>
        <w:rPr>
          <w:rFonts w:hint="eastAsia" w:ascii="宋体" w:hAnsi="宋体" w:cs="宋体"/>
          <w:bCs/>
          <w:color w:val="auto"/>
          <w:szCs w:val="24"/>
          <w:highlight w:val="none"/>
        </w:rPr>
        <w:t>按照</w:t>
      </w:r>
      <w:r>
        <w:rPr>
          <w:color w:val="auto"/>
          <w:highlight w:val="none"/>
        </w:rPr>
        <w:t>本章第2.2款规定的量化因素和分值</w:t>
      </w:r>
      <w:r>
        <w:rPr>
          <w:rFonts w:hint="eastAsia"/>
          <w:color w:val="auto"/>
          <w:highlight w:val="none"/>
        </w:rPr>
        <w:t>对商务及技术文件</w:t>
      </w:r>
      <w:r>
        <w:rPr>
          <w:color w:val="auto"/>
          <w:highlight w:val="none"/>
        </w:rPr>
        <w:t>进行打分，并计算出</w:t>
      </w:r>
      <w:r>
        <w:rPr>
          <w:rFonts w:hint="eastAsia"/>
          <w:color w:val="auto"/>
          <w:highlight w:val="none"/>
        </w:rPr>
        <w:t>各投标人商务及技术文件</w:t>
      </w:r>
      <w:r>
        <w:rPr>
          <w:color w:val="auto"/>
          <w:highlight w:val="none"/>
        </w:rPr>
        <w:t>综合评估得分。</w:t>
      </w:r>
    </w:p>
    <w:p w14:paraId="166C95BE">
      <w:pPr>
        <w:ind w:firstLine="480"/>
        <w:rPr>
          <w:color w:val="auto"/>
          <w:highlight w:val="none"/>
        </w:rPr>
      </w:pPr>
      <w:r>
        <w:rPr>
          <w:color w:val="auto"/>
          <w:highlight w:val="none"/>
        </w:rPr>
        <w:t>（1）</w:t>
      </w:r>
      <w:r>
        <w:rPr>
          <w:rFonts w:hint="eastAsia" w:ascii="宋体" w:hAnsi="宋体" w:cs="宋体"/>
          <w:bCs/>
          <w:color w:val="auto"/>
          <w:szCs w:val="24"/>
          <w:highlight w:val="none"/>
        </w:rPr>
        <w:t>按照</w:t>
      </w:r>
      <w:r>
        <w:rPr>
          <w:color w:val="auto"/>
          <w:highlight w:val="none"/>
        </w:rPr>
        <w:t>本章第2.2.</w:t>
      </w:r>
      <w:r>
        <w:rPr>
          <w:rFonts w:hint="eastAsia"/>
          <w:color w:val="auto"/>
          <w:highlight w:val="none"/>
        </w:rPr>
        <w:t>2</w:t>
      </w:r>
      <w:r>
        <w:rPr>
          <w:color w:val="auto"/>
          <w:highlight w:val="none"/>
        </w:rPr>
        <w:t>（1）目规定的评审因素和分值计算出技术</w:t>
      </w:r>
      <w:r>
        <w:rPr>
          <w:rFonts w:hint="eastAsia"/>
          <w:color w:val="auto"/>
          <w:highlight w:val="none"/>
        </w:rPr>
        <w:t>文件</w:t>
      </w:r>
      <w:r>
        <w:rPr>
          <w:color w:val="auto"/>
          <w:highlight w:val="none"/>
        </w:rPr>
        <w:t>得分A；</w:t>
      </w:r>
    </w:p>
    <w:p w14:paraId="01FB0BC1">
      <w:pPr>
        <w:ind w:firstLine="480"/>
        <w:rPr>
          <w:color w:val="auto"/>
          <w:highlight w:val="none"/>
        </w:rPr>
      </w:pPr>
      <w:r>
        <w:rPr>
          <w:color w:val="auto"/>
          <w:highlight w:val="none"/>
        </w:rPr>
        <w:t>（2）</w:t>
      </w:r>
      <w:r>
        <w:rPr>
          <w:rFonts w:hint="eastAsia" w:ascii="宋体" w:hAnsi="宋体" w:cs="宋体"/>
          <w:bCs/>
          <w:color w:val="auto"/>
          <w:szCs w:val="24"/>
          <w:highlight w:val="none"/>
        </w:rPr>
        <w:t>按照</w:t>
      </w:r>
      <w:r>
        <w:rPr>
          <w:color w:val="auto"/>
          <w:highlight w:val="none"/>
        </w:rPr>
        <w:t>本章第2.2.</w:t>
      </w:r>
      <w:r>
        <w:rPr>
          <w:rFonts w:hint="eastAsia"/>
          <w:color w:val="auto"/>
          <w:highlight w:val="none"/>
        </w:rPr>
        <w:t>2</w:t>
      </w:r>
      <w:r>
        <w:rPr>
          <w:color w:val="auto"/>
          <w:highlight w:val="none"/>
        </w:rPr>
        <w:t>（2）目规定的评审因素和分值计算出商务</w:t>
      </w:r>
      <w:r>
        <w:rPr>
          <w:rFonts w:hint="eastAsia"/>
          <w:color w:val="auto"/>
          <w:highlight w:val="none"/>
        </w:rPr>
        <w:t>文件</w:t>
      </w:r>
      <w:r>
        <w:rPr>
          <w:color w:val="auto"/>
          <w:highlight w:val="none"/>
        </w:rPr>
        <w:t>得分B</w:t>
      </w:r>
      <w:r>
        <w:rPr>
          <w:rFonts w:hint="eastAsia"/>
          <w:color w:val="auto"/>
          <w:highlight w:val="none"/>
        </w:rPr>
        <w:t>。</w:t>
      </w:r>
    </w:p>
    <w:p w14:paraId="403810DA">
      <w:pPr>
        <w:ind w:firstLine="480"/>
        <w:rPr>
          <w:rFonts w:hint="eastAsia"/>
          <w:color w:val="auto"/>
          <w:highlight w:val="none"/>
        </w:rPr>
      </w:pPr>
      <w:r>
        <w:rPr>
          <w:rFonts w:hint="eastAsia"/>
          <w:color w:val="auto"/>
          <w:highlight w:val="none"/>
        </w:rPr>
        <w:t>3.2.2 得分计算的确定</w:t>
      </w:r>
    </w:p>
    <w:p w14:paraId="6E66E52C">
      <w:pPr>
        <w:ind w:firstLine="480"/>
        <w:rPr>
          <w:rFonts w:hint="eastAsia"/>
          <w:color w:val="auto"/>
          <w:szCs w:val="24"/>
          <w:highlight w:val="none"/>
        </w:rPr>
      </w:pPr>
      <w:r>
        <w:rPr>
          <w:rFonts w:hint="eastAsia"/>
          <w:color w:val="auto"/>
          <w:highlight w:val="none"/>
        </w:rPr>
        <w:t>（1）技术文件</w:t>
      </w:r>
      <w:r>
        <w:rPr>
          <w:rFonts w:hint="eastAsia"/>
          <w:color w:val="auto"/>
          <w:szCs w:val="24"/>
          <w:highlight w:val="none"/>
        </w:rPr>
        <w:t>详细评审得分计算</w:t>
      </w:r>
    </w:p>
    <w:p w14:paraId="22D8CF13">
      <w:pPr>
        <w:ind w:firstLine="480"/>
        <w:rPr>
          <w:rFonts w:hint="eastAsia"/>
          <w:color w:val="auto"/>
          <w:highlight w:val="none"/>
        </w:rPr>
      </w:pPr>
      <w:r>
        <w:rPr>
          <w:rFonts w:hint="eastAsia"/>
          <w:color w:val="auto"/>
          <w:szCs w:val="24"/>
          <w:highlight w:val="none"/>
        </w:rPr>
        <w:t>本章第2.2.2（1）目属于技术文件详细评审内容，技术文件详细评审得分计算规则见评标办法前附表。</w:t>
      </w:r>
    </w:p>
    <w:p w14:paraId="395D533F">
      <w:pPr>
        <w:ind w:firstLine="480"/>
        <w:rPr>
          <w:rFonts w:hint="eastAsia"/>
          <w:color w:val="auto"/>
          <w:highlight w:val="none"/>
        </w:rPr>
      </w:pPr>
      <w:r>
        <w:rPr>
          <w:rFonts w:hint="eastAsia"/>
          <w:color w:val="auto"/>
          <w:highlight w:val="none"/>
        </w:rPr>
        <w:t>（2）商务文件</w:t>
      </w:r>
      <w:r>
        <w:rPr>
          <w:rFonts w:hint="eastAsia"/>
          <w:color w:val="auto"/>
          <w:szCs w:val="24"/>
          <w:highlight w:val="none"/>
        </w:rPr>
        <w:t>详细评审得分计算</w:t>
      </w:r>
    </w:p>
    <w:p w14:paraId="1ACFD5E8">
      <w:pPr>
        <w:ind w:firstLine="480"/>
        <w:rPr>
          <w:rFonts w:hint="eastAsia"/>
          <w:color w:val="auto"/>
          <w:highlight w:val="none"/>
        </w:rPr>
      </w:pPr>
      <w:r>
        <w:rPr>
          <w:rFonts w:hint="eastAsia"/>
          <w:color w:val="auto"/>
          <w:szCs w:val="24"/>
          <w:highlight w:val="none"/>
        </w:rPr>
        <w:t>本章第2.2.2（2）目属于商务文件详细评审内容，投标人第2.2.2（2）目的得分以评标委员会各成员对该目的打分平均值确定。</w:t>
      </w:r>
    </w:p>
    <w:p w14:paraId="4CF16854">
      <w:pPr>
        <w:ind w:firstLine="480"/>
        <w:rPr>
          <w:rFonts w:hint="eastAsia"/>
          <w:color w:val="auto"/>
          <w:highlight w:val="none"/>
        </w:rPr>
      </w:pPr>
      <w:r>
        <w:rPr>
          <w:rFonts w:hint="eastAsia"/>
          <w:color w:val="auto"/>
          <w:highlight w:val="none"/>
        </w:rPr>
        <w:t>3.2.3评委对技术文件打分在招标文件第2.2.2（1）目规定评审总分的90%以上（含）、60%以下（含）的投标人，评委应提出充足的理由，该理由在评标委员会集体讨论并确认后记入评标报告，否则该评委应当且仅就评分理由重新提出充足的理由。</w:t>
      </w:r>
    </w:p>
    <w:p w14:paraId="56691C7B">
      <w:pPr>
        <w:ind w:firstLine="480"/>
        <w:rPr>
          <w:rFonts w:hint="eastAsia"/>
          <w:color w:val="auto"/>
          <w:highlight w:val="none"/>
        </w:rPr>
      </w:pPr>
      <w:r>
        <w:rPr>
          <w:rFonts w:hint="eastAsia"/>
          <w:color w:val="auto"/>
          <w:highlight w:val="none"/>
        </w:rPr>
        <w:t>3.2.4投标人商务及技术文件综合得分=A+B。</w:t>
      </w:r>
    </w:p>
    <w:p w14:paraId="55433CCD">
      <w:pPr>
        <w:pStyle w:val="7"/>
        <w:spacing w:before="240" w:after="240"/>
        <w:ind w:firstLine="118"/>
        <w:rPr>
          <w:color w:val="auto"/>
          <w:highlight w:val="none"/>
        </w:rPr>
      </w:pPr>
      <w:r>
        <w:rPr>
          <w:rFonts w:hint="eastAsia"/>
          <w:color w:val="auto"/>
          <w:highlight w:val="none"/>
        </w:rPr>
        <w:t>3.</w:t>
      </w:r>
      <w:r>
        <w:rPr>
          <w:color w:val="auto"/>
          <w:highlight w:val="none"/>
        </w:rPr>
        <w:t>3</w:t>
      </w:r>
      <w:r>
        <w:rPr>
          <w:rFonts w:hint="eastAsia"/>
          <w:color w:val="auto"/>
          <w:highlight w:val="none"/>
        </w:rPr>
        <w:t xml:space="preserve"> 报价文件公布</w:t>
      </w:r>
    </w:p>
    <w:p w14:paraId="19A3A2AB">
      <w:pPr>
        <w:ind w:firstLine="480"/>
        <w:rPr>
          <w:rFonts w:hint="eastAsia"/>
          <w:color w:val="auto"/>
          <w:highlight w:val="none"/>
        </w:rPr>
      </w:pPr>
      <w:r>
        <w:rPr>
          <w:rFonts w:hint="eastAsia" w:hAnsi="Courier New" w:cs="Courier New"/>
          <w:color w:val="auto"/>
          <w:szCs w:val="24"/>
          <w:highlight w:val="none"/>
        </w:rPr>
        <w:t>商务文件、技术文件</w:t>
      </w:r>
      <w:r>
        <w:rPr>
          <w:rFonts w:hint="eastAsia"/>
          <w:color w:val="auto"/>
          <w:highlight w:val="none"/>
        </w:rPr>
        <w:t>评审结束后，</w:t>
      </w:r>
      <w:r>
        <w:rPr>
          <w:rFonts w:hint="eastAsia"/>
          <w:color w:val="auto"/>
          <w:szCs w:val="24"/>
          <w:highlight w:val="none"/>
        </w:rPr>
        <w:t>招标人公布所有投标人的投标报价。</w:t>
      </w:r>
    </w:p>
    <w:p w14:paraId="0F6A6EA9">
      <w:pPr>
        <w:pStyle w:val="7"/>
        <w:spacing w:before="240" w:after="240"/>
        <w:ind w:firstLine="118"/>
        <w:rPr>
          <w:rFonts w:hint="eastAsia"/>
          <w:color w:val="auto"/>
          <w:highlight w:val="none"/>
        </w:rPr>
      </w:pPr>
      <w:r>
        <w:rPr>
          <w:rFonts w:hint="eastAsia"/>
          <w:color w:val="auto"/>
          <w:highlight w:val="none"/>
        </w:rPr>
        <w:t>3.4 报价文件初步评审</w:t>
      </w:r>
    </w:p>
    <w:p w14:paraId="1DE9B339">
      <w:pPr>
        <w:ind w:firstLine="480"/>
        <w:rPr>
          <w:rFonts w:hint="eastAsia"/>
          <w:color w:val="auto"/>
          <w:highlight w:val="none"/>
        </w:rPr>
      </w:pPr>
      <w:r>
        <w:rPr>
          <w:rFonts w:hint="eastAsia"/>
          <w:color w:val="auto"/>
          <w:highlight w:val="none"/>
        </w:rPr>
        <w:t>3.4.1 评标委员会依据本章第2.1.1 款、第2.1.3 款规定的评审标准对报价文件进行评审。有一项不符合评审标准的，评标委员会应否决其投标。</w:t>
      </w:r>
    </w:p>
    <w:p w14:paraId="53CAB131">
      <w:pPr>
        <w:ind w:firstLine="480"/>
        <w:rPr>
          <w:rFonts w:hint="eastAsia"/>
          <w:color w:val="auto"/>
          <w:highlight w:val="none"/>
        </w:rPr>
      </w:pPr>
      <w:r>
        <w:rPr>
          <w:rFonts w:hint="eastAsia"/>
          <w:color w:val="auto"/>
          <w:highlight w:val="none"/>
        </w:rPr>
        <w:t>3.4.2 投标报价有算术错误及其他错误的，评标委员会</w:t>
      </w:r>
      <w:r>
        <w:rPr>
          <w:rFonts w:hint="eastAsia" w:ascii="宋体" w:hAnsi="宋体" w:cs="宋体"/>
          <w:bCs/>
          <w:color w:val="auto"/>
          <w:szCs w:val="24"/>
          <w:highlight w:val="none"/>
        </w:rPr>
        <w:t>按照</w:t>
      </w:r>
      <w:r>
        <w:rPr>
          <w:rFonts w:hint="eastAsia"/>
          <w:color w:val="auto"/>
          <w:highlight w:val="none"/>
        </w:rPr>
        <w:t>以下原则对投标报价进行修正，并要求投标人澄清确认。投标人拒不澄清确认的，评标委员会应当否决其投标：</w:t>
      </w:r>
    </w:p>
    <w:p w14:paraId="4628D643">
      <w:pPr>
        <w:ind w:firstLine="480"/>
        <w:rPr>
          <w:rFonts w:hint="eastAsia"/>
          <w:color w:val="auto"/>
          <w:highlight w:val="none"/>
        </w:rPr>
      </w:pPr>
      <w:r>
        <w:rPr>
          <w:rFonts w:hint="eastAsia"/>
          <w:color w:val="auto"/>
          <w:highlight w:val="none"/>
        </w:rPr>
        <w:t>（1）投标文件中的大写金额与小写金额不一致的，以大写金额为准；</w:t>
      </w:r>
    </w:p>
    <w:p w14:paraId="7E962924">
      <w:pPr>
        <w:ind w:firstLine="480"/>
        <w:rPr>
          <w:rFonts w:hint="eastAsia"/>
          <w:color w:val="auto"/>
          <w:highlight w:val="none"/>
        </w:rPr>
      </w:pPr>
      <w:r>
        <w:rPr>
          <w:rFonts w:hint="eastAsia"/>
          <w:color w:val="auto"/>
          <w:highlight w:val="none"/>
        </w:rPr>
        <w:t>（2）总价金额与单价金额不一致的，以单价金额为准，但单价金额小数点有明显错误的除外；</w:t>
      </w:r>
    </w:p>
    <w:p w14:paraId="790058CC">
      <w:pPr>
        <w:ind w:firstLine="480"/>
        <w:rPr>
          <w:rFonts w:hint="eastAsia"/>
          <w:color w:val="auto"/>
          <w:highlight w:val="none"/>
        </w:rPr>
      </w:pPr>
      <w:r>
        <w:rPr>
          <w:rFonts w:hint="eastAsia"/>
          <w:color w:val="auto"/>
          <w:highlight w:val="none"/>
        </w:rPr>
        <w:t>（3）投标报价为各分项报价金额之和，投标报价与分项报价的合价不一致的，应以各分项合价累计数为准，修正投标报价；</w:t>
      </w:r>
    </w:p>
    <w:p w14:paraId="1B884AED">
      <w:pPr>
        <w:ind w:firstLine="480"/>
        <w:rPr>
          <w:rFonts w:hint="eastAsia"/>
          <w:color w:val="auto"/>
          <w:highlight w:val="none"/>
        </w:rPr>
      </w:pPr>
      <w:r>
        <w:rPr>
          <w:rFonts w:hint="eastAsia"/>
          <w:color w:val="auto"/>
          <w:highlight w:val="none"/>
        </w:rPr>
        <w:t>（4）如果分项报价中存在缺漏项，则视为缺漏项价格已包含在其他分项报价之中。</w:t>
      </w:r>
    </w:p>
    <w:p w14:paraId="76B283FA">
      <w:pPr>
        <w:ind w:firstLine="480"/>
        <w:rPr>
          <w:rFonts w:hint="eastAsia"/>
          <w:color w:val="auto"/>
          <w:highlight w:val="none"/>
        </w:rPr>
      </w:pPr>
      <w:r>
        <w:rPr>
          <w:rFonts w:hint="eastAsia"/>
          <w:color w:val="auto"/>
          <w:highlight w:val="none"/>
        </w:rPr>
        <w:t>3.4.3投标人投标报价明显缺乏竞争性的，评标委员会可以否决所有投标。</w:t>
      </w:r>
    </w:p>
    <w:p w14:paraId="2C6B87AC">
      <w:pPr>
        <w:pStyle w:val="7"/>
        <w:spacing w:before="240" w:after="240"/>
        <w:ind w:firstLine="118"/>
        <w:rPr>
          <w:rFonts w:hint="eastAsia"/>
          <w:color w:val="auto"/>
          <w:highlight w:val="none"/>
        </w:rPr>
      </w:pPr>
      <w:r>
        <w:rPr>
          <w:rFonts w:hint="eastAsia"/>
          <w:color w:val="auto"/>
          <w:highlight w:val="none"/>
        </w:rPr>
        <w:t>3.5 报价文件详细评审</w:t>
      </w:r>
    </w:p>
    <w:p w14:paraId="52C01C5E">
      <w:pPr>
        <w:ind w:firstLine="480"/>
        <w:rPr>
          <w:rFonts w:hint="eastAsia"/>
          <w:color w:val="auto"/>
          <w:highlight w:val="none"/>
        </w:rPr>
      </w:pPr>
      <w:r>
        <w:rPr>
          <w:rFonts w:hint="eastAsia"/>
          <w:color w:val="auto"/>
          <w:highlight w:val="none"/>
        </w:rPr>
        <w:t>3.5.1评标委员会</w:t>
      </w:r>
      <w:r>
        <w:rPr>
          <w:rFonts w:hint="eastAsia" w:ascii="宋体" w:hAnsi="宋体" w:cs="宋体"/>
          <w:bCs/>
          <w:color w:val="auto"/>
          <w:szCs w:val="24"/>
          <w:highlight w:val="none"/>
        </w:rPr>
        <w:t>按照</w:t>
      </w:r>
      <w:r>
        <w:rPr>
          <w:rFonts w:hint="eastAsia"/>
          <w:color w:val="auto"/>
          <w:highlight w:val="none"/>
        </w:rPr>
        <w:t>本章第2.2.2（3）目规定的评审因素和分值计算出投标报价得分C。</w:t>
      </w:r>
    </w:p>
    <w:p w14:paraId="170E7C53">
      <w:pPr>
        <w:ind w:firstLine="480"/>
        <w:rPr>
          <w:rFonts w:hint="eastAsia"/>
          <w:color w:val="auto"/>
          <w:highlight w:val="none"/>
        </w:rPr>
      </w:pPr>
      <w:r>
        <w:rPr>
          <w:rFonts w:hint="eastAsia"/>
          <w:color w:val="auto"/>
          <w:highlight w:val="none"/>
        </w:rPr>
        <w:t>3.5.2评分分值计算保留小数点后两位，小数点后第三位“四舍五入”。</w:t>
      </w:r>
    </w:p>
    <w:p w14:paraId="4795B7FE">
      <w:pPr>
        <w:ind w:firstLine="480"/>
        <w:rPr>
          <w:rFonts w:hint="eastAsia"/>
          <w:color w:val="auto"/>
          <w:highlight w:val="none"/>
        </w:rPr>
      </w:pPr>
      <w:r>
        <w:rPr>
          <w:rFonts w:hint="eastAsia"/>
          <w:color w:val="auto"/>
          <w:highlight w:val="none"/>
        </w:rPr>
        <w:t>3.5.3投标人综合得分=A+B+C。</w:t>
      </w:r>
    </w:p>
    <w:p w14:paraId="61BBF8F6">
      <w:pPr>
        <w:ind w:firstLine="480"/>
        <w:rPr>
          <w:rFonts w:hint="eastAsia"/>
          <w:color w:val="auto"/>
          <w:highlight w:val="none"/>
        </w:rPr>
      </w:pPr>
      <w:r>
        <w:rPr>
          <w:rFonts w:hint="eastAsia"/>
          <w:color w:val="auto"/>
          <w:highlight w:val="none"/>
        </w:rPr>
        <w:t>3.5.4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否决其投标。</w:t>
      </w:r>
    </w:p>
    <w:p w14:paraId="5E1EE7BE">
      <w:pPr>
        <w:pStyle w:val="7"/>
        <w:spacing w:before="240" w:after="240"/>
        <w:ind w:firstLine="118"/>
        <w:rPr>
          <w:color w:val="auto"/>
          <w:highlight w:val="none"/>
        </w:rPr>
      </w:pPr>
      <w:r>
        <w:rPr>
          <w:color w:val="auto"/>
          <w:highlight w:val="none"/>
        </w:rPr>
        <w:t>3.6 投标文件的澄清</w:t>
      </w:r>
      <w:r>
        <w:rPr>
          <w:rFonts w:hint="eastAsia"/>
          <w:color w:val="auto"/>
          <w:highlight w:val="none"/>
        </w:rPr>
        <w:t>、说明或补正</w:t>
      </w:r>
    </w:p>
    <w:p w14:paraId="38E51594">
      <w:pPr>
        <w:ind w:firstLine="480"/>
        <w:rPr>
          <w:rFonts w:hint="eastAsia"/>
          <w:color w:val="auto"/>
          <w:highlight w:val="none"/>
        </w:rPr>
      </w:pPr>
      <w:r>
        <w:rPr>
          <w:rFonts w:hint="eastAsia"/>
          <w:color w:val="auto"/>
          <w:highlight w:val="none"/>
        </w:rPr>
        <w:t>3.6.1 在评标过程中，评标委员会可以要求投标人对投标文件中含义不明确、对同类问题表述不一致或者有明显文字和计算错误的内容作必要的澄清、说明或补正。评标委员会不接受投标人主动提出的澄清、说明或补正。</w:t>
      </w:r>
    </w:p>
    <w:p w14:paraId="52FACFDB">
      <w:pPr>
        <w:ind w:firstLine="480"/>
        <w:rPr>
          <w:rFonts w:hint="eastAsia"/>
          <w:color w:val="auto"/>
          <w:highlight w:val="none"/>
        </w:rPr>
      </w:pPr>
      <w:r>
        <w:rPr>
          <w:rFonts w:hint="eastAsia"/>
          <w:color w:val="auto"/>
          <w:highlight w:val="none"/>
        </w:rPr>
        <w:t>3.6.2 澄清、说明或补正不得超出投标文件的范围且不得改变投标文件的实质性内容，并构成投标文件的组成部分。</w:t>
      </w:r>
    </w:p>
    <w:p w14:paraId="03D67BDB">
      <w:pPr>
        <w:ind w:firstLine="480"/>
        <w:rPr>
          <w:rFonts w:hint="eastAsia"/>
          <w:color w:val="auto"/>
          <w:highlight w:val="none"/>
        </w:rPr>
      </w:pPr>
      <w:r>
        <w:rPr>
          <w:rFonts w:hint="eastAsia"/>
          <w:color w:val="auto"/>
          <w:highlight w:val="none"/>
        </w:rPr>
        <w:t>3.6.3 评标委员会对投标人提交的澄清、说明或补正有疑问的，可以要求投标人进一步澄清、说明或补正，直至满足评标委员会的要求。</w:t>
      </w:r>
    </w:p>
    <w:p w14:paraId="43E2A6CA">
      <w:pPr>
        <w:pStyle w:val="7"/>
        <w:spacing w:before="240" w:after="240"/>
        <w:ind w:firstLine="118"/>
        <w:rPr>
          <w:rFonts w:hint="eastAsia"/>
          <w:color w:val="auto"/>
          <w:highlight w:val="none"/>
        </w:rPr>
      </w:pPr>
      <w:r>
        <w:rPr>
          <w:rFonts w:hint="eastAsia"/>
          <w:color w:val="auto"/>
          <w:highlight w:val="none"/>
        </w:rPr>
        <w:t>3.7否决投标的情形</w:t>
      </w:r>
    </w:p>
    <w:p w14:paraId="1A7DC47A">
      <w:pPr>
        <w:ind w:firstLine="480"/>
        <w:rPr>
          <w:rFonts w:hint="eastAsia"/>
          <w:color w:val="auto"/>
          <w:highlight w:val="none"/>
        </w:rPr>
      </w:pPr>
      <w:r>
        <w:rPr>
          <w:rFonts w:hint="eastAsia"/>
          <w:color w:val="auto"/>
          <w:highlight w:val="none"/>
        </w:rPr>
        <w:t>3.7.1投标人不符合本章第3.1款、第3.4款的，评标委员会应否决其投标。</w:t>
      </w:r>
    </w:p>
    <w:p w14:paraId="2E474819">
      <w:pPr>
        <w:ind w:firstLine="480"/>
        <w:rPr>
          <w:rFonts w:hint="eastAsia"/>
          <w:color w:val="auto"/>
          <w:highlight w:val="none"/>
        </w:rPr>
      </w:pPr>
      <w:r>
        <w:rPr>
          <w:rFonts w:hint="eastAsia"/>
          <w:color w:val="auto"/>
          <w:highlight w:val="none"/>
        </w:rPr>
        <w:t>3.7.2否决投标的其他情形，见评标办法前附表。</w:t>
      </w:r>
    </w:p>
    <w:p w14:paraId="57194637">
      <w:pPr>
        <w:ind w:firstLine="480"/>
        <w:rPr>
          <w:rFonts w:hint="eastAsia"/>
          <w:color w:val="auto"/>
          <w:highlight w:val="none"/>
        </w:rPr>
      </w:pPr>
      <w:r>
        <w:rPr>
          <w:rFonts w:hint="eastAsia"/>
          <w:color w:val="auto"/>
          <w:highlight w:val="none"/>
        </w:rPr>
        <w:t>3.7.3投标人未通过本章第3.5.4项评审的，评标委员会应否决其投标。</w:t>
      </w:r>
    </w:p>
    <w:p w14:paraId="4D5F2B64">
      <w:pPr>
        <w:pStyle w:val="7"/>
        <w:spacing w:before="240" w:after="240"/>
        <w:ind w:firstLine="118"/>
        <w:rPr>
          <w:rFonts w:hint="eastAsia"/>
          <w:color w:val="auto"/>
          <w:highlight w:val="none"/>
        </w:rPr>
      </w:pPr>
      <w:r>
        <w:rPr>
          <w:rFonts w:hint="eastAsia"/>
          <w:color w:val="auto"/>
          <w:highlight w:val="none"/>
        </w:rPr>
        <w:t>3.8 评标结果</w:t>
      </w:r>
    </w:p>
    <w:p w14:paraId="0088ABA6">
      <w:pPr>
        <w:ind w:firstLine="480"/>
        <w:rPr>
          <w:rFonts w:hint="eastAsia" w:ascii="宋体" w:hAnsi="宋体" w:cs="宋体"/>
          <w:color w:val="auto"/>
          <w:szCs w:val="24"/>
          <w:highlight w:val="none"/>
        </w:rPr>
      </w:pPr>
      <w:r>
        <w:rPr>
          <w:rFonts w:hint="eastAsia" w:cs="宋体"/>
          <w:color w:val="auto"/>
          <w:szCs w:val="24"/>
          <w:highlight w:val="none"/>
        </w:rPr>
        <w:t>3.8.1</w:t>
      </w:r>
      <w:r>
        <w:rPr>
          <w:rFonts w:ascii="宋体" w:hAnsi="宋体" w:cs="宋体"/>
          <w:color w:val="auto"/>
          <w:szCs w:val="24"/>
          <w:highlight w:val="none"/>
        </w:rPr>
        <w:t>评标委员会对拟推荐的中标候选人进行查询，存在投标人须知第</w:t>
      </w:r>
      <w:r>
        <w:rPr>
          <w:rFonts w:hint="eastAsia" w:cs="宋体"/>
          <w:color w:val="auto"/>
          <w:szCs w:val="24"/>
          <w:highlight w:val="none"/>
        </w:rPr>
        <w:t>1.4.4</w:t>
      </w:r>
      <w:r>
        <w:rPr>
          <w:rFonts w:ascii="宋体" w:hAnsi="宋体" w:cs="宋体"/>
          <w:color w:val="auto"/>
          <w:szCs w:val="24"/>
          <w:highlight w:val="none"/>
        </w:rPr>
        <w:t>项规定情形的，不得推荐为中标候选人，查询要求如下：</w:t>
      </w:r>
    </w:p>
    <w:p w14:paraId="6EF3C95B">
      <w:pPr>
        <w:ind w:firstLine="480"/>
        <w:rPr>
          <w:rFonts w:hint="eastAsia" w:ascii="宋体" w:hAnsi="宋体" w:cs="宋体"/>
          <w:color w:val="auto"/>
          <w:szCs w:val="24"/>
          <w:highlight w:val="none"/>
        </w:rPr>
      </w:pPr>
      <w:r>
        <w:rPr>
          <w:rFonts w:hint="eastAsia" w:cs="宋体"/>
          <w:color w:val="auto"/>
          <w:szCs w:val="24"/>
          <w:highlight w:val="none"/>
        </w:rPr>
        <w:t>（1）</w:t>
      </w:r>
      <w:r>
        <w:rPr>
          <w:rFonts w:ascii="宋体" w:hAnsi="宋体" w:cs="宋体"/>
          <w:color w:val="auto"/>
          <w:szCs w:val="24"/>
          <w:highlight w:val="none"/>
        </w:rPr>
        <w:t>评标委员会仅通过“国家企业信用信息公示系统”查询拟推荐中标候选人是否被列入严重违法失信名单，并将查询截图及查询结果在评标报告中予以记录；</w:t>
      </w:r>
    </w:p>
    <w:p w14:paraId="0A86EBC6">
      <w:pPr>
        <w:ind w:firstLine="480"/>
        <w:rPr>
          <w:rFonts w:hint="eastAsia" w:ascii="宋体" w:hAnsi="宋体" w:cs="宋体"/>
          <w:color w:val="auto"/>
          <w:szCs w:val="24"/>
          <w:highlight w:val="none"/>
        </w:rPr>
      </w:pPr>
      <w:r>
        <w:rPr>
          <w:rFonts w:hint="eastAsia" w:cs="宋体"/>
          <w:color w:val="auto"/>
          <w:szCs w:val="24"/>
          <w:highlight w:val="none"/>
        </w:rPr>
        <w:t>（2）</w:t>
      </w:r>
      <w:r>
        <w:rPr>
          <w:rFonts w:ascii="宋体" w:hAnsi="宋体" w:cs="宋体"/>
          <w:color w:val="auto"/>
          <w:szCs w:val="24"/>
          <w:highlight w:val="none"/>
        </w:rPr>
        <w:t>评标委员会仅通过“信用中国”查询拟推荐中标候选人是否被列为失信被执行人、确定为重大税收违法失信主体，并将查询截图及查询结果在评标报告中予以记录；</w:t>
      </w:r>
    </w:p>
    <w:p w14:paraId="05D3F3DE">
      <w:pPr>
        <w:ind w:firstLine="480"/>
        <w:rPr>
          <w:rFonts w:hint="eastAsia" w:ascii="宋体" w:hAnsi="宋体" w:cs="宋体"/>
          <w:color w:val="auto"/>
          <w:szCs w:val="24"/>
          <w:highlight w:val="none"/>
        </w:rPr>
      </w:pPr>
      <w:r>
        <w:rPr>
          <w:rFonts w:hint="eastAsia" w:cs="宋体"/>
          <w:color w:val="auto"/>
          <w:szCs w:val="24"/>
          <w:highlight w:val="none"/>
        </w:rPr>
        <w:t>（3）</w:t>
      </w:r>
      <w:r>
        <w:rPr>
          <w:rFonts w:ascii="宋体" w:hAnsi="宋体" w:cs="宋体"/>
          <w:color w:val="auto"/>
          <w:szCs w:val="24"/>
          <w:highlight w:val="none"/>
        </w:rPr>
        <w:t>其他要求见投标人须知前附表第</w:t>
      </w:r>
      <w:r>
        <w:rPr>
          <w:rFonts w:hint="eastAsia" w:cs="宋体"/>
          <w:color w:val="auto"/>
          <w:szCs w:val="24"/>
          <w:highlight w:val="none"/>
        </w:rPr>
        <w:t>1.4.4（4）</w:t>
      </w:r>
      <w:r>
        <w:rPr>
          <w:rFonts w:ascii="宋体" w:hAnsi="宋体" w:cs="宋体"/>
          <w:color w:val="auto"/>
          <w:szCs w:val="24"/>
          <w:highlight w:val="none"/>
        </w:rPr>
        <w:t>目。</w:t>
      </w:r>
    </w:p>
    <w:p w14:paraId="254947B0">
      <w:pPr>
        <w:ind w:firstLine="480"/>
        <w:rPr>
          <w:rFonts w:hint="eastAsia" w:cs="宋体"/>
          <w:color w:val="auto"/>
          <w:szCs w:val="24"/>
          <w:highlight w:val="none"/>
        </w:rPr>
      </w:pPr>
      <w:r>
        <w:rPr>
          <w:rFonts w:ascii="宋体" w:hAnsi="宋体" w:cs="宋体"/>
          <w:color w:val="auto"/>
          <w:szCs w:val="24"/>
          <w:highlight w:val="none"/>
        </w:rPr>
        <w:t>除第二章投标人须知前附表授权直接确定中标人外，评标委员会按照评标办法的规定推荐中标候选人，并标明排列排序。</w:t>
      </w:r>
    </w:p>
    <w:p w14:paraId="3695321D">
      <w:pPr>
        <w:ind w:firstLine="480"/>
        <w:rPr>
          <w:rFonts w:hint="eastAsia"/>
          <w:color w:val="auto"/>
          <w:highlight w:val="none"/>
        </w:rPr>
      </w:pPr>
      <w:r>
        <w:rPr>
          <w:rFonts w:hint="eastAsia" w:cs="宋体"/>
          <w:color w:val="auto"/>
          <w:szCs w:val="24"/>
          <w:highlight w:val="none"/>
        </w:rPr>
        <w:t>3.8.2 评标委员会完成评标后，应当向招标人提交评标报告。</w:t>
      </w:r>
    </w:p>
    <w:p w14:paraId="414B8857">
      <w:pPr>
        <w:pStyle w:val="5"/>
        <w:spacing w:before="240" w:after="240"/>
        <w:ind w:firstLine="640"/>
        <w:rPr>
          <w:rFonts w:ascii="黑体" w:hAnsi="黑体" w:eastAsia="黑体"/>
          <w:color w:val="auto"/>
          <w:highlight w:val="none"/>
        </w:rPr>
      </w:pPr>
      <w:bookmarkStart w:id="335" w:name="_Toc30169"/>
      <w:r>
        <w:rPr>
          <w:rFonts w:hint="eastAsia" w:ascii="黑体" w:hAnsi="黑体" w:eastAsia="黑体"/>
          <w:b w:val="0"/>
          <w:color w:val="auto"/>
          <w:szCs w:val="32"/>
          <w:highlight w:val="none"/>
        </w:rPr>
        <w:br w:type="page"/>
      </w:r>
      <w:bookmarkEnd w:id="335"/>
      <w:bookmarkStart w:id="336" w:name="_Toc25722"/>
      <w:bookmarkStart w:id="337" w:name="_Toc15754"/>
      <w:bookmarkStart w:id="338" w:name="_Toc9139"/>
      <w:bookmarkStart w:id="339" w:name="_Toc15734"/>
      <w:bookmarkStart w:id="340" w:name="_Toc20788"/>
      <w:bookmarkStart w:id="341" w:name="_Toc1451"/>
      <w:r>
        <w:rPr>
          <w:rFonts w:hint="eastAsia" w:ascii="黑体" w:hAnsi="黑体" w:eastAsia="黑体"/>
          <w:color w:val="auto"/>
          <w:highlight w:val="none"/>
        </w:rPr>
        <w:t xml:space="preserve">第四章 </w:t>
      </w:r>
      <w:r>
        <w:rPr>
          <w:rFonts w:ascii="黑体" w:hAnsi="黑体" w:eastAsia="黑体"/>
          <w:color w:val="auto"/>
          <w:highlight w:val="none"/>
        </w:rPr>
        <w:t xml:space="preserve"> </w:t>
      </w:r>
      <w:r>
        <w:rPr>
          <w:rFonts w:hint="eastAsia" w:ascii="黑体" w:hAnsi="黑体" w:eastAsia="黑体"/>
          <w:color w:val="auto"/>
          <w:highlight w:val="none"/>
        </w:rPr>
        <w:t>合同条款及格式</w:t>
      </w:r>
      <w:bookmarkEnd w:id="336"/>
      <w:bookmarkEnd w:id="337"/>
      <w:bookmarkEnd w:id="338"/>
      <w:bookmarkEnd w:id="339"/>
      <w:bookmarkEnd w:id="340"/>
      <w:bookmarkEnd w:id="341"/>
    </w:p>
    <w:p w14:paraId="177D1E4F">
      <w:pPr>
        <w:pStyle w:val="6"/>
        <w:spacing w:before="240" w:after="240"/>
        <w:ind w:firstLine="640"/>
        <w:jc w:val="center"/>
        <w:rPr>
          <w:color w:val="auto"/>
          <w:highlight w:val="none"/>
        </w:rPr>
      </w:pPr>
      <w:bookmarkStart w:id="342" w:name="_Toc11935"/>
      <w:bookmarkStart w:id="343" w:name="_Toc845"/>
      <w:bookmarkStart w:id="344" w:name="_Toc6171"/>
      <w:bookmarkStart w:id="345" w:name="_Toc6263"/>
      <w:r>
        <w:rPr>
          <w:rFonts w:hint="eastAsia"/>
          <w:color w:val="auto"/>
          <w:highlight w:val="none"/>
        </w:rPr>
        <w:t>第一节</w:t>
      </w:r>
      <w:r>
        <w:rPr>
          <w:color w:val="auto"/>
          <w:highlight w:val="none"/>
        </w:rPr>
        <w:t xml:space="preserve"> </w:t>
      </w:r>
      <w:r>
        <w:rPr>
          <w:rFonts w:hint="eastAsia"/>
          <w:color w:val="auto"/>
          <w:highlight w:val="none"/>
        </w:rPr>
        <w:t>合同协议书</w:t>
      </w:r>
      <w:bookmarkEnd w:id="342"/>
      <w:bookmarkEnd w:id="343"/>
      <w:bookmarkEnd w:id="344"/>
      <w:bookmarkEnd w:id="345"/>
    </w:p>
    <w:p w14:paraId="1B8028CE">
      <w:pPr>
        <w:adjustRightInd w:val="0"/>
        <w:snapToGrid w:val="0"/>
        <w:ind w:firstLine="482"/>
        <w:rPr>
          <w:rFonts w:hint="eastAsia" w:ascii="宋体" w:hAnsi="宋体"/>
          <w:b/>
          <w:color w:val="auto"/>
          <w:szCs w:val="21"/>
          <w:highlight w:val="none"/>
          <w:u w:val="single"/>
          <w:lang w:val="en-US" w:eastAsia="zh-CN"/>
        </w:rPr>
      </w:pPr>
      <w:r>
        <w:rPr>
          <w:rFonts w:hint="eastAsia" w:ascii="宋体" w:hAnsi="宋体"/>
          <w:b/>
          <w:color w:val="auto"/>
          <w:szCs w:val="21"/>
          <w:highlight w:val="none"/>
        </w:rPr>
        <w:t>委</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托</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人（全称）：</w:t>
      </w:r>
      <w:r>
        <w:rPr>
          <w:rFonts w:hint="eastAsia" w:ascii="宋体" w:hAnsi="宋体"/>
          <w:b/>
          <w:color w:val="auto"/>
          <w:szCs w:val="21"/>
          <w:highlight w:val="none"/>
          <w:u w:val="single"/>
          <w:lang w:val="en-US" w:eastAsia="zh-CN"/>
        </w:rPr>
        <w:t xml:space="preserve">                          </w:t>
      </w:r>
    </w:p>
    <w:p w14:paraId="33BD6A26">
      <w:pPr>
        <w:adjustRightInd w:val="0"/>
        <w:snapToGrid w:val="0"/>
        <w:ind w:firstLine="482"/>
        <w:rPr>
          <w:rFonts w:hint="default" w:ascii="宋体" w:hAnsi="宋体" w:eastAsia="宋体"/>
          <w:color w:val="auto"/>
          <w:szCs w:val="21"/>
          <w:highlight w:val="none"/>
          <w:lang w:val="en-US" w:eastAsia="zh-CN"/>
        </w:rPr>
      </w:pPr>
      <w:r>
        <w:rPr>
          <w:rFonts w:hint="eastAsia" w:ascii="宋体" w:hAnsi="宋体"/>
          <w:b/>
          <w:color w:val="auto"/>
          <w:szCs w:val="21"/>
          <w:highlight w:val="none"/>
        </w:rPr>
        <w:t>监</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理</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2052BE55">
      <w:pPr>
        <w:adjustRightInd w:val="0"/>
        <w:snapToGrid w:val="0"/>
        <w:ind w:firstLine="480"/>
        <w:rPr>
          <w:rFonts w:ascii="宋体" w:hAnsi="宋体"/>
          <w:color w:val="auto"/>
          <w:szCs w:val="21"/>
          <w:highlight w:val="none"/>
          <w:u w:val="single"/>
        </w:rPr>
      </w:pPr>
      <w:r>
        <w:rPr>
          <w:rFonts w:hint="eastAsia" w:ascii="宋体" w:hAnsi="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64164662">
      <w:pPr>
        <w:ind w:firstLine="477" w:firstLineChars="198"/>
        <w:rPr>
          <w:rFonts w:ascii="宋体" w:hAnsi="宋体"/>
          <w:b/>
          <w:color w:val="auto"/>
          <w:szCs w:val="21"/>
          <w:highlight w:val="none"/>
        </w:rPr>
      </w:pPr>
      <w:bookmarkStart w:id="346" w:name="_Toc3706"/>
      <w:bookmarkStart w:id="347" w:name="_Toc12976"/>
      <w:bookmarkStart w:id="348" w:name="_Toc10899"/>
      <w:r>
        <w:rPr>
          <w:rFonts w:hint="eastAsia" w:ascii="宋体" w:hAnsi="宋体"/>
          <w:b/>
          <w:color w:val="auto"/>
          <w:szCs w:val="21"/>
          <w:highlight w:val="none"/>
        </w:rPr>
        <w:t>一、工程概况</w:t>
      </w:r>
      <w:bookmarkEnd w:id="346"/>
      <w:bookmarkEnd w:id="347"/>
      <w:bookmarkEnd w:id="348"/>
    </w:p>
    <w:p w14:paraId="7BBF6FEE">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1.工程名称：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7652B18D">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2.工程地点：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2E8FE514">
      <w:pPr>
        <w:adjustRightInd w:val="0"/>
        <w:snapToGrid w:val="0"/>
        <w:ind w:firstLine="475" w:firstLineChars="198"/>
        <w:rPr>
          <w:rFonts w:hint="default" w:ascii="宋体" w:hAnsi="宋体" w:eastAsia="宋体"/>
          <w:color w:val="auto"/>
          <w:szCs w:val="21"/>
          <w:highlight w:val="none"/>
          <w:lang w:val="en-US" w:eastAsia="zh-CN"/>
        </w:rPr>
      </w:pPr>
      <w:r>
        <w:rPr>
          <w:rFonts w:hint="eastAsia" w:ascii="宋体" w:hAnsi="宋体"/>
          <w:color w:val="auto"/>
          <w:szCs w:val="21"/>
          <w:highlight w:val="none"/>
        </w:rPr>
        <w:t>3.工程规模：</w:t>
      </w:r>
      <w:r>
        <w:rPr>
          <w:rFonts w:hint="eastAsia"/>
          <w:color w:val="auto"/>
          <w:szCs w:val="24"/>
          <w:highlight w:val="none"/>
          <w:u w:val="single"/>
          <w:lang w:val="en-US" w:eastAsia="zh-CN"/>
        </w:rPr>
        <w:t xml:space="preserve">        。</w:t>
      </w:r>
    </w:p>
    <w:p w14:paraId="7279B99F">
      <w:pPr>
        <w:adjustRightInd w:val="0"/>
        <w:snapToGrid w:val="0"/>
        <w:ind w:firstLine="475" w:firstLineChars="198"/>
        <w:jc w:val="left"/>
        <w:rPr>
          <w:rFonts w:ascii="宋体" w:hAnsi="宋体"/>
          <w:color w:val="auto"/>
          <w:szCs w:val="21"/>
          <w:highlight w:val="none"/>
        </w:rPr>
      </w:pPr>
      <w:r>
        <w:rPr>
          <w:rFonts w:hint="eastAsia" w:ascii="宋体" w:hAnsi="宋体"/>
          <w:color w:val="auto"/>
          <w:szCs w:val="21"/>
          <w:highlight w:val="none"/>
        </w:rPr>
        <w:t>4.工程</w:t>
      </w:r>
      <w:r>
        <w:rPr>
          <w:rFonts w:hint="eastAsia" w:ascii="宋体" w:hAnsi="宋体"/>
          <w:color w:val="auto"/>
          <w:kern w:val="0"/>
          <w:szCs w:val="21"/>
          <w:highlight w:val="none"/>
        </w:rPr>
        <w:t>概算投资</w:t>
      </w:r>
      <w:r>
        <w:rPr>
          <w:rFonts w:hint="eastAsia" w:ascii="宋体" w:hAnsi="宋体" w:cs="宋体"/>
          <w:color w:val="auto"/>
          <w:kern w:val="0"/>
          <w:szCs w:val="21"/>
          <w:highlight w:val="none"/>
        </w:rPr>
        <w:t>额或建筑安装工程费</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8415E3A">
      <w:pPr>
        <w:ind w:firstLine="477" w:firstLineChars="198"/>
        <w:rPr>
          <w:rFonts w:ascii="宋体" w:hAnsi="宋体"/>
          <w:b/>
          <w:color w:val="auto"/>
          <w:szCs w:val="21"/>
          <w:highlight w:val="none"/>
        </w:rPr>
      </w:pPr>
      <w:r>
        <w:rPr>
          <w:rFonts w:hint="eastAsia" w:ascii="宋体" w:hAnsi="宋体"/>
          <w:b/>
          <w:color w:val="auto"/>
          <w:szCs w:val="21"/>
          <w:highlight w:val="none"/>
        </w:rPr>
        <w:t>二、词语限定</w:t>
      </w:r>
    </w:p>
    <w:p w14:paraId="5761B551">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协议书中相关词语的含义与通用条件中的定义与解释相同。</w:t>
      </w:r>
    </w:p>
    <w:p w14:paraId="3CBBB75C">
      <w:pPr>
        <w:ind w:firstLine="477" w:firstLineChars="198"/>
        <w:rPr>
          <w:rFonts w:ascii="宋体" w:hAnsi="宋体"/>
          <w:b/>
          <w:color w:val="auto"/>
          <w:szCs w:val="21"/>
          <w:highlight w:val="none"/>
        </w:rPr>
      </w:pPr>
      <w:bookmarkStart w:id="349" w:name="_Toc7852"/>
      <w:bookmarkStart w:id="350" w:name="_Toc21514"/>
      <w:bookmarkStart w:id="351" w:name="_Toc19411"/>
      <w:r>
        <w:rPr>
          <w:rFonts w:hint="eastAsia" w:ascii="宋体" w:hAnsi="宋体"/>
          <w:b/>
          <w:color w:val="auto"/>
          <w:szCs w:val="21"/>
          <w:highlight w:val="none"/>
        </w:rPr>
        <w:t>三、组成本合同的文件</w:t>
      </w:r>
      <w:bookmarkEnd w:id="349"/>
      <w:bookmarkEnd w:id="350"/>
      <w:bookmarkEnd w:id="351"/>
    </w:p>
    <w:p w14:paraId="32C7A23D">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1.协议书；</w:t>
      </w:r>
    </w:p>
    <w:p w14:paraId="1558A2C5">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2.中标通知书（适用于招标工程）或委托书（适用于非招标工程）；</w:t>
      </w:r>
    </w:p>
    <w:p w14:paraId="53CADA7F">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3.投标</w:t>
      </w:r>
      <w:r>
        <w:rPr>
          <w:rFonts w:hint="eastAsia" w:ascii="宋体" w:hAnsi="宋体" w:eastAsia="宋体" w:cs="Times New Roman"/>
          <w:color w:val="auto"/>
          <w:szCs w:val="21"/>
          <w:highlight w:val="none"/>
        </w:rPr>
        <w:t>文件</w:t>
      </w:r>
      <w:r>
        <w:rPr>
          <w:rFonts w:hint="eastAsia" w:ascii="宋体" w:hAnsi="宋体"/>
          <w:color w:val="auto"/>
          <w:szCs w:val="21"/>
          <w:highlight w:val="none"/>
        </w:rPr>
        <w:t>（适用于招标工程）或监理与相关服务建议书（适用于非招标工程）；</w:t>
      </w:r>
    </w:p>
    <w:p w14:paraId="686FBFB7">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4.专用条件；</w:t>
      </w:r>
    </w:p>
    <w:p w14:paraId="623CCBF8">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5.通用条件；</w:t>
      </w:r>
    </w:p>
    <w:p w14:paraId="79D5A7B5">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6.附录，即：</w:t>
      </w:r>
    </w:p>
    <w:p w14:paraId="607E7146">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附录A 相关服务的范围和内容</w:t>
      </w:r>
    </w:p>
    <w:p w14:paraId="47067F20">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附录B 委托人</w:t>
      </w:r>
      <w:r>
        <w:rPr>
          <w:rFonts w:hint="eastAsia" w:ascii="宋体" w:hAnsi="宋体" w:eastAsia="宋体" w:cs="Times New Roman"/>
          <w:color w:val="auto"/>
          <w:szCs w:val="21"/>
          <w:highlight w:val="none"/>
        </w:rPr>
        <w:t>派遣</w:t>
      </w:r>
      <w:r>
        <w:rPr>
          <w:rFonts w:hint="eastAsia" w:ascii="宋体" w:hAnsi="宋体"/>
          <w:color w:val="auto"/>
          <w:szCs w:val="21"/>
          <w:highlight w:val="none"/>
        </w:rPr>
        <w:t>的人员和提供的</w:t>
      </w:r>
      <w:r>
        <w:rPr>
          <w:rFonts w:hint="eastAsia" w:ascii="宋体" w:hAnsi="宋体"/>
          <w:bCs/>
          <w:color w:val="auto"/>
          <w:szCs w:val="21"/>
          <w:highlight w:val="none"/>
        </w:rPr>
        <w:t>房屋、资料</w:t>
      </w:r>
      <w:r>
        <w:rPr>
          <w:rFonts w:hint="eastAsia" w:ascii="宋体" w:hAnsi="宋体"/>
          <w:color w:val="auto"/>
          <w:szCs w:val="21"/>
          <w:highlight w:val="none"/>
        </w:rPr>
        <w:t>、设备</w:t>
      </w:r>
    </w:p>
    <w:p w14:paraId="0ACB91A1">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本合同签订后，双方依法签订的补充协议也是本合同文件的组成部分。</w:t>
      </w:r>
    </w:p>
    <w:p w14:paraId="4D4A1AC1">
      <w:pPr>
        <w:ind w:firstLine="477" w:firstLineChars="198"/>
        <w:rPr>
          <w:rFonts w:ascii="宋体" w:hAnsi="宋体"/>
          <w:b/>
          <w:color w:val="auto"/>
          <w:szCs w:val="21"/>
          <w:highlight w:val="none"/>
        </w:rPr>
      </w:pPr>
      <w:bookmarkStart w:id="352" w:name="_Toc5757"/>
      <w:bookmarkStart w:id="353" w:name="_Toc29582"/>
      <w:bookmarkStart w:id="354" w:name="_Toc31777"/>
      <w:r>
        <w:rPr>
          <w:rFonts w:hint="eastAsia" w:ascii="宋体" w:hAnsi="宋体"/>
          <w:b/>
          <w:color w:val="auto"/>
          <w:szCs w:val="21"/>
          <w:highlight w:val="none"/>
        </w:rPr>
        <w:t>四、总监理工程师</w:t>
      </w:r>
      <w:bookmarkEnd w:id="352"/>
      <w:bookmarkEnd w:id="353"/>
      <w:bookmarkEnd w:id="354"/>
    </w:p>
    <w:p w14:paraId="0824B179">
      <w:pPr>
        <w:adjustRightInd w:val="0"/>
        <w:snapToGrid w:val="0"/>
        <w:ind w:firstLine="475" w:firstLineChars="198"/>
        <w:rPr>
          <w:rFonts w:ascii="宋体" w:hAnsi="宋体"/>
          <w:color w:val="auto"/>
          <w:kern w:val="0"/>
          <w:szCs w:val="21"/>
          <w:highlight w:val="none"/>
        </w:rPr>
      </w:pPr>
      <w:r>
        <w:rPr>
          <w:rFonts w:hint="eastAsia" w:ascii="宋体" w:hAnsi="宋体"/>
          <w:color w:val="auto"/>
          <w:kern w:val="0"/>
          <w:szCs w:val="21"/>
          <w:highlight w:val="none"/>
        </w:rPr>
        <w:t>总监理工程师姓名：</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，注册号：</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02BC028E">
      <w:pPr>
        <w:ind w:firstLine="477" w:firstLineChars="198"/>
        <w:rPr>
          <w:rFonts w:ascii="宋体" w:hAnsi="宋体"/>
          <w:b/>
          <w:color w:val="auto"/>
          <w:szCs w:val="21"/>
          <w:highlight w:val="none"/>
        </w:rPr>
      </w:pPr>
      <w:bookmarkStart w:id="355" w:name="_Toc22937"/>
      <w:bookmarkStart w:id="356" w:name="_Toc14316"/>
      <w:bookmarkStart w:id="357" w:name="_Toc13433"/>
      <w:r>
        <w:rPr>
          <w:rFonts w:hint="eastAsia" w:ascii="宋体" w:hAnsi="宋体"/>
          <w:b/>
          <w:color w:val="auto"/>
          <w:szCs w:val="21"/>
          <w:highlight w:val="none"/>
        </w:rPr>
        <w:t>五、签约酬金</w:t>
      </w:r>
      <w:bookmarkEnd w:id="355"/>
      <w:bookmarkEnd w:id="356"/>
      <w:bookmarkEnd w:id="357"/>
    </w:p>
    <w:p w14:paraId="7B238BD1">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签约酬金（大写）：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1563DC">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包括：</w:t>
      </w:r>
    </w:p>
    <w:p w14:paraId="65900BDE">
      <w:pPr>
        <w:adjustRightInd w:val="0"/>
        <w:snapToGrid w:val="0"/>
        <w:ind w:firstLine="600" w:firstLineChars="250"/>
        <w:rPr>
          <w:rFonts w:ascii="宋体" w:hAnsi="宋体"/>
          <w:color w:val="auto"/>
          <w:szCs w:val="21"/>
          <w:highlight w:val="none"/>
        </w:rPr>
      </w:pPr>
      <w:r>
        <w:rPr>
          <w:rFonts w:hint="eastAsia" w:ascii="宋体" w:hAnsi="宋体"/>
          <w:color w:val="auto"/>
          <w:szCs w:val="21"/>
          <w:highlight w:val="none"/>
        </w:rPr>
        <w:t>1.监理酬金：</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700606">
      <w:pPr>
        <w:adjustRightInd w:val="0"/>
        <w:snapToGrid w:val="0"/>
        <w:ind w:firstLine="600" w:firstLineChars="250"/>
        <w:rPr>
          <w:rFonts w:ascii="宋体" w:hAnsi="宋体"/>
          <w:color w:val="auto"/>
          <w:szCs w:val="21"/>
          <w:highlight w:val="none"/>
        </w:rPr>
      </w:pPr>
      <w:r>
        <w:rPr>
          <w:rFonts w:hint="eastAsia" w:ascii="宋体" w:hAnsi="宋体"/>
          <w:color w:val="auto"/>
          <w:szCs w:val="21"/>
          <w:highlight w:val="none"/>
        </w:rPr>
        <w:t>2.相关服务酬金：</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6A8A331">
      <w:pPr>
        <w:adjustRightInd w:val="0"/>
        <w:snapToGrid w:val="0"/>
        <w:ind w:firstLine="600" w:firstLineChars="250"/>
        <w:rPr>
          <w:rFonts w:ascii="宋体" w:hAnsi="宋体"/>
          <w:color w:val="auto"/>
          <w:szCs w:val="21"/>
          <w:highlight w:val="none"/>
        </w:rPr>
      </w:pPr>
      <w:r>
        <w:rPr>
          <w:rFonts w:hint="eastAsia" w:ascii="宋体" w:hAnsi="宋体"/>
          <w:color w:val="auto"/>
          <w:szCs w:val="21"/>
          <w:highlight w:val="none"/>
        </w:rPr>
        <w:t>其中：</w:t>
      </w:r>
    </w:p>
    <w:p w14:paraId="17735ACA">
      <w:pPr>
        <w:adjustRightInd w:val="0"/>
        <w:snapToGrid w:val="0"/>
        <w:ind w:firstLine="960" w:firstLineChars="400"/>
        <w:rPr>
          <w:rFonts w:ascii="宋体" w:hAnsi="宋体"/>
          <w:color w:val="auto"/>
          <w:szCs w:val="21"/>
          <w:highlight w:val="none"/>
        </w:rPr>
      </w:pPr>
      <w:r>
        <w:rPr>
          <w:rFonts w:hint="eastAsia" w:ascii="宋体" w:hAnsi="宋体"/>
          <w:color w:val="auto"/>
          <w:kern w:val="0"/>
          <w:szCs w:val="21"/>
          <w:highlight w:val="none"/>
        </w:rPr>
        <w:t>（1）勘察阶段服务</w:t>
      </w:r>
      <w:r>
        <w:rPr>
          <w:rFonts w:hint="eastAsia" w:ascii="宋体" w:hAnsi="宋体"/>
          <w:color w:val="auto"/>
          <w:szCs w:val="21"/>
          <w:highlight w:val="none"/>
        </w:rPr>
        <w:t>酬金：</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D2F3FDB">
      <w:pPr>
        <w:adjustRightInd w:val="0"/>
        <w:snapToGrid w:val="0"/>
        <w:ind w:firstLine="960" w:firstLineChars="400"/>
        <w:rPr>
          <w:rFonts w:ascii="宋体" w:hAnsi="宋体"/>
          <w:color w:val="auto"/>
          <w:szCs w:val="21"/>
          <w:highlight w:val="none"/>
        </w:rPr>
      </w:pPr>
      <w:r>
        <w:rPr>
          <w:rFonts w:hint="eastAsia" w:ascii="宋体" w:hAnsi="宋体"/>
          <w:color w:val="auto"/>
          <w:kern w:val="0"/>
          <w:szCs w:val="21"/>
          <w:highlight w:val="none"/>
        </w:rPr>
        <w:t>（2）设计阶段服务</w:t>
      </w:r>
      <w:r>
        <w:rPr>
          <w:rFonts w:hint="eastAsia" w:ascii="宋体" w:hAnsi="宋体"/>
          <w:color w:val="auto"/>
          <w:szCs w:val="21"/>
          <w:highlight w:val="none"/>
        </w:rPr>
        <w:t>酬金：</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42C081">
      <w:pPr>
        <w:adjustRightInd w:val="0"/>
        <w:snapToGrid w:val="0"/>
        <w:ind w:firstLine="960" w:firstLineChars="400"/>
        <w:rPr>
          <w:rFonts w:ascii="宋体" w:hAnsi="宋体"/>
          <w:color w:val="auto"/>
          <w:szCs w:val="21"/>
          <w:highlight w:val="none"/>
        </w:rPr>
      </w:pPr>
      <w:r>
        <w:rPr>
          <w:rFonts w:hint="eastAsia" w:ascii="宋体" w:hAnsi="宋体"/>
          <w:color w:val="auto"/>
          <w:kern w:val="0"/>
          <w:szCs w:val="21"/>
          <w:highlight w:val="none"/>
        </w:rPr>
        <w:t>（3）保修阶段服务</w:t>
      </w:r>
      <w:r>
        <w:rPr>
          <w:rFonts w:hint="eastAsia" w:ascii="宋体" w:hAnsi="宋体"/>
          <w:color w:val="auto"/>
          <w:szCs w:val="21"/>
          <w:highlight w:val="none"/>
        </w:rPr>
        <w:t>酬金：</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EF257B">
      <w:pPr>
        <w:adjustRightInd w:val="0"/>
        <w:snapToGrid w:val="0"/>
        <w:ind w:firstLine="960" w:firstLineChars="400"/>
        <w:rPr>
          <w:rFonts w:ascii="宋体" w:hAnsi="宋体"/>
          <w:color w:val="auto"/>
          <w:szCs w:val="21"/>
          <w:highlight w:val="none"/>
        </w:rPr>
      </w:pPr>
      <w:r>
        <w:rPr>
          <w:rFonts w:hint="eastAsia" w:ascii="宋体" w:hAnsi="宋体"/>
          <w:color w:val="auto"/>
          <w:kern w:val="0"/>
          <w:szCs w:val="21"/>
          <w:highlight w:val="none"/>
        </w:rPr>
        <w:t>（4）</w:t>
      </w:r>
      <w:r>
        <w:rPr>
          <w:rFonts w:hint="eastAsia" w:ascii="宋体" w:hAnsi="宋体"/>
          <w:color w:val="auto"/>
          <w:szCs w:val="21"/>
          <w:highlight w:val="none"/>
        </w:rPr>
        <w:t>其他相关服务酬金：</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E1E4C08">
      <w:pPr>
        <w:ind w:firstLine="477" w:firstLineChars="198"/>
        <w:rPr>
          <w:rFonts w:ascii="宋体" w:hAnsi="宋体"/>
          <w:b/>
          <w:color w:val="auto"/>
          <w:szCs w:val="21"/>
          <w:highlight w:val="none"/>
        </w:rPr>
      </w:pPr>
      <w:bookmarkStart w:id="358" w:name="_Toc20661"/>
      <w:bookmarkStart w:id="359" w:name="_Toc29369"/>
      <w:bookmarkStart w:id="360" w:name="_Toc14972"/>
      <w:r>
        <w:rPr>
          <w:rFonts w:hint="eastAsia" w:ascii="宋体" w:hAnsi="宋体"/>
          <w:b/>
          <w:color w:val="auto"/>
          <w:szCs w:val="21"/>
          <w:highlight w:val="none"/>
        </w:rPr>
        <w:t>六、期限</w:t>
      </w:r>
      <w:bookmarkEnd w:id="358"/>
      <w:bookmarkEnd w:id="359"/>
      <w:bookmarkEnd w:id="360"/>
    </w:p>
    <w:p w14:paraId="7776EDE2">
      <w:pPr>
        <w:adjustRightInd w:val="0"/>
        <w:snapToGrid w:val="0"/>
        <w:ind w:firstLine="600" w:firstLineChars="250"/>
        <w:jc w:val="left"/>
        <w:rPr>
          <w:rFonts w:ascii="宋体" w:hAnsi="宋体"/>
          <w:color w:val="auto"/>
          <w:szCs w:val="21"/>
          <w:highlight w:val="none"/>
        </w:rPr>
      </w:pPr>
      <w:r>
        <w:rPr>
          <w:rFonts w:hint="eastAsia" w:ascii="宋体" w:hAnsi="宋体"/>
          <w:color w:val="auto"/>
          <w:kern w:val="0"/>
          <w:szCs w:val="21"/>
          <w:highlight w:val="none"/>
        </w:rPr>
        <w:t>1.</w:t>
      </w:r>
      <w:r>
        <w:rPr>
          <w:rFonts w:hint="eastAsia" w:ascii="宋体" w:hAnsi="宋体"/>
          <w:color w:val="auto"/>
          <w:szCs w:val="21"/>
          <w:highlight w:val="none"/>
        </w:rPr>
        <w:t>监理期限：</w:t>
      </w:r>
    </w:p>
    <w:p w14:paraId="7EB2ABC5">
      <w:pPr>
        <w:adjustRightInd w:val="0"/>
        <w:snapToGrid w:val="0"/>
        <w:ind w:firstLine="600" w:firstLineChars="250"/>
        <w:jc w:val="left"/>
        <w:rPr>
          <w:rFonts w:ascii="宋体" w:hAnsi="宋体"/>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日始，至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p>
    <w:p w14:paraId="548FB4B9">
      <w:pPr>
        <w:adjustRightInd w:val="0"/>
        <w:snapToGrid w:val="0"/>
        <w:ind w:firstLine="600" w:firstLineChars="250"/>
        <w:rPr>
          <w:rFonts w:ascii="宋体" w:hAnsi="宋体"/>
          <w:color w:val="auto"/>
          <w:szCs w:val="21"/>
          <w:highlight w:val="none"/>
        </w:rPr>
      </w:pPr>
      <w:r>
        <w:rPr>
          <w:rFonts w:hint="eastAsia" w:ascii="宋体" w:hAnsi="宋体"/>
          <w:color w:val="auto"/>
          <w:kern w:val="0"/>
          <w:szCs w:val="21"/>
          <w:highlight w:val="none"/>
        </w:rPr>
        <w:t xml:space="preserve">2. </w:t>
      </w:r>
      <w:r>
        <w:rPr>
          <w:rFonts w:hint="eastAsia" w:ascii="宋体" w:hAnsi="宋体"/>
          <w:color w:val="auto"/>
          <w:szCs w:val="21"/>
          <w:highlight w:val="none"/>
        </w:rPr>
        <w:t>相关服务期限：</w:t>
      </w:r>
    </w:p>
    <w:p w14:paraId="76DA69F8">
      <w:pPr>
        <w:adjustRightInd w:val="0"/>
        <w:snapToGrid w:val="0"/>
        <w:ind w:firstLine="600" w:firstLineChars="250"/>
        <w:rPr>
          <w:rFonts w:ascii="宋体" w:hAnsi="宋体"/>
          <w:color w:val="auto"/>
          <w:szCs w:val="21"/>
          <w:highlight w:val="none"/>
        </w:rPr>
      </w:pPr>
      <w:r>
        <w:rPr>
          <w:rFonts w:hint="eastAsia" w:ascii="宋体" w:hAnsi="宋体"/>
          <w:color w:val="auto"/>
          <w:kern w:val="0"/>
          <w:szCs w:val="21"/>
          <w:highlight w:val="none"/>
        </w:rPr>
        <w:t>（1）勘察阶段</w:t>
      </w:r>
      <w:r>
        <w:rPr>
          <w:rFonts w:hint="eastAsia" w:ascii="宋体" w:hAnsi="宋体"/>
          <w:color w:val="auto"/>
          <w:szCs w:val="21"/>
          <w:highlight w:val="none"/>
        </w:rPr>
        <w:t>服务期限自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日始，至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p>
    <w:p w14:paraId="6B7F3F49">
      <w:pPr>
        <w:adjustRightInd w:val="0"/>
        <w:snapToGrid w:val="0"/>
        <w:ind w:firstLine="600" w:firstLineChars="250"/>
        <w:rPr>
          <w:rFonts w:ascii="宋体" w:hAnsi="宋体"/>
          <w:color w:val="auto"/>
          <w:szCs w:val="21"/>
          <w:highlight w:val="none"/>
        </w:rPr>
      </w:pPr>
      <w:r>
        <w:rPr>
          <w:rFonts w:hint="eastAsia" w:ascii="宋体" w:hAnsi="宋体"/>
          <w:color w:val="auto"/>
          <w:kern w:val="0"/>
          <w:szCs w:val="21"/>
          <w:highlight w:val="none"/>
        </w:rPr>
        <w:t>（2）设计阶段</w:t>
      </w:r>
      <w:r>
        <w:rPr>
          <w:rFonts w:hint="eastAsia" w:ascii="宋体" w:hAnsi="宋体"/>
          <w:color w:val="auto"/>
          <w:szCs w:val="21"/>
          <w:highlight w:val="none"/>
        </w:rPr>
        <w:t>服务期限自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日始，至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p>
    <w:p w14:paraId="36532CED">
      <w:pPr>
        <w:adjustRightInd w:val="0"/>
        <w:snapToGrid w:val="0"/>
        <w:ind w:firstLine="600" w:firstLineChars="250"/>
        <w:rPr>
          <w:rFonts w:ascii="宋体" w:hAnsi="宋体"/>
          <w:color w:val="auto"/>
          <w:szCs w:val="21"/>
          <w:highlight w:val="none"/>
        </w:rPr>
      </w:pPr>
      <w:r>
        <w:rPr>
          <w:rFonts w:hint="eastAsia" w:ascii="宋体" w:hAnsi="宋体"/>
          <w:color w:val="auto"/>
          <w:kern w:val="0"/>
          <w:szCs w:val="21"/>
          <w:highlight w:val="none"/>
        </w:rPr>
        <w:t>（3）保修阶段</w:t>
      </w:r>
      <w:r>
        <w:rPr>
          <w:rFonts w:hint="eastAsia" w:ascii="宋体" w:hAnsi="宋体"/>
          <w:color w:val="auto"/>
          <w:szCs w:val="21"/>
          <w:highlight w:val="none"/>
        </w:rPr>
        <w:t>服务期限自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日始，至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p>
    <w:p w14:paraId="2BE5298F">
      <w:pPr>
        <w:adjustRightInd w:val="0"/>
        <w:snapToGrid w:val="0"/>
        <w:ind w:firstLine="600" w:firstLineChars="250"/>
        <w:rPr>
          <w:rFonts w:ascii="宋体" w:hAnsi="宋体"/>
          <w:color w:val="auto"/>
          <w:szCs w:val="21"/>
          <w:highlight w:val="none"/>
        </w:rPr>
      </w:pPr>
      <w:r>
        <w:rPr>
          <w:rFonts w:hint="eastAsia" w:ascii="宋体" w:hAnsi="宋体"/>
          <w:color w:val="auto"/>
          <w:kern w:val="0"/>
          <w:szCs w:val="21"/>
          <w:highlight w:val="none"/>
        </w:rPr>
        <w:t>（4）</w:t>
      </w:r>
      <w:r>
        <w:rPr>
          <w:rFonts w:hint="eastAsia" w:ascii="宋体" w:hAnsi="宋体"/>
          <w:color w:val="auto"/>
          <w:szCs w:val="21"/>
          <w:highlight w:val="none"/>
        </w:rPr>
        <w:t>其他相关服务期限自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日始，至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p>
    <w:p w14:paraId="0A7C91A9">
      <w:pPr>
        <w:ind w:firstLine="477" w:firstLineChars="198"/>
        <w:rPr>
          <w:rFonts w:ascii="宋体" w:hAnsi="宋体"/>
          <w:b/>
          <w:color w:val="auto"/>
          <w:szCs w:val="21"/>
          <w:highlight w:val="none"/>
        </w:rPr>
      </w:pPr>
      <w:bookmarkStart w:id="361" w:name="_Toc30653"/>
      <w:bookmarkStart w:id="362" w:name="_Toc6326"/>
      <w:bookmarkStart w:id="363" w:name="_Toc27865"/>
      <w:r>
        <w:rPr>
          <w:rFonts w:hint="eastAsia" w:ascii="宋体" w:hAnsi="宋体"/>
          <w:b/>
          <w:color w:val="auto"/>
          <w:szCs w:val="21"/>
          <w:highlight w:val="none"/>
        </w:rPr>
        <w:t>七、双方承诺</w:t>
      </w:r>
      <w:bookmarkEnd w:id="361"/>
      <w:bookmarkEnd w:id="362"/>
      <w:bookmarkEnd w:id="363"/>
    </w:p>
    <w:p w14:paraId="19CE6A62">
      <w:pPr>
        <w:ind w:firstLine="475" w:firstLineChars="198"/>
        <w:rPr>
          <w:rFonts w:ascii="宋体" w:hAnsi="宋体"/>
          <w:b/>
          <w:color w:val="auto"/>
          <w:szCs w:val="21"/>
          <w:highlight w:val="none"/>
        </w:rPr>
      </w:pPr>
      <w:bookmarkStart w:id="364" w:name="_Toc18560"/>
      <w:bookmarkStart w:id="365" w:name="_Toc31948"/>
      <w:bookmarkStart w:id="366" w:name="_Toc23671"/>
      <w:r>
        <w:rPr>
          <w:rFonts w:hint="eastAsia" w:ascii="宋体" w:hAnsi="宋体"/>
          <w:color w:val="auto"/>
          <w:szCs w:val="21"/>
          <w:highlight w:val="none"/>
        </w:rPr>
        <w:t>1. 监理人向委托人承诺，按照本合同约定</w:t>
      </w:r>
      <w:r>
        <w:rPr>
          <w:rFonts w:hint="eastAsia" w:ascii="宋体" w:hAnsi="宋体"/>
          <w:color w:val="auto"/>
          <w:kern w:val="0"/>
          <w:szCs w:val="21"/>
          <w:highlight w:val="none"/>
        </w:rPr>
        <w:t>提供</w:t>
      </w:r>
      <w:r>
        <w:rPr>
          <w:rFonts w:hint="eastAsia" w:ascii="宋体" w:hAnsi="宋体"/>
          <w:color w:val="auto"/>
          <w:szCs w:val="21"/>
          <w:highlight w:val="none"/>
        </w:rPr>
        <w:t>监理与相关服务。</w:t>
      </w:r>
      <w:bookmarkEnd w:id="364"/>
      <w:bookmarkEnd w:id="365"/>
      <w:bookmarkEnd w:id="366"/>
    </w:p>
    <w:p w14:paraId="0E8E47A1">
      <w:pPr>
        <w:ind w:firstLine="475" w:firstLineChars="198"/>
        <w:rPr>
          <w:rFonts w:ascii="宋体" w:hAnsi="宋体"/>
          <w:color w:val="auto"/>
          <w:szCs w:val="21"/>
          <w:highlight w:val="none"/>
        </w:rPr>
      </w:pPr>
      <w:bookmarkStart w:id="367" w:name="_Toc30497"/>
      <w:bookmarkStart w:id="368" w:name="_Toc9483"/>
      <w:bookmarkStart w:id="369" w:name="_Toc10286"/>
      <w:r>
        <w:rPr>
          <w:rFonts w:hint="eastAsia" w:ascii="宋体" w:hAnsi="宋体"/>
          <w:color w:val="auto"/>
          <w:szCs w:val="21"/>
          <w:highlight w:val="none"/>
        </w:rPr>
        <w:t>2. 委托人向监理人承诺，按照本合同约定派遣相应的人员，提供</w:t>
      </w:r>
      <w:r>
        <w:rPr>
          <w:rFonts w:hint="eastAsia" w:ascii="宋体" w:hAnsi="宋体"/>
          <w:bCs/>
          <w:color w:val="auto"/>
          <w:szCs w:val="21"/>
          <w:highlight w:val="none"/>
        </w:rPr>
        <w:t>房屋、资料</w:t>
      </w:r>
      <w:r>
        <w:rPr>
          <w:rFonts w:hint="eastAsia" w:ascii="宋体" w:hAnsi="宋体"/>
          <w:color w:val="auto"/>
          <w:szCs w:val="21"/>
          <w:highlight w:val="none"/>
        </w:rPr>
        <w:t>、设备，并按本合同约定支付酬金。</w:t>
      </w:r>
      <w:bookmarkEnd w:id="367"/>
      <w:bookmarkEnd w:id="368"/>
      <w:bookmarkEnd w:id="369"/>
    </w:p>
    <w:p w14:paraId="05714642">
      <w:pPr>
        <w:ind w:firstLine="477" w:firstLineChars="198"/>
        <w:rPr>
          <w:rFonts w:ascii="宋体" w:hAnsi="宋体"/>
          <w:b/>
          <w:color w:val="auto"/>
          <w:szCs w:val="21"/>
          <w:highlight w:val="none"/>
        </w:rPr>
      </w:pPr>
      <w:bookmarkStart w:id="370" w:name="_Toc6177"/>
      <w:bookmarkStart w:id="371" w:name="_Toc324"/>
      <w:bookmarkStart w:id="372" w:name="_Toc27594"/>
      <w:r>
        <w:rPr>
          <w:rFonts w:hint="eastAsia" w:ascii="宋体" w:hAnsi="宋体"/>
          <w:b/>
          <w:color w:val="auto"/>
          <w:szCs w:val="21"/>
          <w:highlight w:val="none"/>
        </w:rPr>
        <w:t>八、合同订立</w:t>
      </w:r>
      <w:bookmarkEnd w:id="370"/>
      <w:bookmarkEnd w:id="371"/>
      <w:bookmarkEnd w:id="372"/>
    </w:p>
    <w:p w14:paraId="7D87B86C">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1. 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A43A48A">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2. 订立地点：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8F0E0F">
      <w:pPr>
        <w:adjustRightInd w:val="0"/>
        <w:snapToGrid w:val="0"/>
        <w:ind w:firstLine="480"/>
        <w:rPr>
          <w:rFonts w:hint="eastAsia" w:ascii="宋体" w:hAnsi="宋体"/>
          <w:color w:val="auto"/>
          <w:szCs w:val="21"/>
          <w:highlight w:val="none"/>
        </w:rPr>
      </w:pPr>
      <w:r>
        <w:rPr>
          <w:rFonts w:hint="eastAsia" w:ascii="宋体" w:hAnsi="宋体"/>
          <w:color w:val="auto"/>
          <w:szCs w:val="21"/>
          <w:highlight w:val="none"/>
        </w:rPr>
        <w:t>3. 本合同一式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八</w:t>
      </w:r>
      <w:r>
        <w:rPr>
          <w:rFonts w:hint="eastAsia" w:ascii="宋体" w:hAnsi="宋体"/>
          <w:color w:val="auto"/>
          <w:szCs w:val="21"/>
          <w:highlight w:val="none"/>
          <w:u w:val="single"/>
        </w:rPr>
        <w:t xml:space="preserve"> </w:t>
      </w:r>
      <w:r>
        <w:rPr>
          <w:rFonts w:hint="eastAsia" w:ascii="宋体" w:hAnsi="宋体"/>
          <w:color w:val="auto"/>
          <w:szCs w:val="21"/>
          <w:highlight w:val="none"/>
        </w:rPr>
        <w:t>份，具有同等法律效力，双方各执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四</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14:paraId="64E3AF00">
      <w:pPr>
        <w:bidi w:val="0"/>
        <w:ind w:left="0" w:leftChars="0" w:firstLine="0" w:firstLineChars="0"/>
        <w:jc w:val="center"/>
        <w:rPr>
          <w:rFonts w:hint="eastAsia"/>
          <w:color w:val="auto"/>
          <w:highlight w:val="none"/>
        </w:rPr>
      </w:pPr>
    </w:p>
    <w:p w14:paraId="34ABE590">
      <w:pPr>
        <w:bidi w:val="0"/>
        <w:ind w:left="0" w:leftChars="0" w:firstLine="0" w:firstLineChars="0"/>
        <w:jc w:val="center"/>
        <w:rPr>
          <w:rFonts w:hint="eastAsia"/>
          <w:color w:val="auto"/>
          <w:highlight w:val="none"/>
        </w:rPr>
      </w:pPr>
    </w:p>
    <w:p w14:paraId="407FB48E">
      <w:pPr>
        <w:bidi w:val="0"/>
        <w:ind w:left="0" w:leftChars="0" w:firstLine="0" w:firstLineChars="0"/>
        <w:jc w:val="center"/>
        <w:rPr>
          <w:color w:val="auto"/>
          <w:highlight w:val="none"/>
        </w:rPr>
      </w:pPr>
    </w:p>
    <w:p w14:paraId="5B8BB947">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委托人：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（盖章）</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监理人：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（盖章）</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AB37F83">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住所</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住所：</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F19BA14">
      <w:pPr>
        <w:adjustRightInd w:val="0"/>
        <w:snapToGrid w:val="0"/>
        <w:ind w:firstLine="48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1327562">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 xml:space="preserve">法定代表人或其授权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法定代表人或其授权</w:t>
      </w:r>
    </w:p>
    <w:p w14:paraId="012A2F79">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的代理人：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（签字）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的代理人：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（签字）    </w:t>
      </w:r>
    </w:p>
    <w:p w14:paraId="3CC854A7">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2EDD29B">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4A9094F">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D6828B2">
      <w:pPr>
        <w:adjustRightInd w:val="0"/>
        <w:snapToGrid w:val="0"/>
        <w:ind w:firstLine="475" w:firstLineChars="198"/>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B5FC732">
      <w:pPr>
        <w:ind w:firstLine="480"/>
        <w:rPr>
          <w:rFonts w:eastAsia="黑体"/>
          <w:b/>
          <w:color w:val="auto"/>
          <w:sz w:val="32"/>
          <w:szCs w:val="20"/>
          <w:highlight w:val="non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C7A2C04">
      <w:pPr>
        <w:pStyle w:val="6"/>
        <w:spacing w:before="240" w:after="240" w:line="413" w:lineRule="auto"/>
        <w:ind w:firstLine="640"/>
        <w:jc w:val="center"/>
        <w:rPr>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373" w:name="_Toc23941"/>
      <w:bookmarkStart w:id="374" w:name="_Toc24329"/>
      <w:bookmarkStart w:id="375" w:name="_Toc32619"/>
      <w:bookmarkStart w:id="376" w:name="_Toc3405"/>
    </w:p>
    <w:p w14:paraId="2E00016E">
      <w:pPr>
        <w:pStyle w:val="6"/>
        <w:spacing w:before="240" w:after="240" w:line="413" w:lineRule="auto"/>
        <w:ind w:firstLine="640"/>
        <w:jc w:val="center"/>
        <w:rPr>
          <w:color w:val="auto"/>
          <w:highlight w:val="none"/>
        </w:rPr>
      </w:pPr>
      <w:r>
        <w:rPr>
          <w:color w:val="auto"/>
          <w:highlight w:val="none"/>
        </w:rPr>
        <w:t>第</w:t>
      </w:r>
      <w:r>
        <w:rPr>
          <w:rFonts w:hint="eastAsia"/>
          <w:color w:val="auto"/>
          <w:highlight w:val="none"/>
        </w:rPr>
        <w:t>二</w:t>
      </w:r>
      <w:r>
        <w:rPr>
          <w:color w:val="auto"/>
          <w:highlight w:val="none"/>
        </w:rPr>
        <w:t>节</w:t>
      </w:r>
      <w:r>
        <w:rPr>
          <w:rFonts w:hint="eastAsia"/>
          <w:color w:val="auto"/>
          <w:highlight w:val="none"/>
        </w:rPr>
        <w:t xml:space="preserve"> </w:t>
      </w:r>
      <w:r>
        <w:rPr>
          <w:color w:val="auto"/>
          <w:highlight w:val="none"/>
        </w:rPr>
        <w:t>通用合同条款</w:t>
      </w:r>
      <w:bookmarkEnd w:id="373"/>
      <w:bookmarkEnd w:id="374"/>
      <w:bookmarkEnd w:id="375"/>
      <w:bookmarkEnd w:id="376"/>
    </w:p>
    <w:p w14:paraId="215C012E">
      <w:pPr>
        <w:ind w:firstLine="482"/>
        <w:rPr>
          <w:rFonts w:hint="eastAsia"/>
          <w:color w:val="auto"/>
          <w:highlight w:val="none"/>
        </w:rPr>
      </w:pPr>
      <w:r>
        <w:rPr>
          <w:rFonts w:hint="eastAsia"/>
          <w:b/>
          <w:bCs/>
          <w:color w:val="auto"/>
          <w:highlight w:val="none"/>
        </w:rPr>
        <w:t>采用</w:t>
      </w:r>
      <w:r>
        <w:rPr>
          <w:b/>
          <w:bCs/>
          <w:color w:val="auto"/>
          <w:highlight w:val="none"/>
        </w:rPr>
        <w:t>《建设工程监理合同（示范文本）》（GF-2012-0202）</w:t>
      </w:r>
      <w:r>
        <w:rPr>
          <w:rFonts w:hint="eastAsia"/>
          <w:b/>
          <w:bCs/>
          <w:color w:val="auto"/>
          <w:highlight w:val="none"/>
        </w:rPr>
        <w:t>中通用合同条款。上述资料由投标人自行准备</w:t>
      </w:r>
    </w:p>
    <w:p w14:paraId="65CA7EC1">
      <w:pPr>
        <w:pStyle w:val="6"/>
        <w:spacing w:before="240" w:after="240"/>
        <w:ind w:firstLine="640"/>
        <w:jc w:val="center"/>
        <w:rPr>
          <w:color w:val="auto"/>
          <w:highlight w:val="none"/>
        </w:rPr>
      </w:pPr>
      <w:r>
        <w:rPr>
          <w:color w:val="auto"/>
          <w:highlight w:val="none"/>
        </w:rPr>
        <w:br w:type="page"/>
      </w:r>
      <w:bookmarkStart w:id="377" w:name="_Toc27343"/>
      <w:bookmarkStart w:id="378" w:name="_Toc29160"/>
      <w:bookmarkStart w:id="379" w:name="_Toc32166"/>
      <w:bookmarkStart w:id="380" w:name="_Toc14300"/>
      <w:bookmarkStart w:id="381" w:name="_Toc144974826"/>
      <w:bookmarkStart w:id="382" w:name="_Toc152045767"/>
      <w:bookmarkStart w:id="383" w:name="_Toc179632785"/>
      <w:bookmarkStart w:id="384" w:name="_Toc152042546"/>
      <w:bookmarkStart w:id="385" w:name="_Toc247527798"/>
      <w:bookmarkStart w:id="386" w:name="_Toc247514197"/>
      <w:bookmarkStart w:id="387" w:name="_Toc152045610"/>
      <w:bookmarkStart w:id="388" w:name="_Toc152042388"/>
      <w:bookmarkStart w:id="389" w:name="_Toc300835199"/>
      <w:bookmarkStart w:id="390" w:name="_Toc144974578"/>
      <w:bookmarkStart w:id="391" w:name="_Toc184635122"/>
      <w:r>
        <w:rPr>
          <w:rStyle w:val="56"/>
          <w:color w:val="auto"/>
          <w:highlight w:val="none"/>
        </w:rPr>
        <w:t>第</w:t>
      </w:r>
      <w:r>
        <w:rPr>
          <w:rStyle w:val="56"/>
          <w:rFonts w:hint="eastAsia"/>
          <w:color w:val="auto"/>
          <w:highlight w:val="none"/>
        </w:rPr>
        <w:t>三</w:t>
      </w:r>
      <w:r>
        <w:rPr>
          <w:rStyle w:val="56"/>
          <w:color w:val="auto"/>
          <w:highlight w:val="none"/>
        </w:rPr>
        <w:t>节</w:t>
      </w:r>
      <w:r>
        <w:rPr>
          <w:rStyle w:val="56"/>
          <w:rFonts w:hint="eastAsia"/>
          <w:color w:val="auto"/>
          <w:highlight w:val="none"/>
        </w:rPr>
        <w:t xml:space="preserve"> </w:t>
      </w:r>
      <w:r>
        <w:rPr>
          <w:rStyle w:val="56"/>
          <w:color w:val="auto"/>
          <w:highlight w:val="none"/>
        </w:rPr>
        <w:t>专用合同条款</w:t>
      </w:r>
      <w:bookmarkEnd w:id="377"/>
      <w:bookmarkEnd w:id="378"/>
      <w:bookmarkEnd w:id="379"/>
      <w:bookmarkEnd w:id="380"/>
    </w:p>
    <w:p w14:paraId="02A93B5D">
      <w:pPr>
        <w:pStyle w:val="7"/>
        <w:spacing w:before="240" w:after="240"/>
        <w:ind w:firstLine="118"/>
        <w:jc w:val="center"/>
        <w:rPr>
          <w:color w:val="auto"/>
          <w:highlight w:val="none"/>
        </w:rPr>
      </w:pPr>
      <w:bookmarkStart w:id="392" w:name="_Toc9766"/>
      <w:bookmarkEnd w:id="392"/>
      <w:bookmarkStart w:id="393" w:name="_Toc246996319"/>
      <w:bookmarkEnd w:id="393"/>
      <w:bookmarkStart w:id="394" w:name="_Toc296602565"/>
      <w:bookmarkEnd w:id="394"/>
      <w:bookmarkStart w:id="395" w:name="_Toc369531675"/>
      <w:bookmarkEnd w:id="395"/>
      <w:bookmarkStart w:id="396" w:name="_Toc29298"/>
      <w:bookmarkEnd w:id="396"/>
      <w:bookmarkStart w:id="397" w:name="_Toc184635117"/>
      <w:bookmarkEnd w:id="397"/>
      <w:bookmarkStart w:id="398" w:name="_Toc369531676"/>
      <w:bookmarkEnd w:id="398"/>
      <w:bookmarkStart w:id="399" w:name="_Toc246997062"/>
      <w:bookmarkEnd w:id="399"/>
      <w:bookmarkStart w:id="400" w:name="_Toc247085834"/>
      <w:bookmarkEnd w:id="400"/>
      <w:r>
        <w:rPr>
          <w:color w:val="auto"/>
          <w:highlight w:val="none"/>
        </w:rPr>
        <w:t>专用合同条款数据表</w:t>
      </w:r>
    </w:p>
    <w:p w14:paraId="02F70BC3">
      <w:pPr>
        <w:ind w:firstLine="482" w:firstLineChars="200"/>
        <w:rPr>
          <w:color w:val="auto"/>
          <w:highlight w:val="none"/>
        </w:rPr>
      </w:pPr>
      <w:r>
        <w:rPr>
          <w:b/>
          <w:bCs/>
          <w:color w:val="auto"/>
          <w:highlight w:val="none"/>
        </w:rPr>
        <w:t>说明：</w:t>
      </w:r>
      <w:r>
        <w:rPr>
          <w:color w:val="auto"/>
          <w:highlight w:val="none"/>
        </w:rPr>
        <w:t>本数据表是项目专用合同条款中适用于本项目的信息和数据的归纳与提示，是项目专用合同条款的组成部分。</w:t>
      </w:r>
    </w:p>
    <w:tbl>
      <w:tblPr>
        <w:tblStyle w:val="44"/>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79"/>
        <w:gridCol w:w="7436"/>
      </w:tblGrid>
      <w:tr w14:paraId="531D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9" w:type="dxa"/>
            <w:noWrap w:val="0"/>
            <w:vAlign w:val="center"/>
          </w:tcPr>
          <w:p w14:paraId="73499A60">
            <w:pPr>
              <w:snapToGrid w:val="0"/>
              <w:spacing w:before="100" w:beforeAutospacing="1"/>
              <w:ind w:right="-120" w:rightChars="-50" w:firstLine="0" w:firstLineChars="0"/>
              <w:rPr>
                <w:b/>
                <w:color w:val="auto"/>
                <w:szCs w:val="21"/>
                <w:highlight w:val="none"/>
              </w:rPr>
            </w:pPr>
            <w:r>
              <w:rPr>
                <w:b/>
                <w:color w:val="auto"/>
                <w:szCs w:val="21"/>
                <w:highlight w:val="none"/>
              </w:rPr>
              <w:t>序号</w:t>
            </w:r>
          </w:p>
        </w:tc>
        <w:tc>
          <w:tcPr>
            <w:tcW w:w="979" w:type="dxa"/>
            <w:noWrap w:val="0"/>
            <w:vAlign w:val="center"/>
          </w:tcPr>
          <w:p w14:paraId="48B24BAA">
            <w:pPr>
              <w:snapToGrid w:val="0"/>
              <w:ind w:right="-120" w:rightChars="-50" w:firstLine="0" w:firstLineChars="0"/>
              <w:rPr>
                <w:b/>
                <w:color w:val="auto"/>
                <w:szCs w:val="21"/>
                <w:highlight w:val="none"/>
              </w:rPr>
            </w:pPr>
            <w:r>
              <w:rPr>
                <w:b/>
                <w:color w:val="auto"/>
                <w:szCs w:val="21"/>
                <w:highlight w:val="none"/>
              </w:rPr>
              <w:t>条目号</w:t>
            </w:r>
          </w:p>
        </w:tc>
        <w:tc>
          <w:tcPr>
            <w:tcW w:w="7436" w:type="dxa"/>
            <w:noWrap w:val="0"/>
            <w:vAlign w:val="center"/>
          </w:tcPr>
          <w:p w14:paraId="68B1F93E">
            <w:pPr>
              <w:snapToGrid w:val="0"/>
              <w:ind w:firstLine="482"/>
              <w:jc w:val="center"/>
              <w:rPr>
                <w:b/>
                <w:color w:val="auto"/>
                <w:szCs w:val="21"/>
                <w:highlight w:val="none"/>
              </w:rPr>
            </w:pPr>
            <w:r>
              <w:rPr>
                <w:b/>
                <w:color w:val="auto"/>
                <w:szCs w:val="21"/>
                <w:highlight w:val="none"/>
              </w:rPr>
              <w:t>信息或数据</w:t>
            </w:r>
          </w:p>
        </w:tc>
      </w:tr>
      <w:tr w14:paraId="3008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03C889BA">
            <w:pPr>
              <w:snapToGrid w:val="0"/>
              <w:ind w:firstLine="0" w:firstLineChars="0"/>
              <w:jc w:val="center"/>
              <w:rPr>
                <w:color w:val="auto"/>
                <w:szCs w:val="21"/>
                <w:highlight w:val="none"/>
              </w:rPr>
            </w:pPr>
            <w:r>
              <w:rPr>
                <w:color w:val="auto"/>
                <w:szCs w:val="21"/>
                <w:highlight w:val="none"/>
              </w:rPr>
              <w:t>1</w:t>
            </w:r>
          </w:p>
        </w:tc>
        <w:tc>
          <w:tcPr>
            <w:tcW w:w="979" w:type="dxa"/>
            <w:noWrap w:val="0"/>
            <w:vAlign w:val="center"/>
          </w:tcPr>
          <w:p w14:paraId="6960E89B">
            <w:pPr>
              <w:snapToGrid w:val="0"/>
              <w:ind w:firstLine="0" w:firstLineChars="0"/>
              <w:jc w:val="center"/>
              <w:rPr>
                <w:color w:val="auto"/>
                <w:szCs w:val="21"/>
                <w:highlight w:val="none"/>
              </w:rPr>
            </w:pPr>
            <w:r>
              <w:rPr>
                <w:color w:val="auto"/>
                <w:szCs w:val="21"/>
                <w:highlight w:val="none"/>
              </w:rPr>
              <w:t>2.1</w:t>
            </w:r>
          </w:p>
        </w:tc>
        <w:tc>
          <w:tcPr>
            <w:tcW w:w="7436" w:type="dxa"/>
            <w:noWrap w:val="0"/>
            <w:vAlign w:val="center"/>
          </w:tcPr>
          <w:p w14:paraId="4D253EE8">
            <w:pPr>
              <w:adjustRightInd w:val="0"/>
              <w:snapToGrid w:val="0"/>
              <w:ind w:firstLine="0" w:firstLineChars="0"/>
              <w:rPr>
                <w:rFonts w:hint="eastAsia" w:ascii="宋体" w:hAnsi="宋体"/>
                <w:bCs/>
                <w:color w:val="auto"/>
                <w:szCs w:val="21"/>
                <w:highlight w:val="none"/>
              </w:rPr>
            </w:pPr>
            <w:r>
              <w:rPr>
                <w:rFonts w:hint="eastAsia" w:ascii="宋体" w:hAnsi="宋体"/>
                <w:color w:val="auto"/>
                <w:szCs w:val="21"/>
                <w:highlight w:val="none"/>
              </w:rPr>
              <w:t>监理的范围和</w:t>
            </w:r>
            <w:r>
              <w:rPr>
                <w:rFonts w:hint="eastAsia" w:ascii="宋体" w:hAnsi="宋体"/>
                <w:bCs/>
                <w:color w:val="auto"/>
                <w:szCs w:val="21"/>
                <w:highlight w:val="none"/>
              </w:rPr>
              <w:t>内容</w:t>
            </w:r>
          </w:p>
          <w:p w14:paraId="555ADC02">
            <w:pPr>
              <w:adjustRightInd w:val="0"/>
              <w:snapToGrid w:val="0"/>
              <w:ind w:firstLine="0" w:firstLineChars="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2.1.1 监理范围包括：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本合同涵盖的项目建设工程监理</w:t>
            </w:r>
            <w:r>
              <w:rPr>
                <w:rFonts w:hint="eastAsia" w:ascii="宋体" w:hAnsi="宋体"/>
                <w:color w:val="auto"/>
                <w:szCs w:val="21"/>
                <w:highlight w:val="none"/>
                <w:u w:val="single"/>
                <w:lang w:val="en-US" w:eastAsia="zh-CN"/>
              </w:rPr>
              <w:t xml:space="preserve"> </w:t>
            </w:r>
          </w:p>
          <w:p w14:paraId="23E49826">
            <w:pPr>
              <w:adjustRightInd w:val="0"/>
              <w:snapToGrid w:val="0"/>
              <w:ind w:firstLine="0" w:firstLineChars="0"/>
              <w:rPr>
                <w:rFonts w:hint="eastAsia"/>
                <w:color w:val="auto"/>
                <w:szCs w:val="21"/>
                <w:highlight w:val="none"/>
              </w:rPr>
            </w:pPr>
            <w:r>
              <w:rPr>
                <w:rFonts w:hint="eastAsia" w:ascii="宋体" w:hAnsi="宋体"/>
                <w:color w:val="auto"/>
                <w:szCs w:val="21"/>
                <w:highlight w:val="none"/>
              </w:rPr>
              <w:t>2.1.2 监理工作内容还包括：</w:t>
            </w:r>
            <w:r>
              <w:rPr>
                <w:rFonts w:hint="eastAsia" w:ascii="宋体" w:hAnsi="宋体"/>
                <w:color w:val="auto"/>
                <w:szCs w:val="21"/>
                <w:highlight w:val="none"/>
                <w:u w:val="single"/>
              </w:rPr>
              <w:t xml:space="preserve"> 见“委托人要求” </w:t>
            </w:r>
          </w:p>
        </w:tc>
      </w:tr>
      <w:tr w14:paraId="31B2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79EFC9A3">
            <w:pPr>
              <w:snapToGrid w:val="0"/>
              <w:ind w:firstLine="0" w:firstLineChars="0"/>
              <w:jc w:val="center"/>
              <w:rPr>
                <w:color w:val="auto"/>
                <w:szCs w:val="21"/>
                <w:highlight w:val="none"/>
              </w:rPr>
            </w:pPr>
            <w:r>
              <w:rPr>
                <w:color w:val="auto"/>
                <w:szCs w:val="21"/>
                <w:highlight w:val="none"/>
              </w:rPr>
              <w:t>2</w:t>
            </w:r>
          </w:p>
        </w:tc>
        <w:tc>
          <w:tcPr>
            <w:tcW w:w="979" w:type="dxa"/>
            <w:noWrap w:val="0"/>
            <w:vAlign w:val="center"/>
          </w:tcPr>
          <w:p w14:paraId="60A8C4B7">
            <w:pPr>
              <w:snapToGrid w:val="0"/>
              <w:ind w:firstLine="0" w:firstLineChars="0"/>
              <w:jc w:val="center"/>
              <w:rPr>
                <w:color w:val="auto"/>
                <w:szCs w:val="21"/>
                <w:highlight w:val="none"/>
              </w:rPr>
            </w:pPr>
            <w:r>
              <w:rPr>
                <w:color w:val="auto"/>
                <w:szCs w:val="21"/>
                <w:highlight w:val="none"/>
              </w:rPr>
              <w:t>2.2</w:t>
            </w:r>
          </w:p>
        </w:tc>
        <w:tc>
          <w:tcPr>
            <w:tcW w:w="7436" w:type="dxa"/>
            <w:noWrap w:val="0"/>
            <w:vAlign w:val="center"/>
          </w:tcPr>
          <w:p w14:paraId="7B0E530E">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监理与相关服务依据</w:t>
            </w:r>
          </w:p>
          <w:p w14:paraId="7BBBA587">
            <w:pPr>
              <w:adjustRightInd w:val="0"/>
              <w:snapToGrid w:val="0"/>
              <w:ind w:firstLine="0" w:firstLineChars="0"/>
              <w:rPr>
                <w:rFonts w:ascii="宋体" w:hAnsi="宋体"/>
                <w:color w:val="auto"/>
                <w:szCs w:val="21"/>
                <w:highlight w:val="none"/>
                <w:u w:val="single"/>
              </w:rPr>
            </w:pPr>
            <w:r>
              <w:rPr>
                <w:rFonts w:hint="eastAsia" w:ascii="宋体" w:hAnsi="宋体"/>
                <w:color w:val="auto"/>
                <w:szCs w:val="21"/>
                <w:highlight w:val="none"/>
              </w:rPr>
              <w:t>2.2.1 监理依据包括：</w:t>
            </w:r>
          </w:p>
          <w:p w14:paraId="3E3813B5">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1、《中华人民共和国民法典》；</w:t>
            </w:r>
          </w:p>
          <w:p w14:paraId="3EA47206">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2、《中华人民共和国建筑法》；</w:t>
            </w:r>
          </w:p>
          <w:p w14:paraId="04F45F26">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3、《建设工程质量管理条例》；</w:t>
            </w:r>
          </w:p>
          <w:p w14:paraId="74A977A5">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4、《建设工程安全生产</w:t>
            </w:r>
            <w:r>
              <w:rPr>
                <w:rFonts w:hint="eastAsia" w:ascii="宋体" w:hAnsi="宋体"/>
                <w:color w:val="auto"/>
                <w:szCs w:val="21"/>
                <w:highlight w:val="none"/>
                <w:lang w:val="en-US" w:eastAsia="zh-CN"/>
              </w:rPr>
              <w:t>管理条例</w:t>
            </w:r>
            <w:r>
              <w:rPr>
                <w:rFonts w:hint="eastAsia" w:ascii="宋体" w:hAnsi="宋体"/>
                <w:color w:val="auto"/>
                <w:szCs w:val="21"/>
                <w:highlight w:val="none"/>
              </w:rPr>
              <w:t>》；</w:t>
            </w:r>
          </w:p>
          <w:p w14:paraId="0ED74B52">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《建设工程监理规范》；</w:t>
            </w:r>
          </w:p>
          <w:p w14:paraId="5A46A088">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6、国家、安徽省、合肥市现行有关法规、规章、建设技术规范、标准；</w:t>
            </w:r>
          </w:p>
          <w:p w14:paraId="7731FACE">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7、本工程施工合同、委托监理合同、设计图纸（含图纸会审、纪要、设计变更）、地质勘察报告及相关技术资料。</w:t>
            </w:r>
          </w:p>
          <w:p w14:paraId="6384E833">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8、国家有关工程设计、工程施工规范、规程及质量验收评定标准等。</w:t>
            </w:r>
          </w:p>
          <w:p w14:paraId="4C6CC2E8">
            <w:pPr>
              <w:adjustRightInd w:val="0"/>
              <w:snapToGrid w:val="0"/>
              <w:ind w:firstLine="0" w:firstLineChars="0"/>
              <w:rPr>
                <w:rFonts w:hint="eastAsia" w:ascii="宋体" w:hAnsi="宋体"/>
                <w:color w:val="auto"/>
                <w:kern w:val="0"/>
                <w:szCs w:val="21"/>
                <w:highlight w:val="none"/>
              </w:rPr>
            </w:pPr>
            <w:r>
              <w:rPr>
                <w:rFonts w:hint="eastAsia" w:ascii="宋体" w:hAnsi="宋体"/>
                <w:color w:val="auto"/>
                <w:szCs w:val="21"/>
                <w:highlight w:val="none"/>
              </w:rPr>
              <w:t>2.2.2 相关服务依据包括：招标文件（含招标答疑）、合同、补充协议（或合同）等</w:t>
            </w:r>
          </w:p>
        </w:tc>
      </w:tr>
      <w:tr w14:paraId="4D72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noWrap w:val="0"/>
            <w:vAlign w:val="center"/>
          </w:tcPr>
          <w:p w14:paraId="6E8AFF66">
            <w:pPr>
              <w:snapToGrid w:val="0"/>
              <w:ind w:firstLine="0" w:firstLineChars="0"/>
              <w:jc w:val="center"/>
              <w:rPr>
                <w:color w:val="auto"/>
                <w:szCs w:val="21"/>
                <w:highlight w:val="none"/>
              </w:rPr>
            </w:pPr>
            <w:r>
              <w:rPr>
                <w:color w:val="auto"/>
                <w:szCs w:val="21"/>
                <w:highlight w:val="none"/>
              </w:rPr>
              <w:t>3</w:t>
            </w:r>
          </w:p>
        </w:tc>
        <w:tc>
          <w:tcPr>
            <w:tcW w:w="979" w:type="dxa"/>
            <w:noWrap w:val="0"/>
            <w:vAlign w:val="center"/>
          </w:tcPr>
          <w:p w14:paraId="785CBEFA">
            <w:pPr>
              <w:snapToGrid w:val="0"/>
              <w:ind w:firstLine="0" w:firstLineChars="0"/>
              <w:jc w:val="center"/>
              <w:rPr>
                <w:color w:val="auto"/>
                <w:szCs w:val="21"/>
                <w:highlight w:val="none"/>
              </w:rPr>
            </w:pPr>
            <w:r>
              <w:rPr>
                <w:color w:val="auto"/>
                <w:szCs w:val="21"/>
                <w:highlight w:val="none"/>
              </w:rPr>
              <w:t>2.3</w:t>
            </w:r>
          </w:p>
        </w:tc>
        <w:tc>
          <w:tcPr>
            <w:tcW w:w="7436" w:type="dxa"/>
            <w:noWrap w:val="0"/>
            <w:vAlign w:val="center"/>
          </w:tcPr>
          <w:p w14:paraId="12825C6A">
            <w:pPr>
              <w:adjustRightInd w:val="0"/>
              <w:snapToGrid w:val="0"/>
              <w:ind w:firstLine="0" w:firstLineChars="0"/>
              <w:rPr>
                <w:rFonts w:ascii="宋体" w:hAnsi="宋体"/>
                <w:color w:val="auto"/>
                <w:szCs w:val="21"/>
                <w:highlight w:val="none"/>
              </w:rPr>
            </w:pPr>
            <w:r>
              <w:rPr>
                <w:rFonts w:hint="eastAsia" w:ascii="宋体" w:hAnsi="宋体" w:cs="宋体"/>
                <w:color w:val="auto"/>
                <w:kern w:val="0"/>
                <w:szCs w:val="21"/>
                <w:highlight w:val="none"/>
              </w:rPr>
              <w:t>项目监理机构和人员</w:t>
            </w:r>
          </w:p>
          <w:p w14:paraId="5280C45F">
            <w:pPr>
              <w:adjustRightInd w:val="0"/>
              <w:snapToGrid w:val="0"/>
              <w:ind w:firstLine="0" w:firstLineChars="0"/>
              <w:rPr>
                <w:rFonts w:hint="eastAsia" w:ascii="宋体" w:hAnsi="宋体"/>
                <w:color w:val="auto"/>
                <w:kern w:val="0"/>
                <w:szCs w:val="21"/>
                <w:highlight w:val="none"/>
              </w:rPr>
            </w:pPr>
            <w:r>
              <w:rPr>
                <w:rFonts w:hint="eastAsia" w:ascii="宋体" w:hAnsi="宋体"/>
                <w:szCs w:val="21"/>
                <w:highlight w:val="none"/>
              </w:rPr>
              <w:t xml:space="preserve">2.3.4 </w:t>
            </w:r>
            <w:r>
              <w:rPr>
                <w:rFonts w:hint="eastAsia" w:ascii="宋体" w:hAnsi="宋体"/>
                <w:kern w:val="0"/>
                <w:szCs w:val="21"/>
                <w:highlight w:val="none"/>
              </w:rPr>
              <w:t>更换监理人员的其他情形：</w:t>
            </w:r>
            <w:r>
              <w:rPr>
                <w:rFonts w:hint="eastAsia" w:ascii="宋体" w:hAnsi="宋体"/>
                <w:szCs w:val="21"/>
                <w:highlight w:val="none"/>
                <w:u w:val="single"/>
              </w:rPr>
              <w:t xml:space="preserve">      </w:t>
            </w:r>
            <w:r>
              <w:rPr>
                <w:rFonts w:hint="eastAsia" w:ascii="宋体" w:hAnsi="宋体"/>
                <w:kern w:val="0"/>
                <w:szCs w:val="21"/>
                <w:highlight w:val="none"/>
              </w:rPr>
              <w:t>。</w:t>
            </w:r>
          </w:p>
        </w:tc>
      </w:tr>
      <w:tr w14:paraId="6F5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66171213">
            <w:pPr>
              <w:snapToGrid w:val="0"/>
              <w:ind w:firstLine="0" w:firstLineChars="0"/>
              <w:jc w:val="center"/>
              <w:rPr>
                <w:color w:val="auto"/>
                <w:szCs w:val="21"/>
                <w:highlight w:val="none"/>
              </w:rPr>
            </w:pPr>
            <w:r>
              <w:rPr>
                <w:color w:val="auto"/>
                <w:szCs w:val="21"/>
                <w:highlight w:val="none"/>
              </w:rPr>
              <w:t>4</w:t>
            </w:r>
          </w:p>
        </w:tc>
        <w:tc>
          <w:tcPr>
            <w:tcW w:w="979" w:type="dxa"/>
            <w:noWrap w:val="0"/>
            <w:vAlign w:val="center"/>
          </w:tcPr>
          <w:p w14:paraId="6A320DAA">
            <w:pPr>
              <w:snapToGrid w:val="0"/>
              <w:ind w:firstLine="0" w:firstLineChars="0"/>
              <w:jc w:val="center"/>
              <w:rPr>
                <w:color w:val="auto"/>
                <w:szCs w:val="21"/>
                <w:highlight w:val="none"/>
              </w:rPr>
            </w:pPr>
            <w:r>
              <w:rPr>
                <w:color w:val="auto"/>
                <w:szCs w:val="21"/>
                <w:highlight w:val="none"/>
              </w:rPr>
              <w:t>2.4</w:t>
            </w:r>
          </w:p>
        </w:tc>
        <w:tc>
          <w:tcPr>
            <w:tcW w:w="7436" w:type="dxa"/>
            <w:noWrap w:val="0"/>
            <w:vAlign w:val="center"/>
          </w:tcPr>
          <w:p w14:paraId="33CF8193">
            <w:pPr>
              <w:adjustRightInd w:val="0"/>
              <w:snapToGrid w:val="0"/>
              <w:ind w:firstLine="0" w:firstLineChars="0"/>
              <w:rPr>
                <w:rFonts w:ascii="宋体" w:hAnsi="宋体"/>
                <w:color w:val="auto"/>
                <w:szCs w:val="21"/>
                <w:highlight w:val="none"/>
              </w:rPr>
            </w:pPr>
            <w:r>
              <w:rPr>
                <w:rFonts w:hint="eastAsia" w:ascii="宋体" w:hAnsi="宋体" w:cs="宋体"/>
                <w:color w:val="auto"/>
                <w:kern w:val="0"/>
                <w:szCs w:val="21"/>
                <w:highlight w:val="none"/>
              </w:rPr>
              <w:t>履行职责</w:t>
            </w:r>
          </w:p>
          <w:p w14:paraId="0A6DF9B5">
            <w:pPr>
              <w:adjustRightInd w:val="0"/>
              <w:snapToGrid w:val="0"/>
              <w:ind w:firstLine="0" w:firstLineChars="0"/>
              <w:rPr>
                <w:rFonts w:ascii="宋体" w:hAnsi="宋体"/>
                <w:color w:val="auto"/>
                <w:szCs w:val="21"/>
                <w:highlight w:val="none"/>
                <w:u w:val="single"/>
              </w:rPr>
            </w:pPr>
            <w:r>
              <w:rPr>
                <w:rFonts w:hint="eastAsia" w:ascii="宋体" w:hAnsi="宋体"/>
                <w:color w:val="auto"/>
                <w:szCs w:val="21"/>
                <w:highlight w:val="none"/>
              </w:rPr>
              <w:t>2.4.3 对监理人的授权范围：</w:t>
            </w:r>
            <w:r>
              <w:rPr>
                <w:rFonts w:hint="eastAsia" w:ascii="宋体" w:hAnsi="宋体"/>
                <w:color w:val="auto"/>
                <w:szCs w:val="21"/>
                <w:highlight w:val="none"/>
                <w:u w:val="single"/>
              </w:rPr>
              <w:t xml:space="preserve"> 对本工程质量、进度、造价进行控制，做好合同、信息管理和组织协调工作，同时还要依据法规、政策，履行建设工程安全生产管理的法定职责。 </w:t>
            </w:r>
          </w:p>
          <w:p w14:paraId="3F8ADD71">
            <w:pPr>
              <w:adjustRightInd w:val="0"/>
              <w:snapToGrid w:val="0"/>
              <w:ind w:firstLine="0" w:firstLineChars="0"/>
              <w:rPr>
                <w:rFonts w:ascii="宋体" w:hAnsi="宋体"/>
                <w:color w:val="auto"/>
                <w:szCs w:val="21"/>
                <w:highlight w:val="none"/>
              </w:rPr>
            </w:pPr>
            <w:bookmarkStart w:id="401" w:name="_Toc31814"/>
            <w:bookmarkStart w:id="402" w:name="_Toc8771"/>
            <w:bookmarkStart w:id="403" w:name="_Toc29646"/>
            <w:r>
              <w:rPr>
                <w:rFonts w:hint="eastAsia" w:ascii="宋体" w:hAnsi="宋体"/>
                <w:color w:val="auto"/>
                <w:szCs w:val="21"/>
                <w:highlight w:val="none"/>
              </w:rPr>
              <w:t>在涉及工程延期</w:t>
            </w:r>
            <w:r>
              <w:rPr>
                <w:rFonts w:hint="eastAsia" w:ascii="宋体" w:hAnsi="宋体"/>
                <w:color w:val="auto"/>
                <w:szCs w:val="21"/>
                <w:highlight w:val="none"/>
                <w:u w:val="single"/>
              </w:rPr>
              <w:t xml:space="preserve">      </w:t>
            </w:r>
            <w:r>
              <w:rPr>
                <w:rFonts w:hint="eastAsia" w:ascii="宋体" w:hAnsi="宋体"/>
                <w:color w:val="auto"/>
                <w:szCs w:val="21"/>
                <w:highlight w:val="none"/>
              </w:rPr>
              <w:t>天内和（或）金额</w:t>
            </w:r>
            <w:r>
              <w:rPr>
                <w:rFonts w:hint="eastAsia" w:ascii="宋体" w:hAnsi="宋体"/>
                <w:color w:val="auto"/>
                <w:szCs w:val="21"/>
                <w:highlight w:val="none"/>
                <w:u w:val="single"/>
              </w:rPr>
              <w:t xml:space="preserve">      </w:t>
            </w:r>
            <w:r>
              <w:rPr>
                <w:rFonts w:hint="eastAsia" w:ascii="宋体" w:hAnsi="宋体"/>
                <w:color w:val="auto"/>
                <w:szCs w:val="21"/>
                <w:highlight w:val="none"/>
              </w:rPr>
              <w:t>万元内的变更，监理人不需请示委托人即可向承包人发布变更通知。</w:t>
            </w:r>
            <w:bookmarkEnd w:id="401"/>
            <w:bookmarkEnd w:id="402"/>
            <w:bookmarkEnd w:id="403"/>
          </w:p>
          <w:p w14:paraId="187FECC8">
            <w:pPr>
              <w:adjustRightInd w:val="0"/>
              <w:snapToGrid w:val="0"/>
              <w:ind w:firstLine="0" w:firstLineChars="0"/>
              <w:rPr>
                <w:rFonts w:hint="eastAsia" w:ascii="宋体" w:hAnsi="宋体"/>
                <w:color w:val="auto"/>
                <w:szCs w:val="21"/>
                <w:highlight w:val="none"/>
              </w:rPr>
            </w:pPr>
            <w:r>
              <w:rPr>
                <w:rFonts w:hint="eastAsia" w:ascii="宋体" w:hAnsi="宋体"/>
                <w:color w:val="auto"/>
                <w:kern w:val="0"/>
                <w:szCs w:val="21"/>
                <w:highlight w:val="none"/>
              </w:rPr>
              <w:t>2.4.4 监理人有权要求承包人调换其人员</w:t>
            </w:r>
            <w:r>
              <w:rPr>
                <w:rFonts w:hint="eastAsia" w:ascii="宋体" w:hAnsi="宋体"/>
                <w:color w:val="auto"/>
                <w:szCs w:val="21"/>
                <w:highlight w:val="none"/>
              </w:rPr>
              <w:t>的限制条件：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166B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5C3A3867">
            <w:pPr>
              <w:snapToGrid w:val="0"/>
              <w:ind w:firstLine="0" w:firstLineChars="0"/>
              <w:jc w:val="center"/>
              <w:rPr>
                <w:color w:val="auto"/>
                <w:szCs w:val="21"/>
                <w:highlight w:val="none"/>
              </w:rPr>
            </w:pPr>
            <w:r>
              <w:rPr>
                <w:color w:val="auto"/>
                <w:szCs w:val="21"/>
                <w:highlight w:val="none"/>
              </w:rPr>
              <w:t>5</w:t>
            </w:r>
          </w:p>
        </w:tc>
        <w:tc>
          <w:tcPr>
            <w:tcW w:w="979" w:type="dxa"/>
            <w:noWrap w:val="0"/>
            <w:vAlign w:val="center"/>
          </w:tcPr>
          <w:p w14:paraId="03053713">
            <w:pPr>
              <w:snapToGrid w:val="0"/>
              <w:ind w:firstLine="0" w:firstLineChars="0"/>
              <w:jc w:val="center"/>
              <w:rPr>
                <w:color w:val="auto"/>
                <w:szCs w:val="21"/>
                <w:highlight w:val="none"/>
              </w:rPr>
            </w:pPr>
            <w:r>
              <w:rPr>
                <w:color w:val="auto"/>
                <w:szCs w:val="21"/>
                <w:highlight w:val="none"/>
              </w:rPr>
              <w:t>3.4</w:t>
            </w:r>
          </w:p>
        </w:tc>
        <w:tc>
          <w:tcPr>
            <w:tcW w:w="7436" w:type="dxa"/>
            <w:noWrap w:val="0"/>
            <w:vAlign w:val="center"/>
          </w:tcPr>
          <w:p w14:paraId="0F588B2B">
            <w:pPr>
              <w:adjustRightInd w:val="0"/>
              <w:snapToGrid w:val="0"/>
              <w:ind w:firstLine="0" w:firstLineChars="0"/>
              <w:rPr>
                <w:rFonts w:hint="eastAsia" w:ascii="宋体" w:hAnsi="宋体"/>
                <w:color w:val="auto"/>
                <w:kern w:val="0"/>
                <w:szCs w:val="21"/>
                <w:highlight w:val="none"/>
              </w:rPr>
            </w:pPr>
            <w:r>
              <w:rPr>
                <w:rFonts w:hint="eastAsia" w:ascii="宋体" w:hAnsi="宋体"/>
                <w:color w:val="auto"/>
                <w:szCs w:val="21"/>
                <w:highlight w:val="none"/>
              </w:rPr>
              <w:t>委托人代表为：</w:t>
            </w:r>
            <w:r>
              <w:rPr>
                <w:rFonts w:hint="eastAsia" w:ascii="宋体" w:hAnsi="宋体"/>
                <w:color w:val="auto"/>
                <w:szCs w:val="21"/>
                <w:highlight w:val="none"/>
                <w:u w:val="single"/>
              </w:rPr>
              <w:t xml:space="preserve">      </w:t>
            </w:r>
          </w:p>
        </w:tc>
      </w:tr>
      <w:tr w14:paraId="6EE4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629" w:type="dxa"/>
            <w:noWrap w:val="0"/>
            <w:vAlign w:val="center"/>
          </w:tcPr>
          <w:p w14:paraId="318EC961">
            <w:pPr>
              <w:snapToGrid w:val="0"/>
              <w:ind w:firstLine="0" w:firstLineChars="0"/>
              <w:jc w:val="center"/>
              <w:rPr>
                <w:color w:val="auto"/>
                <w:szCs w:val="21"/>
                <w:highlight w:val="none"/>
              </w:rPr>
            </w:pPr>
            <w:r>
              <w:rPr>
                <w:color w:val="auto"/>
                <w:szCs w:val="21"/>
                <w:highlight w:val="none"/>
              </w:rPr>
              <w:t>6</w:t>
            </w:r>
          </w:p>
        </w:tc>
        <w:tc>
          <w:tcPr>
            <w:tcW w:w="979" w:type="dxa"/>
            <w:noWrap w:val="0"/>
            <w:vAlign w:val="center"/>
          </w:tcPr>
          <w:p w14:paraId="2EB3FCC5">
            <w:pPr>
              <w:snapToGrid w:val="0"/>
              <w:ind w:firstLine="0" w:firstLineChars="0"/>
              <w:jc w:val="center"/>
              <w:rPr>
                <w:color w:val="auto"/>
                <w:sz w:val="21"/>
                <w:szCs w:val="21"/>
                <w:highlight w:val="none"/>
              </w:rPr>
            </w:pPr>
            <w:r>
              <w:rPr>
                <w:color w:val="auto"/>
                <w:kern w:val="0"/>
                <w:szCs w:val="21"/>
                <w:highlight w:val="none"/>
              </w:rPr>
              <w:t>5.3</w:t>
            </w:r>
          </w:p>
        </w:tc>
        <w:tc>
          <w:tcPr>
            <w:tcW w:w="7436" w:type="dxa"/>
            <w:noWrap w:val="0"/>
            <w:vAlign w:val="center"/>
          </w:tcPr>
          <w:p w14:paraId="75B927B6">
            <w:pPr>
              <w:adjustRightInd w:val="0"/>
              <w:snapToGrid w:val="0"/>
              <w:ind w:firstLine="0" w:firstLineChars="0"/>
              <w:rPr>
                <w:rFonts w:hint="eastAsia" w:ascii="宋体" w:hAnsi="宋体"/>
                <w:color w:val="auto"/>
                <w:kern w:val="0"/>
                <w:szCs w:val="21"/>
                <w:highlight w:val="none"/>
              </w:rPr>
            </w:pPr>
            <w:r>
              <w:rPr>
                <w:rFonts w:hint="eastAsia" w:ascii="宋体" w:hAnsi="宋体"/>
                <w:color w:val="auto"/>
                <w:kern w:val="0"/>
                <w:szCs w:val="21"/>
                <w:highlight w:val="none"/>
              </w:rPr>
              <w:t>支付酬金：</w:t>
            </w:r>
          </w:p>
          <w:p w14:paraId="2E9D82AA">
            <w:pPr>
              <w:adjustRightInd w:val="0"/>
              <w:snapToGrid w:val="0"/>
              <w:ind w:firstLine="0" w:firstLineChars="0"/>
              <w:rPr>
                <w:rFonts w:hint="eastAsia" w:ascii="宋体" w:hAnsi="宋体"/>
                <w:color w:val="auto"/>
                <w:kern w:val="0"/>
                <w:szCs w:val="21"/>
                <w:highlight w:val="none"/>
              </w:rPr>
            </w:pPr>
          </w:p>
          <w:p w14:paraId="13F1E1D5">
            <w:pPr>
              <w:adjustRightInd w:val="0"/>
              <w:snapToGrid w:val="0"/>
              <w:ind w:firstLine="0" w:firstLineChars="0"/>
              <w:rPr>
                <w:rFonts w:hint="eastAsia"/>
                <w:color w:val="auto"/>
                <w:highlight w:val="none"/>
                <w:lang w:eastAsia="zh-CN"/>
              </w:rPr>
            </w:pPr>
          </w:p>
          <w:p w14:paraId="62980B19">
            <w:pPr>
              <w:adjustRightInd w:val="0"/>
              <w:snapToGrid w:val="0"/>
              <w:ind w:firstLine="0" w:firstLineChars="0"/>
              <w:rPr>
                <w:rFonts w:hint="eastAsia" w:ascii="宋体" w:hAnsi="宋体"/>
                <w:color w:val="auto"/>
                <w:szCs w:val="21"/>
                <w:highlight w:val="none"/>
                <w:u w:val="none"/>
              </w:rPr>
            </w:pPr>
            <w:r>
              <w:rPr>
                <w:rFonts w:hint="eastAsia" w:ascii="宋体" w:hAnsi="宋体"/>
                <w:color w:val="auto"/>
                <w:szCs w:val="21"/>
                <w:highlight w:val="none"/>
                <w:u w:val="none"/>
              </w:rPr>
              <w:t xml:space="preserve"> 注：</w:t>
            </w:r>
          </w:p>
          <w:p w14:paraId="1E48C63F">
            <w:pPr>
              <w:adjustRightInd w:val="0"/>
              <w:snapToGrid w:val="0"/>
              <w:ind w:firstLine="0" w:firstLineChars="0"/>
              <w:rPr>
                <w:rFonts w:hint="eastAsia" w:ascii="宋体" w:hAnsi="宋体"/>
                <w:color w:val="auto"/>
                <w:szCs w:val="21"/>
                <w:highlight w:val="none"/>
                <w:u w:val="none"/>
              </w:rPr>
            </w:pPr>
            <w:r>
              <w:rPr>
                <w:rFonts w:hint="eastAsia" w:ascii="宋体" w:hAnsi="宋体"/>
                <w:color w:val="auto"/>
                <w:szCs w:val="21"/>
                <w:highlight w:val="none"/>
                <w:u w:val="none"/>
              </w:rPr>
              <w:t>1、如承包人采用“银行保函或保证保险</w:t>
            </w:r>
            <w:r>
              <w:rPr>
                <w:rFonts w:hint="eastAsia" w:ascii="宋体" w:hAnsi="宋体"/>
                <w:color w:val="auto"/>
                <w:szCs w:val="21"/>
                <w:highlight w:val="none"/>
                <w:u w:val="none"/>
                <w:lang w:val="en-US" w:eastAsia="zh-CN"/>
              </w:rPr>
              <w:t>或电子保函</w:t>
            </w:r>
            <w:r>
              <w:rPr>
                <w:rFonts w:hint="eastAsia" w:ascii="宋体" w:hAnsi="宋体"/>
                <w:color w:val="auto"/>
                <w:szCs w:val="21"/>
                <w:highlight w:val="none"/>
                <w:u w:val="none"/>
              </w:rPr>
              <w:t>等方式”提交等额</w:t>
            </w:r>
            <w:r>
              <w:rPr>
                <w:rFonts w:hint="eastAsia" w:ascii="宋体" w:hAnsi="宋体"/>
                <w:color w:val="auto"/>
                <w:szCs w:val="21"/>
                <w:highlight w:val="none"/>
                <w:u w:val="none"/>
                <w:lang w:val="en-US" w:eastAsia="zh-CN"/>
              </w:rPr>
              <w:t>余款</w:t>
            </w:r>
            <w:r>
              <w:rPr>
                <w:rFonts w:hint="eastAsia" w:ascii="宋体" w:hAnsi="宋体"/>
                <w:color w:val="auto"/>
                <w:szCs w:val="21"/>
                <w:highlight w:val="none"/>
                <w:u w:val="none"/>
              </w:rPr>
              <w:t>，则在</w:t>
            </w:r>
            <w:r>
              <w:rPr>
                <w:rFonts w:hint="eastAsia" w:ascii="宋体" w:hAnsi="宋体"/>
                <w:color w:val="auto"/>
                <w:szCs w:val="21"/>
                <w:highlight w:val="none"/>
                <w:u w:val="none"/>
                <w:lang w:val="en-US" w:eastAsia="zh-CN"/>
              </w:rPr>
              <w:t>项目</w:t>
            </w:r>
            <w:r>
              <w:rPr>
                <w:rFonts w:hint="eastAsia" w:ascii="宋体" w:hAnsi="宋体"/>
                <w:color w:val="auto"/>
                <w:szCs w:val="21"/>
                <w:highlight w:val="none"/>
                <w:u w:val="none"/>
              </w:rPr>
              <w:t>结算审定后招标人应付至最终结算价款的100%。</w:t>
            </w:r>
          </w:p>
          <w:p w14:paraId="7C84A73A">
            <w:pPr>
              <w:adjustRightInd w:val="0"/>
              <w:snapToGrid w:val="0"/>
              <w:ind w:firstLine="0" w:firstLineChars="0"/>
              <w:rPr>
                <w:rFonts w:hint="eastAsia" w:ascii="宋体" w:hAnsi="宋体"/>
                <w:color w:val="auto"/>
                <w:szCs w:val="21"/>
                <w:highlight w:val="none"/>
                <w:u w:val="none"/>
              </w:rPr>
            </w:pPr>
            <w:r>
              <w:rPr>
                <w:rFonts w:hint="eastAsia" w:ascii="宋体" w:hAnsi="宋体"/>
                <w:color w:val="auto"/>
                <w:szCs w:val="21"/>
                <w:highlight w:val="none"/>
                <w:u w:val="none"/>
              </w:rPr>
              <w:t>2、以现金形式提交</w:t>
            </w:r>
            <w:r>
              <w:rPr>
                <w:rFonts w:hint="eastAsia" w:ascii="宋体" w:hAnsi="宋体"/>
                <w:color w:val="auto"/>
                <w:szCs w:val="21"/>
                <w:highlight w:val="none"/>
                <w:u w:val="none"/>
                <w:lang w:val="en-US" w:eastAsia="zh-CN"/>
              </w:rPr>
              <w:t>等额余款</w:t>
            </w:r>
            <w:r>
              <w:rPr>
                <w:rFonts w:hint="eastAsia" w:ascii="宋体" w:hAnsi="宋体"/>
                <w:color w:val="auto"/>
                <w:szCs w:val="21"/>
                <w:highlight w:val="none"/>
                <w:u w:val="none"/>
              </w:rPr>
              <w:t>的，同时退还银行同期活期存款利息。</w:t>
            </w:r>
          </w:p>
          <w:p w14:paraId="64C6632E">
            <w:pPr>
              <w:adjustRightInd w:val="0"/>
              <w:snapToGrid w:val="0"/>
              <w:ind w:firstLine="0" w:firstLineChars="0"/>
              <w:rPr>
                <w:rFonts w:hint="eastAsia" w:eastAsia="宋体"/>
                <w:color w:val="auto"/>
                <w:highlight w:val="none"/>
                <w:lang w:val="en-US" w:eastAsia="zh-CN"/>
              </w:rPr>
            </w:pPr>
          </w:p>
        </w:tc>
      </w:tr>
      <w:tr w14:paraId="07D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629" w:type="dxa"/>
            <w:noWrap w:val="0"/>
            <w:vAlign w:val="center"/>
          </w:tcPr>
          <w:p w14:paraId="0D9895B8">
            <w:pPr>
              <w:snapToGrid w:val="0"/>
              <w:ind w:firstLine="0" w:firstLineChars="0"/>
              <w:jc w:val="center"/>
              <w:rPr>
                <w:color w:val="auto"/>
                <w:szCs w:val="21"/>
                <w:highlight w:val="none"/>
              </w:rPr>
            </w:pPr>
            <w:r>
              <w:rPr>
                <w:color w:val="auto"/>
                <w:szCs w:val="21"/>
                <w:highlight w:val="none"/>
              </w:rPr>
              <w:t>7</w:t>
            </w:r>
          </w:p>
        </w:tc>
        <w:tc>
          <w:tcPr>
            <w:tcW w:w="979" w:type="dxa"/>
            <w:noWrap w:val="0"/>
            <w:vAlign w:val="center"/>
          </w:tcPr>
          <w:p w14:paraId="00703F84">
            <w:pPr>
              <w:snapToGrid w:val="0"/>
              <w:ind w:firstLine="0" w:firstLineChars="0"/>
              <w:jc w:val="center"/>
              <w:rPr>
                <w:color w:val="auto"/>
                <w:sz w:val="21"/>
                <w:szCs w:val="21"/>
                <w:highlight w:val="none"/>
              </w:rPr>
            </w:pPr>
            <w:r>
              <w:rPr>
                <w:color w:val="auto"/>
                <w:szCs w:val="21"/>
                <w:highlight w:val="none"/>
              </w:rPr>
              <w:t>7</w:t>
            </w:r>
          </w:p>
        </w:tc>
        <w:tc>
          <w:tcPr>
            <w:tcW w:w="7436" w:type="dxa"/>
            <w:noWrap w:val="0"/>
            <w:vAlign w:val="center"/>
          </w:tcPr>
          <w:p w14:paraId="36ED573B">
            <w:pPr>
              <w:adjustRightInd w:val="0"/>
              <w:snapToGrid w:val="0"/>
              <w:ind w:firstLine="0" w:firstLineChars="0"/>
              <w:rPr>
                <w:rFonts w:ascii="宋体" w:hAnsi="宋体"/>
                <w:color w:val="auto"/>
                <w:szCs w:val="21"/>
                <w:highlight w:val="none"/>
              </w:rPr>
            </w:pPr>
            <w:r>
              <w:rPr>
                <w:rFonts w:hint="eastAsia" w:ascii="宋体" w:hAnsi="宋体"/>
                <w:b/>
                <w:bCs/>
                <w:color w:val="auto"/>
                <w:szCs w:val="21"/>
                <w:highlight w:val="none"/>
              </w:rPr>
              <w:t>争议解决</w:t>
            </w:r>
            <w:r>
              <w:rPr>
                <w:rFonts w:hint="eastAsia" w:ascii="宋体" w:hAnsi="宋体"/>
                <w:color w:val="auto"/>
                <w:szCs w:val="21"/>
                <w:highlight w:val="none"/>
              </w:rPr>
              <w:t xml:space="preserve">7.2 </w:t>
            </w:r>
            <w:r>
              <w:rPr>
                <w:rFonts w:hint="eastAsia" w:ascii="宋体" w:hAnsi="宋体"/>
                <w:bCs/>
                <w:color w:val="auto"/>
                <w:szCs w:val="21"/>
                <w:highlight w:val="none"/>
              </w:rPr>
              <w:t>调解</w:t>
            </w:r>
          </w:p>
          <w:p w14:paraId="25B0B7CF">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本合同争议进行调解时，可提交</w:t>
            </w:r>
            <w:r>
              <w:rPr>
                <w:rFonts w:hint="eastAsia" w:ascii="宋体" w:hAnsi="宋体"/>
                <w:color w:val="auto"/>
                <w:szCs w:val="21"/>
                <w:highlight w:val="none"/>
                <w:u w:val="single"/>
              </w:rPr>
              <w:t xml:space="preserve">      </w:t>
            </w:r>
            <w:r>
              <w:rPr>
                <w:rFonts w:hint="eastAsia" w:ascii="宋体" w:hAnsi="宋体"/>
                <w:color w:val="auto"/>
                <w:szCs w:val="21"/>
                <w:highlight w:val="none"/>
              </w:rPr>
              <w:t>进行调解。</w:t>
            </w:r>
          </w:p>
          <w:p w14:paraId="772E2104">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 xml:space="preserve">7.3 </w:t>
            </w:r>
            <w:r>
              <w:rPr>
                <w:rFonts w:hint="eastAsia" w:ascii="宋体" w:hAnsi="宋体"/>
                <w:bCs/>
                <w:color w:val="auto"/>
                <w:szCs w:val="21"/>
                <w:highlight w:val="none"/>
              </w:rPr>
              <w:t>仲裁或诉讼</w:t>
            </w:r>
          </w:p>
          <w:p w14:paraId="63AB6705">
            <w:pPr>
              <w:adjustRightInd w:val="0"/>
              <w:snapToGrid w:val="0"/>
              <w:ind w:firstLine="0" w:firstLineChars="0"/>
              <w:rPr>
                <w:rFonts w:ascii="宋体" w:hAnsi="宋体"/>
                <w:color w:val="auto"/>
                <w:szCs w:val="21"/>
                <w:highlight w:val="none"/>
              </w:rPr>
            </w:pPr>
            <w:r>
              <w:rPr>
                <w:color w:val="auto"/>
                <w:highlight w:val="none"/>
              </w:rPr>
              <w:t>因合同及合同有关事项发生的争议，按</w:t>
            </w:r>
            <w:r>
              <w:rPr>
                <w:rFonts w:hint="eastAsia"/>
                <w:color w:val="auto"/>
                <w:highlight w:val="none"/>
              </w:rPr>
              <w:t>照</w:t>
            </w:r>
            <w:r>
              <w:rPr>
                <w:color w:val="auto"/>
                <w:highlight w:val="none"/>
              </w:rPr>
              <w:t>下列第</w:t>
            </w:r>
            <w:r>
              <w:rPr>
                <w:rFonts w:hint="eastAsia"/>
                <w:b/>
                <w:bCs/>
                <w:color w:val="auto"/>
                <w:highlight w:val="none"/>
                <w:u w:val="single"/>
              </w:rPr>
              <w:t>（2）</w:t>
            </w:r>
            <w:r>
              <w:rPr>
                <w:color w:val="auto"/>
                <w:highlight w:val="none"/>
              </w:rPr>
              <w:t>种方式</w:t>
            </w:r>
            <w:r>
              <w:rPr>
                <w:rFonts w:hint="eastAsia"/>
                <w:color w:val="auto"/>
                <w:highlight w:val="none"/>
              </w:rPr>
              <w:t>解</w:t>
            </w:r>
            <w:r>
              <w:rPr>
                <w:color w:val="auto"/>
                <w:highlight w:val="none"/>
              </w:rPr>
              <w:t>决</w:t>
            </w:r>
            <w:r>
              <w:rPr>
                <w:rFonts w:hint="eastAsia" w:ascii="宋体" w:hAnsi="宋体"/>
                <w:color w:val="auto"/>
                <w:szCs w:val="21"/>
                <w:highlight w:val="none"/>
              </w:rPr>
              <w:t>：</w:t>
            </w:r>
          </w:p>
          <w:p w14:paraId="214A04C1">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（1）</w:t>
            </w:r>
            <w:r>
              <w:rPr>
                <w:color w:val="auto"/>
                <w:highlight w:val="none"/>
              </w:rPr>
              <w:t>向</w:t>
            </w:r>
            <w:r>
              <w:rPr>
                <w:rFonts w:hint="eastAsia"/>
                <w:color w:val="auto"/>
                <w:szCs w:val="21"/>
                <w:highlight w:val="none"/>
                <w:u w:val="single"/>
                <w:lang w:val="en-US" w:eastAsia="zh-CN"/>
              </w:rPr>
              <w:t xml:space="preserve"> </w:t>
            </w:r>
            <w:r>
              <w:rPr>
                <w:rFonts w:hint="eastAsia"/>
                <w:color w:val="auto"/>
                <w:szCs w:val="21"/>
                <w:highlight w:val="none"/>
                <w:u w:val="single"/>
              </w:rPr>
              <w:t>合肥市</w:t>
            </w:r>
            <w:r>
              <w:rPr>
                <w:rFonts w:hint="eastAsia"/>
                <w:color w:val="auto"/>
                <w:szCs w:val="21"/>
                <w:highlight w:val="none"/>
                <w:u w:val="single"/>
                <w:lang w:val="en-US" w:eastAsia="zh-CN"/>
              </w:rPr>
              <w:t xml:space="preserve"> </w:t>
            </w:r>
            <w:r>
              <w:rPr>
                <w:color w:val="auto"/>
                <w:highlight w:val="none"/>
              </w:rPr>
              <w:t>仲裁委员会申请仲裁</w:t>
            </w:r>
            <w:r>
              <w:rPr>
                <w:rFonts w:hint="eastAsia" w:ascii="宋体" w:hAnsi="宋体"/>
                <w:color w:val="auto"/>
                <w:szCs w:val="21"/>
                <w:highlight w:val="none"/>
              </w:rPr>
              <w:t>。</w:t>
            </w:r>
          </w:p>
          <w:p w14:paraId="074FF683">
            <w:pPr>
              <w:adjustRightInd w:val="0"/>
              <w:snapToGrid w:val="0"/>
              <w:ind w:firstLine="0" w:firstLineChars="0"/>
              <w:rPr>
                <w:rFonts w:hint="eastAsia" w:ascii="Calibri" w:hAnsi="Calibri"/>
                <w:color w:val="auto"/>
                <w:sz w:val="21"/>
                <w:szCs w:val="21"/>
                <w:highlight w:val="none"/>
                <w:u w:val="single"/>
              </w:rPr>
            </w:pPr>
            <w:r>
              <w:rPr>
                <w:rFonts w:hint="eastAsia" w:ascii="宋体" w:hAnsi="宋体"/>
                <w:color w:val="auto"/>
                <w:szCs w:val="21"/>
                <w:highlight w:val="none"/>
              </w:rPr>
              <w:t>（2）向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工程所在地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人民法院提起诉讼。</w:t>
            </w:r>
          </w:p>
        </w:tc>
      </w:tr>
      <w:tr w14:paraId="5F8E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0F5459C5">
            <w:pPr>
              <w:snapToGrid w:val="0"/>
              <w:ind w:firstLine="0" w:firstLineChars="0"/>
              <w:jc w:val="center"/>
              <w:rPr>
                <w:color w:val="auto"/>
                <w:szCs w:val="21"/>
                <w:highlight w:val="none"/>
              </w:rPr>
            </w:pPr>
            <w:r>
              <w:rPr>
                <w:color w:val="auto"/>
                <w:szCs w:val="21"/>
                <w:highlight w:val="none"/>
              </w:rPr>
              <w:t>8</w:t>
            </w:r>
          </w:p>
        </w:tc>
        <w:tc>
          <w:tcPr>
            <w:tcW w:w="979" w:type="dxa"/>
            <w:noWrap w:val="0"/>
            <w:vAlign w:val="center"/>
          </w:tcPr>
          <w:p w14:paraId="2C88FA80">
            <w:pPr>
              <w:snapToGrid w:val="0"/>
              <w:ind w:firstLine="0" w:firstLineChars="0"/>
              <w:jc w:val="center"/>
              <w:rPr>
                <w:color w:val="auto"/>
                <w:sz w:val="21"/>
                <w:szCs w:val="21"/>
                <w:highlight w:val="none"/>
              </w:rPr>
            </w:pPr>
            <w:r>
              <w:rPr>
                <w:bCs/>
                <w:color w:val="auto"/>
                <w:szCs w:val="21"/>
                <w:highlight w:val="none"/>
              </w:rPr>
              <w:t>8.2</w:t>
            </w:r>
          </w:p>
        </w:tc>
        <w:tc>
          <w:tcPr>
            <w:tcW w:w="7436" w:type="dxa"/>
            <w:noWrap w:val="0"/>
            <w:vAlign w:val="center"/>
          </w:tcPr>
          <w:p w14:paraId="651E9FFE">
            <w:pPr>
              <w:adjustRightInd w:val="0"/>
              <w:snapToGrid w:val="0"/>
              <w:ind w:firstLine="0" w:firstLineChars="0"/>
              <w:rPr>
                <w:rFonts w:ascii="宋体" w:hAnsi="宋体"/>
                <w:bCs/>
                <w:color w:val="auto"/>
                <w:szCs w:val="21"/>
                <w:highlight w:val="none"/>
              </w:rPr>
            </w:pPr>
            <w:r>
              <w:rPr>
                <w:rFonts w:hint="eastAsia" w:ascii="宋体" w:hAnsi="宋体"/>
                <w:bCs/>
                <w:color w:val="auto"/>
                <w:szCs w:val="21"/>
                <w:highlight w:val="none"/>
              </w:rPr>
              <w:t>检测费用</w:t>
            </w:r>
          </w:p>
          <w:p w14:paraId="4C4E1051">
            <w:pPr>
              <w:adjustRightInd w:val="0"/>
              <w:snapToGrid w:val="0"/>
              <w:ind w:firstLine="0" w:firstLineChars="0"/>
              <w:rPr>
                <w:rFonts w:hint="eastAsia" w:ascii="Calibri" w:hAnsi="Calibri"/>
                <w:color w:val="auto"/>
                <w:sz w:val="21"/>
                <w:szCs w:val="21"/>
                <w:highlight w:val="none"/>
              </w:rPr>
            </w:pPr>
            <w:r>
              <w:rPr>
                <w:rFonts w:hint="eastAsia" w:ascii="宋体" w:hAnsi="宋体"/>
                <w:bCs/>
                <w:color w:val="auto"/>
                <w:szCs w:val="21"/>
                <w:highlight w:val="none"/>
              </w:rPr>
              <w:t>委托人应在检测工作完成后</w:t>
            </w:r>
            <w:r>
              <w:rPr>
                <w:rFonts w:hint="eastAsia" w:ascii="宋体" w:hAnsi="宋体"/>
                <w:color w:val="auto"/>
                <w:szCs w:val="21"/>
                <w:highlight w:val="none"/>
                <w:u w:val="single"/>
                <w:lang w:val="en-US" w:eastAsia="zh-CN"/>
              </w:rPr>
              <w:t xml:space="preserve">   </w:t>
            </w:r>
            <w:r>
              <w:rPr>
                <w:rFonts w:hint="eastAsia" w:ascii="宋体" w:hAnsi="宋体"/>
                <w:bCs/>
                <w:color w:val="auto"/>
                <w:szCs w:val="21"/>
                <w:highlight w:val="none"/>
              </w:rPr>
              <w:t>天内支付检测费用。</w:t>
            </w:r>
          </w:p>
        </w:tc>
      </w:tr>
      <w:tr w14:paraId="0F0C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0B0309AD">
            <w:pPr>
              <w:snapToGrid w:val="0"/>
              <w:ind w:firstLine="0" w:firstLineChars="0"/>
              <w:jc w:val="center"/>
              <w:rPr>
                <w:color w:val="auto"/>
                <w:szCs w:val="21"/>
                <w:highlight w:val="none"/>
              </w:rPr>
            </w:pPr>
            <w:r>
              <w:rPr>
                <w:color w:val="auto"/>
                <w:szCs w:val="21"/>
                <w:highlight w:val="none"/>
              </w:rPr>
              <w:t>9</w:t>
            </w:r>
          </w:p>
        </w:tc>
        <w:tc>
          <w:tcPr>
            <w:tcW w:w="979" w:type="dxa"/>
            <w:noWrap w:val="0"/>
            <w:vAlign w:val="center"/>
          </w:tcPr>
          <w:p w14:paraId="60A56804">
            <w:pPr>
              <w:snapToGrid w:val="0"/>
              <w:ind w:firstLine="0" w:firstLineChars="0"/>
              <w:jc w:val="center"/>
              <w:rPr>
                <w:bCs/>
                <w:color w:val="auto"/>
                <w:sz w:val="21"/>
                <w:szCs w:val="21"/>
                <w:highlight w:val="none"/>
              </w:rPr>
            </w:pPr>
            <w:r>
              <w:rPr>
                <w:bCs/>
                <w:color w:val="auto"/>
                <w:szCs w:val="21"/>
                <w:highlight w:val="none"/>
              </w:rPr>
              <w:t>8.3</w:t>
            </w:r>
          </w:p>
        </w:tc>
        <w:tc>
          <w:tcPr>
            <w:tcW w:w="7436" w:type="dxa"/>
            <w:noWrap w:val="0"/>
            <w:vAlign w:val="center"/>
          </w:tcPr>
          <w:p w14:paraId="53C26C31">
            <w:pPr>
              <w:adjustRightInd w:val="0"/>
              <w:snapToGrid w:val="0"/>
              <w:ind w:firstLine="0" w:firstLineChars="0"/>
              <w:rPr>
                <w:rFonts w:ascii="宋体" w:hAnsi="宋体"/>
                <w:bCs/>
                <w:color w:val="auto"/>
                <w:szCs w:val="21"/>
                <w:highlight w:val="none"/>
              </w:rPr>
            </w:pPr>
            <w:r>
              <w:rPr>
                <w:rFonts w:hint="eastAsia" w:ascii="宋体" w:hAnsi="宋体"/>
                <w:bCs/>
                <w:color w:val="auto"/>
                <w:szCs w:val="21"/>
                <w:highlight w:val="none"/>
              </w:rPr>
              <w:t>咨询费用</w:t>
            </w:r>
          </w:p>
          <w:p w14:paraId="1E043301">
            <w:pPr>
              <w:adjustRightInd w:val="0"/>
              <w:snapToGrid w:val="0"/>
              <w:ind w:firstLine="0" w:firstLineChars="0"/>
              <w:rPr>
                <w:rFonts w:hint="eastAsia" w:ascii="宋体" w:hAnsi="宋体"/>
                <w:bCs/>
                <w:color w:val="auto"/>
                <w:sz w:val="21"/>
                <w:szCs w:val="21"/>
                <w:highlight w:val="none"/>
              </w:rPr>
            </w:pPr>
            <w:r>
              <w:rPr>
                <w:rFonts w:hint="eastAsia" w:ascii="宋体" w:hAnsi="宋体"/>
                <w:bCs/>
                <w:color w:val="auto"/>
                <w:szCs w:val="21"/>
                <w:highlight w:val="none"/>
              </w:rPr>
              <w:t>委托人应在咨询工作完成后</w:t>
            </w:r>
            <w:r>
              <w:rPr>
                <w:rFonts w:hint="eastAsia" w:ascii="宋体" w:hAnsi="宋体"/>
                <w:color w:val="auto"/>
                <w:szCs w:val="21"/>
                <w:highlight w:val="none"/>
                <w:u w:val="single"/>
                <w:lang w:val="en-US" w:eastAsia="zh-CN"/>
              </w:rPr>
              <w:t xml:space="preserve">   </w:t>
            </w:r>
            <w:r>
              <w:rPr>
                <w:rFonts w:hint="eastAsia" w:ascii="宋体" w:hAnsi="宋体"/>
                <w:bCs/>
                <w:color w:val="auto"/>
                <w:szCs w:val="21"/>
                <w:highlight w:val="none"/>
              </w:rPr>
              <w:t>天内支付咨询费用。</w:t>
            </w:r>
          </w:p>
        </w:tc>
      </w:tr>
      <w:tr w14:paraId="4828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1839DF61">
            <w:pPr>
              <w:snapToGrid w:val="0"/>
              <w:ind w:firstLine="0" w:firstLineChars="0"/>
              <w:jc w:val="center"/>
              <w:rPr>
                <w:color w:val="auto"/>
                <w:szCs w:val="21"/>
                <w:highlight w:val="none"/>
              </w:rPr>
            </w:pPr>
            <w:r>
              <w:rPr>
                <w:color w:val="auto"/>
                <w:szCs w:val="21"/>
                <w:highlight w:val="none"/>
              </w:rPr>
              <w:t>10</w:t>
            </w:r>
          </w:p>
        </w:tc>
        <w:tc>
          <w:tcPr>
            <w:tcW w:w="979" w:type="dxa"/>
            <w:noWrap w:val="0"/>
            <w:vAlign w:val="center"/>
          </w:tcPr>
          <w:p w14:paraId="7256BC02">
            <w:pPr>
              <w:snapToGrid w:val="0"/>
              <w:ind w:firstLine="0" w:firstLineChars="0"/>
              <w:jc w:val="center"/>
              <w:rPr>
                <w:color w:val="auto"/>
                <w:szCs w:val="21"/>
                <w:highlight w:val="none"/>
              </w:rPr>
            </w:pPr>
            <w:r>
              <w:rPr>
                <w:color w:val="auto"/>
                <w:szCs w:val="21"/>
                <w:highlight w:val="none"/>
              </w:rPr>
              <w:t>8.4</w:t>
            </w:r>
          </w:p>
        </w:tc>
        <w:tc>
          <w:tcPr>
            <w:tcW w:w="7436" w:type="dxa"/>
            <w:noWrap w:val="0"/>
            <w:vAlign w:val="center"/>
          </w:tcPr>
          <w:p w14:paraId="2AFB0605">
            <w:pPr>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奖励</w:t>
            </w:r>
          </w:p>
          <w:p w14:paraId="731DFFC5">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合理化建议的奖励金额按照下列方法确定为：</w:t>
            </w:r>
          </w:p>
          <w:p w14:paraId="09120184">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奖励金额＝工程投资节省额×奖励金额的比率；</w:t>
            </w:r>
          </w:p>
          <w:p w14:paraId="3C113FC8">
            <w:pPr>
              <w:adjustRightInd w:val="0"/>
              <w:snapToGrid w:val="0"/>
              <w:ind w:firstLine="0" w:firstLineChars="0"/>
              <w:rPr>
                <w:rFonts w:hint="eastAsia"/>
                <w:color w:val="auto"/>
                <w:szCs w:val="21"/>
                <w:highlight w:val="none"/>
              </w:rPr>
            </w:pPr>
            <w:r>
              <w:rPr>
                <w:rFonts w:hint="eastAsia" w:ascii="宋体" w:hAnsi="宋体"/>
                <w:color w:val="auto"/>
                <w:szCs w:val="21"/>
                <w:highlight w:val="none"/>
              </w:rPr>
              <w:t>奖励金额的比率为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tc>
      </w:tr>
      <w:tr w14:paraId="463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166B9B64">
            <w:pPr>
              <w:snapToGrid w:val="0"/>
              <w:ind w:firstLine="0" w:firstLineChars="0"/>
              <w:jc w:val="center"/>
              <w:rPr>
                <w:color w:val="auto"/>
                <w:szCs w:val="21"/>
                <w:highlight w:val="none"/>
              </w:rPr>
            </w:pPr>
            <w:r>
              <w:rPr>
                <w:color w:val="auto"/>
                <w:szCs w:val="21"/>
                <w:highlight w:val="none"/>
              </w:rPr>
              <w:t>11</w:t>
            </w:r>
          </w:p>
        </w:tc>
        <w:tc>
          <w:tcPr>
            <w:tcW w:w="979" w:type="dxa"/>
            <w:noWrap w:val="0"/>
            <w:vAlign w:val="center"/>
          </w:tcPr>
          <w:p w14:paraId="4017DFA4">
            <w:pPr>
              <w:snapToGrid w:val="0"/>
              <w:ind w:firstLine="0" w:firstLineChars="0"/>
              <w:jc w:val="center"/>
              <w:rPr>
                <w:color w:val="auto"/>
                <w:szCs w:val="21"/>
                <w:highlight w:val="none"/>
              </w:rPr>
            </w:pPr>
            <w:r>
              <w:rPr>
                <w:color w:val="auto"/>
                <w:szCs w:val="21"/>
                <w:highlight w:val="none"/>
              </w:rPr>
              <w:t>8.6</w:t>
            </w:r>
          </w:p>
        </w:tc>
        <w:tc>
          <w:tcPr>
            <w:tcW w:w="7436" w:type="dxa"/>
            <w:noWrap w:val="0"/>
            <w:vAlign w:val="center"/>
          </w:tcPr>
          <w:p w14:paraId="6E147BEB">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保密</w:t>
            </w:r>
          </w:p>
          <w:p w14:paraId="3184F96E">
            <w:pPr>
              <w:adjustRightInd w:val="0"/>
              <w:snapToGrid w:val="0"/>
              <w:ind w:firstLine="0" w:firstLineChars="0"/>
              <w:rPr>
                <w:rFonts w:ascii="宋体" w:hAnsi="宋体"/>
                <w:color w:val="auto"/>
                <w:szCs w:val="21"/>
                <w:highlight w:val="none"/>
                <w:u w:val="single"/>
              </w:rPr>
            </w:pPr>
            <w:r>
              <w:rPr>
                <w:rFonts w:hint="eastAsia" w:ascii="宋体" w:hAnsi="宋体"/>
                <w:color w:val="auto"/>
                <w:szCs w:val="21"/>
                <w:highlight w:val="none"/>
              </w:rPr>
              <w:t>委托人申明的保密事项和期限：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C20B94A">
            <w:pPr>
              <w:adjustRightInd w:val="0"/>
              <w:snapToGrid w:val="0"/>
              <w:ind w:firstLine="0" w:firstLineChars="0"/>
              <w:rPr>
                <w:rFonts w:ascii="宋体" w:hAnsi="宋体"/>
                <w:color w:val="auto"/>
                <w:szCs w:val="21"/>
                <w:highlight w:val="none"/>
                <w:u w:val="single"/>
              </w:rPr>
            </w:pPr>
            <w:r>
              <w:rPr>
                <w:rFonts w:hint="eastAsia" w:ascii="宋体" w:hAnsi="宋体"/>
                <w:color w:val="auto"/>
                <w:szCs w:val="21"/>
                <w:highlight w:val="none"/>
              </w:rPr>
              <w:t>监理人申明的保密事项和期限：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9A18F24">
            <w:pPr>
              <w:adjustRightInd w:val="0"/>
              <w:snapToGrid w:val="0"/>
              <w:ind w:firstLine="0" w:firstLineChars="0"/>
              <w:rPr>
                <w:rFonts w:hint="eastAsia"/>
                <w:color w:val="auto"/>
                <w:szCs w:val="21"/>
                <w:highlight w:val="none"/>
              </w:rPr>
            </w:pPr>
            <w:r>
              <w:rPr>
                <w:rFonts w:hint="eastAsia" w:ascii="宋体" w:hAnsi="宋体"/>
                <w:color w:val="auto"/>
                <w:szCs w:val="21"/>
                <w:highlight w:val="none"/>
              </w:rPr>
              <w:t>第三方申明的保密事项和期限：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3427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noWrap w:val="0"/>
            <w:vAlign w:val="center"/>
          </w:tcPr>
          <w:p w14:paraId="2C82B6D1">
            <w:pPr>
              <w:snapToGrid w:val="0"/>
              <w:ind w:firstLine="0" w:firstLineChars="0"/>
              <w:jc w:val="center"/>
              <w:rPr>
                <w:color w:val="auto"/>
                <w:szCs w:val="21"/>
                <w:highlight w:val="none"/>
              </w:rPr>
            </w:pPr>
            <w:r>
              <w:rPr>
                <w:color w:val="auto"/>
                <w:szCs w:val="21"/>
                <w:highlight w:val="none"/>
              </w:rPr>
              <w:t>12</w:t>
            </w:r>
          </w:p>
        </w:tc>
        <w:tc>
          <w:tcPr>
            <w:tcW w:w="979" w:type="dxa"/>
            <w:noWrap w:val="0"/>
            <w:vAlign w:val="center"/>
          </w:tcPr>
          <w:p w14:paraId="2B4D2DE8">
            <w:pPr>
              <w:snapToGrid w:val="0"/>
              <w:ind w:firstLine="0" w:firstLineChars="0"/>
              <w:jc w:val="center"/>
              <w:rPr>
                <w:bCs/>
                <w:color w:val="auto"/>
                <w:sz w:val="21"/>
                <w:szCs w:val="21"/>
                <w:highlight w:val="none"/>
              </w:rPr>
            </w:pPr>
            <w:r>
              <w:rPr>
                <w:bCs/>
                <w:color w:val="auto"/>
                <w:szCs w:val="21"/>
                <w:highlight w:val="none"/>
              </w:rPr>
              <w:t>9</w:t>
            </w:r>
          </w:p>
        </w:tc>
        <w:tc>
          <w:tcPr>
            <w:tcW w:w="7436" w:type="dxa"/>
            <w:noWrap w:val="0"/>
            <w:vAlign w:val="center"/>
          </w:tcPr>
          <w:p w14:paraId="3B22AFD7">
            <w:pPr>
              <w:adjustRightInd w:val="0"/>
              <w:snapToGrid w:val="0"/>
              <w:ind w:firstLine="0" w:firstLineChars="0"/>
              <w:rPr>
                <w:rFonts w:hint="default" w:ascii="宋体" w:hAnsi="宋体" w:eastAsia="宋体"/>
                <w:bCs/>
                <w:color w:val="auto"/>
                <w:sz w:val="21"/>
                <w:szCs w:val="21"/>
                <w:highlight w:val="none"/>
                <w:lang w:val="en-US" w:eastAsia="zh-CN"/>
              </w:rPr>
            </w:pPr>
            <w:r>
              <w:rPr>
                <w:rFonts w:hint="eastAsia" w:ascii="宋体" w:hAnsi="宋体"/>
                <w:color w:val="auto"/>
                <w:szCs w:val="21"/>
                <w:highlight w:val="none"/>
              </w:rPr>
              <w:t>补充条款</w:t>
            </w:r>
            <w:r>
              <w:rPr>
                <w:rFonts w:hint="eastAsia" w:ascii="宋体" w:hAnsi="宋体"/>
                <w:color w:val="auto"/>
                <w:szCs w:val="21"/>
                <w:highlight w:val="none"/>
                <w:u w:val="single"/>
                <w:lang w:val="en-US" w:eastAsia="zh-CN"/>
              </w:rPr>
              <w:t xml:space="preserve"> </w:t>
            </w:r>
            <w:r>
              <w:rPr>
                <w:rFonts w:hint="eastAsia" w:ascii="宋体" w:hAnsi="宋体"/>
                <w:b/>
                <w:bCs/>
                <w:color w:val="auto"/>
                <w:szCs w:val="21"/>
                <w:highlight w:val="none"/>
                <w:u w:val="single"/>
              </w:rPr>
              <w:t>第五章 委托人要求</w:t>
            </w:r>
            <w:r>
              <w:rPr>
                <w:rFonts w:hint="eastAsia" w:ascii="宋体" w:hAnsi="宋体"/>
                <w:color w:val="auto"/>
                <w:szCs w:val="21"/>
                <w:highlight w:val="none"/>
                <w:u w:val="single"/>
                <w:lang w:val="en-US" w:eastAsia="zh-CN"/>
              </w:rPr>
              <w:t xml:space="preserve"> </w:t>
            </w:r>
          </w:p>
        </w:tc>
      </w:tr>
    </w:tbl>
    <w:p w14:paraId="2D63A158">
      <w:pPr>
        <w:adjustRightInd w:val="0"/>
        <w:snapToGrid w:val="0"/>
        <w:ind w:firstLine="480"/>
        <w:rPr>
          <w:rFonts w:ascii="宋体" w:hAnsi="宋体"/>
          <w:b/>
          <w:color w:val="auto"/>
          <w:szCs w:val="21"/>
          <w:highlight w:val="none"/>
        </w:rPr>
      </w:pPr>
      <w:r>
        <w:rPr>
          <w:color w:val="auto"/>
          <w:highlight w:val="none"/>
        </w:rPr>
        <w:br w:type="page"/>
      </w:r>
      <w:r>
        <w:rPr>
          <w:b/>
          <w:color w:val="auto"/>
          <w:szCs w:val="21"/>
          <w:highlight w:val="none"/>
        </w:rPr>
        <w:t>1</w:t>
      </w:r>
      <w:r>
        <w:rPr>
          <w:rFonts w:hint="eastAsia" w:ascii="宋体" w:hAnsi="宋体"/>
          <w:b/>
          <w:color w:val="auto"/>
          <w:szCs w:val="21"/>
          <w:highlight w:val="none"/>
        </w:rPr>
        <w:t>.定义与解释</w:t>
      </w:r>
    </w:p>
    <w:p w14:paraId="3E739C9C">
      <w:pPr>
        <w:ind w:firstLine="480"/>
        <w:rPr>
          <w:color w:val="auto"/>
          <w:highlight w:val="none"/>
        </w:rPr>
      </w:pPr>
      <w:r>
        <w:rPr>
          <w:rFonts w:hint="eastAsia"/>
          <w:color w:val="auto"/>
          <w:highlight w:val="none"/>
        </w:rPr>
        <w:t>1.2解释</w:t>
      </w:r>
    </w:p>
    <w:p w14:paraId="5190E8B4">
      <w:pPr>
        <w:ind w:firstLine="480"/>
        <w:rPr>
          <w:color w:val="auto"/>
          <w:highlight w:val="none"/>
        </w:rPr>
      </w:pPr>
      <w:r>
        <w:rPr>
          <w:rFonts w:hint="eastAsia"/>
          <w:color w:val="auto"/>
          <w:highlight w:val="none"/>
        </w:rPr>
        <w:t>1.2.1本合同文件除使用中文外，还可用</w:t>
      </w:r>
      <w:r>
        <w:rPr>
          <w:rFonts w:hint="eastAsia"/>
          <w:color w:val="auto"/>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7B8C128D">
      <w:pPr>
        <w:ind w:firstLine="480"/>
        <w:rPr>
          <w:rFonts w:ascii="宋体" w:hAnsi="宋体"/>
          <w:color w:val="auto"/>
          <w:szCs w:val="21"/>
          <w:highlight w:val="none"/>
        </w:rPr>
      </w:pPr>
      <w:r>
        <w:rPr>
          <w:rFonts w:hint="eastAsia"/>
          <w:color w:val="auto"/>
          <w:highlight w:val="none"/>
        </w:rPr>
        <w:t>1.2.2约定本合同文件的解释顺序为：</w:t>
      </w:r>
      <w:r>
        <w:rPr>
          <w:rFonts w:hint="eastAsia"/>
          <w:color w:val="auto"/>
          <w:highlight w:val="none"/>
          <w:u w:val="single"/>
        </w:rPr>
        <w:t xml:space="preserve"> 专用条款、通用条款  </w:t>
      </w:r>
      <w:r>
        <w:rPr>
          <w:rFonts w:hint="eastAsia"/>
          <w:color w:val="auto"/>
          <w:highlight w:val="none"/>
        </w:rPr>
        <w:t>。</w:t>
      </w:r>
    </w:p>
    <w:p w14:paraId="66897B4E">
      <w:pPr>
        <w:adjustRightInd w:val="0"/>
        <w:snapToGrid w:val="0"/>
        <w:ind w:firstLine="482"/>
        <w:rPr>
          <w:rFonts w:ascii="宋体" w:hAnsi="宋体"/>
          <w:b/>
          <w:color w:val="auto"/>
          <w:szCs w:val="21"/>
          <w:highlight w:val="none"/>
        </w:rPr>
      </w:pPr>
      <w:r>
        <w:rPr>
          <w:rFonts w:hint="eastAsia"/>
          <w:b/>
          <w:color w:val="auto"/>
          <w:szCs w:val="21"/>
          <w:highlight w:val="none"/>
        </w:rPr>
        <w:t>2</w:t>
      </w:r>
      <w:r>
        <w:rPr>
          <w:rFonts w:hint="eastAsia" w:ascii="宋体" w:hAnsi="宋体"/>
          <w:b/>
          <w:color w:val="auto"/>
          <w:szCs w:val="21"/>
          <w:highlight w:val="none"/>
        </w:rPr>
        <w:t>.监理人义务</w:t>
      </w:r>
    </w:p>
    <w:p w14:paraId="1BBE86FD">
      <w:pPr>
        <w:ind w:firstLine="480"/>
        <w:rPr>
          <w:color w:val="auto"/>
          <w:highlight w:val="none"/>
        </w:rPr>
      </w:pPr>
      <w:r>
        <w:rPr>
          <w:rFonts w:hint="eastAsia"/>
          <w:color w:val="auto"/>
          <w:highlight w:val="none"/>
        </w:rPr>
        <w:t>2.1监理的范围和内容</w:t>
      </w:r>
    </w:p>
    <w:p w14:paraId="73C0918D">
      <w:pPr>
        <w:ind w:firstLine="480"/>
        <w:rPr>
          <w:color w:val="auto"/>
          <w:highlight w:val="none"/>
        </w:rPr>
      </w:pPr>
      <w:r>
        <w:rPr>
          <w:rFonts w:hint="eastAsia"/>
          <w:color w:val="auto"/>
          <w:highlight w:val="none"/>
        </w:rPr>
        <w:t>2.1.1监理范围包括：</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2ABCD49F">
      <w:pPr>
        <w:ind w:firstLine="480"/>
        <w:rPr>
          <w:color w:val="auto"/>
          <w:highlight w:val="none"/>
        </w:rPr>
      </w:pPr>
      <w:r>
        <w:rPr>
          <w:rFonts w:hint="eastAsia"/>
          <w:color w:val="auto"/>
          <w:highlight w:val="none"/>
        </w:rPr>
        <w:t>2.1.2监理工作内容还包括：</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1C514DD6">
      <w:pPr>
        <w:ind w:firstLine="480"/>
        <w:rPr>
          <w:color w:val="auto"/>
          <w:highlight w:val="none"/>
        </w:rPr>
      </w:pPr>
      <w:r>
        <w:rPr>
          <w:rFonts w:hint="eastAsia"/>
          <w:color w:val="auto"/>
          <w:highlight w:val="none"/>
        </w:rPr>
        <w:t>2.2监理与相关服务依据</w:t>
      </w:r>
    </w:p>
    <w:p w14:paraId="3B32F5AD">
      <w:pPr>
        <w:ind w:firstLine="480"/>
        <w:rPr>
          <w:color w:val="auto"/>
          <w:highlight w:val="none"/>
        </w:rPr>
      </w:pPr>
      <w:r>
        <w:rPr>
          <w:rFonts w:hint="eastAsia"/>
          <w:color w:val="auto"/>
          <w:highlight w:val="none"/>
        </w:rPr>
        <w:t>2.2.1监理依据包括：</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 xml:space="preserve">》 </w:t>
      </w:r>
      <w:r>
        <w:rPr>
          <w:rFonts w:hint="eastAsia"/>
          <w:color w:val="auto"/>
          <w:highlight w:val="none"/>
        </w:rPr>
        <w:t>。</w:t>
      </w:r>
    </w:p>
    <w:p w14:paraId="5B14698A">
      <w:pPr>
        <w:ind w:firstLine="480"/>
        <w:rPr>
          <w:color w:val="auto"/>
          <w:highlight w:val="none"/>
        </w:rPr>
      </w:pPr>
      <w:r>
        <w:rPr>
          <w:rFonts w:hint="eastAsia"/>
          <w:color w:val="auto"/>
          <w:highlight w:val="none"/>
        </w:rPr>
        <w:t>2.2.2相关服务依据包括：</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344EF4AD">
      <w:pPr>
        <w:ind w:firstLine="480"/>
        <w:rPr>
          <w:color w:val="auto"/>
          <w:highlight w:val="none"/>
        </w:rPr>
      </w:pPr>
      <w:r>
        <w:rPr>
          <w:rFonts w:hint="eastAsia"/>
          <w:color w:val="auto"/>
          <w:highlight w:val="none"/>
        </w:rPr>
        <w:t>2.3项目监理机构和人员</w:t>
      </w:r>
    </w:p>
    <w:p w14:paraId="72E1401D">
      <w:pPr>
        <w:ind w:firstLine="480"/>
        <w:rPr>
          <w:color w:val="auto"/>
          <w:highlight w:val="none"/>
        </w:rPr>
      </w:pPr>
      <w:r>
        <w:rPr>
          <w:rFonts w:hint="eastAsia"/>
          <w:color w:val="auto"/>
          <w:highlight w:val="none"/>
        </w:rPr>
        <w:t>2.3.4更换监理人员的其他情形：</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6FFE3FF9">
      <w:pPr>
        <w:ind w:firstLine="480"/>
        <w:rPr>
          <w:color w:val="auto"/>
          <w:highlight w:val="none"/>
        </w:rPr>
      </w:pPr>
      <w:r>
        <w:rPr>
          <w:rFonts w:hint="eastAsia"/>
          <w:color w:val="auto"/>
          <w:highlight w:val="none"/>
        </w:rPr>
        <w:t>2.4履行职责</w:t>
      </w:r>
    </w:p>
    <w:p w14:paraId="753E46EF">
      <w:pPr>
        <w:ind w:firstLine="480"/>
        <w:rPr>
          <w:color w:val="auto"/>
          <w:highlight w:val="none"/>
        </w:rPr>
      </w:pPr>
      <w:r>
        <w:rPr>
          <w:rFonts w:hint="eastAsia"/>
          <w:color w:val="auto"/>
          <w:highlight w:val="none"/>
        </w:rPr>
        <w:t>2.4.3对监理人的授权范围：</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790B3329">
      <w:pPr>
        <w:ind w:firstLine="480"/>
        <w:rPr>
          <w:color w:val="auto"/>
          <w:highlight w:val="none"/>
        </w:rPr>
      </w:pPr>
      <w:bookmarkStart w:id="404" w:name="_Toc16280"/>
      <w:bookmarkStart w:id="405" w:name="_Toc10823"/>
      <w:bookmarkStart w:id="406" w:name="_Toc17195"/>
      <w:r>
        <w:rPr>
          <w:rFonts w:hint="eastAsia"/>
          <w:color w:val="auto"/>
          <w:highlight w:val="none"/>
        </w:rPr>
        <w:t>在涉及工程延期</w:t>
      </w:r>
      <w:r>
        <w:rPr>
          <w:rFonts w:hint="eastAsia"/>
          <w:color w:val="auto"/>
          <w:highlight w:val="none"/>
          <w:u w:val="single"/>
        </w:rPr>
        <w:t xml:space="preserve">      天</w:t>
      </w:r>
      <w:r>
        <w:rPr>
          <w:rFonts w:hint="eastAsia"/>
          <w:color w:val="auto"/>
          <w:highlight w:val="none"/>
        </w:rPr>
        <w:t>内和（或）金额</w:t>
      </w:r>
      <w:r>
        <w:rPr>
          <w:rFonts w:hint="eastAsia"/>
          <w:color w:val="auto"/>
          <w:highlight w:val="none"/>
          <w:u w:val="single"/>
        </w:rPr>
        <w:t xml:space="preserve">      </w:t>
      </w:r>
      <w:r>
        <w:rPr>
          <w:rFonts w:hint="eastAsia"/>
          <w:color w:val="auto"/>
          <w:highlight w:val="none"/>
        </w:rPr>
        <w:t>元内的变更，监理人不需请示委托人即可向承包人发布变更通知。</w:t>
      </w:r>
      <w:bookmarkEnd w:id="404"/>
      <w:bookmarkEnd w:id="405"/>
      <w:bookmarkEnd w:id="406"/>
    </w:p>
    <w:p w14:paraId="3AFF21BE">
      <w:pPr>
        <w:ind w:firstLine="480"/>
        <w:rPr>
          <w:color w:val="auto"/>
          <w:highlight w:val="none"/>
        </w:rPr>
      </w:pPr>
      <w:r>
        <w:rPr>
          <w:rFonts w:hint="eastAsia"/>
          <w:color w:val="auto"/>
          <w:highlight w:val="none"/>
        </w:rPr>
        <w:t>2.4.4监理人有权要求承包人调换其人员的限制条件：</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6A8A40C4">
      <w:pPr>
        <w:ind w:firstLine="480"/>
        <w:rPr>
          <w:color w:val="auto"/>
          <w:highlight w:val="none"/>
        </w:rPr>
      </w:pPr>
      <w:r>
        <w:rPr>
          <w:rFonts w:hint="eastAsia"/>
          <w:color w:val="auto"/>
          <w:highlight w:val="none"/>
        </w:rPr>
        <w:t>2.5提交报告</w:t>
      </w:r>
    </w:p>
    <w:p w14:paraId="76C8E8A4">
      <w:pPr>
        <w:ind w:firstLine="480"/>
        <w:rPr>
          <w:color w:val="auto"/>
          <w:highlight w:val="none"/>
        </w:rPr>
      </w:pPr>
      <w:r>
        <w:rPr>
          <w:rFonts w:hint="eastAsia"/>
          <w:color w:val="auto"/>
          <w:highlight w:val="none"/>
        </w:rPr>
        <w:t>监理人应提交报告的种类(包括监理规划、监理月报及约定的专项报告)、时间和份数：</w:t>
      </w:r>
      <w:r>
        <w:rPr>
          <w:rFonts w:hint="eastAsia"/>
          <w:color w:val="auto"/>
          <w:highlight w:val="none"/>
          <w:u w:val="single"/>
        </w:rPr>
        <w:t xml:space="preserve">      </w:t>
      </w:r>
      <w:r>
        <w:rPr>
          <w:rFonts w:hint="eastAsia"/>
          <w:color w:val="auto"/>
          <w:highlight w:val="none"/>
        </w:rPr>
        <w:t>。</w:t>
      </w:r>
    </w:p>
    <w:p w14:paraId="0624A90A">
      <w:pPr>
        <w:ind w:firstLine="480"/>
        <w:rPr>
          <w:rFonts w:hint="eastAsia"/>
          <w:color w:val="auto"/>
          <w:highlight w:val="none"/>
        </w:rPr>
      </w:pPr>
      <w:r>
        <w:rPr>
          <w:rFonts w:hint="eastAsia"/>
          <w:color w:val="auto"/>
          <w:highlight w:val="none"/>
        </w:rPr>
        <w:t>2.7使用委托人的财产</w:t>
      </w:r>
    </w:p>
    <w:p w14:paraId="6B8DA541">
      <w:pPr>
        <w:ind w:firstLine="480"/>
        <w:rPr>
          <w:color w:val="auto"/>
          <w:highlight w:val="none"/>
        </w:rPr>
      </w:pPr>
      <w:r>
        <w:rPr>
          <w:rFonts w:hint="eastAsia"/>
          <w:color w:val="auto"/>
          <w:highlight w:val="none"/>
        </w:rPr>
        <w:t>附录B中由委托人无偿提供的房屋、设备的所有权属于：</w:t>
      </w:r>
      <w:r>
        <w:rPr>
          <w:rFonts w:hint="eastAsia"/>
          <w:color w:val="auto"/>
          <w:highlight w:val="none"/>
          <w:u w:val="single"/>
        </w:rPr>
        <w:t xml:space="preserve">      </w:t>
      </w:r>
      <w:r>
        <w:rPr>
          <w:rFonts w:hint="eastAsia"/>
          <w:color w:val="auto"/>
          <w:highlight w:val="none"/>
        </w:rPr>
        <w:t>。</w:t>
      </w:r>
    </w:p>
    <w:p w14:paraId="5F411804">
      <w:pPr>
        <w:ind w:firstLine="480"/>
        <w:rPr>
          <w:color w:val="auto"/>
          <w:highlight w:val="none"/>
        </w:rPr>
      </w:pPr>
      <w:r>
        <w:rPr>
          <w:rFonts w:hint="eastAsia"/>
          <w:color w:val="auto"/>
          <w:highlight w:val="none"/>
        </w:rPr>
        <w:t>监理人应在本合同终止后</w:t>
      </w:r>
      <w:r>
        <w:rPr>
          <w:rFonts w:hint="eastAsia"/>
          <w:color w:val="auto"/>
          <w:highlight w:val="none"/>
          <w:u w:val="single"/>
        </w:rPr>
        <w:t xml:space="preserve">      </w:t>
      </w:r>
      <w:r>
        <w:rPr>
          <w:rFonts w:hint="eastAsia"/>
          <w:color w:val="auto"/>
          <w:highlight w:val="none"/>
        </w:rPr>
        <w:t>天内移交委托人无偿提供的房屋、设备，移交的时间和方式为：</w:t>
      </w:r>
      <w:r>
        <w:rPr>
          <w:rFonts w:hint="eastAsia"/>
          <w:color w:val="auto"/>
          <w:highlight w:val="none"/>
          <w:u w:val="single"/>
        </w:rPr>
        <w:t xml:space="preserve">      </w:t>
      </w:r>
      <w:r>
        <w:rPr>
          <w:rFonts w:hint="eastAsia"/>
          <w:color w:val="auto"/>
          <w:highlight w:val="none"/>
        </w:rPr>
        <w:t>。</w:t>
      </w:r>
    </w:p>
    <w:p w14:paraId="6167A9AC">
      <w:pPr>
        <w:adjustRightInd w:val="0"/>
        <w:snapToGrid w:val="0"/>
        <w:ind w:firstLine="482"/>
        <w:rPr>
          <w:rFonts w:ascii="宋体" w:hAnsi="宋体"/>
          <w:b/>
          <w:color w:val="auto"/>
          <w:szCs w:val="21"/>
          <w:highlight w:val="none"/>
        </w:rPr>
      </w:pPr>
      <w:r>
        <w:rPr>
          <w:rFonts w:hint="eastAsia"/>
          <w:b/>
          <w:color w:val="auto"/>
          <w:szCs w:val="21"/>
          <w:highlight w:val="none"/>
        </w:rPr>
        <w:t>3</w:t>
      </w:r>
      <w:r>
        <w:rPr>
          <w:rFonts w:hint="eastAsia" w:ascii="宋体" w:hAnsi="宋体"/>
          <w:b/>
          <w:color w:val="auto"/>
          <w:kern w:val="0"/>
          <w:szCs w:val="21"/>
          <w:highlight w:val="none"/>
        </w:rPr>
        <w:t>.委托人义务</w:t>
      </w:r>
    </w:p>
    <w:p w14:paraId="4C3D3E60">
      <w:pPr>
        <w:ind w:firstLine="480"/>
        <w:rPr>
          <w:color w:val="auto"/>
          <w:highlight w:val="none"/>
        </w:rPr>
      </w:pPr>
      <w:r>
        <w:rPr>
          <w:rFonts w:hint="eastAsia"/>
          <w:color w:val="auto"/>
          <w:highlight w:val="none"/>
        </w:rPr>
        <w:t>3.4委托人代表</w:t>
      </w:r>
    </w:p>
    <w:p w14:paraId="116F4CAE">
      <w:pPr>
        <w:ind w:firstLine="480"/>
        <w:rPr>
          <w:color w:val="auto"/>
          <w:highlight w:val="none"/>
        </w:rPr>
      </w:pPr>
      <w:r>
        <w:rPr>
          <w:rFonts w:hint="eastAsia"/>
          <w:color w:val="auto"/>
          <w:highlight w:val="none"/>
        </w:rPr>
        <w:t>委托人代表为：</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2F079D98">
      <w:pPr>
        <w:ind w:firstLine="480"/>
        <w:rPr>
          <w:color w:val="auto"/>
          <w:highlight w:val="none"/>
        </w:rPr>
      </w:pPr>
      <w:r>
        <w:rPr>
          <w:rFonts w:hint="eastAsia"/>
          <w:color w:val="auto"/>
          <w:highlight w:val="none"/>
        </w:rPr>
        <w:t>3.6答复</w:t>
      </w:r>
    </w:p>
    <w:p w14:paraId="205C4E8F">
      <w:pPr>
        <w:ind w:firstLine="480"/>
        <w:rPr>
          <w:color w:val="auto"/>
          <w:highlight w:val="none"/>
        </w:rPr>
      </w:pPr>
      <w:r>
        <w:rPr>
          <w:rFonts w:hint="eastAsia"/>
          <w:color w:val="auto"/>
          <w:highlight w:val="none"/>
        </w:rPr>
        <w:t>委托人同意在</w:t>
      </w:r>
      <w:r>
        <w:rPr>
          <w:rFonts w:hint="eastAsia"/>
          <w:color w:val="auto"/>
          <w:highlight w:val="none"/>
          <w:u w:val="single"/>
        </w:rPr>
        <w:t xml:space="preserve">      </w:t>
      </w:r>
      <w:r>
        <w:rPr>
          <w:rFonts w:hint="eastAsia"/>
          <w:color w:val="auto"/>
          <w:highlight w:val="none"/>
        </w:rPr>
        <w:t>天内，对监理人书面提交并要求做出决定的事宜给予书面答复。</w:t>
      </w:r>
    </w:p>
    <w:p w14:paraId="75BD6DBC">
      <w:pPr>
        <w:snapToGrid w:val="0"/>
        <w:ind w:firstLine="482"/>
        <w:rPr>
          <w:rFonts w:ascii="宋体" w:hAnsi="宋体"/>
          <w:b/>
          <w:bCs/>
          <w:color w:val="auto"/>
          <w:szCs w:val="21"/>
          <w:highlight w:val="none"/>
        </w:rPr>
      </w:pPr>
      <w:r>
        <w:rPr>
          <w:b/>
          <w:color w:val="auto"/>
          <w:szCs w:val="21"/>
          <w:highlight w:val="none"/>
        </w:rPr>
        <w:t>4</w:t>
      </w:r>
      <w:r>
        <w:rPr>
          <w:rFonts w:hint="eastAsia" w:ascii="宋体" w:hAnsi="宋体"/>
          <w:b/>
          <w:bCs/>
          <w:color w:val="auto"/>
          <w:szCs w:val="21"/>
          <w:highlight w:val="none"/>
        </w:rPr>
        <w:t>.违约责任</w:t>
      </w:r>
    </w:p>
    <w:p w14:paraId="405F7F26">
      <w:pPr>
        <w:ind w:firstLine="480"/>
        <w:rPr>
          <w:color w:val="auto"/>
          <w:highlight w:val="none"/>
        </w:rPr>
      </w:pPr>
      <w:r>
        <w:rPr>
          <w:rFonts w:hint="eastAsia"/>
          <w:color w:val="auto"/>
          <w:highlight w:val="none"/>
        </w:rPr>
        <w:t>4.1监理人的违约责任</w:t>
      </w:r>
    </w:p>
    <w:p w14:paraId="6CB56541">
      <w:pPr>
        <w:ind w:firstLine="480"/>
        <w:rPr>
          <w:color w:val="auto"/>
          <w:highlight w:val="none"/>
        </w:rPr>
      </w:pPr>
      <w:r>
        <w:rPr>
          <w:rFonts w:hint="eastAsia"/>
          <w:color w:val="auto"/>
          <w:highlight w:val="none"/>
        </w:rPr>
        <w:t>4.1.1监理人赔偿金额按照下列方法确定：</w:t>
      </w:r>
    </w:p>
    <w:p w14:paraId="2CE78608">
      <w:pPr>
        <w:ind w:firstLine="480"/>
        <w:rPr>
          <w:color w:val="auto"/>
          <w:highlight w:val="none"/>
        </w:rPr>
      </w:pPr>
      <w:r>
        <w:rPr>
          <w:rFonts w:hint="eastAsia"/>
          <w:color w:val="auto"/>
          <w:highlight w:val="none"/>
        </w:rPr>
        <w:t>赔偿金＝直接经济损失×正常工作酬金÷工程概算投资额（或建筑安装工程费）</w:t>
      </w:r>
    </w:p>
    <w:p w14:paraId="246FF068">
      <w:pPr>
        <w:ind w:firstLine="480"/>
        <w:rPr>
          <w:color w:val="auto"/>
          <w:highlight w:val="none"/>
        </w:rPr>
      </w:pPr>
      <w:r>
        <w:rPr>
          <w:rFonts w:hint="eastAsia"/>
          <w:color w:val="auto"/>
          <w:highlight w:val="none"/>
        </w:rPr>
        <w:t>4.2委托人的违约责任</w:t>
      </w:r>
    </w:p>
    <w:p w14:paraId="59C2BCE5">
      <w:pPr>
        <w:ind w:firstLine="480"/>
        <w:rPr>
          <w:color w:val="auto"/>
          <w:highlight w:val="none"/>
        </w:rPr>
      </w:pPr>
      <w:r>
        <w:rPr>
          <w:rFonts w:hint="eastAsia"/>
          <w:color w:val="auto"/>
          <w:highlight w:val="none"/>
        </w:rPr>
        <w:t>4.2.3委托人逾期付款利息按照下列方法确定：</w:t>
      </w:r>
    </w:p>
    <w:p w14:paraId="1DA01E6D">
      <w:pPr>
        <w:ind w:firstLine="480"/>
        <w:rPr>
          <w:color w:val="auto"/>
          <w:highlight w:val="none"/>
        </w:rPr>
      </w:pPr>
      <w:r>
        <w:rPr>
          <w:rFonts w:hint="eastAsia"/>
          <w:color w:val="auto"/>
          <w:highlight w:val="none"/>
        </w:rPr>
        <w:t>逾期付款利息＝当期应付款总额×银行同期贷款利率×拖延支付天数</w:t>
      </w:r>
    </w:p>
    <w:p w14:paraId="12D96E37">
      <w:pPr>
        <w:ind w:firstLine="482"/>
        <w:rPr>
          <w:b/>
          <w:bCs/>
          <w:color w:val="auto"/>
          <w:highlight w:val="none"/>
        </w:rPr>
      </w:pPr>
      <w:r>
        <w:rPr>
          <w:rFonts w:hint="eastAsia"/>
          <w:b/>
          <w:bCs/>
          <w:color w:val="auto"/>
          <w:highlight w:val="none"/>
        </w:rPr>
        <w:t>5.支付</w:t>
      </w:r>
    </w:p>
    <w:p w14:paraId="1A746AA8">
      <w:pPr>
        <w:ind w:firstLine="480"/>
        <w:rPr>
          <w:color w:val="auto"/>
          <w:highlight w:val="none"/>
        </w:rPr>
      </w:pPr>
      <w:r>
        <w:rPr>
          <w:rFonts w:hint="eastAsia"/>
          <w:color w:val="auto"/>
          <w:highlight w:val="none"/>
        </w:rPr>
        <w:t>5.1支付货币</w:t>
      </w:r>
    </w:p>
    <w:p w14:paraId="278370A6">
      <w:pPr>
        <w:ind w:firstLine="480"/>
        <w:rPr>
          <w:color w:val="auto"/>
          <w:highlight w:val="none"/>
        </w:rPr>
      </w:pPr>
      <w:r>
        <w:rPr>
          <w:rFonts w:hint="eastAsia"/>
          <w:color w:val="auto"/>
          <w:highlight w:val="none"/>
        </w:rPr>
        <w:t>币种为：</w:t>
      </w:r>
      <w:r>
        <w:rPr>
          <w:rFonts w:hint="eastAsia"/>
          <w:color w:val="auto"/>
          <w:highlight w:val="none"/>
          <w:u w:val="single"/>
        </w:rPr>
        <w:t xml:space="preserve"> </w:t>
      </w:r>
      <w:r>
        <w:rPr>
          <w:rFonts w:hint="eastAsia"/>
          <w:color w:val="auto"/>
          <w:highlight w:val="none"/>
          <w:u w:val="single"/>
          <w:lang w:val="en-US" w:eastAsia="zh-CN"/>
        </w:rPr>
        <w:t>人民币</w:t>
      </w:r>
      <w:r>
        <w:rPr>
          <w:rFonts w:hint="eastAsia"/>
          <w:color w:val="auto"/>
          <w:highlight w:val="none"/>
          <w:u w:val="single"/>
        </w:rPr>
        <w:t xml:space="preserve"> </w:t>
      </w:r>
      <w:r>
        <w:rPr>
          <w:rFonts w:hint="eastAsia"/>
          <w:color w:val="auto"/>
          <w:highlight w:val="none"/>
        </w:rPr>
        <w:t>，比例为：</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，汇率为：</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49B2886">
      <w:pPr>
        <w:ind w:firstLine="480"/>
        <w:rPr>
          <w:color w:val="auto"/>
          <w:highlight w:val="none"/>
        </w:rPr>
      </w:pPr>
      <w:r>
        <w:rPr>
          <w:rFonts w:hint="eastAsia"/>
          <w:color w:val="auto"/>
          <w:highlight w:val="none"/>
        </w:rPr>
        <w:t>5.3支付酬金</w:t>
      </w:r>
    </w:p>
    <w:p w14:paraId="01E8255C">
      <w:pPr>
        <w:snapToGrid w:val="0"/>
        <w:ind w:firstLine="480"/>
        <w:rPr>
          <w:rFonts w:hint="eastAsia"/>
          <w:color w:val="auto"/>
          <w:highlight w:val="none"/>
          <w:u w:val="single"/>
        </w:rPr>
      </w:pPr>
      <w:r>
        <w:rPr>
          <w:rFonts w:hint="eastAsia" w:ascii="宋体" w:hAnsi="宋体"/>
          <w:color w:val="auto"/>
          <w:kern w:val="0"/>
          <w:szCs w:val="21"/>
          <w:highlight w:val="none"/>
        </w:rPr>
        <w:t>正常工作</w:t>
      </w:r>
      <w:r>
        <w:rPr>
          <w:rFonts w:hint="eastAsia" w:ascii="宋体" w:hAnsi="宋体"/>
          <w:color w:val="auto"/>
          <w:szCs w:val="21"/>
          <w:highlight w:val="none"/>
        </w:rPr>
        <w:t>酬金的</w:t>
      </w:r>
      <w:r>
        <w:rPr>
          <w:rFonts w:hint="eastAsia" w:ascii="宋体" w:hAnsi="宋体" w:cs="宋体"/>
          <w:color w:val="auto"/>
          <w:kern w:val="0"/>
          <w:szCs w:val="21"/>
          <w:highlight w:val="none"/>
        </w:rPr>
        <w:t>支付</w:t>
      </w:r>
      <w:r>
        <w:rPr>
          <w:rFonts w:hint="eastAsia" w:ascii="宋体" w:hAnsi="宋体"/>
          <w:color w:val="auto"/>
          <w:szCs w:val="21"/>
          <w:highlight w:val="none"/>
        </w:rPr>
        <w:t>：</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55877438">
      <w:pPr>
        <w:snapToGrid w:val="0"/>
        <w:ind w:firstLine="480"/>
        <w:rPr>
          <w:rFonts w:ascii="宋体" w:hAnsi="宋体"/>
          <w:b/>
          <w:bCs/>
          <w:color w:val="auto"/>
          <w:szCs w:val="21"/>
          <w:highlight w:val="none"/>
        </w:rPr>
      </w:pPr>
      <w:r>
        <w:rPr>
          <w:bCs/>
          <w:color w:val="auto"/>
          <w:szCs w:val="21"/>
          <w:highlight w:val="none"/>
        </w:rPr>
        <w:t>6</w:t>
      </w:r>
      <w:r>
        <w:rPr>
          <w:rFonts w:hint="eastAsia" w:ascii="宋体" w:hAnsi="宋体"/>
          <w:b/>
          <w:bCs/>
          <w:color w:val="auto"/>
          <w:szCs w:val="21"/>
          <w:highlight w:val="none"/>
        </w:rPr>
        <w:t>.合同生效、变更、暂停、解除与终止</w:t>
      </w:r>
    </w:p>
    <w:p w14:paraId="3892B9B3">
      <w:pPr>
        <w:ind w:firstLine="480"/>
        <w:rPr>
          <w:color w:val="auto"/>
          <w:highlight w:val="none"/>
        </w:rPr>
      </w:pPr>
      <w:r>
        <w:rPr>
          <w:rFonts w:hint="eastAsia"/>
          <w:color w:val="auto"/>
          <w:highlight w:val="none"/>
        </w:rPr>
        <w:t>6.1生效</w:t>
      </w:r>
    </w:p>
    <w:p w14:paraId="6D6F900B">
      <w:pPr>
        <w:ind w:firstLine="480"/>
        <w:rPr>
          <w:color w:val="auto"/>
          <w:highlight w:val="none"/>
        </w:rPr>
      </w:pPr>
      <w:r>
        <w:rPr>
          <w:rFonts w:hint="eastAsia"/>
          <w:color w:val="auto"/>
          <w:highlight w:val="none"/>
        </w:rPr>
        <w:t>本合同生效条件：</w:t>
      </w:r>
      <w:r>
        <w:rPr>
          <w:rFonts w:hint="eastAsia"/>
          <w:color w:val="auto"/>
          <w:highlight w:val="none"/>
          <w:u w:val="single"/>
        </w:rPr>
        <w:t xml:space="preserve"> 合同签订后生效 </w:t>
      </w:r>
      <w:r>
        <w:rPr>
          <w:rFonts w:hint="eastAsia"/>
          <w:color w:val="auto"/>
          <w:highlight w:val="none"/>
        </w:rPr>
        <w:t>。</w:t>
      </w:r>
    </w:p>
    <w:p w14:paraId="6C7D1FCA">
      <w:pPr>
        <w:ind w:firstLine="480"/>
        <w:rPr>
          <w:color w:val="auto"/>
          <w:highlight w:val="none"/>
        </w:rPr>
      </w:pPr>
      <w:r>
        <w:rPr>
          <w:rFonts w:hint="eastAsia"/>
          <w:color w:val="auto"/>
          <w:highlight w:val="none"/>
        </w:rPr>
        <w:t>6.2变更</w:t>
      </w:r>
    </w:p>
    <w:p w14:paraId="5B4147FA">
      <w:pPr>
        <w:ind w:firstLine="480"/>
        <w:rPr>
          <w:color w:val="auto"/>
          <w:highlight w:val="none"/>
        </w:rPr>
      </w:pPr>
      <w:r>
        <w:rPr>
          <w:rFonts w:hint="eastAsia"/>
          <w:color w:val="auto"/>
          <w:highlight w:val="none"/>
        </w:rPr>
        <w:t>6.2.2除不可抗力外， 因非监理人原因导致本合同期限延长时，附加工作酬金按照下列方法确定：</w:t>
      </w:r>
    </w:p>
    <w:p w14:paraId="1E95D15A">
      <w:pPr>
        <w:ind w:firstLine="480"/>
        <w:rPr>
          <w:color w:val="auto"/>
          <w:highlight w:val="none"/>
        </w:rPr>
      </w:pPr>
      <w:r>
        <w:rPr>
          <w:rFonts w:hint="eastAsia"/>
          <w:color w:val="auto"/>
          <w:highlight w:val="none"/>
        </w:rPr>
        <w:t>附加工作酬金=本合同期限延长时间（天）×正常工作酬金÷协议书约定的监理与相关服务期限（天）</w:t>
      </w:r>
    </w:p>
    <w:p w14:paraId="3EC988D5">
      <w:pPr>
        <w:ind w:firstLine="480"/>
        <w:rPr>
          <w:color w:val="auto"/>
          <w:highlight w:val="none"/>
        </w:rPr>
      </w:pPr>
      <w:r>
        <w:rPr>
          <w:rFonts w:hint="eastAsia"/>
          <w:color w:val="auto"/>
          <w:highlight w:val="none"/>
        </w:rPr>
        <w:t>6.2.3附加工作酬金按照下列方法确定：</w:t>
      </w:r>
    </w:p>
    <w:p w14:paraId="594E8D3B">
      <w:pPr>
        <w:ind w:firstLine="480"/>
        <w:rPr>
          <w:color w:val="auto"/>
          <w:highlight w:val="none"/>
        </w:rPr>
      </w:pPr>
      <w:r>
        <w:rPr>
          <w:rFonts w:hint="eastAsia"/>
          <w:color w:val="auto"/>
          <w:highlight w:val="none"/>
        </w:rPr>
        <w:t>附加工作酬金=善后工作及恢复服务的准备工作时间（天）×正常工作酬金÷协议书约定的监理与相关服务期限（天）</w:t>
      </w:r>
    </w:p>
    <w:p w14:paraId="2F37E4BC">
      <w:pPr>
        <w:ind w:firstLine="480"/>
        <w:rPr>
          <w:color w:val="auto"/>
          <w:highlight w:val="none"/>
        </w:rPr>
      </w:pPr>
      <w:r>
        <w:rPr>
          <w:rFonts w:hint="eastAsia"/>
          <w:color w:val="auto"/>
          <w:highlight w:val="none"/>
        </w:rPr>
        <w:t xml:space="preserve">6.2.5正常工作酬金增加额按照下列方法确定： </w:t>
      </w:r>
    </w:p>
    <w:p w14:paraId="3DB3EA43">
      <w:pPr>
        <w:ind w:firstLine="480"/>
        <w:rPr>
          <w:color w:val="auto"/>
          <w:highlight w:val="none"/>
        </w:rPr>
      </w:pPr>
      <w:r>
        <w:rPr>
          <w:rFonts w:hint="eastAsia"/>
          <w:color w:val="auto"/>
          <w:highlight w:val="none"/>
        </w:rPr>
        <w:t>正常工作酬金增加额=工程投资额或建筑安装工程费增加额×正常工作酬金÷工程概算投资额（或建筑安装工程费）</w:t>
      </w:r>
    </w:p>
    <w:p w14:paraId="63DB3910">
      <w:pPr>
        <w:ind w:firstLine="480"/>
        <w:rPr>
          <w:color w:val="auto"/>
          <w:highlight w:val="none"/>
        </w:rPr>
      </w:pPr>
      <w:r>
        <w:rPr>
          <w:rFonts w:hint="eastAsia"/>
          <w:color w:val="auto"/>
          <w:highlight w:val="none"/>
        </w:rPr>
        <w:t>6.2.6因工程规模、监理范围的变化导致监理人的正常工作量减少时，按照减少工作量的比例从协议书约定的正常工作酬金中扣减相同比例的酬金。</w:t>
      </w:r>
    </w:p>
    <w:p w14:paraId="68FF07AF">
      <w:pPr>
        <w:snapToGrid w:val="0"/>
        <w:ind w:firstLine="482"/>
        <w:rPr>
          <w:rFonts w:ascii="宋体" w:hAnsi="宋体"/>
          <w:b/>
          <w:color w:val="auto"/>
          <w:szCs w:val="21"/>
          <w:highlight w:val="none"/>
        </w:rPr>
      </w:pPr>
      <w:r>
        <w:rPr>
          <w:b/>
          <w:bCs/>
          <w:color w:val="auto"/>
          <w:szCs w:val="21"/>
          <w:highlight w:val="none"/>
        </w:rPr>
        <w:t>7</w:t>
      </w:r>
      <w:r>
        <w:rPr>
          <w:rFonts w:hint="eastAsia" w:ascii="宋体" w:hAnsi="宋体"/>
          <w:b/>
          <w:bCs/>
          <w:color w:val="auto"/>
          <w:szCs w:val="21"/>
          <w:highlight w:val="none"/>
        </w:rPr>
        <w:t>.争议解决</w:t>
      </w:r>
    </w:p>
    <w:p w14:paraId="05C8EA74">
      <w:pPr>
        <w:ind w:firstLine="480"/>
        <w:rPr>
          <w:color w:val="auto"/>
          <w:highlight w:val="none"/>
        </w:rPr>
      </w:pPr>
      <w:r>
        <w:rPr>
          <w:rFonts w:hint="eastAsia"/>
          <w:color w:val="auto"/>
          <w:highlight w:val="none"/>
        </w:rPr>
        <w:t>7.2 调解</w:t>
      </w:r>
    </w:p>
    <w:p w14:paraId="01896BDE">
      <w:pPr>
        <w:ind w:firstLine="480"/>
        <w:rPr>
          <w:color w:val="auto"/>
          <w:highlight w:val="none"/>
        </w:rPr>
      </w:pP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138F4597">
      <w:pPr>
        <w:ind w:firstLine="480"/>
        <w:rPr>
          <w:color w:val="auto"/>
          <w:highlight w:val="none"/>
        </w:rPr>
      </w:pPr>
      <w:r>
        <w:rPr>
          <w:rFonts w:hint="eastAsia"/>
          <w:color w:val="auto"/>
          <w:highlight w:val="none"/>
        </w:rPr>
        <w:t>7.3 仲裁或诉讼</w:t>
      </w:r>
    </w:p>
    <w:p w14:paraId="26FCB129">
      <w:pPr>
        <w:ind w:firstLine="480"/>
        <w:rPr>
          <w:color w:val="auto"/>
          <w:highlight w:val="none"/>
        </w:rPr>
      </w:pP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0F87E48A">
      <w:pPr>
        <w:adjustRightInd w:val="0"/>
        <w:snapToGrid w:val="0"/>
        <w:ind w:firstLine="482"/>
        <w:rPr>
          <w:rFonts w:ascii="宋体" w:hAnsi="宋体"/>
          <w:b/>
          <w:bCs/>
          <w:color w:val="auto"/>
          <w:szCs w:val="21"/>
          <w:highlight w:val="none"/>
        </w:rPr>
      </w:pPr>
      <w:r>
        <w:rPr>
          <w:b/>
          <w:bCs/>
          <w:color w:val="auto"/>
          <w:szCs w:val="21"/>
          <w:highlight w:val="none"/>
        </w:rPr>
        <w:t>8</w:t>
      </w:r>
      <w:r>
        <w:rPr>
          <w:rFonts w:hint="eastAsia" w:ascii="宋体" w:hAnsi="宋体"/>
          <w:b/>
          <w:bCs/>
          <w:color w:val="auto"/>
          <w:szCs w:val="21"/>
          <w:highlight w:val="none"/>
        </w:rPr>
        <w:t>.其他</w:t>
      </w:r>
    </w:p>
    <w:p w14:paraId="14E859E9">
      <w:pPr>
        <w:ind w:firstLine="480"/>
        <w:rPr>
          <w:color w:val="auto"/>
          <w:highlight w:val="none"/>
        </w:rPr>
      </w:pPr>
      <w:r>
        <w:rPr>
          <w:rFonts w:hint="eastAsia"/>
          <w:color w:val="auto"/>
          <w:highlight w:val="none"/>
        </w:rPr>
        <w:t>8.2检测费用</w:t>
      </w:r>
    </w:p>
    <w:p w14:paraId="0FAB5743">
      <w:pPr>
        <w:ind w:firstLine="480"/>
        <w:rPr>
          <w:color w:val="auto"/>
          <w:highlight w:val="none"/>
        </w:rPr>
      </w:pP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4BEFDAF1">
      <w:pPr>
        <w:ind w:firstLine="480"/>
        <w:rPr>
          <w:color w:val="auto"/>
          <w:highlight w:val="none"/>
        </w:rPr>
      </w:pPr>
      <w:r>
        <w:rPr>
          <w:rFonts w:hint="eastAsia"/>
          <w:color w:val="auto"/>
          <w:highlight w:val="none"/>
        </w:rPr>
        <w:t>8.3咨询费用</w:t>
      </w:r>
    </w:p>
    <w:p w14:paraId="31C8F4A8">
      <w:pPr>
        <w:ind w:firstLine="480"/>
        <w:rPr>
          <w:color w:val="auto"/>
          <w:highlight w:val="none"/>
        </w:rPr>
      </w:pP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5E0F8D5C">
      <w:pPr>
        <w:ind w:firstLine="480"/>
        <w:rPr>
          <w:color w:val="auto"/>
          <w:highlight w:val="none"/>
        </w:rPr>
      </w:pPr>
      <w:r>
        <w:rPr>
          <w:rFonts w:hint="eastAsia"/>
          <w:color w:val="auto"/>
          <w:highlight w:val="none"/>
        </w:rPr>
        <w:t>8.4奖励</w:t>
      </w:r>
    </w:p>
    <w:p w14:paraId="26142ECA">
      <w:pPr>
        <w:ind w:firstLine="480"/>
        <w:rPr>
          <w:color w:val="auto"/>
          <w:highlight w:val="none"/>
        </w:rPr>
      </w:pPr>
      <w:r>
        <w:rPr>
          <w:rFonts w:hint="eastAsia"/>
          <w:color w:val="auto"/>
          <w:highlight w:val="none"/>
        </w:rPr>
        <w:t>合理化建议的奖励金额按照下列方法确定为：</w:t>
      </w:r>
    </w:p>
    <w:p w14:paraId="36C58F59">
      <w:pPr>
        <w:ind w:firstLine="480"/>
        <w:rPr>
          <w:color w:val="auto"/>
          <w:highlight w:val="none"/>
        </w:rPr>
      </w:pP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12277146">
      <w:pPr>
        <w:ind w:firstLine="480"/>
        <w:rPr>
          <w:color w:val="auto"/>
          <w:highlight w:val="none"/>
        </w:rPr>
      </w:pPr>
      <w:r>
        <w:rPr>
          <w:rFonts w:hint="eastAsia"/>
          <w:color w:val="auto"/>
          <w:highlight w:val="none"/>
        </w:rPr>
        <w:t>8.6保密</w:t>
      </w:r>
    </w:p>
    <w:p w14:paraId="3D092B7C">
      <w:pPr>
        <w:ind w:firstLine="480"/>
        <w:rPr>
          <w:color w:val="auto"/>
          <w:highlight w:val="none"/>
        </w:rPr>
      </w:pP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525AB59C">
      <w:pPr>
        <w:ind w:firstLine="480"/>
        <w:rPr>
          <w:color w:val="auto"/>
          <w:highlight w:val="none"/>
        </w:rPr>
      </w:pPr>
      <w:r>
        <w:rPr>
          <w:rFonts w:hint="eastAsia"/>
          <w:color w:val="auto"/>
          <w:highlight w:val="none"/>
        </w:rPr>
        <w:t>8.8著作权</w:t>
      </w:r>
    </w:p>
    <w:p w14:paraId="30039315">
      <w:pPr>
        <w:ind w:firstLine="480"/>
        <w:rPr>
          <w:color w:val="auto"/>
          <w:highlight w:val="none"/>
        </w:rPr>
      </w:pPr>
      <w:r>
        <w:rPr>
          <w:rFonts w:hint="eastAsia"/>
          <w:color w:val="auto"/>
          <w:highlight w:val="none"/>
        </w:rPr>
        <w:t>监理人在本合同履行期间及本合同终止后两年内出版涉及本工程的有关监理与相关服务的资料的限制条件：</w:t>
      </w:r>
      <w:r>
        <w:rPr>
          <w:rFonts w:hint="eastAsia"/>
          <w:color w:val="auto"/>
          <w:highlight w:val="none"/>
          <w:u w:val="single"/>
        </w:rPr>
        <w:t xml:space="preserve">    报建设单位同意            </w:t>
      </w:r>
      <w:r>
        <w:rPr>
          <w:rFonts w:hint="eastAsia"/>
          <w:color w:val="auto"/>
          <w:highlight w:val="none"/>
        </w:rPr>
        <w:t>。</w:t>
      </w:r>
    </w:p>
    <w:p w14:paraId="453688F1">
      <w:pPr>
        <w:ind w:firstLine="482"/>
        <w:rPr>
          <w:color w:val="auto"/>
          <w:highlight w:val="none"/>
        </w:rPr>
      </w:pPr>
      <w:r>
        <w:rPr>
          <w:rFonts w:hint="eastAsia"/>
          <w:b/>
          <w:bCs/>
          <w:color w:val="auto"/>
          <w:highlight w:val="none"/>
        </w:rPr>
        <w:t>9.补充条款</w:t>
      </w:r>
      <w:r>
        <w:rPr>
          <w:rFonts w:hint="eastAsia"/>
          <w:color w:val="auto"/>
          <w:highlight w:val="none"/>
        </w:rPr>
        <w:t xml:space="preserve"> </w:t>
      </w:r>
      <w:r>
        <w:rPr>
          <w:rFonts w:hint="eastAsia"/>
          <w:color w:val="auto"/>
          <w:highlight w:val="none"/>
          <w:u w:val="single"/>
        </w:rPr>
        <w:t>见《</w:t>
      </w:r>
      <w:r>
        <w:rPr>
          <w:color w:val="auto"/>
          <w:highlight w:val="none"/>
          <w:u w:val="single"/>
        </w:rPr>
        <w:t>专用合同条款数据表</w:t>
      </w:r>
      <w:r>
        <w:rPr>
          <w:rFonts w:hint="eastAsia"/>
          <w:color w:val="auto"/>
          <w:highlight w:val="none"/>
          <w:u w:val="single"/>
        </w:rPr>
        <w:t>》</w:t>
      </w:r>
      <w:r>
        <w:rPr>
          <w:rFonts w:hint="eastAsia"/>
          <w:color w:val="auto"/>
          <w:highlight w:val="none"/>
          <w:u w:val="single"/>
          <w:lang w:val="en-US" w:eastAsia="zh-CN"/>
        </w:rPr>
        <w:t xml:space="preserve"> </w:t>
      </w:r>
      <w:r>
        <w:rPr>
          <w:rFonts w:hint="eastAsia"/>
          <w:color w:val="auto"/>
          <w:highlight w:val="none"/>
        </w:rPr>
        <w:t>。</w:t>
      </w:r>
    </w:p>
    <w:p w14:paraId="7EF18D5A">
      <w:pPr>
        <w:adjustRightInd w:val="0"/>
        <w:snapToGrid w:val="0"/>
        <w:ind w:firstLine="241" w:firstLineChars="100"/>
        <w:jc w:val="center"/>
        <w:rPr>
          <w:rFonts w:ascii="宋体" w:hAnsi="宋体"/>
          <w:b/>
          <w:bCs/>
          <w:color w:val="auto"/>
          <w:szCs w:val="21"/>
          <w:highlight w:val="none"/>
        </w:rPr>
      </w:pPr>
      <w:r>
        <w:rPr>
          <w:rFonts w:hint="eastAsia" w:ascii="宋体" w:hAnsi="宋体"/>
          <w:b/>
          <w:bCs/>
          <w:color w:val="auto"/>
          <w:szCs w:val="21"/>
          <w:highlight w:val="none"/>
        </w:rPr>
        <w:br w:type="page"/>
      </w:r>
      <w:r>
        <w:rPr>
          <w:rFonts w:hint="eastAsia" w:ascii="宋体" w:hAnsi="宋体"/>
          <w:b/>
          <w:bCs/>
          <w:color w:val="auto"/>
          <w:szCs w:val="21"/>
          <w:highlight w:val="none"/>
        </w:rPr>
        <w:t>附录</w:t>
      </w:r>
    </w:p>
    <w:p w14:paraId="59CF3478">
      <w:pPr>
        <w:ind w:firstLine="480"/>
        <w:rPr>
          <w:color w:val="auto"/>
          <w:highlight w:val="none"/>
        </w:rPr>
      </w:pPr>
      <w:r>
        <w:rPr>
          <w:rFonts w:hint="eastAsia"/>
          <w:color w:val="auto"/>
          <w:highlight w:val="none"/>
        </w:rPr>
        <w:t>附件A：相关服务的范围和内容</w:t>
      </w:r>
    </w:p>
    <w:p w14:paraId="3B522758">
      <w:pPr>
        <w:ind w:firstLine="480"/>
        <w:rPr>
          <w:color w:val="auto"/>
          <w:highlight w:val="none"/>
        </w:rPr>
      </w:pPr>
      <w:r>
        <w:rPr>
          <w:rFonts w:hint="eastAsia"/>
          <w:color w:val="auto"/>
          <w:highlight w:val="none"/>
        </w:rPr>
        <w:t>附件B：委托人派遣的人员和提供的房屋、资料、设备</w:t>
      </w:r>
    </w:p>
    <w:p w14:paraId="42C3A250">
      <w:pPr>
        <w:ind w:firstLine="480"/>
        <w:rPr>
          <w:color w:val="auto"/>
          <w:highlight w:val="none"/>
        </w:rPr>
      </w:pPr>
      <w:r>
        <w:rPr>
          <w:rFonts w:hint="eastAsia"/>
          <w:color w:val="auto"/>
          <w:highlight w:val="none"/>
        </w:rPr>
        <w:t>附件C：廉政协议</w:t>
      </w:r>
    </w:p>
    <w:p w14:paraId="7260E567">
      <w:pPr>
        <w:ind w:firstLine="480"/>
        <w:rPr>
          <w:color w:val="auto"/>
          <w:highlight w:val="none"/>
        </w:rPr>
      </w:pPr>
      <w:r>
        <w:rPr>
          <w:rFonts w:hint="eastAsia"/>
          <w:color w:val="auto"/>
          <w:highlight w:val="none"/>
        </w:rPr>
        <w:t>附件D：履约保证金格式</w:t>
      </w:r>
    </w:p>
    <w:p w14:paraId="373C3B7C">
      <w:pPr>
        <w:ind w:firstLine="480"/>
        <w:rPr>
          <w:rFonts w:ascii="黑体" w:hAnsi="黑体" w:eastAsia="黑体"/>
          <w:bCs/>
          <w:color w:val="auto"/>
          <w:highlight w:val="none"/>
        </w:rPr>
      </w:pPr>
      <w:r>
        <w:rPr>
          <w:rFonts w:hint="eastAsia"/>
          <w:color w:val="auto"/>
          <w:highlight w:val="none"/>
        </w:rPr>
        <w:t>附件E：总监理工程师质量终身责任承诺</w:t>
      </w:r>
      <w:bookmarkStart w:id="407" w:name="_Toc144974831"/>
      <w:bookmarkEnd w:id="407"/>
      <w:bookmarkStart w:id="408" w:name="_Toc491798523"/>
    </w:p>
    <w:p w14:paraId="5590ADF9">
      <w:pPr>
        <w:pStyle w:val="7"/>
        <w:spacing w:before="240" w:after="240"/>
        <w:ind w:firstLine="118"/>
        <w:rPr>
          <w:rFonts w:hint="eastAsia"/>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p>
    <w:p w14:paraId="6198A34F">
      <w:pPr>
        <w:pStyle w:val="7"/>
        <w:spacing w:before="240" w:after="240"/>
        <w:ind w:firstLine="118"/>
        <w:rPr>
          <w:color w:val="auto"/>
          <w:highlight w:val="none"/>
        </w:rPr>
      </w:pPr>
      <w:r>
        <w:rPr>
          <w:rFonts w:hint="eastAsia"/>
          <w:color w:val="auto"/>
          <w:highlight w:val="none"/>
        </w:rPr>
        <w:t>附录A：相关服务的范围和内容</w:t>
      </w:r>
    </w:p>
    <w:p w14:paraId="23F2F4A8">
      <w:pPr>
        <w:snapToGrid w:val="0"/>
        <w:spacing w:before="120" w:beforeLines="50" w:after="120" w:afterLines="50"/>
        <w:ind w:firstLine="964" w:firstLineChars="400"/>
        <w:jc w:val="center"/>
        <w:rPr>
          <w:rFonts w:ascii="仿宋_GB2312" w:eastAsia="仿宋_GB2312"/>
          <w:color w:val="auto"/>
          <w:kern w:val="0"/>
          <w:sz w:val="32"/>
          <w:szCs w:val="32"/>
          <w:highlight w:val="none"/>
        </w:rPr>
      </w:pPr>
      <w:r>
        <w:rPr>
          <w:rFonts w:hint="eastAsia" w:ascii="宋体" w:hAnsi="宋体"/>
          <w:b/>
          <w:bCs/>
          <w:color w:val="auto"/>
          <w:kern w:val="0"/>
          <w:szCs w:val="24"/>
          <w:highlight w:val="none"/>
        </w:rPr>
        <w:t>相关服务的范围和内容</w:t>
      </w:r>
    </w:p>
    <w:p w14:paraId="327BA824">
      <w:pPr>
        <w:ind w:firstLine="480"/>
        <w:rPr>
          <w:color w:val="auto"/>
          <w:highlight w:val="none"/>
        </w:rPr>
      </w:pPr>
      <w:r>
        <w:rPr>
          <w:color w:val="auto"/>
          <w:highlight w:val="none"/>
        </w:rPr>
        <w:t>A-1</w:t>
      </w:r>
      <w:r>
        <w:rPr>
          <w:rFonts w:hint="eastAsia"/>
          <w:color w:val="auto"/>
          <w:highlight w:val="none"/>
        </w:rPr>
        <w:t>勘察阶段：</w:t>
      </w:r>
      <w:r>
        <w:rPr>
          <w:rFonts w:hint="eastAsia"/>
          <w:color w:val="auto"/>
          <w:highlight w:val="none"/>
          <w:u w:val="single"/>
        </w:rPr>
        <w:t xml:space="preserve">                               </w:t>
      </w:r>
      <w:r>
        <w:rPr>
          <w:rFonts w:hint="eastAsia"/>
          <w:color w:val="auto"/>
          <w:highlight w:val="none"/>
        </w:rPr>
        <w:t>。</w:t>
      </w:r>
    </w:p>
    <w:p w14:paraId="765DB0E0">
      <w:pPr>
        <w:ind w:firstLine="480"/>
        <w:rPr>
          <w:color w:val="auto"/>
          <w:highlight w:val="none"/>
        </w:rPr>
      </w:pPr>
      <w:r>
        <w:rPr>
          <w:color w:val="auto"/>
          <w:highlight w:val="none"/>
        </w:rPr>
        <w:t>A-2</w:t>
      </w:r>
      <w:r>
        <w:rPr>
          <w:rFonts w:hint="eastAsia"/>
          <w:color w:val="auto"/>
          <w:highlight w:val="none"/>
        </w:rPr>
        <w:t>设计阶段：</w:t>
      </w:r>
      <w:r>
        <w:rPr>
          <w:rFonts w:hint="eastAsia"/>
          <w:color w:val="auto"/>
          <w:highlight w:val="none"/>
          <w:u w:val="single"/>
        </w:rPr>
        <w:t xml:space="preserve">                         </w:t>
      </w:r>
      <w:r>
        <w:rPr>
          <w:rFonts w:hint="eastAsia"/>
          <w:color w:val="auto"/>
          <w:highlight w:val="none"/>
        </w:rPr>
        <w:t>。</w:t>
      </w:r>
    </w:p>
    <w:p w14:paraId="54E7D974">
      <w:pPr>
        <w:ind w:firstLine="480"/>
        <w:rPr>
          <w:color w:val="auto"/>
          <w:highlight w:val="none"/>
        </w:rPr>
      </w:pPr>
      <w:r>
        <w:rPr>
          <w:color w:val="auto"/>
          <w:highlight w:val="none"/>
        </w:rPr>
        <w:t>A-3</w:t>
      </w:r>
      <w:r>
        <w:rPr>
          <w:rFonts w:hint="eastAsia"/>
          <w:color w:val="auto"/>
          <w:highlight w:val="none"/>
        </w:rPr>
        <w:t>保修阶段：</w:t>
      </w:r>
      <w:r>
        <w:rPr>
          <w:rFonts w:hint="eastAsia"/>
          <w:color w:val="auto"/>
          <w:highlight w:val="none"/>
          <w:u w:val="single"/>
        </w:rPr>
        <w:t xml:space="preserve">                       </w:t>
      </w:r>
      <w:r>
        <w:rPr>
          <w:rFonts w:hint="eastAsia"/>
          <w:color w:val="auto"/>
          <w:highlight w:val="none"/>
        </w:rPr>
        <w:t>。</w:t>
      </w:r>
    </w:p>
    <w:p w14:paraId="41161338">
      <w:pPr>
        <w:ind w:firstLine="480"/>
        <w:rPr>
          <w:rFonts w:ascii="黑体" w:hAnsi="黑体" w:eastAsia="黑体"/>
          <w:bCs/>
          <w:color w:val="auto"/>
          <w:highlight w:val="none"/>
        </w:rPr>
      </w:pPr>
      <w:r>
        <w:rPr>
          <w:color w:val="auto"/>
          <w:highlight w:val="none"/>
        </w:rPr>
        <w:t>A-4</w:t>
      </w:r>
      <w:r>
        <w:rPr>
          <w:rFonts w:hint="eastAsia"/>
          <w:color w:val="auto"/>
          <w:highlight w:val="none"/>
        </w:rPr>
        <w:t>其他（专业技术咨询、外部协调工作等）：</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0777B2E3">
      <w:pPr>
        <w:pStyle w:val="7"/>
        <w:spacing w:before="240" w:after="240"/>
        <w:ind w:firstLine="118"/>
        <w:rPr>
          <w:rFonts w:hint="eastAsia"/>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p>
    <w:p w14:paraId="434CBDB9">
      <w:pPr>
        <w:pStyle w:val="7"/>
        <w:spacing w:before="240" w:after="240"/>
        <w:ind w:firstLine="118"/>
        <w:rPr>
          <w:color w:val="auto"/>
          <w:highlight w:val="none"/>
        </w:rPr>
      </w:pPr>
      <w:r>
        <w:rPr>
          <w:rFonts w:hint="eastAsia"/>
          <w:color w:val="auto"/>
          <w:highlight w:val="none"/>
        </w:rPr>
        <w:t>附录B：委托人派遣的人员和提供的房屋、资料、设备</w:t>
      </w:r>
    </w:p>
    <w:p w14:paraId="13D2863D">
      <w:pPr>
        <w:spacing w:before="120" w:beforeLines="50"/>
        <w:ind w:firstLine="482"/>
        <w:jc w:val="center"/>
        <w:rPr>
          <w:rFonts w:ascii="仿宋_GB2312" w:eastAsia="仿宋_GB2312"/>
          <w:b/>
          <w:color w:val="auto"/>
          <w:kern w:val="0"/>
          <w:szCs w:val="24"/>
          <w:highlight w:val="none"/>
        </w:rPr>
      </w:pPr>
      <w:r>
        <w:rPr>
          <w:rFonts w:hint="eastAsia" w:ascii="宋体" w:hAnsi="宋体"/>
          <w:b/>
          <w:bCs/>
          <w:color w:val="auto"/>
          <w:kern w:val="0"/>
          <w:szCs w:val="24"/>
          <w:highlight w:val="none"/>
        </w:rPr>
        <w:t>委托人派遣的人员和提供的房屋、资料、设备</w:t>
      </w:r>
    </w:p>
    <w:p w14:paraId="135A8F3E">
      <w:pPr>
        <w:spacing w:before="120" w:beforeLines="50"/>
        <w:ind w:firstLine="482"/>
        <w:rPr>
          <w:rFonts w:ascii="宋体" w:hAnsi="宋体"/>
          <w:b/>
          <w:color w:val="auto"/>
          <w:kern w:val="0"/>
          <w:szCs w:val="21"/>
          <w:highlight w:val="none"/>
        </w:rPr>
      </w:pPr>
      <w:r>
        <w:rPr>
          <w:rFonts w:ascii="宋体" w:hAnsi="宋体"/>
          <w:b/>
          <w:color w:val="auto"/>
          <w:kern w:val="0"/>
          <w:szCs w:val="21"/>
          <w:highlight w:val="none"/>
        </w:rPr>
        <w:t xml:space="preserve">B-1 </w:t>
      </w:r>
      <w:r>
        <w:rPr>
          <w:rFonts w:hint="eastAsia" w:ascii="宋体" w:hAnsi="宋体"/>
          <w:b/>
          <w:color w:val="auto"/>
          <w:kern w:val="0"/>
          <w:szCs w:val="21"/>
          <w:highlight w:val="none"/>
        </w:rPr>
        <w:t>委托人派遣的人员</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2133"/>
        <w:gridCol w:w="2130"/>
        <w:gridCol w:w="1860"/>
      </w:tblGrid>
      <w:tr w14:paraId="52EA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14:paraId="225DD916">
            <w:pPr>
              <w:ind w:firstLine="482"/>
              <w:jc w:val="center"/>
              <w:rPr>
                <w:rFonts w:ascii="宋体" w:hAnsi="宋体"/>
                <w:b/>
                <w:bCs/>
                <w:color w:val="auto"/>
                <w:szCs w:val="21"/>
                <w:highlight w:val="none"/>
              </w:rPr>
            </w:pPr>
            <w:r>
              <w:rPr>
                <w:rFonts w:hint="eastAsia" w:ascii="宋体" w:hAnsi="宋体"/>
                <w:b/>
                <w:bCs/>
                <w:color w:val="auto"/>
                <w:szCs w:val="21"/>
                <w:highlight w:val="none"/>
              </w:rPr>
              <w:t>名称</w:t>
            </w:r>
          </w:p>
        </w:tc>
        <w:tc>
          <w:tcPr>
            <w:tcW w:w="2133" w:type="dxa"/>
            <w:noWrap w:val="0"/>
            <w:vAlign w:val="top"/>
          </w:tcPr>
          <w:p w14:paraId="54C6E6F0">
            <w:pPr>
              <w:ind w:firstLine="482"/>
              <w:jc w:val="center"/>
              <w:rPr>
                <w:rFonts w:ascii="宋体" w:hAnsi="宋体"/>
                <w:b/>
                <w:bCs/>
                <w:color w:val="auto"/>
                <w:szCs w:val="21"/>
                <w:highlight w:val="none"/>
              </w:rPr>
            </w:pPr>
            <w:r>
              <w:rPr>
                <w:rFonts w:hint="eastAsia" w:ascii="宋体" w:hAnsi="宋体"/>
                <w:b/>
                <w:bCs/>
                <w:color w:val="auto"/>
                <w:szCs w:val="21"/>
                <w:highlight w:val="none"/>
              </w:rPr>
              <w:t>数量</w:t>
            </w:r>
          </w:p>
        </w:tc>
        <w:tc>
          <w:tcPr>
            <w:tcW w:w="2130" w:type="dxa"/>
            <w:noWrap w:val="0"/>
            <w:vAlign w:val="top"/>
          </w:tcPr>
          <w:p w14:paraId="683ADF52">
            <w:pPr>
              <w:ind w:firstLine="482"/>
              <w:jc w:val="center"/>
              <w:rPr>
                <w:rFonts w:ascii="宋体" w:hAnsi="宋体"/>
                <w:b/>
                <w:bCs/>
                <w:color w:val="auto"/>
                <w:szCs w:val="21"/>
                <w:highlight w:val="none"/>
              </w:rPr>
            </w:pPr>
            <w:r>
              <w:rPr>
                <w:rFonts w:hint="eastAsia" w:ascii="宋体" w:hAnsi="宋体"/>
                <w:b/>
                <w:bCs/>
                <w:color w:val="auto"/>
                <w:szCs w:val="21"/>
                <w:highlight w:val="none"/>
              </w:rPr>
              <w:t>工作要求</w:t>
            </w:r>
          </w:p>
        </w:tc>
        <w:tc>
          <w:tcPr>
            <w:tcW w:w="1860" w:type="dxa"/>
            <w:noWrap w:val="0"/>
            <w:vAlign w:val="top"/>
          </w:tcPr>
          <w:p w14:paraId="088DE889">
            <w:pPr>
              <w:ind w:firstLine="482"/>
              <w:jc w:val="center"/>
              <w:rPr>
                <w:rFonts w:ascii="宋体" w:hAnsi="宋体"/>
                <w:b/>
                <w:bCs/>
                <w:color w:val="auto"/>
                <w:szCs w:val="21"/>
                <w:highlight w:val="none"/>
              </w:rPr>
            </w:pPr>
            <w:r>
              <w:rPr>
                <w:rFonts w:hint="eastAsia" w:ascii="宋体" w:hAnsi="宋体"/>
                <w:b/>
                <w:bCs/>
                <w:color w:val="auto"/>
                <w:szCs w:val="21"/>
                <w:highlight w:val="none"/>
              </w:rPr>
              <w:t>提供时间</w:t>
            </w:r>
          </w:p>
        </w:tc>
      </w:tr>
      <w:tr w14:paraId="0154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14:paraId="6E3C43D5">
            <w:pPr>
              <w:ind w:firstLine="480"/>
              <w:jc w:val="left"/>
              <w:rPr>
                <w:rFonts w:ascii="宋体" w:hAnsi="宋体"/>
                <w:color w:val="auto"/>
                <w:szCs w:val="21"/>
                <w:highlight w:val="none"/>
              </w:rPr>
            </w:pPr>
            <w:r>
              <w:rPr>
                <w:rFonts w:hint="eastAsia" w:ascii="宋体" w:hAnsi="宋体"/>
                <w:color w:val="auto"/>
                <w:szCs w:val="21"/>
                <w:highlight w:val="none"/>
              </w:rPr>
              <w:t>1.工程技术人员</w:t>
            </w:r>
          </w:p>
        </w:tc>
        <w:tc>
          <w:tcPr>
            <w:tcW w:w="2133" w:type="dxa"/>
            <w:noWrap w:val="0"/>
            <w:vAlign w:val="top"/>
          </w:tcPr>
          <w:p w14:paraId="19BC2E72">
            <w:pPr>
              <w:ind w:firstLine="480"/>
              <w:jc w:val="center"/>
              <w:rPr>
                <w:rFonts w:ascii="宋体" w:hAnsi="宋体"/>
                <w:color w:val="auto"/>
                <w:szCs w:val="21"/>
                <w:highlight w:val="none"/>
              </w:rPr>
            </w:pPr>
          </w:p>
        </w:tc>
        <w:tc>
          <w:tcPr>
            <w:tcW w:w="2130" w:type="dxa"/>
            <w:noWrap w:val="0"/>
            <w:vAlign w:val="top"/>
          </w:tcPr>
          <w:p w14:paraId="0FD38CD1">
            <w:pPr>
              <w:ind w:firstLine="480"/>
              <w:jc w:val="center"/>
              <w:rPr>
                <w:rFonts w:ascii="宋体" w:hAnsi="宋体"/>
                <w:color w:val="auto"/>
                <w:szCs w:val="21"/>
                <w:highlight w:val="none"/>
              </w:rPr>
            </w:pPr>
          </w:p>
        </w:tc>
        <w:tc>
          <w:tcPr>
            <w:tcW w:w="1860" w:type="dxa"/>
            <w:noWrap w:val="0"/>
            <w:vAlign w:val="top"/>
          </w:tcPr>
          <w:p w14:paraId="0A70D8A3">
            <w:pPr>
              <w:ind w:firstLine="480"/>
              <w:jc w:val="center"/>
              <w:rPr>
                <w:rFonts w:ascii="宋体" w:hAnsi="宋体"/>
                <w:color w:val="auto"/>
                <w:szCs w:val="21"/>
                <w:highlight w:val="none"/>
              </w:rPr>
            </w:pPr>
          </w:p>
        </w:tc>
      </w:tr>
      <w:tr w14:paraId="3824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14:paraId="7BA7FE3A">
            <w:pPr>
              <w:ind w:firstLine="48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辅助工作人员</w:t>
            </w:r>
          </w:p>
        </w:tc>
        <w:tc>
          <w:tcPr>
            <w:tcW w:w="2133" w:type="dxa"/>
            <w:noWrap w:val="0"/>
            <w:vAlign w:val="top"/>
          </w:tcPr>
          <w:p w14:paraId="6E88A308">
            <w:pPr>
              <w:ind w:firstLine="480"/>
              <w:jc w:val="center"/>
              <w:rPr>
                <w:rFonts w:ascii="宋体" w:hAnsi="宋体"/>
                <w:color w:val="auto"/>
                <w:szCs w:val="21"/>
                <w:highlight w:val="none"/>
              </w:rPr>
            </w:pPr>
          </w:p>
        </w:tc>
        <w:tc>
          <w:tcPr>
            <w:tcW w:w="2130" w:type="dxa"/>
            <w:noWrap w:val="0"/>
            <w:vAlign w:val="top"/>
          </w:tcPr>
          <w:p w14:paraId="4BDE2934">
            <w:pPr>
              <w:ind w:firstLine="480"/>
              <w:jc w:val="center"/>
              <w:rPr>
                <w:rFonts w:ascii="宋体" w:hAnsi="宋体"/>
                <w:color w:val="auto"/>
                <w:szCs w:val="21"/>
                <w:highlight w:val="none"/>
              </w:rPr>
            </w:pPr>
          </w:p>
        </w:tc>
        <w:tc>
          <w:tcPr>
            <w:tcW w:w="1860" w:type="dxa"/>
            <w:noWrap w:val="0"/>
            <w:vAlign w:val="top"/>
          </w:tcPr>
          <w:p w14:paraId="6CCC559B">
            <w:pPr>
              <w:ind w:firstLine="480"/>
              <w:jc w:val="center"/>
              <w:rPr>
                <w:rFonts w:ascii="宋体" w:hAnsi="宋体"/>
                <w:color w:val="auto"/>
                <w:szCs w:val="21"/>
                <w:highlight w:val="none"/>
              </w:rPr>
            </w:pPr>
          </w:p>
        </w:tc>
      </w:tr>
      <w:tr w14:paraId="28AE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14:paraId="033BCBB2">
            <w:pPr>
              <w:ind w:firstLine="48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其他人员</w:t>
            </w:r>
          </w:p>
        </w:tc>
        <w:tc>
          <w:tcPr>
            <w:tcW w:w="2133" w:type="dxa"/>
            <w:noWrap w:val="0"/>
            <w:vAlign w:val="top"/>
          </w:tcPr>
          <w:p w14:paraId="5A5E5877">
            <w:pPr>
              <w:ind w:firstLine="480"/>
              <w:jc w:val="center"/>
              <w:rPr>
                <w:rFonts w:ascii="宋体" w:hAnsi="宋体"/>
                <w:color w:val="auto"/>
                <w:szCs w:val="21"/>
                <w:highlight w:val="none"/>
              </w:rPr>
            </w:pPr>
          </w:p>
        </w:tc>
        <w:tc>
          <w:tcPr>
            <w:tcW w:w="2130" w:type="dxa"/>
            <w:noWrap w:val="0"/>
            <w:vAlign w:val="top"/>
          </w:tcPr>
          <w:p w14:paraId="6F7B06FE">
            <w:pPr>
              <w:ind w:firstLine="480"/>
              <w:jc w:val="center"/>
              <w:rPr>
                <w:rFonts w:ascii="宋体" w:hAnsi="宋体"/>
                <w:color w:val="auto"/>
                <w:szCs w:val="21"/>
                <w:highlight w:val="none"/>
              </w:rPr>
            </w:pPr>
          </w:p>
        </w:tc>
        <w:tc>
          <w:tcPr>
            <w:tcW w:w="1860" w:type="dxa"/>
            <w:noWrap w:val="0"/>
            <w:vAlign w:val="top"/>
          </w:tcPr>
          <w:p w14:paraId="50E50E09">
            <w:pPr>
              <w:ind w:firstLine="480"/>
              <w:jc w:val="center"/>
              <w:rPr>
                <w:rFonts w:ascii="宋体" w:hAnsi="宋体"/>
                <w:color w:val="auto"/>
                <w:szCs w:val="21"/>
                <w:highlight w:val="none"/>
              </w:rPr>
            </w:pPr>
          </w:p>
        </w:tc>
      </w:tr>
      <w:tr w14:paraId="2132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5" w:type="dxa"/>
            <w:noWrap w:val="0"/>
            <w:vAlign w:val="top"/>
          </w:tcPr>
          <w:p w14:paraId="7999A510">
            <w:pPr>
              <w:ind w:firstLine="480"/>
              <w:jc w:val="center"/>
              <w:rPr>
                <w:rFonts w:ascii="宋体" w:hAnsi="宋体"/>
                <w:color w:val="auto"/>
                <w:szCs w:val="21"/>
                <w:highlight w:val="none"/>
              </w:rPr>
            </w:pPr>
          </w:p>
        </w:tc>
        <w:tc>
          <w:tcPr>
            <w:tcW w:w="2133" w:type="dxa"/>
            <w:noWrap w:val="0"/>
            <w:vAlign w:val="top"/>
          </w:tcPr>
          <w:p w14:paraId="637D0AFB">
            <w:pPr>
              <w:ind w:firstLine="480"/>
              <w:jc w:val="center"/>
              <w:rPr>
                <w:rFonts w:ascii="宋体" w:hAnsi="宋体"/>
                <w:color w:val="auto"/>
                <w:szCs w:val="21"/>
                <w:highlight w:val="none"/>
              </w:rPr>
            </w:pPr>
          </w:p>
        </w:tc>
        <w:tc>
          <w:tcPr>
            <w:tcW w:w="2130" w:type="dxa"/>
            <w:noWrap w:val="0"/>
            <w:vAlign w:val="top"/>
          </w:tcPr>
          <w:p w14:paraId="193B6993">
            <w:pPr>
              <w:ind w:firstLine="480"/>
              <w:jc w:val="center"/>
              <w:rPr>
                <w:rFonts w:ascii="宋体" w:hAnsi="宋体"/>
                <w:color w:val="auto"/>
                <w:szCs w:val="21"/>
                <w:highlight w:val="none"/>
              </w:rPr>
            </w:pPr>
          </w:p>
        </w:tc>
        <w:tc>
          <w:tcPr>
            <w:tcW w:w="1860" w:type="dxa"/>
            <w:noWrap w:val="0"/>
            <w:vAlign w:val="top"/>
          </w:tcPr>
          <w:p w14:paraId="5A634762">
            <w:pPr>
              <w:ind w:firstLine="480"/>
              <w:jc w:val="center"/>
              <w:rPr>
                <w:rFonts w:ascii="宋体" w:hAnsi="宋体"/>
                <w:color w:val="auto"/>
                <w:szCs w:val="21"/>
                <w:highlight w:val="none"/>
              </w:rPr>
            </w:pPr>
          </w:p>
        </w:tc>
      </w:tr>
    </w:tbl>
    <w:p w14:paraId="04AACE30">
      <w:pPr>
        <w:spacing w:before="120" w:beforeLines="50"/>
        <w:ind w:firstLine="482"/>
        <w:rPr>
          <w:rFonts w:ascii="宋体" w:hAnsi="宋体"/>
          <w:b/>
          <w:color w:val="auto"/>
          <w:kern w:val="0"/>
          <w:szCs w:val="21"/>
          <w:highlight w:val="none"/>
        </w:rPr>
      </w:pPr>
      <w:bookmarkStart w:id="409" w:name="_Toc3848"/>
      <w:bookmarkStart w:id="410" w:name="_Toc3537"/>
      <w:bookmarkStart w:id="411" w:name="_Toc20076"/>
      <w:r>
        <w:rPr>
          <w:rFonts w:ascii="宋体" w:hAnsi="宋体"/>
          <w:b/>
          <w:color w:val="auto"/>
          <w:kern w:val="0"/>
          <w:szCs w:val="21"/>
          <w:highlight w:val="none"/>
        </w:rPr>
        <w:t xml:space="preserve">B-2 </w:t>
      </w:r>
      <w:r>
        <w:rPr>
          <w:rFonts w:hint="eastAsia" w:ascii="宋体" w:hAnsi="宋体"/>
          <w:b/>
          <w:color w:val="auto"/>
          <w:kern w:val="0"/>
          <w:szCs w:val="21"/>
          <w:highlight w:val="none"/>
        </w:rPr>
        <w:t>委托人提供的房屋</w:t>
      </w:r>
      <w:bookmarkEnd w:id="409"/>
      <w:bookmarkEnd w:id="410"/>
      <w:bookmarkEnd w:id="411"/>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091B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7E2168F0">
            <w:pPr>
              <w:ind w:firstLine="482"/>
              <w:jc w:val="center"/>
              <w:rPr>
                <w:rFonts w:ascii="宋体" w:hAnsi="宋体"/>
                <w:b/>
                <w:bCs/>
                <w:color w:val="auto"/>
                <w:szCs w:val="21"/>
                <w:highlight w:val="none"/>
              </w:rPr>
            </w:pPr>
            <w:r>
              <w:rPr>
                <w:rFonts w:hint="eastAsia" w:ascii="宋体" w:hAnsi="宋体"/>
                <w:b/>
                <w:bCs/>
                <w:color w:val="auto"/>
                <w:szCs w:val="21"/>
                <w:highlight w:val="none"/>
              </w:rPr>
              <w:t>名称</w:t>
            </w:r>
          </w:p>
        </w:tc>
        <w:tc>
          <w:tcPr>
            <w:tcW w:w="2130" w:type="dxa"/>
            <w:noWrap w:val="0"/>
            <w:vAlign w:val="top"/>
          </w:tcPr>
          <w:p w14:paraId="6EA8F7FF">
            <w:pPr>
              <w:ind w:firstLine="482"/>
              <w:jc w:val="center"/>
              <w:rPr>
                <w:rFonts w:ascii="宋体" w:hAnsi="宋体"/>
                <w:b/>
                <w:bCs/>
                <w:color w:val="auto"/>
                <w:szCs w:val="21"/>
                <w:highlight w:val="none"/>
              </w:rPr>
            </w:pPr>
            <w:r>
              <w:rPr>
                <w:rFonts w:hint="eastAsia" w:ascii="宋体" w:hAnsi="宋体"/>
                <w:b/>
                <w:bCs/>
                <w:color w:val="auto"/>
                <w:szCs w:val="21"/>
                <w:highlight w:val="none"/>
              </w:rPr>
              <w:t>数量</w:t>
            </w:r>
          </w:p>
        </w:tc>
        <w:tc>
          <w:tcPr>
            <w:tcW w:w="2130" w:type="dxa"/>
            <w:noWrap w:val="0"/>
            <w:vAlign w:val="top"/>
          </w:tcPr>
          <w:p w14:paraId="6695B269">
            <w:pPr>
              <w:ind w:firstLine="482"/>
              <w:jc w:val="center"/>
              <w:rPr>
                <w:rFonts w:ascii="宋体" w:hAnsi="宋体"/>
                <w:b/>
                <w:bCs/>
                <w:color w:val="auto"/>
                <w:szCs w:val="21"/>
                <w:highlight w:val="none"/>
              </w:rPr>
            </w:pPr>
            <w:r>
              <w:rPr>
                <w:rFonts w:hint="eastAsia" w:ascii="宋体" w:hAnsi="宋体"/>
                <w:b/>
                <w:bCs/>
                <w:color w:val="auto"/>
                <w:szCs w:val="21"/>
                <w:highlight w:val="none"/>
              </w:rPr>
              <w:t>面积</w:t>
            </w:r>
          </w:p>
        </w:tc>
        <w:tc>
          <w:tcPr>
            <w:tcW w:w="1860" w:type="dxa"/>
            <w:noWrap w:val="0"/>
            <w:vAlign w:val="top"/>
          </w:tcPr>
          <w:p w14:paraId="0FFB7FF1">
            <w:pPr>
              <w:ind w:firstLine="482"/>
              <w:jc w:val="center"/>
              <w:rPr>
                <w:rFonts w:ascii="宋体" w:hAnsi="宋体"/>
                <w:b/>
                <w:bCs/>
                <w:color w:val="auto"/>
                <w:szCs w:val="21"/>
                <w:highlight w:val="none"/>
              </w:rPr>
            </w:pPr>
            <w:r>
              <w:rPr>
                <w:rFonts w:hint="eastAsia" w:ascii="宋体" w:hAnsi="宋体"/>
                <w:b/>
                <w:bCs/>
                <w:color w:val="auto"/>
                <w:szCs w:val="21"/>
                <w:highlight w:val="none"/>
              </w:rPr>
              <w:t>提供时间</w:t>
            </w:r>
          </w:p>
        </w:tc>
      </w:tr>
      <w:tr w14:paraId="15B1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1D2726EF">
            <w:pPr>
              <w:ind w:firstLine="48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办公用房</w:t>
            </w:r>
          </w:p>
        </w:tc>
        <w:tc>
          <w:tcPr>
            <w:tcW w:w="2130" w:type="dxa"/>
            <w:noWrap w:val="0"/>
            <w:vAlign w:val="top"/>
          </w:tcPr>
          <w:p w14:paraId="24962F27">
            <w:pPr>
              <w:ind w:firstLine="240" w:firstLineChars="100"/>
              <w:jc w:val="center"/>
              <w:rPr>
                <w:rFonts w:ascii="宋体" w:hAnsi="宋体"/>
                <w:color w:val="auto"/>
                <w:szCs w:val="21"/>
                <w:highlight w:val="none"/>
              </w:rPr>
            </w:pPr>
          </w:p>
        </w:tc>
        <w:tc>
          <w:tcPr>
            <w:tcW w:w="2130" w:type="dxa"/>
            <w:noWrap w:val="0"/>
            <w:vAlign w:val="top"/>
          </w:tcPr>
          <w:p w14:paraId="14B1C672">
            <w:pPr>
              <w:ind w:firstLine="240" w:firstLineChars="100"/>
              <w:jc w:val="center"/>
              <w:rPr>
                <w:rFonts w:ascii="宋体" w:hAnsi="宋体"/>
                <w:color w:val="auto"/>
                <w:szCs w:val="21"/>
                <w:highlight w:val="none"/>
              </w:rPr>
            </w:pPr>
          </w:p>
        </w:tc>
        <w:tc>
          <w:tcPr>
            <w:tcW w:w="1860" w:type="dxa"/>
            <w:noWrap w:val="0"/>
            <w:vAlign w:val="top"/>
          </w:tcPr>
          <w:p w14:paraId="587502A2">
            <w:pPr>
              <w:ind w:firstLine="480"/>
              <w:jc w:val="center"/>
              <w:rPr>
                <w:rFonts w:ascii="宋体" w:hAnsi="宋体"/>
                <w:color w:val="auto"/>
                <w:szCs w:val="21"/>
                <w:highlight w:val="none"/>
              </w:rPr>
            </w:pPr>
          </w:p>
        </w:tc>
      </w:tr>
      <w:tr w14:paraId="358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6F4CFFF1">
            <w:pPr>
              <w:ind w:firstLine="48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生活用房</w:t>
            </w:r>
          </w:p>
        </w:tc>
        <w:tc>
          <w:tcPr>
            <w:tcW w:w="2130" w:type="dxa"/>
            <w:noWrap w:val="0"/>
            <w:vAlign w:val="top"/>
          </w:tcPr>
          <w:p w14:paraId="45797635">
            <w:pPr>
              <w:ind w:firstLine="480"/>
              <w:jc w:val="center"/>
              <w:rPr>
                <w:rFonts w:ascii="宋体" w:hAnsi="宋体"/>
                <w:color w:val="auto"/>
                <w:szCs w:val="21"/>
                <w:highlight w:val="none"/>
              </w:rPr>
            </w:pPr>
          </w:p>
        </w:tc>
        <w:tc>
          <w:tcPr>
            <w:tcW w:w="2130" w:type="dxa"/>
            <w:noWrap w:val="0"/>
            <w:vAlign w:val="top"/>
          </w:tcPr>
          <w:p w14:paraId="1375F60C">
            <w:pPr>
              <w:ind w:firstLine="480"/>
              <w:jc w:val="center"/>
              <w:rPr>
                <w:rFonts w:ascii="宋体" w:hAnsi="宋体"/>
                <w:color w:val="auto"/>
                <w:szCs w:val="21"/>
                <w:highlight w:val="none"/>
              </w:rPr>
            </w:pPr>
          </w:p>
        </w:tc>
        <w:tc>
          <w:tcPr>
            <w:tcW w:w="1860" w:type="dxa"/>
            <w:noWrap w:val="0"/>
            <w:vAlign w:val="top"/>
          </w:tcPr>
          <w:p w14:paraId="182A6E66">
            <w:pPr>
              <w:ind w:firstLine="480"/>
              <w:jc w:val="center"/>
              <w:rPr>
                <w:rFonts w:ascii="宋体" w:hAnsi="宋体"/>
                <w:color w:val="auto"/>
                <w:szCs w:val="21"/>
                <w:highlight w:val="none"/>
              </w:rPr>
            </w:pPr>
          </w:p>
        </w:tc>
      </w:tr>
      <w:tr w14:paraId="51F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6F00AAAB">
            <w:pPr>
              <w:ind w:firstLine="480"/>
              <w:jc w:val="left"/>
              <w:rPr>
                <w:rFonts w:ascii="宋体" w:hAnsi="宋体"/>
                <w:dstrike/>
                <w:color w:val="auto"/>
                <w:szCs w:val="21"/>
                <w:highlight w:val="none"/>
              </w:rPr>
            </w:pPr>
            <w:r>
              <w:rPr>
                <w:rFonts w:ascii="宋体" w:hAnsi="宋体"/>
                <w:color w:val="auto"/>
                <w:szCs w:val="21"/>
                <w:highlight w:val="none"/>
              </w:rPr>
              <w:t>3.</w:t>
            </w:r>
            <w:r>
              <w:rPr>
                <w:rFonts w:hint="eastAsia" w:ascii="宋体" w:hAnsi="宋体"/>
                <w:color w:val="auto"/>
                <w:szCs w:val="21"/>
                <w:highlight w:val="none"/>
              </w:rPr>
              <w:t>试验用房</w:t>
            </w:r>
          </w:p>
        </w:tc>
        <w:tc>
          <w:tcPr>
            <w:tcW w:w="2130" w:type="dxa"/>
            <w:noWrap w:val="0"/>
            <w:vAlign w:val="top"/>
          </w:tcPr>
          <w:p w14:paraId="2A6A6E97">
            <w:pPr>
              <w:ind w:firstLine="480"/>
              <w:jc w:val="center"/>
              <w:rPr>
                <w:rFonts w:ascii="宋体" w:hAnsi="宋体"/>
                <w:color w:val="auto"/>
                <w:szCs w:val="21"/>
                <w:highlight w:val="none"/>
              </w:rPr>
            </w:pPr>
          </w:p>
        </w:tc>
        <w:tc>
          <w:tcPr>
            <w:tcW w:w="2130" w:type="dxa"/>
            <w:noWrap w:val="0"/>
            <w:vAlign w:val="top"/>
          </w:tcPr>
          <w:p w14:paraId="71B6C1BC">
            <w:pPr>
              <w:ind w:firstLine="480"/>
              <w:jc w:val="center"/>
              <w:rPr>
                <w:rFonts w:ascii="宋体" w:hAnsi="宋体"/>
                <w:color w:val="auto"/>
                <w:szCs w:val="21"/>
                <w:highlight w:val="none"/>
              </w:rPr>
            </w:pPr>
          </w:p>
        </w:tc>
        <w:tc>
          <w:tcPr>
            <w:tcW w:w="1860" w:type="dxa"/>
            <w:noWrap w:val="0"/>
            <w:vAlign w:val="top"/>
          </w:tcPr>
          <w:p w14:paraId="5DE762A7">
            <w:pPr>
              <w:ind w:firstLine="480"/>
              <w:jc w:val="center"/>
              <w:rPr>
                <w:rFonts w:ascii="宋体" w:hAnsi="宋体"/>
                <w:color w:val="auto"/>
                <w:szCs w:val="21"/>
                <w:highlight w:val="none"/>
              </w:rPr>
            </w:pPr>
          </w:p>
        </w:tc>
      </w:tr>
      <w:tr w14:paraId="00A8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1C06CB28">
            <w:pPr>
              <w:ind w:firstLine="48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样品用房</w:t>
            </w:r>
          </w:p>
        </w:tc>
        <w:tc>
          <w:tcPr>
            <w:tcW w:w="2130" w:type="dxa"/>
            <w:noWrap w:val="0"/>
            <w:vAlign w:val="top"/>
          </w:tcPr>
          <w:p w14:paraId="4936E999">
            <w:pPr>
              <w:ind w:firstLine="480"/>
              <w:jc w:val="center"/>
              <w:rPr>
                <w:rFonts w:ascii="宋体" w:hAnsi="宋体"/>
                <w:color w:val="auto"/>
                <w:szCs w:val="21"/>
                <w:highlight w:val="none"/>
              </w:rPr>
            </w:pPr>
          </w:p>
        </w:tc>
        <w:tc>
          <w:tcPr>
            <w:tcW w:w="2130" w:type="dxa"/>
            <w:noWrap w:val="0"/>
            <w:vAlign w:val="top"/>
          </w:tcPr>
          <w:p w14:paraId="50E040EF">
            <w:pPr>
              <w:ind w:firstLine="480"/>
              <w:jc w:val="center"/>
              <w:rPr>
                <w:rFonts w:ascii="宋体" w:hAnsi="宋体"/>
                <w:color w:val="auto"/>
                <w:szCs w:val="21"/>
                <w:highlight w:val="none"/>
              </w:rPr>
            </w:pPr>
          </w:p>
        </w:tc>
        <w:tc>
          <w:tcPr>
            <w:tcW w:w="1860" w:type="dxa"/>
            <w:noWrap w:val="0"/>
            <w:vAlign w:val="top"/>
          </w:tcPr>
          <w:p w14:paraId="213F807A">
            <w:pPr>
              <w:ind w:firstLine="480"/>
              <w:jc w:val="center"/>
              <w:rPr>
                <w:rFonts w:ascii="宋体" w:hAnsi="宋体"/>
                <w:color w:val="auto"/>
                <w:szCs w:val="21"/>
                <w:highlight w:val="none"/>
              </w:rPr>
            </w:pPr>
          </w:p>
        </w:tc>
      </w:tr>
      <w:tr w14:paraId="6836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44295EA9">
            <w:pPr>
              <w:ind w:firstLine="480"/>
              <w:jc w:val="center"/>
              <w:rPr>
                <w:rFonts w:ascii="宋体" w:hAnsi="宋体"/>
                <w:color w:val="auto"/>
                <w:szCs w:val="21"/>
                <w:highlight w:val="none"/>
              </w:rPr>
            </w:pPr>
          </w:p>
        </w:tc>
        <w:tc>
          <w:tcPr>
            <w:tcW w:w="2130" w:type="dxa"/>
            <w:noWrap w:val="0"/>
            <w:vAlign w:val="top"/>
          </w:tcPr>
          <w:p w14:paraId="28EF6F16">
            <w:pPr>
              <w:ind w:firstLine="480"/>
              <w:jc w:val="center"/>
              <w:rPr>
                <w:rFonts w:ascii="宋体" w:hAnsi="宋体"/>
                <w:color w:val="auto"/>
                <w:szCs w:val="21"/>
                <w:highlight w:val="none"/>
              </w:rPr>
            </w:pPr>
          </w:p>
        </w:tc>
        <w:tc>
          <w:tcPr>
            <w:tcW w:w="2130" w:type="dxa"/>
            <w:noWrap w:val="0"/>
            <w:vAlign w:val="top"/>
          </w:tcPr>
          <w:p w14:paraId="02599D6B">
            <w:pPr>
              <w:ind w:firstLine="480"/>
              <w:jc w:val="center"/>
              <w:rPr>
                <w:rFonts w:ascii="宋体" w:hAnsi="宋体"/>
                <w:color w:val="auto"/>
                <w:szCs w:val="21"/>
                <w:highlight w:val="none"/>
              </w:rPr>
            </w:pPr>
          </w:p>
        </w:tc>
        <w:tc>
          <w:tcPr>
            <w:tcW w:w="1860" w:type="dxa"/>
            <w:noWrap w:val="0"/>
            <w:vAlign w:val="top"/>
          </w:tcPr>
          <w:p w14:paraId="68D3A3B9">
            <w:pPr>
              <w:ind w:firstLine="480"/>
              <w:jc w:val="center"/>
              <w:rPr>
                <w:rFonts w:ascii="宋体" w:hAnsi="宋体"/>
                <w:color w:val="auto"/>
                <w:szCs w:val="21"/>
                <w:highlight w:val="none"/>
              </w:rPr>
            </w:pPr>
          </w:p>
        </w:tc>
      </w:tr>
      <w:tr w14:paraId="56C2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14:paraId="593E3596">
            <w:pPr>
              <w:ind w:firstLine="0" w:firstLineChars="0"/>
              <w:jc w:val="center"/>
              <w:rPr>
                <w:rFonts w:ascii="宋体" w:hAnsi="宋体"/>
                <w:color w:val="auto"/>
                <w:szCs w:val="21"/>
                <w:highlight w:val="none"/>
              </w:rPr>
            </w:pPr>
            <w:r>
              <w:rPr>
                <w:rFonts w:hint="eastAsia" w:ascii="宋体" w:hAnsi="宋体"/>
                <w:color w:val="auto"/>
                <w:szCs w:val="21"/>
                <w:highlight w:val="none"/>
              </w:rPr>
              <w:t>用餐及其他生活条件</w:t>
            </w:r>
          </w:p>
        </w:tc>
        <w:tc>
          <w:tcPr>
            <w:tcW w:w="6120" w:type="dxa"/>
            <w:gridSpan w:val="3"/>
            <w:noWrap w:val="0"/>
            <w:vAlign w:val="top"/>
          </w:tcPr>
          <w:p w14:paraId="2116E419">
            <w:pPr>
              <w:ind w:firstLine="480"/>
              <w:jc w:val="center"/>
              <w:rPr>
                <w:rFonts w:ascii="宋体" w:hAnsi="宋体"/>
                <w:color w:val="auto"/>
                <w:szCs w:val="21"/>
                <w:highlight w:val="none"/>
              </w:rPr>
            </w:pPr>
          </w:p>
        </w:tc>
      </w:tr>
    </w:tbl>
    <w:p w14:paraId="0A521A7A">
      <w:pPr>
        <w:keepNext/>
        <w:keepLines/>
        <w:spacing w:before="120" w:after="120"/>
        <w:ind w:firstLine="480"/>
        <w:jc w:val="left"/>
        <w:outlineLvl w:val="2"/>
        <w:rPr>
          <w:rFonts w:hint="eastAsia" w:ascii="黑体" w:hAnsi="黑体" w:eastAsia="黑体"/>
          <w:bCs/>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p>
    <w:p w14:paraId="40BBEDAF">
      <w:pPr>
        <w:keepNext/>
        <w:keepLines/>
        <w:spacing w:before="120" w:after="120"/>
        <w:ind w:firstLine="480"/>
        <w:jc w:val="left"/>
        <w:outlineLvl w:val="2"/>
        <w:rPr>
          <w:rFonts w:ascii="黑体" w:hAnsi="黑体" w:eastAsia="黑体"/>
          <w:bCs/>
          <w:color w:val="auto"/>
          <w:highlight w:val="none"/>
        </w:rPr>
      </w:pPr>
      <w:r>
        <w:rPr>
          <w:rFonts w:hint="eastAsia" w:ascii="黑体" w:hAnsi="黑体" w:eastAsia="黑体"/>
          <w:bCs/>
          <w:color w:val="auto"/>
          <w:highlight w:val="none"/>
        </w:rPr>
        <w:t>附</w:t>
      </w:r>
      <w:bookmarkStart w:id="412" w:name="_Toc296944570"/>
      <w:bookmarkStart w:id="413" w:name="_Toc296891271"/>
      <w:bookmarkStart w:id="414" w:name="_Toc296891059"/>
      <w:bookmarkStart w:id="415" w:name="_Toc296346732"/>
      <w:bookmarkStart w:id="416" w:name="_Toc296503231"/>
      <w:bookmarkStart w:id="417" w:name="_Toc296347230"/>
      <w:r>
        <w:rPr>
          <w:rFonts w:hint="eastAsia" w:ascii="黑体" w:hAnsi="黑体" w:eastAsia="黑体"/>
          <w:bCs/>
          <w:color w:val="auto"/>
          <w:highlight w:val="none"/>
        </w:rPr>
        <w:t>件C：廉政协议</w:t>
      </w:r>
    </w:p>
    <w:bookmarkEnd w:id="412"/>
    <w:bookmarkEnd w:id="413"/>
    <w:bookmarkEnd w:id="414"/>
    <w:bookmarkEnd w:id="415"/>
    <w:bookmarkEnd w:id="416"/>
    <w:bookmarkEnd w:id="417"/>
    <w:p w14:paraId="0D380CA3">
      <w:pPr>
        <w:widowControl/>
        <w:ind w:firstLine="482"/>
        <w:jc w:val="center"/>
        <w:rPr>
          <w:rFonts w:ascii="宋体" w:hAnsi="宋体"/>
          <w:b/>
          <w:bCs/>
          <w:color w:val="auto"/>
          <w:kern w:val="0"/>
          <w:szCs w:val="24"/>
          <w:highlight w:val="none"/>
        </w:rPr>
      </w:pPr>
      <w:r>
        <w:rPr>
          <w:rFonts w:hint="eastAsia" w:ascii="宋体" w:hAnsi="宋体"/>
          <w:b/>
          <w:bCs/>
          <w:color w:val="auto"/>
          <w:kern w:val="0"/>
          <w:szCs w:val="24"/>
          <w:highlight w:val="none"/>
        </w:rPr>
        <w:t>廉政协议</w:t>
      </w:r>
    </w:p>
    <w:p w14:paraId="3219259B">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为促进双方诚信经营、廉洁从业，防范商业贿赂，保护国家、集体和当事人的合法权益，根据国家有关法律法规和安徽省、合肥市廉政建设的规定，</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(以下称甲方)与</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(以下称乙方)，特此订立本协议共同遵照执行。</w:t>
      </w:r>
    </w:p>
    <w:p w14:paraId="27C3FC7F">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第一条 甲乙双方的权利和义务</w:t>
      </w:r>
    </w:p>
    <w:p w14:paraId="3CCABEB7">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B43BF49">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（二）严格执行</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 xml:space="preserve"> 肥西紫云湖汽车配套产业园项目监理工程</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的合同要求，自觉履行合同约定的相关义务。</w:t>
      </w:r>
    </w:p>
    <w:p w14:paraId="77BEEB08">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（三）在业务活动中坚持公开、公正、诚信、透明的原则，不得损害国家、集体利益。</w:t>
      </w:r>
    </w:p>
    <w:p w14:paraId="19E507D6">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（四）建立健全廉政制度，开展廉政教育，公布举报电话，监督并认真查处违法违纪行为。</w:t>
      </w:r>
    </w:p>
    <w:p w14:paraId="31CC5328">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0A78599A">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第二条 甲方的义务</w:t>
      </w:r>
    </w:p>
    <w:p w14:paraId="017C7E86">
      <w:pPr>
        <w:widowControl/>
        <w:ind w:firstLine="600" w:firstLineChars="250"/>
        <w:jc w:val="both"/>
        <w:rPr>
          <w:rFonts w:ascii="宋体" w:hAnsi="宋体"/>
          <w:color w:val="auto"/>
          <w:kern w:val="0"/>
          <w:szCs w:val="21"/>
          <w:highlight w:val="none"/>
        </w:rPr>
      </w:pPr>
      <w:r>
        <w:rPr>
          <w:rFonts w:hint="eastAsia" w:ascii="宋体" w:hAnsi="宋体"/>
          <w:color w:val="auto"/>
          <w:kern w:val="0"/>
          <w:szCs w:val="21"/>
          <w:highlight w:val="none"/>
        </w:rPr>
        <w:t>(一)甲方及其工作人员不得索要或接受乙方的礼金、有价证券和贵重物品，不得在乙方报销任何应由甲方单位或个人支付的费用等。</w:t>
      </w:r>
    </w:p>
    <w:p w14:paraId="36DA7F57">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D68B7BD">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（三） 甲方及其工作人员不得要求或者接受乙方为其住房装修、婚丧嫁娶活动、配偶子女工作安排以及出国出境、旅游等提供方便等。</w:t>
      </w:r>
    </w:p>
    <w:p w14:paraId="6C300D52">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（四） 甲方工作人员不得在乙方有股权关联的企业兼职，不得向乙方介绍家属或者亲友从事与甲方业务有关的经济活动。</w:t>
      </w:r>
    </w:p>
    <w:p w14:paraId="08F9CC28">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BD948C0">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（六）甲方工作人员不得利用职务之便收受乙方以回扣、手续费、加班费、咨询费、劳务费、协调费、辛苦费等各种名义给予或赠送的钱物。</w:t>
      </w:r>
    </w:p>
    <w:p w14:paraId="453F9271">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（七）甲方工作人员不得接受乙方给予或赠送的干股或红利。</w:t>
      </w:r>
    </w:p>
    <w:p w14:paraId="4223470F">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（八）甲方任何人不得以个人的名义向乙方推荐设备、部件等供货商以及其他合作单位。</w:t>
      </w:r>
    </w:p>
    <w:p w14:paraId="5E737969">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第三条 乙方的义务</w:t>
      </w:r>
    </w:p>
    <w:p w14:paraId="31EF4F86">
      <w:pPr>
        <w:widowControl/>
        <w:ind w:firstLine="600" w:firstLineChars="250"/>
        <w:jc w:val="both"/>
        <w:rPr>
          <w:rFonts w:ascii="宋体" w:hAnsi="宋体"/>
          <w:color w:val="auto"/>
          <w:kern w:val="0"/>
          <w:szCs w:val="21"/>
          <w:highlight w:val="none"/>
        </w:rPr>
      </w:pPr>
      <w:r>
        <w:rPr>
          <w:rFonts w:hint="eastAsia" w:ascii="宋体" w:hAnsi="宋体"/>
          <w:color w:val="auto"/>
          <w:kern w:val="0"/>
          <w:szCs w:val="21"/>
          <w:highlight w:val="none"/>
        </w:rPr>
        <w:t>(一)乙方不得以任何理由向甲方及其工作人员行贿或馈赠礼金、有价证券、贵重礼品。</w:t>
      </w:r>
    </w:p>
    <w:p w14:paraId="7CDFE4DD">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（二)乙方不得以任何名义为甲方及其工作人员报销应由甲方单位或个人支付的任何费用。</w:t>
      </w:r>
    </w:p>
    <w:p w14:paraId="6A0C72DD">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(三)乙方不得以任何理由安排甲方工作人员参加可能影响相关业务公开、公正、公平性的宴请及娱乐活动。</w:t>
      </w:r>
    </w:p>
    <w:p w14:paraId="3148E7CD">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（四）乙方不得为甲方单位和个人购置或提供通讯工具和高档办公用品等物品，也不得为甲方提供与工作无关的房屋、汽车等。</w:t>
      </w:r>
    </w:p>
    <w:p w14:paraId="26A5C929">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（五）乙方不得与甲方工作人员就合同中的质量、数量、价格、工程量、验收等条款进行私下商谈或者达成默契。</w:t>
      </w:r>
    </w:p>
    <w:p w14:paraId="1A117FE1">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（六）乙方不得以回扣、手续费、加班费、咨询费、劳务费、协调费、辛苦费等各种名义向甲方工作人员给予或赠送钱物。</w:t>
      </w:r>
    </w:p>
    <w:p w14:paraId="0889A111">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（七）乙方不得向甲方工作人员提供干股或红利。</w:t>
      </w:r>
    </w:p>
    <w:p w14:paraId="72946DC0">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（八）乙方须按照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专项纪检监察工作组(如有)要求开展相关工作。</w:t>
      </w:r>
    </w:p>
    <w:p w14:paraId="02C3D928">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第四条 违约责任</w:t>
      </w:r>
    </w:p>
    <w:p w14:paraId="4E50CE35">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BEC5356">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甲方投诉联系部门：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，联系电话：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57C84F17">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（二）乙方及其工作人员违反本协议第一、三条规定。根据具体情节和造成的后果，甲方有权对乙方采取以下一种或多种处理办法：</w:t>
      </w:r>
    </w:p>
    <w:p w14:paraId="22DCACEB">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 xml:space="preserve">1.全额收取乙方合同履约保证金不予退还； </w:t>
      </w:r>
    </w:p>
    <w:p w14:paraId="2652BA8F">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2.追究乙方其他违约责任；</w:t>
      </w:r>
    </w:p>
    <w:p w14:paraId="252B3702">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3.终止或解除双方已签订的包括本合同在内的所有合同；</w:t>
      </w:r>
    </w:p>
    <w:p w14:paraId="0D0461C3">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4.乙方一定期限内（6个月至3年，具体由甲方根据情况而定）不得参与甲方作为发包人（业主）的工程项目投标。</w:t>
      </w:r>
    </w:p>
    <w:p w14:paraId="1815E899">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甲方作出的处理意见，乙方应无条件接受并承担给甲方造成的损失，全额返还通过不正当手段从甲方获取的非法所得，并承担相应的法律责任。</w:t>
      </w:r>
    </w:p>
    <w:p w14:paraId="6E5AC206">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第五条 双方约定</w:t>
      </w:r>
    </w:p>
    <w:p w14:paraId="530AD7D2">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DC3C7C9">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 xml:space="preserve">第六条  本协议有效期为甲乙双方签署之日起至合同终止。  </w:t>
      </w:r>
    </w:p>
    <w:p w14:paraId="1409AE5C">
      <w:pPr>
        <w:widowControl/>
        <w:ind w:firstLine="480"/>
        <w:jc w:val="both"/>
        <w:rPr>
          <w:rFonts w:ascii="宋体" w:hAnsi="宋体"/>
          <w:color w:val="auto"/>
          <w:kern w:val="0"/>
          <w:szCs w:val="21"/>
          <w:highlight w:val="none"/>
        </w:rPr>
      </w:pPr>
      <w:r>
        <w:rPr>
          <w:rFonts w:hint="eastAsia" w:ascii="宋体" w:hAnsi="宋体"/>
          <w:color w:val="auto"/>
          <w:kern w:val="0"/>
          <w:szCs w:val="21"/>
          <w:highlight w:val="none"/>
        </w:rPr>
        <w:t>第七条  本协议作为合同的附件，与本合同具有同等法律效力。</w:t>
      </w:r>
    </w:p>
    <w:p w14:paraId="00E53DF8">
      <w:pPr>
        <w:widowControl/>
        <w:ind w:firstLine="480"/>
        <w:jc w:val="center"/>
        <w:rPr>
          <w:rFonts w:ascii="宋体" w:hAnsi="宋体"/>
          <w:color w:val="auto"/>
          <w:kern w:val="0"/>
          <w:szCs w:val="21"/>
          <w:highlight w:val="none"/>
        </w:rPr>
      </w:pPr>
    </w:p>
    <w:p w14:paraId="009E48BB">
      <w:pPr>
        <w:widowControl/>
        <w:ind w:firstLine="480"/>
        <w:jc w:val="left"/>
        <w:rPr>
          <w:rFonts w:hint="eastAsia" w:ascii="宋体" w:hAnsi="宋体"/>
          <w:color w:val="auto"/>
          <w:kern w:val="0"/>
          <w:szCs w:val="21"/>
          <w:highlight w:val="none"/>
          <w:u w:val="single"/>
        </w:rPr>
      </w:pPr>
      <w:r>
        <w:rPr>
          <w:rFonts w:hint="eastAsia" w:ascii="宋体" w:hAnsi="宋体"/>
          <w:color w:val="auto"/>
          <w:kern w:val="0"/>
          <w:szCs w:val="21"/>
          <w:highlight w:val="none"/>
        </w:rPr>
        <w:t>甲方（盖章）：</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乙方（盖章）：</w:t>
      </w:r>
      <w:r>
        <w:rPr>
          <w:rFonts w:hint="eastAsia" w:ascii="宋体" w:hAnsi="宋体"/>
          <w:color w:val="auto"/>
          <w:kern w:val="0"/>
          <w:szCs w:val="21"/>
          <w:highlight w:val="none"/>
          <w:u w:val="single"/>
        </w:rPr>
        <w:t xml:space="preserve">                </w:t>
      </w:r>
    </w:p>
    <w:p w14:paraId="5656C7F1">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法定代表人或                        法定代表人或</w:t>
      </w:r>
    </w:p>
    <w:p w14:paraId="22A0A075">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授权代表：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rPr>
        <w:t>职务</w:t>
      </w: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rPr>
        <w:t xml:space="preserve"> </w:t>
      </w:r>
      <w:r>
        <w:rPr>
          <w:rFonts w:hint="eastAsia" w:ascii="宋体" w:hAnsi="宋体"/>
          <w:color w:val="auto"/>
          <w:kern w:val="0"/>
          <w:szCs w:val="21"/>
          <w:highlight w:val="none"/>
        </w:rPr>
        <w:t xml:space="preserve">  授权代表：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rPr>
        <w:t>职务</w:t>
      </w:r>
      <w:r>
        <w:rPr>
          <w:rFonts w:hint="eastAsia" w:ascii="宋体" w:hAnsi="宋体"/>
          <w:color w:val="auto"/>
          <w:kern w:val="0"/>
          <w:szCs w:val="21"/>
          <w:highlight w:val="none"/>
          <w:u w:val="none"/>
          <w:lang w:eastAsia="zh-CN"/>
        </w:rPr>
        <w:t>）</w:t>
      </w:r>
    </w:p>
    <w:p w14:paraId="1632AACE">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姓名：</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姓名：</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08534F83">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签字：</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签字：</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7F46ED6B">
      <w:pPr>
        <w:widowControl/>
        <w:ind w:left="0" w:leftChars="0" w:firstLine="0" w:firstLineChars="0"/>
        <w:jc w:val="center"/>
        <w:rPr>
          <w:rFonts w:ascii="宋体" w:hAnsi="宋体"/>
          <w:color w:val="auto"/>
          <w:kern w:val="0"/>
          <w:szCs w:val="21"/>
          <w:highlight w:val="none"/>
        </w:rPr>
      </w:pPr>
    </w:p>
    <w:p w14:paraId="6857C645">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廉政监督联系人                        廉政监督联系人</w:t>
      </w:r>
    </w:p>
    <w:p w14:paraId="54FC7209">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姓名：</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姓名：</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7D976391">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签字：</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 xml:space="preserve">        </w:t>
      </w:r>
      <w:r>
        <w:rPr>
          <w:rFonts w:hint="eastAsia" w:ascii="宋体" w:hAnsi="宋体"/>
          <w:color w:val="auto"/>
          <w:kern w:val="0"/>
          <w:szCs w:val="21"/>
          <w:highlight w:val="none"/>
        </w:rPr>
        <w:t xml:space="preserve">    签字：</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2C94F389">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电话：</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 xml:space="preserve">        </w:t>
      </w:r>
      <w:r>
        <w:rPr>
          <w:rFonts w:hint="eastAsia" w:ascii="宋体" w:hAnsi="宋体"/>
          <w:color w:val="auto"/>
          <w:kern w:val="0"/>
          <w:szCs w:val="21"/>
          <w:highlight w:val="none"/>
        </w:rPr>
        <w:t xml:space="preserve">    电话：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3723BF25">
      <w:pPr>
        <w:widowControl/>
        <w:ind w:firstLine="480"/>
        <w:jc w:val="left"/>
        <w:rPr>
          <w:rFonts w:ascii="宋体" w:hAnsi="宋体"/>
          <w:color w:val="auto"/>
          <w:kern w:val="0"/>
          <w:szCs w:val="21"/>
          <w:highlight w:val="none"/>
        </w:rPr>
      </w:pPr>
      <w:r>
        <w:rPr>
          <w:rFonts w:hint="eastAsia" w:ascii="宋体" w:hAnsi="宋体"/>
          <w:color w:val="auto"/>
          <w:kern w:val="0"/>
          <w:szCs w:val="21"/>
          <w:highlight w:val="none"/>
        </w:rPr>
        <w:t>地址：</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地址：</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42B6A3EE">
      <w:pPr>
        <w:widowControl/>
        <w:ind w:firstLine="480"/>
        <w:jc w:val="left"/>
        <w:rPr>
          <w:rFonts w:ascii="黑体" w:hAnsi="黑体" w:eastAsia="黑体"/>
          <w:bCs/>
          <w:color w:val="auto"/>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p>
    <w:p w14:paraId="29037A99">
      <w:pPr>
        <w:keepNext/>
        <w:keepLines/>
        <w:spacing w:before="120" w:after="120"/>
        <w:ind w:firstLine="480"/>
        <w:jc w:val="left"/>
        <w:outlineLvl w:val="2"/>
        <w:rPr>
          <w:rFonts w:hint="eastAsia" w:ascii="黑体" w:hAnsi="黑体" w:eastAsia="黑体"/>
          <w:bCs/>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418" w:name="_Toc29162"/>
      <w:bookmarkStart w:id="419" w:name="_Toc13118"/>
      <w:bookmarkStart w:id="420" w:name="_Toc6396"/>
    </w:p>
    <w:p w14:paraId="0467F6D9">
      <w:pPr>
        <w:keepNext/>
        <w:keepLines/>
        <w:spacing w:before="120" w:after="120"/>
        <w:ind w:firstLine="480"/>
        <w:jc w:val="left"/>
        <w:outlineLvl w:val="2"/>
        <w:rPr>
          <w:rFonts w:ascii="黑体" w:hAnsi="黑体"/>
          <w:bCs/>
          <w:color w:val="auto"/>
          <w:highlight w:val="none"/>
        </w:rPr>
      </w:pPr>
      <w:r>
        <w:rPr>
          <w:rFonts w:hint="eastAsia" w:ascii="黑体" w:hAnsi="黑体" w:eastAsia="黑体"/>
          <w:bCs/>
          <w:color w:val="auto"/>
          <w:highlight w:val="none"/>
        </w:rPr>
        <w:t>附件D：履约保证金格式</w:t>
      </w:r>
      <w:bookmarkEnd w:id="408"/>
      <w:bookmarkEnd w:id="418"/>
      <w:bookmarkEnd w:id="419"/>
      <w:bookmarkEnd w:id="420"/>
    </w:p>
    <w:bookmarkEnd w:id="381"/>
    <w:bookmarkEnd w:id="382"/>
    <w:bookmarkEnd w:id="383"/>
    <w:bookmarkEnd w:id="384"/>
    <w:p w14:paraId="720D8E22">
      <w:pPr>
        <w:spacing w:before="120" w:beforeLines="50" w:after="120" w:afterLines="50"/>
        <w:ind w:firstLine="482"/>
        <w:jc w:val="center"/>
        <w:rPr>
          <w:rFonts w:hint="eastAsia" w:ascii="宋体" w:hAnsi="宋体" w:cs="宋体"/>
          <w:bCs/>
          <w:color w:val="auto"/>
          <w:szCs w:val="21"/>
          <w:highlight w:val="none"/>
        </w:rPr>
      </w:pPr>
      <w:bookmarkStart w:id="421" w:name="_Toc247085853"/>
      <w:bookmarkStart w:id="422" w:name="_Toc246997081"/>
      <w:bookmarkStart w:id="423" w:name="_Toc179632787"/>
      <w:bookmarkStart w:id="424" w:name="_Toc246996338"/>
      <w:bookmarkStart w:id="425" w:name="_Toc152042549"/>
      <w:bookmarkStart w:id="426" w:name="_Toc144974829"/>
      <w:r>
        <w:rPr>
          <w:rFonts w:hint="eastAsia" w:ascii="宋体" w:hAnsi="宋体" w:cs="宋体"/>
          <w:b/>
          <w:color w:val="auto"/>
          <w:szCs w:val="21"/>
          <w:highlight w:val="none"/>
        </w:rPr>
        <w:t>履约保证金</w:t>
      </w:r>
    </w:p>
    <w:p w14:paraId="3555360E">
      <w:pPr>
        <w:ind w:firstLine="48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6BA8F211">
      <w:pPr>
        <w:ind w:firstLine="48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rPr>
        <w:t>年</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rPr>
        <w:t>月</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rPr>
        <w:t>日就</w:t>
      </w:r>
      <w:r>
        <w:rPr>
          <w:rFonts w:hint="eastAsia" w:ascii="宋体" w:hAnsi="宋体"/>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1BAC31">
      <w:pPr>
        <w:ind w:firstLine="48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1EBB84A4">
      <w:pPr>
        <w:ind w:firstLine="48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rPr>
        <w:t>元（¥</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rPr>
        <w:t xml:space="preserve">）。 </w:t>
      </w:r>
    </w:p>
    <w:p w14:paraId="69AB688B">
      <w:pPr>
        <w:ind w:firstLine="480"/>
        <w:rPr>
          <w:rFonts w:hint="eastAsia" w:ascii="宋体" w:hAnsi="宋体" w:cs="宋体"/>
          <w:color w:val="auto"/>
          <w:szCs w:val="21"/>
          <w:highlight w:val="none"/>
        </w:rPr>
      </w:pPr>
      <w:r>
        <w:rPr>
          <w:rFonts w:hint="eastAsia" w:ascii="宋体" w:hAnsi="宋体" w:cs="宋体"/>
          <w:color w:val="auto"/>
          <w:szCs w:val="21"/>
          <w:highlight w:val="none"/>
        </w:rPr>
        <w:t>三、本保函有效期自开立之日起至</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rPr>
        <w:t xml:space="preserve">。 </w:t>
      </w:r>
    </w:p>
    <w:p w14:paraId="5D186FC9">
      <w:pPr>
        <w:ind w:firstLine="480"/>
        <w:rPr>
          <w:rFonts w:hint="eastAsia" w:ascii="宋体" w:hAnsi="宋体" w:cs="宋体"/>
          <w:color w:val="auto"/>
          <w:szCs w:val="21"/>
          <w:highlight w:val="none"/>
        </w:rPr>
      </w:pPr>
      <w:bookmarkStart w:id="427"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427"/>
    <w:p w14:paraId="7E42B5F2">
      <w:pPr>
        <w:ind w:firstLine="48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40CDB019">
      <w:pPr>
        <w:ind w:firstLine="48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4E5F184E">
      <w:pPr>
        <w:ind w:firstLine="48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1306CEA3">
      <w:pPr>
        <w:ind w:firstLine="48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42768259">
      <w:pPr>
        <w:ind w:firstLine="48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olor w:val="auto"/>
          <w:kern w:val="0"/>
          <w:szCs w:val="21"/>
          <w:highlight w:val="none"/>
          <w:u w:val="single"/>
        </w:rPr>
        <w:t xml:space="preserve">      </w:t>
      </w:r>
      <w:r>
        <w:rPr>
          <w:rFonts w:hint="eastAsia" w:ascii="宋体" w:hAnsi="宋体" w:cs="宋体"/>
          <w:color w:val="auto"/>
          <w:szCs w:val="21"/>
          <w:highlight w:val="none"/>
        </w:rPr>
        <w:t>。</w:t>
      </w:r>
    </w:p>
    <w:p w14:paraId="641ACCCF">
      <w:pPr>
        <w:ind w:firstLine="480"/>
        <w:rPr>
          <w:rFonts w:hint="eastAsia" w:ascii="宋体" w:hAnsi="宋体" w:cs="宋体"/>
          <w:color w:val="auto"/>
          <w:szCs w:val="21"/>
          <w:highlight w:val="none"/>
        </w:rPr>
      </w:pPr>
      <w:bookmarkStart w:id="428" w:name="_Hlk40303486"/>
      <w:r>
        <w:rPr>
          <w:rFonts w:hint="eastAsia" w:ascii="宋体" w:hAnsi="宋体" w:cs="宋体"/>
          <w:color w:val="auto"/>
          <w:szCs w:val="21"/>
          <w:highlight w:val="none"/>
        </w:rPr>
        <w:t>受益人发出的书面付款通知应由其法定代表人（负责人）或授权代理人签字并加盖公章。</w:t>
      </w:r>
      <w:bookmarkEnd w:id="428"/>
    </w:p>
    <w:p w14:paraId="58BA99C4">
      <w:pPr>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74FC1764">
      <w:pPr>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70DA90AF">
      <w:pPr>
        <w:ind w:firstLine="480"/>
        <w:rPr>
          <w:rFonts w:hint="eastAsia" w:ascii="宋体" w:hAnsi="宋体" w:cs="宋体"/>
          <w:color w:val="auto"/>
          <w:szCs w:val="21"/>
          <w:highlight w:val="none"/>
        </w:rPr>
      </w:pPr>
      <w:bookmarkStart w:id="429" w:name="_Hlk40303383"/>
      <w:bookmarkStart w:id="430" w:name="_Hlk40354981"/>
      <w:r>
        <w:rPr>
          <w:rFonts w:hint="eastAsia" w:ascii="宋体" w:hAnsi="宋体" w:cs="宋体"/>
          <w:color w:val="auto"/>
          <w:szCs w:val="21"/>
          <w:highlight w:val="none"/>
        </w:rPr>
        <w:t xml:space="preserve">七、本保函项下的义务和责任均在保函有效期到期后自动消灭。 </w:t>
      </w:r>
    </w:p>
    <w:p w14:paraId="0A658185">
      <w:pPr>
        <w:ind w:firstLine="48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429"/>
      <w:r>
        <w:rPr>
          <w:rFonts w:hint="eastAsia" w:ascii="宋体" w:hAnsi="宋体" w:cs="宋体"/>
          <w:color w:val="auto"/>
          <w:szCs w:val="21"/>
          <w:highlight w:val="none"/>
        </w:rPr>
        <w:t xml:space="preserve">由受益人所在地人民法院管辖。 </w:t>
      </w:r>
    </w:p>
    <w:bookmarkEnd w:id="430"/>
    <w:p w14:paraId="7825398D">
      <w:pPr>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0DB36D9E">
      <w:pPr>
        <w:ind w:left="0" w:leftChars="0" w:firstLine="0" w:firstLineChars="0"/>
        <w:jc w:val="center"/>
        <w:rPr>
          <w:rFonts w:hint="eastAsia" w:ascii="宋体" w:hAnsi="宋体" w:cs="宋体"/>
          <w:color w:val="auto"/>
          <w:szCs w:val="21"/>
          <w:highlight w:val="none"/>
        </w:rPr>
      </w:pPr>
    </w:p>
    <w:p w14:paraId="26515D18">
      <w:pPr>
        <w:ind w:firstLine="3120" w:firstLineChars="13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6D3B8EAF">
      <w:pPr>
        <w:ind w:firstLine="3120" w:firstLineChars="13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7C47C8D">
      <w:pPr>
        <w:ind w:firstLine="3120" w:firstLineChars="13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FA1260E">
      <w:pPr>
        <w:ind w:firstLine="3120" w:firstLineChars="1300"/>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C52F306">
      <w:pPr>
        <w:ind w:firstLine="3120" w:firstLineChars="13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5C980D62">
      <w:pPr>
        <w:ind w:firstLine="3120" w:firstLineChars="13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4A18DD7F">
      <w:pPr>
        <w:ind w:firstLine="3120" w:firstLineChars="130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AE35927">
      <w:pPr>
        <w:pStyle w:val="7"/>
        <w:spacing w:before="240" w:after="240"/>
        <w:ind w:firstLine="118"/>
        <w:rPr>
          <w:rFonts w:hint="eastAsia" w:ascii="黑体" w:hAnsi="黑体"/>
          <w:bCs/>
          <w:color w:val="auto"/>
          <w:highlight w:val="none"/>
        </w:rPr>
      </w:pPr>
      <w:r>
        <w:rPr>
          <w:color w:val="auto"/>
          <w:szCs w:val="21"/>
          <w:highlight w:val="none"/>
        </w:rPr>
        <w:br w:type="page"/>
      </w:r>
      <w:r>
        <w:rPr>
          <w:rFonts w:hint="eastAsia" w:ascii="黑体" w:hAnsi="黑体"/>
          <w:bCs/>
          <w:color w:val="auto"/>
          <w:highlight w:val="none"/>
        </w:rPr>
        <w:t>附件E：总监理工程师质量终身责任承诺</w:t>
      </w:r>
    </w:p>
    <w:p w14:paraId="114C0D0B">
      <w:pPr>
        <w:spacing w:line="440" w:lineRule="exact"/>
        <w:ind w:firstLine="480"/>
        <w:jc w:val="center"/>
        <w:rPr>
          <w:rFonts w:eastAsia="黑体"/>
          <w:color w:val="auto"/>
          <w:szCs w:val="21"/>
          <w:highlight w:val="none"/>
        </w:rPr>
      </w:pPr>
      <w:bookmarkStart w:id="431" w:name="_Toc20025"/>
      <w:bookmarkStart w:id="432" w:name="_Toc6863"/>
      <w:bookmarkStart w:id="433" w:name="_Toc18971"/>
      <w:r>
        <w:rPr>
          <w:rFonts w:eastAsia="黑体"/>
          <w:color w:val="auto"/>
          <w:szCs w:val="21"/>
          <w:highlight w:val="none"/>
        </w:rPr>
        <w:t>总监理工程师质量终身责任承诺</w:t>
      </w:r>
      <w:bookmarkEnd w:id="431"/>
      <w:bookmarkEnd w:id="432"/>
      <w:bookmarkEnd w:id="433"/>
    </w:p>
    <w:p w14:paraId="26EEA185">
      <w:pPr>
        <w:ind w:left="0" w:leftChars="0" w:firstLine="0" w:firstLineChars="0"/>
        <w:jc w:val="center"/>
        <w:rPr>
          <w:rFonts w:ascii="宋体" w:hAnsi="宋体"/>
          <w:bCs/>
          <w:color w:val="auto"/>
          <w:szCs w:val="21"/>
          <w:highlight w:val="none"/>
        </w:rPr>
      </w:pPr>
    </w:p>
    <w:p w14:paraId="6F7A5006">
      <w:pPr>
        <w:ind w:firstLine="48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致：</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lang w:eastAsia="zh-CN"/>
        </w:rPr>
        <w:t>肥西工投战新产业园管理有限公司</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lang w:eastAsia="zh-CN"/>
        </w:rPr>
        <w:t>（</w:t>
      </w:r>
      <w:r>
        <w:rPr>
          <w:rFonts w:ascii="宋体" w:hAnsi="宋体"/>
          <w:bCs/>
          <w:color w:val="auto"/>
          <w:szCs w:val="21"/>
          <w:highlight w:val="none"/>
        </w:rPr>
        <w:t>招标人名称</w:t>
      </w:r>
      <w:r>
        <w:rPr>
          <w:rFonts w:hint="eastAsia" w:ascii="宋体" w:hAnsi="宋体"/>
          <w:bCs/>
          <w:color w:val="auto"/>
          <w:szCs w:val="21"/>
          <w:highlight w:val="none"/>
          <w:lang w:eastAsia="zh-CN"/>
        </w:rPr>
        <w:t>）</w:t>
      </w:r>
    </w:p>
    <w:p w14:paraId="61F3A676">
      <w:pPr>
        <w:ind w:firstLine="480"/>
        <w:rPr>
          <w:rFonts w:ascii="宋体" w:hAnsi="宋体"/>
          <w:bCs/>
          <w:color w:val="auto"/>
          <w:szCs w:val="21"/>
          <w:highlight w:val="none"/>
        </w:rPr>
      </w:pPr>
      <w:r>
        <w:rPr>
          <w:rFonts w:hint="eastAsia" w:ascii="宋体" w:hAnsi="宋体"/>
          <w:bCs/>
          <w:color w:val="auto"/>
          <w:szCs w:val="21"/>
          <w:highlight w:val="none"/>
        </w:rPr>
        <w:t>本人作为拟委任的</w:t>
      </w:r>
      <w:r>
        <w:rPr>
          <w:rFonts w:ascii="宋体" w:hAnsi="宋体"/>
          <w:bCs/>
          <w:color w:val="auto"/>
          <w:szCs w:val="21"/>
          <w:highlight w:val="none"/>
        </w:rPr>
        <w:t>总监理工程师</w:t>
      </w:r>
      <w:r>
        <w:rPr>
          <w:rFonts w:hint="eastAsia" w:ascii="宋体" w:hAnsi="宋体"/>
          <w:bCs/>
          <w:color w:val="auto"/>
          <w:szCs w:val="21"/>
          <w:highlight w:val="none"/>
        </w:rPr>
        <w:t>，承担相关质量终身责任，现郑重承诺如下：</w:t>
      </w:r>
    </w:p>
    <w:p w14:paraId="085CD88C">
      <w:pPr>
        <w:ind w:firstLine="480"/>
        <w:rPr>
          <w:rFonts w:ascii="宋体" w:hAnsi="宋体" w:cs="宋体"/>
          <w:color w:val="auto"/>
          <w:kern w:val="0"/>
          <w:szCs w:val="21"/>
          <w:highlight w:val="none"/>
        </w:rPr>
      </w:pPr>
      <w:r>
        <w:rPr>
          <w:rFonts w:hint="eastAsia" w:ascii="宋体" w:hAnsi="宋体" w:cs="宋体"/>
          <w:color w:val="auto"/>
          <w:kern w:val="0"/>
          <w:szCs w:val="21"/>
          <w:highlight w:val="none"/>
        </w:rPr>
        <w:t>一</w:t>
      </w:r>
      <w:r>
        <w:rPr>
          <w:rFonts w:ascii="宋体" w:hAnsi="宋体" w:cs="宋体"/>
          <w:color w:val="auto"/>
          <w:kern w:val="0"/>
          <w:szCs w:val="21"/>
          <w:highlight w:val="none"/>
        </w:rPr>
        <w:t>、严格执行工程监理规范；</w:t>
      </w:r>
    </w:p>
    <w:p w14:paraId="2A6A9BC7">
      <w:pPr>
        <w:ind w:firstLine="480"/>
        <w:rPr>
          <w:rFonts w:ascii="宋体" w:hAnsi="宋体" w:cs="宋体"/>
          <w:color w:val="auto"/>
          <w:kern w:val="0"/>
          <w:szCs w:val="21"/>
          <w:highlight w:val="none"/>
        </w:rPr>
      </w:pPr>
      <w:r>
        <w:rPr>
          <w:rFonts w:hint="eastAsia" w:ascii="宋体" w:hAnsi="宋体" w:cs="宋体"/>
          <w:color w:val="auto"/>
          <w:kern w:val="0"/>
          <w:szCs w:val="21"/>
          <w:highlight w:val="none"/>
        </w:rPr>
        <w:t>二</w:t>
      </w:r>
      <w:r>
        <w:rPr>
          <w:rFonts w:ascii="宋体" w:hAnsi="宋体" w:cs="宋体"/>
          <w:color w:val="auto"/>
          <w:kern w:val="0"/>
          <w:szCs w:val="21"/>
          <w:highlight w:val="none"/>
        </w:rPr>
        <w:t>、严格按</w:t>
      </w:r>
      <w:r>
        <w:rPr>
          <w:rFonts w:hint="eastAsia" w:ascii="宋体" w:hAnsi="宋体" w:cs="宋体"/>
          <w:color w:val="auto"/>
          <w:kern w:val="0"/>
          <w:szCs w:val="21"/>
          <w:highlight w:val="none"/>
        </w:rPr>
        <w:t>照</w:t>
      </w:r>
      <w:r>
        <w:rPr>
          <w:rFonts w:ascii="宋体" w:hAnsi="宋体" w:cs="宋体"/>
          <w:color w:val="auto"/>
          <w:kern w:val="0"/>
          <w:szCs w:val="21"/>
          <w:highlight w:val="none"/>
        </w:rPr>
        <w:t>工程进度及监理工作情况配备人员，并确保所有人员到岗履职；</w:t>
      </w:r>
    </w:p>
    <w:p w14:paraId="707E374C">
      <w:pPr>
        <w:ind w:firstLine="480"/>
        <w:rPr>
          <w:rFonts w:ascii="宋体" w:hAnsi="宋体" w:cs="宋体"/>
          <w:color w:val="auto"/>
          <w:kern w:val="0"/>
          <w:szCs w:val="21"/>
          <w:highlight w:val="none"/>
        </w:rPr>
      </w:pPr>
      <w:r>
        <w:rPr>
          <w:rFonts w:hint="eastAsia" w:ascii="宋体" w:hAnsi="宋体" w:cs="宋体"/>
          <w:color w:val="auto"/>
          <w:kern w:val="0"/>
          <w:szCs w:val="21"/>
          <w:highlight w:val="none"/>
        </w:rPr>
        <w:t>三</w:t>
      </w:r>
      <w:r>
        <w:rPr>
          <w:rFonts w:ascii="宋体" w:hAnsi="宋体" w:cs="宋体"/>
          <w:color w:val="auto"/>
          <w:kern w:val="0"/>
          <w:szCs w:val="21"/>
          <w:highlight w:val="none"/>
        </w:rPr>
        <w:t>、严格依照法律、法规以及有关技术标准、经施工图审查机构审查合格的设计文件和监理合同对工程实施监理；</w:t>
      </w:r>
    </w:p>
    <w:p w14:paraId="165017CE">
      <w:pPr>
        <w:ind w:firstLine="480"/>
        <w:rPr>
          <w:rFonts w:ascii="宋体" w:hAnsi="宋体" w:cs="宋体"/>
          <w:color w:val="auto"/>
          <w:kern w:val="0"/>
          <w:szCs w:val="21"/>
          <w:highlight w:val="none"/>
        </w:rPr>
      </w:pPr>
      <w:r>
        <w:rPr>
          <w:rFonts w:hint="eastAsia" w:ascii="宋体" w:hAnsi="宋体" w:cs="宋体"/>
          <w:color w:val="auto"/>
          <w:kern w:val="0"/>
          <w:szCs w:val="21"/>
          <w:highlight w:val="none"/>
        </w:rPr>
        <w:t>四</w:t>
      </w:r>
      <w:r>
        <w:rPr>
          <w:rFonts w:ascii="宋体" w:hAnsi="宋体" w:cs="宋体"/>
          <w:color w:val="auto"/>
          <w:kern w:val="0"/>
          <w:szCs w:val="21"/>
          <w:highlight w:val="none"/>
        </w:rPr>
        <w:t>、发现施工过程有违法违规和违反工程建设强制性标准的行为，应签发监理通知书，要求施工单位整改，并认真对整改的结果进行复查，情况严重时，应签发工程停工令，并及时报告建设单位。施工单位拒不整改或不停工的，应及时向有关主管部门报送监理报告；</w:t>
      </w:r>
    </w:p>
    <w:p w14:paraId="1806907F">
      <w:pPr>
        <w:ind w:firstLine="480"/>
        <w:rPr>
          <w:rFonts w:ascii="宋体" w:hAnsi="宋体" w:cs="宋体"/>
          <w:color w:val="auto"/>
          <w:kern w:val="0"/>
          <w:szCs w:val="21"/>
          <w:highlight w:val="none"/>
        </w:rPr>
      </w:pPr>
      <w:r>
        <w:rPr>
          <w:rFonts w:hint="eastAsia" w:ascii="宋体" w:hAnsi="宋体" w:cs="宋体"/>
          <w:color w:val="auto"/>
          <w:kern w:val="0"/>
          <w:szCs w:val="21"/>
          <w:highlight w:val="none"/>
        </w:rPr>
        <w:t>五</w:t>
      </w:r>
      <w:r>
        <w:rPr>
          <w:rFonts w:ascii="宋体" w:hAnsi="宋体" w:cs="宋体"/>
          <w:color w:val="auto"/>
          <w:kern w:val="0"/>
          <w:szCs w:val="21"/>
          <w:highlight w:val="none"/>
        </w:rPr>
        <w:t>、严格依法依规履行相关工程质量检查、验收及调查、处理事故等监理责任；</w:t>
      </w:r>
    </w:p>
    <w:p w14:paraId="7B9D335A">
      <w:pPr>
        <w:ind w:firstLine="480"/>
        <w:rPr>
          <w:rFonts w:ascii="宋体" w:hAnsi="宋体"/>
          <w:bCs/>
          <w:color w:val="auto"/>
          <w:szCs w:val="21"/>
          <w:highlight w:val="none"/>
        </w:rPr>
      </w:pPr>
      <w:r>
        <w:rPr>
          <w:rFonts w:hint="eastAsia" w:ascii="宋体" w:hAnsi="宋体" w:cs="宋体"/>
          <w:color w:val="auto"/>
          <w:kern w:val="0"/>
          <w:szCs w:val="21"/>
          <w:highlight w:val="none"/>
        </w:rPr>
        <w:t>六</w:t>
      </w:r>
      <w:r>
        <w:rPr>
          <w:rFonts w:ascii="宋体" w:hAnsi="宋体" w:cs="宋体"/>
          <w:color w:val="auto"/>
          <w:kern w:val="0"/>
          <w:szCs w:val="21"/>
          <w:highlight w:val="none"/>
        </w:rPr>
        <w:t>、履行其他法律法规规定的职责。</w:t>
      </w:r>
    </w:p>
    <w:p w14:paraId="73A9084F">
      <w:pPr>
        <w:ind w:left="0" w:leftChars="0" w:firstLine="0" w:firstLineChars="0"/>
        <w:jc w:val="center"/>
        <w:rPr>
          <w:rFonts w:ascii="宋体" w:hAnsi="宋体"/>
          <w:bCs/>
          <w:color w:val="auto"/>
          <w:szCs w:val="21"/>
          <w:highlight w:val="none"/>
        </w:rPr>
      </w:pPr>
    </w:p>
    <w:p w14:paraId="0F8AAFA0">
      <w:pPr>
        <w:ind w:left="0" w:leftChars="0" w:firstLine="0" w:firstLineChars="0"/>
        <w:jc w:val="center"/>
        <w:rPr>
          <w:rFonts w:ascii="宋体" w:hAnsi="宋体"/>
          <w:bCs/>
          <w:color w:val="auto"/>
          <w:szCs w:val="21"/>
          <w:highlight w:val="none"/>
        </w:rPr>
      </w:pPr>
    </w:p>
    <w:p w14:paraId="48F78DCA">
      <w:pPr>
        <w:ind w:firstLine="3840" w:firstLineChars="1600"/>
        <w:rPr>
          <w:rFonts w:ascii="宋体" w:hAnsi="宋体"/>
          <w:bCs/>
          <w:color w:val="auto"/>
          <w:szCs w:val="21"/>
          <w:highlight w:val="none"/>
        </w:rPr>
      </w:pPr>
      <w:r>
        <w:rPr>
          <w:rFonts w:ascii="宋体" w:hAnsi="宋体"/>
          <w:bCs/>
          <w:color w:val="auto"/>
          <w:szCs w:val="21"/>
          <w:highlight w:val="none"/>
        </w:rPr>
        <w:t>总监理工程师</w:t>
      </w:r>
      <w:r>
        <w:rPr>
          <w:rFonts w:hint="eastAsia" w:ascii="宋体" w:hAnsi="宋体"/>
          <w:bCs/>
          <w:color w:val="auto"/>
          <w:szCs w:val="21"/>
          <w:highlight w:val="none"/>
        </w:rPr>
        <w:t>：</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（签字）</w:t>
      </w:r>
    </w:p>
    <w:p w14:paraId="5C9AC888">
      <w:pPr>
        <w:ind w:firstLine="3840" w:firstLineChars="1600"/>
        <w:rPr>
          <w:color w:val="auto"/>
          <w:szCs w:val="24"/>
          <w:highlight w:val="none"/>
        </w:rPr>
      </w:pPr>
      <w:r>
        <w:rPr>
          <w:rFonts w:hint="eastAsia" w:ascii="宋体" w:hAnsi="宋体"/>
          <w:bCs/>
          <w:color w:val="auto"/>
          <w:szCs w:val="21"/>
          <w:highlight w:val="none"/>
        </w:rPr>
        <w:t>日</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期：</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年</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月</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rPr>
        <w:t>日</w:t>
      </w:r>
    </w:p>
    <w:p w14:paraId="396CB056">
      <w:pPr>
        <w:pStyle w:val="5"/>
        <w:spacing w:before="240" w:after="240"/>
        <w:ind w:firstLine="482"/>
        <w:rPr>
          <w:b w:val="0"/>
          <w:color w:val="auto"/>
          <w:szCs w:val="32"/>
          <w:highlight w:val="none"/>
        </w:rPr>
      </w:pPr>
      <w:r>
        <w:rPr>
          <w:rFonts w:eastAsia="黑体"/>
          <w:color w:val="auto"/>
          <w:sz w:val="24"/>
          <w:szCs w:val="24"/>
          <w:highlight w:val="none"/>
        </w:rPr>
        <w:br w:type="page"/>
      </w:r>
      <w:bookmarkStart w:id="434" w:name="_Toc1678"/>
      <w:bookmarkStart w:id="435" w:name="_Toc26846"/>
      <w:bookmarkStart w:id="436" w:name="_Toc7499"/>
      <w:bookmarkStart w:id="437" w:name="_Toc570"/>
      <w:bookmarkStart w:id="438" w:name="_Toc17923"/>
      <w:bookmarkStart w:id="439" w:name="_Toc4885"/>
      <w:r>
        <w:rPr>
          <w:rStyle w:val="55"/>
          <w:rFonts w:hint="eastAsia" w:ascii="黑体" w:hAnsi="黑体" w:eastAsia="黑体" w:cs="黑体"/>
          <w:b w:val="0"/>
          <w:bCs/>
          <w:color w:val="auto"/>
          <w:szCs w:val="32"/>
          <w:highlight w:val="none"/>
        </w:rPr>
        <w:t>第五章  委托人要求</w:t>
      </w:r>
      <w:bookmarkEnd w:id="434"/>
      <w:bookmarkEnd w:id="435"/>
      <w:bookmarkEnd w:id="436"/>
      <w:bookmarkEnd w:id="437"/>
      <w:bookmarkEnd w:id="438"/>
      <w:bookmarkEnd w:id="439"/>
    </w:p>
    <w:bookmarkEnd w:id="421"/>
    <w:bookmarkEnd w:id="422"/>
    <w:bookmarkEnd w:id="423"/>
    <w:bookmarkEnd w:id="424"/>
    <w:p w14:paraId="64C2F59A">
      <w:pPr>
        <w:pStyle w:val="6"/>
        <w:spacing w:before="240" w:after="240"/>
        <w:ind w:firstLine="0" w:firstLineChars="0"/>
        <w:rPr>
          <w:color w:val="auto"/>
          <w:highlight w:val="none"/>
        </w:rPr>
      </w:pPr>
      <w:bookmarkStart w:id="440" w:name="_Toc7491"/>
      <w:bookmarkStart w:id="441" w:name="_Toc26665"/>
      <w:bookmarkStart w:id="442" w:name="_Toc27205"/>
      <w:bookmarkStart w:id="443" w:name="_Toc28398"/>
      <w:bookmarkStart w:id="444" w:name="_Toc3805"/>
      <w:bookmarkStart w:id="445" w:name="_Toc31470"/>
      <w:bookmarkStart w:id="446" w:name="_Toc3989"/>
      <w:bookmarkStart w:id="447" w:name="_Toc482188637"/>
      <w:r>
        <w:rPr>
          <w:color w:val="auto"/>
          <w:highlight w:val="none"/>
        </w:rPr>
        <w:t>一、监理要求</w:t>
      </w:r>
      <w:bookmarkEnd w:id="440"/>
      <w:bookmarkEnd w:id="441"/>
      <w:bookmarkEnd w:id="442"/>
      <w:bookmarkEnd w:id="443"/>
      <w:bookmarkEnd w:id="444"/>
      <w:bookmarkEnd w:id="445"/>
      <w:bookmarkEnd w:id="446"/>
      <w:bookmarkEnd w:id="447"/>
    </w:p>
    <w:p w14:paraId="5037C68E">
      <w:pPr>
        <w:ind w:firstLine="480"/>
        <w:outlineLvl w:val="2"/>
        <w:rPr>
          <w:b/>
          <w:bCs/>
          <w:color w:val="auto"/>
          <w:highlight w:val="none"/>
        </w:rPr>
      </w:pPr>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b/>
          <w:bCs/>
          <w:color w:val="auto"/>
          <w:highlight w:val="none"/>
        </w:rPr>
        <w:t>项目概况</w:t>
      </w:r>
    </w:p>
    <w:p w14:paraId="59715B44">
      <w:pPr>
        <w:ind w:firstLine="480"/>
        <w:outlineLvl w:val="2"/>
        <w:rPr>
          <w:rFonts w:hint="eastAsia"/>
          <w:color w:val="auto"/>
          <w:highlight w:val="none"/>
        </w:rPr>
      </w:pPr>
      <w:r>
        <w:rPr>
          <w:rFonts w:hint="eastAsia"/>
          <w:color w:val="auto"/>
          <w:highlight w:val="none"/>
          <w:lang w:eastAsia="zh-CN"/>
        </w:rPr>
        <w:t>（</w:t>
      </w:r>
      <w:r>
        <w:rPr>
          <w:rFonts w:hint="eastAsia"/>
          <w:color w:val="auto"/>
          <w:highlight w:val="none"/>
          <w:lang w:val="en-US" w:eastAsia="zh-CN"/>
        </w:rPr>
        <w:t>见招标公告</w:t>
      </w:r>
      <w:r>
        <w:rPr>
          <w:rFonts w:hint="eastAsia"/>
          <w:color w:val="auto"/>
          <w:highlight w:val="none"/>
          <w:lang w:eastAsia="zh-CN"/>
        </w:rPr>
        <w:t>）</w:t>
      </w:r>
    </w:p>
    <w:p w14:paraId="4CB5818A">
      <w:pPr>
        <w:numPr>
          <w:ilvl w:val="0"/>
          <w:numId w:val="2"/>
        </w:numPr>
        <w:ind w:firstLine="480"/>
        <w:outlineLvl w:val="2"/>
        <w:rPr>
          <w:b/>
          <w:bCs/>
          <w:color w:val="auto"/>
          <w:highlight w:val="none"/>
        </w:rPr>
      </w:pPr>
      <w:r>
        <w:rPr>
          <w:b/>
          <w:bCs/>
          <w:color w:val="auto"/>
          <w:highlight w:val="none"/>
        </w:rPr>
        <w:t>监理范围及内容</w:t>
      </w:r>
    </w:p>
    <w:p w14:paraId="65925320">
      <w:pPr>
        <w:bidi w:val="0"/>
        <w:rPr>
          <w:b/>
          <w:bCs/>
          <w:color w:val="auto"/>
          <w:highlight w:val="none"/>
        </w:rPr>
      </w:pPr>
      <w:r>
        <w:rPr>
          <w:rFonts w:hint="eastAsia"/>
          <w:color w:val="auto"/>
          <w:highlight w:val="none"/>
        </w:rPr>
        <w:t>本次招标范围为工程建设范围内的全部监理服务，包括但不限于整个项目的竣工验收、移交备案及项目建成后的维修维保等全过程监理</w:t>
      </w:r>
      <w:r>
        <w:rPr>
          <w:rFonts w:hint="eastAsia"/>
          <w:color w:val="auto"/>
          <w:highlight w:val="none"/>
          <w:lang w:eastAsia="zh-CN"/>
        </w:rPr>
        <w:t>，</w:t>
      </w:r>
      <w:r>
        <w:rPr>
          <w:rFonts w:hint="eastAsia"/>
          <w:color w:val="auto"/>
          <w:highlight w:val="none"/>
        </w:rPr>
        <w:t>全过程监理</w:t>
      </w:r>
      <w:r>
        <w:rPr>
          <w:rFonts w:hint="eastAsia"/>
          <w:color w:val="auto"/>
          <w:highlight w:val="none"/>
          <w:lang w:val="en-US" w:eastAsia="zh-CN"/>
        </w:rPr>
        <w:t>具体</w:t>
      </w:r>
      <w:r>
        <w:rPr>
          <w:rFonts w:hint="eastAsia"/>
          <w:color w:val="auto"/>
          <w:highlight w:val="none"/>
        </w:rPr>
        <w:t>服务</w:t>
      </w:r>
      <w:r>
        <w:rPr>
          <w:rFonts w:hint="eastAsia"/>
          <w:color w:val="auto"/>
          <w:highlight w:val="none"/>
          <w:lang w:val="en-US" w:eastAsia="zh-CN"/>
        </w:rPr>
        <w:t>内容</w:t>
      </w:r>
      <w:r>
        <w:rPr>
          <w:rFonts w:hint="eastAsia"/>
          <w:color w:val="auto"/>
          <w:highlight w:val="none"/>
        </w:rPr>
        <w:t>包括不限于，协助招标人办理报建手续、施工合同洽谈、对工程实施阶段的质量、安全、进度、投资控制、合同内容等进行监督管理，协调各施工主体关系等。</w:t>
      </w:r>
    </w:p>
    <w:p w14:paraId="4CFE7B77">
      <w:pPr>
        <w:ind w:firstLine="480"/>
        <w:outlineLvl w:val="2"/>
        <w:rPr>
          <w:color w:val="auto"/>
          <w:highlight w:val="none"/>
        </w:rPr>
      </w:pPr>
      <w:r>
        <w:rPr>
          <w:rFonts w:hint="eastAsia"/>
          <w:b/>
          <w:bCs/>
          <w:color w:val="auto"/>
          <w:highlight w:val="none"/>
          <w:lang w:eastAsia="zh-CN"/>
        </w:rPr>
        <w:t>（</w:t>
      </w:r>
      <w:r>
        <w:rPr>
          <w:rFonts w:hint="eastAsia"/>
          <w:b/>
          <w:bCs/>
          <w:color w:val="auto"/>
          <w:highlight w:val="none"/>
          <w:lang w:val="en-US" w:eastAsia="zh-CN"/>
        </w:rPr>
        <w:t>三</w:t>
      </w:r>
      <w:r>
        <w:rPr>
          <w:rFonts w:hint="eastAsia"/>
          <w:b/>
          <w:bCs/>
          <w:color w:val="auto"/>
          <w:highlight w:val="none"/>
          <w:lang w:eastAsia="zh-CN"/>
        </w:rPr>
        <w:t>）</w:t>
      </w:r>
      <w:r>
        <w:rPr>
          <w:b/>
          <w:bCs/>
          <w:color w:val="auto"/>
          <w:highlight w:val="none"/>
        </w:rPr>
        <w:t>监理依据</w:t>
      </w:r>
    </w:p>
    <w:p w14:paraId="2D087258">
      <w:pPr>
        <w:pStyle w:val="7"/>
        <w:spacing w:before="240" w:after="240"/>
        <w:ind w:firstLine="597" w:firstLineChars="249"/>
        <w:jc w:val="both"/>
        <w:rPr>
          <w:rFonts w:hint="eastAsia"/>
          <w:color w:val="auto"/>
          <w:highlight w:val="none"/>
          <w:lang w:val="en-US" w:eastAsia="zh-CN"/>
        </w:rPr>
      </w:pPr>
      <w:r>
        <w:rPr>
          <w:rFonts w:hint="eastAsia" w:ascii="Times New Roman" w:hAnsi="Times New Roman" w:eastAsia="宋体" w:cs="Times New Roman"/>
          <w:color w:val="auto"/>
          <w:kern w:val="2"/>
          <w:sz w:val="24"/>
          <w:szCs w:val="22"/>
          <w:highlight w:val="none"/>
          <w:lang w:val="en-US" w:eastAsia="zh-CN" w:bidi="ar-SA"/>
        </w:rPr>
        <w:t>见《专用合同条款数据表》</w:t>
      </w:r>
    </w:p>
    <w:p w14:paraId="662AD856">
      <w:pPr>
        <w:ind w:firstLine="480"/>
        <w:outlineLvl w:val="2"/>
        <w:rPr>
          <w:color w:val="auto"/>
          <w:highlight w:val="none"/>
        </w:rPr>
      </w:pPr>
      <w:r>
        <w:rPr>
          <w:rFonts w:hint="eastAsia"/>
          <w:b/>
          <w:bCs/>
          <w:color w:val="auto"/>
          <w:highlight w:val="none"/>
          <w:lang w:eastAsia="zh-CN"/>
        </w:rPr>
        <w:t>（</w:t>
      </w:r>
      <w:r>
        <w:rPr>
          <w:rFonts w:hint="eastAsia"/>
          <w:b/>
          <w:bCs/>
          <w:color w:val="auto"/>
          <w:highlight w:val="none"/>
          <w:lang w:val="en-US" w:eastAsia="zh-CN"/>
        </w:rPr>
        <w:t>四</w:t>
      </w:r>
      <w:r>
        <w:rPr>
          <w:rFonts w:hint="eastAsia"/>
          <w:b/>
          <w:bCs/>
          <w:color w:val="auto"/>
          <w:highlight w:val="none"/>
          <w:lang w:eastAsia="zh-CN"/>
        </w:rPr>
        <w:t>）</w:t>
      </w:r>
      <w:r>
        <w:rPr>
          <w:b/>
          <w:bCs/>
          <w:color w:val="auto"/>
          <w:highlight w:val="none"/>
        </w:rPr>
        <w:t>监理人员和试验检测仪器设备要求</w:t>
      </w:r>
    </w:p>
    <w:p w14:paraId="454ECE1C">
      <w:pPr>
        <w:ind w:firstLine="480"/>
        <w:rPr>
          <w:rFonts w:hint="eastAsia"/>
          <w:color w:val="auto"/>
          <w:highlight w:val="none"/>
        </w:rPr>
      </w:pPr>
      <w:r>
        <w:rPr>
          <w:rFonts w:hint="eastAsia"/>
          <w:color w:val="auto"/>
          <w:highlight w:val="none"/>
          <w:lang w:val="en-US" w:eastAsia="zh-CN"/>
        </w:rPr>
        <w:t>根据项目实际需要进行配置。</w:t>
      </w:r>
      <w:r>
        <w:rPr>
          <w:rFonts w:hint="eastAsia"/>
          <w:color w:val="auto"/>
          <w:highlight w:val="none"/>
        </w:rPr>
        <w:t>因监理工作所需要的设备及设施由监理人自行配备，所需费用已包含在监理服务费报价中，委托人不再另行计量与支付。</w:t>
      </w:r>
    </w:p>
    <w:p w14:paraId="7956CE5B">
      <w:pPr>
        <w:ind w:firstLine="480"/>
        <w:outlineLvl w:val="2"/>
        <w:rPr>
          <w:b/>
          <w:bCs/>
          <w:color w:val="auto"/>
          <w:highlight w:val="none"/>
        </w:rPr>
      </w:pPr>
      <w:r>
        <w:rPr>
          <w:rFonts w:hint="eastAsia"/>
          <w:b/>
          <w:bCs/>
          <w:color w:val="auto"/>
          <w:highlight w:val="none"/>
          <w:lang w:eastAsia="zh-CN"/>
        </w:rPr>
        <w:t>（</w:t>
      </w:r>
      <w:r>
        <w:rPr>
          <w:rFonts w:hint="eastAsia"/>
          <w:b/>
          <w:bCs/>
          <w:color w:val="auto"/>
          <w:highlight w:val="none"/>
          <w:lang w:val="en-US" w:eastAsia="zh-CN"/>
        </w:rPr>
        <w:t>五</w:t>
      </w:r>
      <w:r>
        <w:rPr>
          <w:rFonts w:hint="eastAsia"/>
          <w:b/>
          <w:bCs/>
          <w:color w:val="auto"/>
          <w:highlight w:val="none"/>
          <w:lang w:eastAsia="zh-CN"/>
        </w:rPr>
        <w:t>）</w:t>
      </w:r>
      <w:r>
        <w:rPr>
          <w:b/>
          <w:bCs/>
          <w:color w:val="auto"/>
          <w:highlight w:val="none"/>
        </w:rPr>
        <w:t>其他要求</w:t>
      </w:r>
    </w:p>
    <w:p w14:paraId="09FEDFC3">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eastAsia" w:ascii="Times New Roman" w:hAnsi="Times New Roman" w:eastAsia="宋体" w:cs="Times New Roman"/>
          <w:color w:val="auto"/>
          <w:kern w:val="2"/>
          <w:sz w:val="24"/>
          <w:szCs w:val="22"/>
          <w:highlight w:val="none"/>
          <w:lang w:val="en-US" w:eastAsia="zh-CN" w:bidi="ar-SA"/>
        </w:rPr>
      </w:pPr>
      <w:bookmarkStart w:id="448" w:name="_Toc482188638"/>
      <w:bookmarkStart w:id="449" w:name="_Toc13635"/>
      <w:bookmarkStart w:id="450" w:name="_Toc4618"/>
      <w:bookmarkStart w:id="451" w:name="_Toc22968"/>
      <w:bookmarkStart w:id="452" w:name="_Toc16593"/>
      <w:bookmarkStart w:id="453" w:name="_Toc8104"/>
      <w:bookmarkStart w:id="454" w:name="_Toc20747"/>
      <w:r>
        <w:rPr>
          <w:rFonts w:hint="eastAsia" w:ascii="Times New Roman" w:hAnsi="Times New Roman" w:eastAsia="宋体" w:cs="Times New Roman"/>
          <w:color w:val="auto"/>
          <w:kern w:val="2"/>
          <w:sz w:val="24"/>
          <w:szCs w:val="22"/>
          <w:highlight w:val="none"/>
          <w:lang w:val="en-US" w:eastAsia="zh-CN" w:bidi="ar-SA"/>
        </w:rPr>
        <w:t>监理人对项目范围内涉及的供电、燃气等杆管线单位的施工活动进行协调管理，做好工序衔接等工作，重点做好与道路主体工程的工序衔接、交叉作业配合及现场争议协调等工作。</w:t>
      </w:r>
    </w:p>
    <w:p w14:paraId="2777956E">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eastAsia" w:ascii="Times New Roman" w:hAnsi="Times New Roman" w:eastAsia="宋体" w:cs="Times New Roman"/>
          <w:color w:val="auto"/>
          <w:kern w:val="2"/>
          <w:sz w:val="24"/>
          <w:szCs w:val="22"/>
          <w:highlight w:val="none"/>
          <w:lang w:val="en-US" w:eastAsia="zh-CN" w:bidi="ar-SA"/>
        </w:rPr>
      </w:pPr>
    </w:p>
    <w:p w14:paraId="2E71775C">
      <w:pPr>
        <w:ind w:firstLine="480"/>
        <w:outlineLvl w:val="2"/>
        <w:rPr>
          <w:rFonts w:hint="eastAsia"/>
          <w:b/>
          <w:bCs/>
          <w:color w:val="auto"/>
          <w:highlight w:val="none"/>
          <w:lang w:val="en-US" w:eastAsia="zh-CN"/>
        </w:rPr>
      </w:pPr>
      <w:r>
        <w:rPr>
          <w:rFonts w:hint="eastAsia"/>
          <w:b/>
          <w:bCs/>
          <w:color w:val="auto"/>
          <w:highlight w:val="none"/>
          <w:lang w:val="en-US" w:eastAsia="zh-CN"/>
        </w:rPr>
        <w:t>二、适用规范标准</w:t>
      </w:r>
      <w:bookmarkEnd w:id="448"/>
      <w:bookmarkEnd w:id="449"/>
      <w:bookmarkEnd w:id="450"/>
      <w:bookmarkEnd w:id="451"/>
      <w:bookmarkEnd w:id="452"/>
      <w:bookmarkEnd w:id="453"/>
      <w:bookmarkEnd w:id="454"/>
    </w:p>
    <w:p w14:paraId="2E8DDD5F">
      <w:pPr>
        <w:rPr>
          <w:rFonts w:hint="eastAsia"/>
          <w:color w:val="auto"/>
          <w:highlight w:val="none"/>
          <w:lang w:val="en-US" w:eastAsia="zh-CN"/>
        </w:rPr>
      </w:pPr>
    </w:p>
    <w:p w14:paraId="30A265C1">
      <w:pPr>
        <w:ind w:firstLine="480"/>
        <w:rPr>
          <w:rFonts w:hint="eastAsia"/>
          <w:color w:val="auto"/>
          <w:highlight w:val="none"/>
        </w:rPr>
      </w:pPr>
      <w:r>
        <w:rPr>
          <w:rFonts w:hint="eastAsia"/>
          <w:color w:val="auto"/>
          <w:highlight w:val="none"/>
        </w:rPr>
        <w:t>（一）通用施工监理规范</w:t>
      </w:r>
    </w:p>
    <w:p w14:paraId="60D9B34B">
      <w:pPr>
        <w:ind w:firstLine="480"/>
        <w:rPr>
          <w:rFonts w:hint="eastAsia"/>
          <w:color w:val="auto"/>
          <w:highlight w:val="none"/>
        </w:rPr>
      </w:pPr>
      <w:r>
        <w:rPr>
          <w:rFonts w:hint="eastAsia"/>
          <w:color w:val="auto"/>
          <w:highlight w:val="none"/>
        </w:rPr>
        <w:t>执行《建设工程监理规范》。</w:t>
      </w:r>
    </w:p>
    <w:p w14:paraId="4F9F0395">
      <w:pPr>
        <w:ind w:firstLine="480"/>
        <w:rPr>
          <w:rFonts w:hint="eastAsia"/>
          <w:color w:val="auto"/>
          <w:highlight w:val="none"/>
        </w:rPr>
      </w:pPr>
      <w:r>
        <w:rPr>
          <w:rFonts w:hint="eastAsia"/>
          <w:color w:val="auto"/>
          <w:highlight w:val="none"/>
        </w:rPr>
        <w:t>（二）专用施工监理规范</w:t>
      </w:r>
    </w:p>
    <w:p w14:paraId="6191BC19">
      <w:pPr>
        <w:ind w:firstLine="480"/>
        <w:rPr>
          <w:rFonts w:hint="eastAsia"/>
          <w:color w:val="auto"/>
          <w:highlight w:val="none"/>
        </w:rPr>
      </w:pPr>
      <w:r>
        <w:rPr>
          <w:rFonts w:hint="eastAsia"/>
          <w:color w:val="auto"/>
          <w:highlight w:val="none"/>
        </w:rPr>
        <w:t>招标人根据工程的实际情况，在《建设工程监理规范》的基础上编制的相关规范、管理办法、制度等。</w:t>
      </w:r>
    </w:p>
    <w:p w14:paraId="0D06ABC1">
      <w:pPr>
        <w:ind w:firstLine="480"/>
        <w:rPr>
          <w:rFonts w:hint="eastAsia"/>
          <w:color w:val="auto"/>
          <w:highlight w:val="none"/>
        </w:rPr>
      </w:pPr>
      <w:r>
        <w:rPr>
          <w:rFonts w:hint="eastAsia"/>
          <w:color w:val="auto"/>
          <w:highlight w:val="none"/>
        </w:rPr>
        <w:t>（三）施工技术规范</w:t>
      </w:r>
    </w:p>
    <w:p w14:paraId="7036E035">
      <w:pPr>
        <w:ind w:firstLine="480"/>
        <w:rPr>
          <w:rFonts w:hint="eastAsia"/>
          <w:color w:val="auto"/>
          <w:highlight w:val="none"/>
        </w:rPr>
      </w:pPr>
      <w:r>
        <w:rPr>
          <w:rFonts w:hint="eastAsia"/>
          <w:color w:val="auto"/>
          <w:highlight w:val="none"/>
        </w:rPr>
        <w:t>施工技术规范包括以下内容：</w:t>
      </w:r>
    </w:p>
    <w:p w14:paraId="6660ED79">
      <w:pPr>
        <w:ind w:firstLine="480"/>
        <w:rPr>
          <w:rFonts w:hint="eastAsia"/>
          <w:color w:val="auto"/>
          <w:highlight w:val="none"/>
        </w:rPr>
      </w:pPr>
      <w:r>
        <w:rPr>
          <w:rFonts w:hint="eastAsia"/>
          <w:color w:val="auto"/>
          <w:highlight w:val="none"/>
        </w:rPr>
        <w:t>1.本工程施工标段招标文件中的技术规范；</w:t>
      </w:r>
    </w:p>
    <w:p w14:paraId="5BCF4140">
      <w:pPr>
        <w:ind w:firstLine="480"/>
        <w:rPr>
          <w:rFonts w:hint="eastAsia"/>
          <w:color w:val="auto"/>
          <w:highlight w:val="none"/>
        </w:rPr>
      </w:pPr>
      <w:r>
        <w:rPr>
          <w:rFonts w:hint="eastAsia"/>
          <w:color w:val="auto"/>
          <w:highlight w:val="none"/>
        </w:rPr>
        <w:t>2.所有与工程施工有关的国家现行的建设标准、规范、规程及相关文件。</w:t>
      </w:r>
    </w:p>
    <w:p w14:paraId="5345DDC5">
      <w:pPr>
        <w:ind w:firstLine="480"/>
        <w:rPr>
          <w:rFonts w:hint="eastAsia" w:eastAsia="宋体"/>
          <w:color w:val="auto"/>
          <w:highlight w:val="none"/>
          <w:lang w:eastAsia="zh-CN"/>
        </w:rPr>
      </w:pPr>
      <w:r>
        <w:rPr>
          <w:rFonts w:hint="eastAsia"/>
          <w:color w:val="auto"/>
          <w:highlight w:val="none"/>
        </w:rPr>
        <w:t>（四）国家、行业、项目所在地适用本工程的其他规范、标准或规程</w:t>
      </w:r>
      <w:r>
        <w:rPr>
          <w:rFonts w:hint="eastAsia"/>
          <w:color w:val="auto"/>
          <w:highlight w:val="none"/>
          <w:lang w:eastAsia="zh-CN"/>
        </w:rPr>
        <w:t>。</w:t>
      </w:r>
    </w:p>
    <w:p w14:paraId="213B1FBA">
      <w:pPr>
        <w:pStyle w:val="6"/>
        <w:spacing w:before="240" w:after="240"/>
        <w:ind w:firstLine="0" w:firstLineChars="0"/>
        <w:rPr>
          <w:color w:val="auto"/>
          <w:highlight w:val="none"/>
        </w:rPr>
      </w:pPr>
      <w:bookmarkStart w:id="455" w:name="_Toc13245"/>
      <w:bookmarkStart w:id="456" w:name="_Toc13054"/>
      <w:bookmarkStart w:id="457" w:name="_Toc27699"/>
      <w:bookmarkStart w:id="458" w:name="_Toc31793"/>
      <w:bookmarkStart w:id="459" w:name="_Toc482188639"/>
      <w:bookmarkStart w:id="460" w:name="_Toc12455"/>
      <w:bookmarkStart w:id="461" w:name="_Toc2404"/>
      <w:r>
        <w:rPr>
          <w:color w:val="auto"/>
          <w:highlight w:val="none"/>
        </w:rPr>
        <w:t>三、成果文件要求</w:t>
      </w:r>
      <w:bookmarkEnd w:id="455"/>
      <w:bookmarkEnd w:id="456"/>
      <w:bookmarkEnd w:id="457"/>
      <w:bookmarkEnd w:id="458"/>
      <w:bookmarkEnd w:id="459"/>
      <w:bookmarkEnd w:id="460"/>
      <w:bookmarkEnd w:id="461"/>
    </w:p>
    <w:p w14:paraId="35104AE2">
      <w:pPr>
        <w:ind w:firstLine="480"/>
        <w:outlineLvl w:val="2"/>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成果文件的组成：成果文件包括监理管理文件、质量监理文件、安全监理文件、费用与进度监理文件、合同事项管理文件以及监理日志、巡视记录、旁站记录、监理月报、监理工作报告、监理竣工总结报告等</w:t>
      </w:r>
    </w:p>
    <w:p w14:paraId="086D6C0B">
      <w:pPr>
        <w:ind w:firstLine="480"/>
        <w:outlineLvl w:val="2"/>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成果文件的深度：满足《建设工程监理规范》的规定和项目档案验收要求。</w:t>
      </w:r>
    </w:p>
    <w:p w14:paraId="7C8432A7">
      <w:pPr>
        <w:ind w:firstLine="480"/>
        <w:outlineLvl w:val="2"/>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成果文件的格式要求：满足《建设工程监理规范》的规定和项目档案验收要求。</w:t>
      </w:r>
    </w:p>
    <w:p w14:paraId="2BCD4208">
      <w:pPr>
        <w:ind w:firstLine="480"/>
        <w:outlineLvl w:val="2"/>
        <w:rPr>
          <w:rFonts w:hint="eastAsia" w:eastAsia="宋体"/>
          <w:color w:val="auto"/>
          <w:highlight w:val="none"/>
          <w:lang w:eastAsia="zh-CN"/>
        </w:rPr>
      </w:pPr>
      <w:r>
        <w:rPr>
          <w:rFonts w:hint="eastAsia"/>
          <w:color w:val="auto"/>
          <w:highlight w:val="none"/>
        </w:rPr>
        <w:t>4</w:t>
      </w:r>
      <w:r>
        <w:rPr>
          <w:rFonts w:hint="eastAsia"/>
          <w:color w:val="auto"/>
          <w:highlight w:val="none"/>
          <w:lang w:eastAsia="zh-CN"/>
        </w:rPr>
        <w:t>、</w:t>
      </w:r>
      <w:r>
        <w:rPr>
          <w:rFonts w:hint="eastAsia"/>
          <w:color w:val="auto"/>
          <w:highlight w:val="none"/>
        </w:rPr>
        <w:t>成果文件的份数要求：纸质版文件8份、电子版文件1份</w:t>
      </w:r>
      <w:r>
        <w:rPr>
          <w:rFonts w:hint="eastAsia"/>
          <w:color w:val="auto"/>
          <w:highlight w:val="none"/>
          <w:lang w:eastAsia="zh-CN"/>
        </w:rPr>
        <w:t>。</w:t>
      </w:r>
    </w:p>
    <w:p w14:paraId="27C0D965">
      <w:pPr>
        <w:ind w:firstLine="480"/>
        <w:outlineLvl w:val="2"/>
        <w:rPr>
          <w:rFonts w:hint="eastAsia"/>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成果文件的载体要求</w:t>
      </w:r>
    </w:p>
    <w:p w14:paraId="640C40D3">
      <w:pPr>
        <w:ind w:firstLine="480"/>
        <w:outlineLvl w:val="2"/>
        <w:rPr>
          <w:rFonts w:hint="eastAsia"/>
          <w:color w:val="auto"/>
          <w:highlight w:val="none"/>
        </w:rPr>
      </w:pPr>
      <w:r>
        <w:rPr>
          <w:rFonts w:hint="eastAsia"/>
          <w:color w:val="auto"/>
          <w:highlight w:val="none"/>
        </w:rPr>
        <w:t>（1）纸质版的要求；宜装订成册。</w:t>
      </w:r>
    </w:p>
    <w:p w14:paraId="7568248D">
      <w:pPr>
        <w:ind w:firstLine="480"/>
        <w:outlineLvl w:val="2"/>
        <w:rPr>
          <w:rFonts w:hint="eastAsia"/>
          <w:color w:val="auto"/>
          <w:highlight w:val="none"/>
        </w:rPr>
      </w:pPr>
      <w:r>
        <w:rPr>
          <w:rFonts w:hint="eastAsia"/>
          <w:color w:val="auto"/>
          <w:highlight w:val="none"/>
        </w:rPr>
        <w:t>（2）电子版的要求；光盘或U盘。</w:t>
      </w:r>
    </w:p>
    <w:p w14:paraId="3C30EC7F">
      <w:pPr>
        <w:ind w:firstLine="480"/>
        <w:outlineLvl w:val="2"/>
        <w:rPr>
          <w:rFonts w:hint="eastAsia"/>
          <w:color w:val="auto"/>
          <w:highlight w:val="none"/>
        </w:rPr>
      </w:pPr>
      <w:r>
        <w:rPr>
          <w:rFonts w:hint="eastAsia"/>
          <w:color w:val="auto"/>
          <w:highlight w:val="none"/>
        </w:rPr>
        <w:t>（3）其他要求：无。</w:t>
      </w:r>
    </w:p>
    <w:p w14:paraId="279FFEAA">
      <w:pPr>
        <w:ind w:firstLine="480"/>
        <w:outlineLvl w:val="2"/>
        <w:rPr>
          <w:color w:val="auto"/>
          <w:highlight w:val="none"/>
        </w:rPr>
      </w:pPr>
      <w:r>
        <w:rPr>
          <w:rFonts w:hint="eastAsia"/>
          <w:color w:val="auto"/>
          <w:highlight w:val="none"/>
        </w:rPr>
        <w:t>6</w:t>
      </w:r>
      <w:r>
        <w:rPr>
          <w:rFonts w:hint="eastAsia"/>
          <w:color w:val="auto"/>
          <w:highlight w:val="none"/>
          <w:lang w:eastAsia="zh-CN"/>
        </w:rPr>
        <w:t>、</w:t>
      </w:r>
      <w:r>
        <w:rPr>
          <w:rFonts w:hint="eastAsia"/>
          <w:color w:val="auto"/>
          <w:highlight w:val="none"/>
        </w:rPr>
        <w:t>成果文件的其他要求：无。</w:t>
      </w:r>
    </w:p>
    <w:p w14:paraId="02BA4359">
      <w:pPr>
        <w:pStyle w:val="6"/>
        <w:spacing w:before="240" w:after="240"/>
        <w:ind w:firstLine="0" w:firstLineChars="0"/>
        <w:rPr>
          <w:color w:val="auto"/>
          <w:highlight w:val="none"/>
        </w:rPr>
      </w:pPr>
      <w:bookmarkStart w:id="462" w:name="_Toc15758"/>
      <w:bookmarkStart w:id="463" w:name="_Toc15359"/>
      <w:bookmarkStart w:id="464" w:name="_Toc21809"/>
      <w:bookmarkStart w:id="465" w:name="_Toc30931"/>
      <w:bookmarkStart w:id="466" w:name="_Toc3627"/>
      <w:bookmarkStart w:id="467" w:name="_Toc25812"/>
      <w:bookmarkStart w:id="468" w:name="_Toc482188645"/>
      <w:bookmarkStart w:id="469" w:name="_Toc125"/>
      <w:r>
        <w:rPr>
          <w:rFonts w:hint="eastAsia"/>
          <w:color w:val="auto"/>
          <w:highlight w:val="none"/>
          <w:lang w:val="en-US" w:eastAsia="zh-CN"/>
        </w:rPr>
        <w:t>四</w:t>
      </w:r>
      <w:r>
        <w:rPr>
          <w:color w:val="auto"/>
          <w:highlight w:val="none"/>
        </w:rPr>
        <w:t>、监理人需要</w:t>
      </w:r>
      <w:r>
        <w:rPr>
          <w:rFonts w:hint="eastAsia"/>
          <w:color w:val="auto"/>
          <w:highlight w:val="none"/>
          <w:lang w:val="en-US" w:eastAsia="zh-CN"/>
        </w:rPr>
        <w:t>充分考虑</w:t>
      </w:r>
      <w:r>
        <w:rPr>
          <w:color w:val="auto"/>
          <w:highlight w:val="none"/>
        </w:rPr>
        <w:t>的工作条件</w:t>
      </w:r>
      <w:bookmarkEnd w:id="462"/>
      <w:bookmarkEnd w:id="463"/>
      <w:bookmarkEnd w:id="464"/>
      <w:bookmarkEnd w:id="465"/>
      <w:bookmarkEnd w:id="466"/>
      <w:bookmarkEnd w:id="467"/>
      <w:bookmarkEnd w:id="468"/>
      <w:bookmarkEnd w:id="469"/>
    </w:p>
    <w:p w14:paraId="065788AE">
      <w:pPr>
        <w:ind w:firstLine="480"/>
        <w:rPr>
          <w:rFonts w:hint="eastAsia" w:eastAsia="宋体"/>
          <w:color w:val="auto"/>
          <w:highlight w:val="none"/>
          <w:lang w:eastAsia="zh-CN"/>
        </w:rPr>
      </w:pPr>
      <w:r>
        <w:rPr>
          <w:color w:val="auto"/>
          <w:highlight w:val="none"/>
        </w:rPr>
        <w:t>1</w:t>
      </w:r>
      <w:r>
        <w:rPr>
          <w:rFonts w:hint="eastAsia"/>
          <w:color w:val="auto"/>
          <w:highlight w:val="none"/>
          <w:lang w:eastAsia="zh-CN"/>
        </w:rPr>
        <w:t>、</w:t>
      </w:r>
      <w:r>
        <w:rPr>
          <w:color w:val="auto"/>
          <w:highlight w:val="none"/>
        </w:rPr>
        <w:t>监理人</w:t>
      </w:r>
      <w:r>
        <w:rPr>
          <w:rFonts w:hint="eastAsia"/>
          <w:color w:val="auto"/>
          <w:highlight w:val="none"/>
          <w:lang w:val="en-US" w:eastAsia="zh-CN"/>
        </w:rPr>
        <w:t>需</w:t>
      </w:r>
      <w:r>
        <w:rPr>
          <w:rFonts w:hint="eastAsia"/>
          <w:color w:val="auto"/>
          <w:highlight w:val="none"/>
        </w:rPr>
        <w:t>充分考虑</w:t>
      </w:r>
      <w:r>
        <w:rPr>
          <w:color w:val="auto"/>
          <w:highlight w:val="none"/>
        </w:rPr>
        <w:t>的工作手册：如本项目必备的规范标准、图集等</w:t>
      </w:r>
      <w:r>
        <w:rPr>
          <w:rFonts w:hint="eastAsia"/>
          <w:color w:val="auto"/>
          <w:highlight w:val="none"/>
          <w:lang w:eastAsia="zh-CN"/>
        </w:rPr>
        <w:t>。</w:t>
      </w:r>
    </w:p>
    <w:p w14:paraId="5762BA12">
      <w:pPr>
        <w:ind w:firstLine="480"/>
        <w:rPr>
          <w:rFonts w:hint="eastAsia" w:eastAsia="宋体"/>
          <w:color w:val="auto"/>
          <w:highlight w:val="none"/>
          <w:lang w:eastAsia="zh-CN"/>
        </w:rPr>
      </w:pPr>
      <w:r>
        <w:rPr>
          <w:color w:val="auto"/>
          <w:highlight w:val="none"/>
        </w:rPr>
        <w:t>2</w:t>
      </w:r>
      <w:r>
        <w:rPr>
          <w:rFonts w:hint="eastAsia"/>
          <w:color w:val="auto"/>
          <w:highlight w:val="none"/>
          <w:lang w:eastAsia="zh-CN"/>
        </w:rPr>
        <w:t>、</w:t>
      </w:r>
      <w:r>
        <w:rPr>
          <w:color w:val="auto"/>
          <w:highlight w:val="none"/>
        </w:rPr>
        <w:t>监理人</w:t>
      </w:r>
      <w:r>
        <w:rPr>
          <w:rFonts w:hint="eastAsia"/>
          <w:color w:val="auto"/>
          <w:highlight w:val="none"/>
          <w:lang w:val="en-US" w:eastAsia="zh-CN"/>
        </w:rPr>
        <w:t>需</w:t>
      </w:r>
      <w:r>
        <w:rPr>
          <w:rFonts w:hint="eastAsia"/>
          <w:color w:val="auto"/>
          <w:highlight w:val="none"/>
        </w:rPr>
        <w:t>充分考虑</w:t>
      </w:r>
      <w:r>
        <w:rPr>
          <w:color w:val="auto"/>
          <w:highlight w:val="none"/>
        </w:rPr>
        <w:t>的办公设备：如电脑、软件、投影、打印机、复印机、照相机等</w:t>
      </w:r>
      <w:r>
        <w:rPr>
          <w:rFonts w:hint="eastAsia"/>
          <w:color w:val="auto"/>
          <w:highlight w:val="none"/>
          <w:lang w:eastAsia="zh-CN"/>
        </w:rPr>
        <w:t>。</w:t>
      </w:r>
    </w:p>
    <w:p w14:paraId="0D701F23">
      <w:pPr>
        <w:ind w:firstLine="480"/>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lang w:eastAsia="zh-CN"/>
        </w:rPr>
        <w:t>、</w:t>
      </w:r>
      <w:r>
        <w:rPr>
          <w:color w:val="auto"/>
          <w:highlight w:val="none"/>
        </w:rPr>
        <w:t>监理人</w:t>
      </w:r>
      <w:r>
        <w:rPr>
          <w:rFonts w:hint="eastAsia"/>
          <w:color w:val="auto"/>
          <w:highlight w:val="none"/>
          <w:lang w:val="en-US" w:eastAsia="zh-CN"/>
        </w:rPr>
        <w:t>需</w:t>
      </w:r>
      <w:r>
        <w:rPr>
          <w:rFonts w:hint="eastAsia"/>
          <w:color w:val="auto"/>
          <w:highlight w:val="none"/>
        </w:rPr>
        <w:t>充分考虑</w:t>
      </w:r>
      <w:r>
        <w:rPr>
          <w:color w:val="auto"/>
          <w:highlight w:val="none"/>
        </w:rPr>
        <w:t>的现场办公设施：如办公桌椅、文件柜等</w:t>
      </w:r>
      <w:r>
        <w:rPr>
          <w:rFonts w:hint="eastAsia"/>
          <w:color w:val="auto"/>
          <w:highlight w:val="none"/>
          <w:lang w:eastAsia="zh-CN"/>
        </w:rPr>
        <w:t>。</w:t>
      </w:r>
    </w:p>
    <w:p w14:paraId="32C771F5">
      <w:pPr>
        <w:ind w:firstLine="480"/>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lang w:eastAsia="zh-CN"/>
        </w:rPr>
        <w:t>、</w:t>
      </w:r>
      <w:r>
        <w:rPr>
          <w:color w:val="auto"/>
          <w:highlight w:val="none"/>
        </w:rPr>
        <w:t>监理人</w:t>
      </w:r>
      <w:r>
        <w:rPr>
          <w:rFonts w:hint="eastAsia"/>
          <w:color w:val="auto"/>
          <w:highlight w:val="none"/>
          <w:lang w:val="en-US" w:eastAsia="zh-CN"/>
        </w:rPr>
        <w:t>需</w:t>
      </w:r>
      <w:r>
        <w:rPr>
          <w:rFonts w:hint="eastAsia"/>
          <w:color w:val="auto"/>
          <w:highlight w:val="none"/>
        </w:rPr>
        <w:t>充分考虑</w:t>
      </w:r>
      <w:r>
        <w:rPr>
          <w:color w:val="auto"/>
          <w:highlight w:val="none"/>
        </w:rPr>
        <w:t>的安全设施：如安全帽、安全鞋、手电筒等</w:t>
      </w:r>
      <w:r>
        <w:rPr>
          <w:rFonts w:hint="eastAsia"/>
          <w:color w:val="auto"/>
          <w:highlight w:val="none"/>
          <w:lang w:eastAsia="zh-CN"/>
        </w:rPr>
        <w:t>。</w:t>
      </w:r>
    </w:p>
    <w:p w14:paraId="36B2E6E1">
      <w:pPr>
        <w:ind w:firstLine="480"/>
        <w:rPr>
          <w:rFonts w:hint="eastAsia" w:eastAsia="宋体"/>
          <w:color w:val="auto"/>
          <w:highlight w:val="none"/>
          <w:lang w:eastAsia="zh-CN"/>
        </w:rPr>
      </w:pPr>
      <w:r>
        <w:rPr>
          <w:rFonts w:hint="eastAsia"/>
          <w:color w:val="auto"/>
          <w:highlight w:val="none"/>
          <w:lang w:val="en-US" w:eastAsia="zh-CN"/>
        </w:rPr>
        <w:t>5</w:t>
      </w:r>
      <w:r>
        <w:rPr>
          <w:rFonts w:hint="eastAsia"/>
          <w:color w:val="auto"/>
          <w:highlight w:val="none"/>
          <w:lang w:eastAsia="zh-CN"/>
        </w:rPr>
        <w:t>、</w:t>
      </w:r>
      <w:r>
        <w:rPr>
          <w:color w:val="auto"/>
          <w:highlight w:val="none"/>
        </w:rPr>
        <w:t>监理人</w:t>
      </w:r>
      <w:r>
        <w:rPr>
          <w:rFonts w:hint="eastAsia"/>
          <w:color w:val="auto"/>
          <w:highlight w:val="none"/>
          <w:lang w:val="en-US" w:eastAsia="zh-CN"/>
        </w:rPr>
        <w:t>需</w:t>
      </w:r>
      <w:r>
        <w:rPr>
          <w:rFonts w:hint="eastAsia"/>
          <w:color w:val="auto"/>
          <w:highlight w:val="none"/>
        </w:rPr>
        <w:t>充分考虑</w:t>
      </w:r>
      <w:r>
        <w:rPr>
          <w:color w:val="auto"/>
          <w:highlight w:val="none"/>
        </w:rPr>
        <w:t>的试验检测仪器、设备、工具</w:t>
      </w:r>
      <w:r>
        <w:rPr>
          <w:rFonts w:hint="eastAsia"/>
          <w:color w:val="auto"/>
          <w:highlight w:val="none"/>
          <w:lang w:eastAsia="zh-CN"/>
        </w:rPr>
        <w:t>。</w:t>
      </w:r>
    </w:p>
    <w:p w14:paraId="76091F5F">
      <w:pPr>
        <w:ind w:firstLine="480"/>
        <w:rPr>
          <w:rFonts w:hint="eastAsia" w:ascii="宋体" w:hAnsi="宋体" w:eastAsia="宋体" w:cs="宋体"/>
          <w:color w:val="auto"/>
          <w:highlight w:val="none"/>
          <w:lang w:eastAsia="zh-CN"/>
        </w:rPr>
      </w:pPr>
      <w:r>
        <w:rPr>
          <w:rFonts w:hint="eastAsia"/>
          <w:color w:val="auto"/>
          <w:highlight w:val="none"/>
          <w:lang w:val="en-US" w:eastAsia="zh-CN"/>
        </w:rPr>
        <w:t>6</w:t>
      </w:r>
      <w:r>
        <w:rPr>
          <w:rFonts w:hint="eastAsia"/>
          <w:color w:val="auto"/>
          <w:highlight w:val="none"/>
          <w:lang w:eastAsia="zh-CN"/>
        </w:rPr>
        <w:t>、</w:t>
      </w:r>
      <w:r>
        <w:rPr>
          <w:color w:val="auto"/>
          <w:highlight w:val="none"/>
        </w:rPr>
        <w:t>监理人</w:t>
      </w:r>
      <w:r>
        <w:rPr>
          <w:rFonts w:hint="eastAsia"/>
          <w:color w:val="auto"/>
          <w:highlight w:val="none"/>
          <w:lang w:val="en-US" w:eastAsia="zh-CN"/>
        </w:rPr>
        <w:t>需</w:t>
      </w:r>
      <w:r>
        <w:rPr>
          <w:rFonts w:hint="eastAsia"/>
          <w:color w:val="auto"/>
          <w:highlight w:val="none"/>
        </w:rPr>
        <w:t>充分考虑</w:t>
      </w:r>
      <w:r>
        <w:rPr>
          <w:color w:val="auto"/>
          <w:highlight w:val="none"/>
        </w:rPr>
        <w:t>的试验用房、样品用房</w:t>
      </w:r>
      <w:bookmarkStart w:id="470" w:name="_Toc482188646"/>
      <w:r>
        <w:rPr>
          <w:rFonts w:hint="eastAsia"/>
          <w:color w:val="auto"/>
          <w:highlight w:val="none"/>
          <w:lang w:eastAsia="zh-CN"/>
        </w:rPr>
        <w:t>。</w:t>
      </w:r>
    </w:p>
    <w:p w14:paraId="5E4369FE">
      <w:pPr>
        <w:pStyle w:val="6"/>
        <w:spacing w:before="240" w:after="240"/>
        <w:ind w:firstLine="0" w:firstLineChars="0"/>
        <w:rPr>
          <w:color w:val="auto"/>
          <w:highlight w:val="none"/>
        </w:rPr>
      </w:pPr>
      <w:bookmarkStart w:id="471" w:name="_Toc18526"/>
      <w:bookmarkStart w:id="472" w:name="_Toc26552"/>
      <w:bookmarkStart w:id="473" w:name="_Toc12279"/>
      <w:bookmarkStart w:id="474" w:name="_Toc6872"/>
      <w:bookmarkStart w:id="475" w:name="_Toc16976"/>
      <w:bookmarkStart w:id="476" w:name="_Toc11793"/>
      <w:bookmarkStart w:id="477" w:name="_Toc15764"/>
      <w:r>
        <w:rPr>
          <w:rFonts w:hint="eastAsia"/>
          <w:color w:val="auto"/>
          <w:highlight w:val="none"/>
          <w:lang w:val="en-US" w:eastAsia="zh-CN"/>
        </w:rPr>
        <w:t>五</w:t>
      </w:r>
      <w:r>
        <w:rPr>
          <w:color w:val="auto"/>
          <w:highlight w:val="none"/>
        </w:rPr>
        <w:t>、委托人的其他要求</w:t>
      </w:r>
      <w:bookmarkEnd w:id="470"/>
      <w:bookmarkEnd w:id="471"/>
      <w:bookmarkEnd w:id="472"/>
      <w:bookmarkEnd w:id="473"/>
      <w:bookmarkEnd w:id="474"/>
      <w:bookmarkEnd w:id="475"/>
      <w:bookmarkEnd w:id="476"/>
      <w:bookmarkEnd w:id="477"/>
    </w:p>
    <w:p w14:paraId="45021ED4">
      <w:pPr>
        <w:bidi w:val="0"/>
        <w:ind w:left="0" w:leftChars="0" w:firstLine="0" w:firstLineChars="0"/>
        <w:jc w:val="both"/>
        <w:rPr>
          <w:color w:val="auto"/>
          <w:highlight w:val="none"/>
        </w:rPr>
      </w:pPr>
    </w:p>
    <w:p w14:paraId="2AF48181">
      <w:pPr>
        <w:pStyle w:val="5"/>
        <w:spacing w:before="240" w:after="240" w:line="360" w:lineRule="auto"/>
        <w:ind w:firstLine="643"/>
        <w:rPr>
          <w:rFonts w:hint="eastAsia" w:ascii="黑体" w:hAnsi="黑体" w:eastAsia="黑体"/>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478" w:name="_Toc15803"/>
      <w:bookmarkStart w:id="479" w:name="_Toc22138"/>
      <w:bookmarkStart w:id="480" w:name="_Toc26302"/>
      <w:bookmarkStart w:id="481" w:name="_Toc18300"/>
      <w:bookmarkStart w:id="482" w:name="_Toc3641"/>
    </w:p>
    <w:p w14:paraId="6807A10C">
      <w:pPr>
        <w:pStyle w:val="5"/>
        <w:spacing w:before="240" w:after="240"/>
        <w:ind w:firstLine="643"/>
        <w:rPr>
          <w:rFonts w:ascii="黑体" w:hAnsi="黑体" w:eastAsia="黑体"/>
          <w:color w:val="auto"/>
          <w:highlight w:val="none"/>
        </w:rPr>
      </w:pPr>
      <w:bookmarkStart w:id="483" w:name="_Toc15613"/>
      <w:r>
        <w:rPr>
          <w:rFonts w:hint="eastAsia" w:ascii="黑体" w:hAnsi="黑体" w:eastAsia="黑体"/>
          <w:color w:val="auto"/>
          <w:highlight w:val="none"/>
        </w:rPr>
        <w:t>第六章  投标文件格式</w:t>
      </w:r>
      <w:bookmarkEnd w:id="478"/>
      <w:bookmarkEnd w:id="479"/>
      <w:bookmarkEnd w:id="480"/>
      <w:bookmarkEnd w:id="481"/>
      <w:bookmarkEnd w:id="482"/>
      <w:bookmarkEnd w:id="483"/>
    </w:p>
    <w:p w14:paraId="0DAD7C8F">
      <w:pPr>
        <w:spacing w:line="400" w:lineRule="exact"/>
        <w:ind w:left="0" w:leftChars="0" w:firstLine="0" w:firstLineChars="0"/>
        <w:jc w:val="center"/>
        <w:rPr>
          <w:color w:val="auto"/>
          <w:highlight w:val="none"/>
        </w:rPr>
      </w:pPr>
    </w:p>
    <w:p w14:paraId="633F1A5A">
      <w:pPr>
        <w:spacing w:before="480" w:beforeLines="200"/>
        <w:ind w:firstLine="480"/>
        <w:jc w:val="center"/>
        <w:rPr>
          <w:rFonts w:hint="eastAsia"/>
          <w:b/>
          <w:bCs/>
          <w:color w:val="auto"/>
          <w:sz w:val="44"/>
          <w:szCs w:val="44"/>
          <w:highlight w:val="none"/>
        </w:rPr>
      </w:pPr>
      <w:r>
        <w:rPr>
          <w:color w:val="auto"/>
          <w:highlight w:val="none"/>
        </w:rPr>
        <w:br w:type="page"/>
      </w:r>
      <w:bookmarkStart w:id="484" w:name="_Toc23204"/>
      <w:bookmarkStart w:id="485" w:name="_Toc16066"/>
      <w:bookmarkStart w:id="486" w:name="_Toc32657"/>
      <w:bookmarkStart w:id="487" w:name="_Toc12230"/>
      <w:bookmarkStart w:id="488" w:name="_Toc14595"/>
      <w:bookmarkStart w:id="489" w:name="_Toc27118"/>
      <w:bookmarkStart w:id="490" w:name="_Toc12149"/>
      <w:r>
        <w:rPr>
          <w:rFonts w:hint="eastAsia"/>
          <w:b/>
          <w:bCs/>
          <w:color w:val="auto"/>
          <w:sz w:val="44"/>
          <w:szCs w:val="44"/>
          <w:highlight w:val="none"/>
          <w:u w:val="single"/>
          <w:lang w:val="en-US" w:eastAsia="zh-CN"/>
        </w:rPr>
        <w:t xml:space="preserve"> </w:t>
      </w:r>
      <w:r>
        <w:rPr>
          <w:rFonts w:hint="eastAsia"/>
          <w:b/>
          <w:bCs/>
          <w:color w:val="auto"/>
          <w:sz w:val="44"/>
          <w:szCs w:val="44"/>
          <w:highlight w:val="none"/>
          <w:u w:val="single"/>
        </w:rPr>
        <w:t>（招标项目名称）</w:t>
      </w:r>
      <w:r>
        <w:rPr>
          <w:rFonts w:hint="eastAsia"/>
          <w:b/>
          <w:bCs/>
          <w:color w:val="auto"/>
          <w:sz w:val="44"/>
          <w:szCs w:val="44"/>
          <w:highlight w:val="none"/>
          <w:u w:val="single"/>
          <w:lang w:val="en-US" w:eastAsia="zh-CN"/>
        </w:rPr>
        <w:t xml:space="preserve"> </w:t>
      </w:r>
      <w:r>
        <w:rPr>
          <w:rFonts w:hint="eastAsia"/>
          <w:bCs/>
          <w:color w:val="auto"/>
          <w:sz w:val="44"/>
          <w:szCs w:val="44"/>
          <w:highlight w:val="none"/>
        </w:rPr>
        <w:t xml:space="preserve"> </w:t>
      </w:r>
      <w:r>
        <w:rPr>
          <w:rFonts w:hint="eastAsia" w:eastAsia="黑体"/>
          <w:color w:val="auto"/>
          <w:sz w:val="44"/>
          <w:szCs w:val="44"/>
          <w:highlight w:val="none"/>
          <w:u w:val="single"/>
          <w:lang w:val="en-US" w:eastAsia="zh-CN"/>
        </w:rPr>
        <w:t xml:space="preserve"> </w:t>
      </w:r>
      <w:r>
        <w:rPr>
          <w:rFonts w:hint="eastAsia" w:eastAsia="黑体"/>
          <w:color w:val="auto"/>
          <w:sz w:val="44"/>
          <w:szCs w:val="44"/>
          <w:highlight w:val="none"/>
          <w:u w:val="single"/>
        </w:rPr>
        <w:t>/</w:t>
      </w:r>
      <w:r>
        <w:rPr>
          <w:rFonts w:hint="eastAsia" w:eastAsia="黑体"/>
          <w:color w:val="auto"/>
          <w:sz w:val="44"/>
          <w:szCs w:val="44"/>
          <w:highlight w:val="none"/>
          <w:u w:val="single"/>
          <w:lang w:val="en-US" w:eastAsia="zh-CN"/>
        </w:rPr>
        <w:t xml:space="preserve"> </w:t>
      </w:r>
      <w:r>
        <w:rPr>
          <w:rFonts w:hint="eastAsia"/>
          <w:b/>
          <w:bCs/>
          <w:color w:val="auto"/>
          <w:sz w:val="44"/>
          <w:szCs w:val="44"/>
          <w:highlight w:val="none"/>
        </w:rPr>
        <w:t>标段招标</w:t>
      </w:r>
      <w:bookmarkEnd w:id="484"/>
      <w:bookmarkEnd w:id="485"/>
      <w:bookmarkEnd w:id="486"/>
      <w:bookmarkEnd w:id="487"/>
      <w:bookmarkEnd w:id="488"/>
      <w:bookmarkEnd w:id="489"/>
      <w:bookmarkEnd w:id="490"/>
    </w:p>
    <w:p w14:paraId="2773DE3B">
      <w:pPr>
        <w:pStyle w:val="6"/>
        <w:spacing w:before="1440" w:beforeLines="600" w:after="240"/>
        <w:ind w:firstLine="880"/>
        <w:jc w:val="center"/>
        <w:rPr>
          <w:rFonts w:hint="eastAsia"/>
          <w:color w:val="auto"/>
          <w:sz w:val="44"/>
          <w:szCs w:val="44"/>
          <w:highlight w:val="none"/>
        </w:rPr>
      </w:pPr>
      <w:bookmarkStart w:id="491" w:name="_Toc9742"/>
      <w:bookmarkStart w:id="492" w:name="_Toc26391"/>
      <w:r>
        <w:rPr>
          <w:rFonts w:hint="eastAsia"/>
          <w:color w:val="auto"/>
          <w:sz w:val="44"/>
          <w:szCs w:val="44"/>
          <w:highlight w:val="none"/>
        </w:rPr>
        <w:t>投标文件</w:t>
      </w:r>
      <w:bookmarkEnd w:id="491"/>
    </w:p>
    <w:p w14:paraId="316E9E2D">
      <w:pPr>
        <w:pStyle w:val="6"/>
        <w:spacing w:before="240" w:after="240"/>
        <w:ind w:firstLine="640"/>
        <w:jc w:val="center"/>
        <w:rPr>
          <w:rFonts w:hint="eastAsia"/>
          <w:color w:val="auto"/>
          <w:highlight w:val="none"/>
        </w:rPr>
      </w:pPr>
      <w:bookmarkStart w:id="493" w:name="_Toc24561"/>
      <w:r>
        <w:rPr>
          <w:rFonts w:hint="eastAsia"/>
          <w:color w:val="auto"/>
          <w:highlight w:val="none"/>
        </w:rPr>
        <w:t>（商务文件）</w:t>
      </w:r>
      <w:bookmarkEnd w:id="492"/>
      <w:bookmarkEnd w:id="493"/>
    </w:p>
    <w:p w14:paraId="2EF33F9E">
      <w:pPr>
        <w:spacing w:before="7200" w:beforeLines="3000" w:line="480" w:lineRule="auto"/>
        <w:ind w:firstLine="560"/>
        <w:jc w:val="center"/>
        <w:rPr>
          <w:rFonts w:hint="eastAsia" w:eastAsia="黑体"/>
          <w:color w:val="auto"/>
          <w:sz w:val="28"/>
          <w:szCs w:val="28"/>
          <w:highlight w:val="none"/>
        </w:rPr>
      </w:pPr>
      <w:bookmarkStart w:id="494" w:name="_Toc17206"/>
      <w:bookmarkStart w:id="495" w:name="_Toc19022"/>
      <w:bookmarkStart w:id="496" w:name="_Toc18532"/>
      <w:bookmarkStart w:id="497" w:name="_Toc12206"/>
      <w:r>
        <w:rPr>
          <w:rFonts w:hint="eastAsia" w:eastAsia="黑体"/>
          <w:color w:val="auto"/>
          <w:sz w:val="28"/>
          <w:szCs w:val="28"/>
          <w:highlight w:val="none"/>
        </w:rPr>
        <w:t>投标人：</w:t>
      </w:r>
      <w:r>
        <w:rPr>
          <w:rFonts w:hint="eastAsia" w:eastAsia="黑体"/>
          <w:color w:val="auto"/>
          <w:sz w:val="28"/>
          <w:szCs w:val="28"/>
          <w:highlight w:val="none"/>
          <w:u w:val="single"/>
        </w:rPr>
        <w:t xml:space="preserve">                               </w:t>
      </w:r>
      <w:r>
        <w:rPr>
          <w:rFonts w:hint="eastAsia" w:eastAsia="黑体"/>
          <w:color w:val="auto"/>
          <w:sz w:val="28"/>
          <w:szCs w:val="28"/>
          <w:highlight w:val="none"/>
        </w:rPr>
        <w:t>（盖单位章）</w:t>
      </w:r>
      <w:bookmarkEnd w:id="494"/>
      <w:bookmarkEnd w:id="495"/>
      <w:bookmarkEnd w:id="496"/>
      <w:bookmarkEnd w:id="497"/>
    </w:p>
    <w:p w14:paraId="180036C2">
      <w:pPr>
        <w:spacing w:line="480" w:lineRule="auto"/>
        <w:ind w:firstLine="560"/>
        <w:jc w:val="center"/>
        <w:rPr>
          <w:rFonts w:hint="eastAsia" w:eastAsia="黑体"/>
          <w:color w:val="auto"/>
          <w:sz w:val="28"/>
          <w:szCs w:val="28"/>
          <w:highlight w:val="none"/>
        </w:rPr>
      </w:pPr>
      <w:r>
        <w:rPr>
          <w:rFonts w:hint="eastAsia" w:eastAsia="黑体"/>
          <w:color w:val="auto"/>
          <w:sz w:val="28"/>
          <w:szCs w:val="28"/>
          <w:highlight w:val="none"/>
          <w:u w:val="single"/>
        </w:rPr>
        <w:t xml:space="preserve">         </w:t>
      </w:r>
      <w:bookmarkStart w:id="498" w:name="_Toc1982"/>
      <w:bookmarkStart w:id="499" w:name="_Toc21200"/>
      <w:bookmarkStart w:id="500" w:name="_Toc16140"/>
      <w:bookmarkStart w:id="501" w:name="_Toc25824"/>
      <w:r>
        <w:rPr>
          <w:rFonts w:hint="eastAsia" w:eastAsia="黑体"/>
          <w:color w:val="auto"/>
          <w:sz w:val="28"/>
          <w:szCs w:val="28"/>
          <w:highlight w:val="none"/>
        </w:rPr>
        <w:t>年</w:t>
      </w:r>
      <w:r>
        <w:rPr>
          <w:rFonts w:hint="eastAsia" w:eastAsia="黑体"/>
          <w:color w:val="auto"/>
          <w:sz w:val="28"/>
          <w:szCs w:val="28"/>
          <w:highlight w:val="none"/>
          <w:u w:val="single"/>
        </w:rPr>
        <w:t xml:space="preserve">         </w:t>
      </w:r>
      <w:r>
        <w:rPr>
          <w:rFonts w:hint="eastAsia" w:eastAsia="黑体"/>
          <w:color w:val="auto"/>
          <w:sz w:val="28"/>
          <w:szCs w:val="28"/>
          <w:highlight w:val="none"/>
        </w:rPr>
        <w:t>月</w:t>
      </w:r>
      <w:r>
        <w:rPr>
          <w:rFonts w:hint="eastAsia" w:eastAsia="黑体"/>
          <w:color w:val="auto"/>
          <w:sz w:val="28"/>
          <w:szCs w:val="28"/>
          <w:highlight w:val="none"/>
          <w:u w:val="single"/>
        </w:rPr>
        <w:t xml:space="preserve">         </w:t>
      </w:r>
      <w:r>
        <w:rPr>
          <w:rFonts w:hint="eastAsia" w:eastAsia="黑体"/>
          <w:color w:val="auto"/>
          <w:sz w:val="28"/>
          <w:szCs w:val="28"/>
          <w:highlight w:val="none"/>
        </w:rPr>
        <w:t>日</w:t>
      </w:r>
      <w:bookmarkEnd w:id="498"/>
      <w:bookmarkEnd w:id="499"/>
      <w:bookmarkEnd w:id="500"/>
      <w:bookmarkEnd w:id="501"/>
    </w:p>
    <w:p w14:paraId="68F40D57">
      <w:pPr>
        <w:ind w:firstLine="480"/>
        <w:jc w:val="center"/>
        <w:rPr>
          <w:rFonts w:ascii="黑体" w:hAnsi="黑体" w:eastAsia="黑体"/>
          <w:color w:val="auto"/>
          <w:szCs w:val="24"/>
          <w:highlight w:val="none"/>
        </w:rPr>
      </w:pPr>
      <w:r>
        <w:rPr>
          <w:color w:val="auto"/>
          <w:szCs w:val="21"/>
          <w:highlight w:val="none"/>
        </w:rPr>
        <w:br w:type="page"/>
      </w:r>
      <w:r>
        <w:rPr>
          <w:rFonts w:hint="eastAsia" w:ascii="宋体" w:hAnsi="宋体" w:cs="宋体"/>
          <w:b/>
          <w:bCs/>
          <w:color w:val="auto"/>
          <w:sz w:val="28"/>
          <w:szCs w:val="28"/>
          <w:highlight w:val="none"/>
        </w:rPr>
        <w:t>目  录</w:t>
      </w:r>
    </w:p>
    <w:p w14:paraId="647D3FA0">
      <w:pPr>
        <w:ind w:firstLine="480"/>
        <w:rPr>
          <w:color w:val="auto"/>
          <w:highlight w:val="none"/>
        </w:rPr>
      </w:pPr>
      <w:bookmarkStart w:id="502" w:name="_Toc23700"/>
      <w:bookmarkStart w:id="503" w:name="_Toc2166"/>
      <w:r>
        <w:rPr>
          <w:rFonts w:hint="eastAsia"/>
          <w:color w:val="auto"/>
          <w:highlight w:val="none"/>
        </w:rPr>
        <w:t>一、投标函</w:t>
      </w:r>
      <w:bookmarkEnd w:id="502"/>
      <w:bookmarkEnd w:id="503"/>
      <w:r>
        <w:rPr>
          <w:rFonts w:hint="eastAsia"/>
          <w:color w:val="auto"/>
          <w:highlight w:val="none"/>
        </w:rPr>
        <w:t>（不含报价）</w:t>
      </w:r>
    </w:p>
    <w:p w14:paraId="1C651378">
      <w:pPr>
        <w:ind w:firstLine="480"/>
        <w:rPr>
          <w:color w:val="auto"/>
          <w:highlight w:val="none"/>
        </w:rPr>
      </w:pPr>
      <w:bookmarkStart w:id="504" w:name="_Toc16549"/>
      <w:bookmarkStart w:id="505" w:name="_Toc24384"/>
      <w:r>
        <w:rPr>
          <w:rFonts w:hint="eastAsia"/>
          <w:color w:val="auto"/>
          <w:highlight w:val="none"/>
        </w:rPr>
        <w:t>二、法定代表人身份证明或授权委托书</w:t>
      </w:r>
      <w:bookmarkEnd w:id="504"/>
      <w:bookmarkEnd w:id="505"/>
    </w:p>
    <w:p w14:paraId="3842C161">
      <w:pPr>
        <w:ind w:firstLine="480"/>
        <w:rPr>
          <w:color w:val="auto"/>
          <w:highlight w:val="none"/>
        </w:rPr>
      </w:pPr>
      <w:bookmarkStart w:id="506" w:name="_Toc3570"/>
      <w:bookmarkStart w:id="507" w:name="_Toc28004"/>
      <w:r>
        <w:rPr>
          <w:rFonts w:hint="eastAsia"/>
          <w:color w:val="auto"/>
          <w:highlight w:val="none"/>
        </w:rPr>
        <w:t>三、联合体协议书（如有）</w:t>
      </w:r>
      <w:bookmarkEnd w:id="506"/>
      <w:bookmarkEnd w:id="507"/>
    </w:p>
    <w:p w14:paraId="180A5953">
      <w:pPr>
        <w:ind w:firstLine="480"/>
        <w:rPr>
          <w:rFonts w:hint="eastAsia"/>
          <w:color w:val="auto"/>
          <w:highlight w:val="none"/>
        </w:rPr>
      </w:pPr>
      <w:bookmarkStart w:id="508" w:name="_Toc32371"/>
      <w:bookmarkStart w:id="509" w:name="_Toc29424"/>
      <w:r>
        <w:rPr>
          <w:rFonts w:hint="eastAsia"/>
          <w:color w:val="auto"/>
          <w:highlight w:val="none"/>
        </w:rPr>
        <w:t>四、投标保证金</w:t>
      </w:r>
      <w:bookmarkEnd w:id="508"/>
      <w:bookmarkEnd w:id="509"/>
    </w:p>
    <w:p w14:paraId="6956341C">
      <w:pPr>
        <w:ind w:firstLine="480"/>
        <w:rPr>
          <w:color w:val="auto"/>
          <w:highlight w:val="none"/>
        </w:rPr>
      </w:pPr>
      <w:bookmarkStart w:id="510" w:name="_Toc4599"/>
      <w:bookmarkStart w:id="511" w:name="_Toc24322"/>
      <w:r>
        <w:rPr>
          <w:rFonts w:hint="eastAsia"/>
          <w:color w:val="auto"/>
          <w:highlight w:val="none"/>
        </w:rPr>
        <w:t>五、</w:t>
      </w:r>
      <w:r>
        <w:rPr>
          <w:color w:val="auto"/>
          <w:highlight w:val="none"/>
        </w:rPr>
        <w:t>拟委任的主要人员汇总表</w:t>
      </w:r>
      <w:bookmarkEnd w:id="510"/>
      <w:bookmarkEnd w:id="511"/>
    </w:p>
    <w:p w14:paraId="09046915">
      <w:pPr>
        <w:ind w:firstLine="480"/>
        <w:rPr>
          <w:color w:val="auto"/>
          <w:highlight w:val="none"/>
        </w:rPr>
      </w:pPr>
      <w:bookmarkStart w:id="512" w:name="_Toc27859"/>
      <w:bookmarkStart w:id="513" w:name="_Toc28559"/>
      <w:r>
        <w:rPr>
          <w:rFonts w:hint="eastAsia"/>
          <w:color w:val="auto"/>
          <w:highlight w:val="none"/>
        </w:rPr>
        <w:t>六、资格审查资料</w:t>
      </w:r>
      <w:bookmarkEnd w:id="512"/>
      <w:bookmarkEnd w:id="513"/>
    </w:p>
    <w:p w14:paraId="4B819919">
      <w:pPr>
        <w:ind w:firstLine="480"/>
        <w:rPr>
          <w:rFonts w:hint="eastAsia"/>
          <w:color w:val="auto"/>
          <w:highlight w:val="none"/>
        </w:rPr>
      </w:pPr>
      <w:bookmarkStart w:id="514" w:name="_Toc7914"/>
      <w:bookmarkStart w:id="515" w:name="_Toc3739"/>
      <w:r>
        <w:rPr>
          <w:rFonts w:hint="eastAsia"/>
          <w:color w:val="auto"/>
          <w:highlight w:val="none"/>
        </w:rPr>
        <w:t>七、商务文件详细评审资料</w:t>
      </w:r>
      <w:bookmarkEnd w:id="514"/>
      <w:bookmarkEnd w:id="515"/>
    </w:p>
    <w:p w14:paraId="67DBEBD9">
      <w:pPr>
        <w:ind w:firstLine="480"/>
        <w:rPr>
          <w:color w:val="auto"/>
          <w:highlight w:val="none"/>
        </w:rPr>
      </w:pPr>
      <w:bookmarkStart w:id="516" w:name="_Toc18118"/>
      <w:bookmarkStart w:id="517" w:name="_Toc17305"/>
      <w:r>
        <w:rPr>
          <w:rFonts w:hint="eastAsia"/>
          <w:color w:val="auto"/>
          <w:highlight w:val="none"/>
        </w:rPr>
        <w:t>八、诚信投标承诺书</w:t>
      </w:r>
      <w:bookmarkEnd w:id="516"/>
      <w:bookmarkEnd w:id="517"/>
    </w:p>
    <w:p w14:paraId="1A22F38F">
      <w:pPr>
        <w:ind w:firstLine="480"/>
        <w:rPr>
          <w:color w:val="auto"/>
          <w:highlight w:val="none"/>
        </w:rPr>
      </w:pPr>
      <w:bookmarkStart w:id="518" w:name="_Toc330"/>
      <w:bookmarkStart w:id="519" w:name="_Toc25247"/>
      <w:r>
        <w:rPr>
          <w:rFonts w:hint="eastAsia"/>
          <w:color w:val="auto"/>
          <w:highlight w:val="none"/>
        </w:rPr>
        <w:t>九、其他资料</w:t>
      </w:r>
      <w:bookmarkEnd w:id="518"/>
      <w:bookmarkEnd w:id="519"/>
    </w:p>
    <w:p w14:paraId="2730A3DF">
      <w:pPr>
        <w:pStyle w:val="7"/>
        <w:spacing w:before="240" w:after="240"/>
        <w:ind w:firstLine="0" w:firstLineChars="0"/>
        <w:jc w:val="center"/>
        <w:rPr>
          <w:color w:val="auto"/>
          <w:szCs w:val="24"/>
          <w:highlight w:val="none"/>
        </w:rPr>
      </w:pPr>
      <w:bookmarkStart w:id="520" w:name="_Toc369531691"/>
      <w:bookmarkStart w:id="521" w:name="_Toc7039"/>
      <w:bookmarkStart w:id="522" w:name="_Toc352691655"/>
      <w:r>
        <w:rPr>
          <w:color w:val="auto"/>
          <w:highlight w:val="none"/>
        </w:rPr>
        <w:br w:type="page"/>
      </w:r>
      <w:bookmarkEnd w:id="520"/>
      <w:bookmarkEnd w:id="521"/>
      <w:bookmarkEnd w:id="522"/>
      <w:bookmarkStart w:id="523" w:name="_Toc28456"/>
      <w:bookmarkStart w:id="524" w:name="_Toc30010"/>
      <w:bookmarkStart w:id="525" w:name="_Toc11505"/>
      <w:bookmarkStart w:id="526" w:name="_Toc5187"/>
      <w:r>
        <w:rPr>
          <w:rFonts w:hint="eastAsia"/>
          <w:color w:val="auto"/>
          <w:szCs w:val="24"/>
          <w:highlight w:val="none"/>
        </w:rPr>
        <w:t>一、投标</w:t>
      </w:r>
      <w:bookmarkStart w:id="527" w:name="_Toc369531692"/>
      <w:bookmarkStart w:id="528" w:name="_Toc352691656"/>
      <w:bookmarkStart w:id="529" w:name="_Toc6931"/>
      <w:r>
        <w:rPr>
          <w:rFonts w:hint="eastAsia"/>
          <w:color w:val="auto"/>
          <w:szCs w:val="24"/>
          <w:highlight w:val="none"/>
        </w:rPr>
        <w:t>函</w:t>
      </w:r>
      <w:bookmarkEnd w:id="523"/>
      <w:bookmarkEnd w:id="524"/>
      <w:r>
        <w:rPr>
          <w:rFonts w:hint="eastAsia"/>
          <w:color w:val="auto"/>
          <w:szCs w:val="24"/>
          <w:highlight w:val="none"/>
        </w:rPr>
        <w:t>（不含报价）</w:t>
      </w:r>
      <w:bookmarkEnd w:id="525"/>
      <w:bookmarkEnd w:id="526"/>
    </w:p>
    <w:bookmarkEnd w:id="527"/>
    <w:bookmarkEnd w:id="528"/>
    <w:bookmarkEnd w:id="529"/>
    <w:p w14:paraId="12C693E5">
      <w:pPr>
        <w:adjustRightInd w:val="0"/>
        <w:snapToGrid w:val="0"/>
        <w:ind w:firstLine="480"/>
        <w:rPr>
          <w:color w:val="auto"/>
          <w:szCs w:val="21"/>
          <w:highlight w:val="none"/>
        </w:rPr>
      </w:pPr>
      <w:r>
        <w:rPr>
          <w:rFonts w:hint="eastAsia" w:ascii="宋体" w:hAnsi="宋体" w:cs="宋体"/>
          <w:color w:val="auto"/>
          <w:szCs w:val="24"/>
          <w:highlight w:val="none"/>
          <w:u w:val="single"/>
        </w:rPr>
        <w:t>致：(招标人)</w:t>
      </w:r>
      <w:r>
        <w:rPr>
          <w:rFonts w:hint="eastAsia"/>
          <w:snapToGrid w:val="0"/>
          <w:color w:val="auto"/>
          <w:kern w:val="0"/>
          <w:szCs w:val="21"/>
          <w:highlight w:val="none"/>
        </w:rPr>
        <w:t>：</w:t>
      </w:r>
    </w:p>
    <w:p w14:paraId="1210F479">
      <w:pPr>
        <w:ind w:firstLine="480"/>
        <w:rPr>
          <w:rFonts w:ascii="宋体" w:hAnsi="宋体"/>
          <w:color w:val="auto"/>
          <w:highlight w:val="none"/>
        </w:rPr>
      </w:pPr>
      <w:bookmarkStart w:id="530" w:name="_Hlk12788694"/>
      <w:r>
        <w:rPr>
          <w:color w:val="auto"/>
          <w:szCs w:val="21"/>
          <w:highlight w:val="none"/>
        </w:rPr>
        <w:t>1．</w:t>
      </w:r>
      <w:r>
        <w:rPr>
          <w:rFonts w:hint="eastAsia" w:ascii="宋体" w:hAnsi="宋体"/>
          <w:color w:val="auto"/>
          <w:highlight w:val="none"/>
        </w:rPr>
        <w:t>我方已仔细研究</w:t>
      </w:r>
      <w:r>
        <w:rPr>
          <w:rFonts w:hint="eastAsia" w:ascii="宋体" w:hAnsi="宋体"/>
          <w:color w:val="auto"/>
          <w:highlight w:val="none"/>
          <w:u w:val="single"/>
        </w:rPr>
        <w:t>（招标项目名称）</w:t>
      </w:r>
      <w:r>
        <w:rPr>
          <w:rFonts w:hint="eastAsia" w:ascii="宋体" w:hAnsi="宋体"/>
          <w:color w:val="auto"/>
          <w:highlight w:val="none"/>
        </w:rPr>
        <w:t xml:space="preserve"> </w:t>
      </w:r>
      <w:r>
        <w:rPr>
          <w:rFonts w:hint="eastAsia" w:ascii="宋体" w:hAnsi="宋体"/>
          <w:color w:val="auto"/>
          <w:highlight w:val="none"/>
          <w:u w:val="single"/>
        </w:rPr>
        <w:t xml:space="preserve"> / </w:t>
      </w:r>
      <w:r>
        <w:rPr>
          <w:rFonts w:hint="eastAsia" w:ascii="宋体" w:hAnsi="宋体"/>
          <w:color w:val="auto"/>
          <w:highlight w:val="none"/>
          <w:u w:val="none"/>
        </w:rPr>
        <w:t>标段招</w:t>
      </w:r>
      <w:r>
        <w:rPr>
          <w:rFonts w:hint="eastAsia" w:ascii="宋体" w:hAnsi="宋体"/>
          <w:color w:val="auto"/>
          <w:highlight w:val="none"/>
        </w:rPr>
        <w:t>标文件的全部内容，在考察工程现场后，愿以</w:t>
      </w:r>
      <w:r>
        <w:rPr>
          <w:rFonts w:hint="eastAsia" w:ascii="宋体" w:hAnsi="宋体"/>
          <w:color w:val="auto"/>
          <w:szCs w:val="21"/>
          <w:highlight w:val="none"/>
          <w:u w:val="single"/>
        </w:rPr>
        <w:t>报价文件投标函中</w:t>
      </w:r>
      <w:r>
        <w:rPr>
          <w:rFonts w:hint="eastAsia" w:ascii="宋体" w:hAnsi="宋体"/>
          <w:color w:val="auto"/>
          <w:highlight w:val="none"/>
          <w:u w:val="single"/>
        </w:rPr>
        <w:t>的</w:t>
      </w:r>
      <w:r>
        <w:rPr>
          <w:rFonts w:hint="eastAsia" w:ascii="宋体" w:hAnsi="宋体"/>
          <w:color w:val="auto"/>
          <w:highlight w:val="none"/>
        </w:rPr>
        <w:t>投标报价，并承诺按照本招标文件、合同条款的条件、承担上述工程的监理。</w:t>
      </w:r>
    </w:p>
    <w:p w14:paraId="40651833">
      <w:pPr>
        <w:tabs>
          <w:tab w:val="left" w:pos="7560"/>
        </w:tabs>
        <w:adjustRightInd w:val="0"/>
        <w:snapToGrid w:val="0"/>
        <w:ind w:firstLine="480"/>
        <w:jc w:val="left"/>
        <w:rPr>
          <w:rFonts w:ascii="宋体" w:hAnsi="宋体"/>
          <w:color w:val="auto"/>
          <w:highlight w:val="none"/>
        </w:rPr>
      </w:pPr>
      <w:r>
        <w:rPr>
          <w:rFonts w:hint="eastAsia" w:ascii="宋体" w:hAnsi="宋体"/>
          <w:color w:val="auto"/>
          <w:highlight w:val="none"/>
        </w:rPr>
        <w:t>2．我方响应招标文件规定的投标有效期，并承诺在投标有效期内不撤销投标文件。</w:t>
      </w:r>
    </w:p>
    <w:p w14:paraId="68007645">
      <w:pPr>
        <w:tabs>
          <w:tab w:val="left" w:pos="7560"/>
        </w:tabs>
        <w:adjustRightInd w:val="0"/>
        <w:snapToGrid w:val="0"/>
        <w:ind w:firstLine="480"/>
        <w:jc w:val="left"/>
        <w:rPr>
          <w:rFonts w:ascii="宋体" w:hAnsi="宋体"/>
          <w:color w:val="auto"/>
          <w:highlight w:val="none"/>
        </w:rPr>
      </w:pPr>
      <w:r>
        <w:rPr>
          <w:rFonts w:hint="eastAsia" w:ascii="宋体" w:hAnsi="宋体"/>
          <w:color w:val="auto"/>
          <w:highlight w:val="none"/>
        </w:rPr>
        <w:t>3.</w:t>
      </w:r>
      <w:r>
        <w:rPr>
          <w:rFonts w:hint="eastAsia"/>
          <w:color w:val="auto"/>
          <w:highlight w:val="none"/>
        </w:rPr>
        <w:t>质量标准</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w:t>
      </w:r>
      <w:r>
        <w:rPr>
          <w:color w:val="auto"/>
          <w:szCs w:val="21"/>
          <w:highlight w:val="none"/>
        </w:rPr>
        <w:t>监理服务期限</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w:t>
      </w:r>
    </w:p>
    <w:p w14:paraId="05ABF216">
      <w:pPr>
        <w:ind w:firstLine="480"/>
        <w:rPr>
          <w:color w:val="auto"/>
          <w:szCs w:val="21"/>
          <w:highlight w:val="none"/>
        </w:rPr>
      </w:pPr>
      <w:r>
        <w:rPr>
          <w:rFonts w:hint="eastAsia" w:ascii="宋体" w:hAnsi="宋体"/>
          <w:bCs/>
          <w:color w:val="auto"/>
          <w:szCs w:val="32"/>
          <w:highlight w:val="none"/>
        </w:rPr>
        <w:t>4.</w:t>
      </w:r>
      <w:r>
        <w:rPr>
          <w:rFonts w:hint="eastAsia"/>
          <w:color w:val="auto"/>
          <w:szCs w:val="21"/>
          <w:highlight w:val="none"/>
        </w:rPr>
        <w:t>如我方中标，我方承诺：</w:t>
      </w:r>
    </w:p>
    <w:p w14:paraId="1A534C7D">
      <w:pPr>
        <w:ind w:firstLine="480"/>
        <w:rPr>
          <w:rFonts w:ascii="宋体" w:hAnsi="宋体"/>
          <w:bCs/>
          <w:color w:val="auto"/>
          <w:szCs w:val="32"/>
          <w:highlight w:val="none"/>
        </w:rPr>
      </w:pPr>
      <w:r>
        <w:rPr>
          <w:rFonts w:hint="eastAsia" w:ascii="宋体" w:hAnsi="宋体"/>
          <w:bCs/>
          <w:color w:val="auto"/>
          <w:szCs w:val="32"/>
          <w:highlight w:val="none"/>
        </w:rPr>
        <w:t>（</w:t>
      </w:r>
      <w:r>
        <w:rPr>
          <w:rFonts w:ascii="宋体" w:hAnsi="宋体"/>
          <w:bCs/>
          <w:color w:val="auto"/>
          <w:szCs w:val="32"/>
          <w:highlight w:val="none"/>
        </w:rPr>
        <w:t>1）在收到中标通知书后，</w:t>
      </w:r>
      <w:r>
        <w:rPr>
          <w:rFonts w:hint="eastAsia" w:ascii="宋体" w:hAnsi="宋体"/>
          <w:bCs/>
          <w:color w:val="auto"/>
          <w:szCs w:val="32"/>
          <w:highlight w:val="none"/>
        </w:rPr>
        <w:t>在中标通知书规定的期限内与你方签订合同；</w:t>
      </w:r>
    </w:p>
    <w:p w14:paraId="74D2139A">
      <w:pPr>
        <w:adjustRightInd w:val="0"/>
        <w:snapToGrid w:val="0"/>
        <w:ind w:firstLineChars="175"/>
        <w:rPr>
          <w:rFonts w:ascii="宋体" w:hAnsi="宋体"/>
          <w:bCs/>
          <w:color w:val="auto"/>
          <w:szCs w:val="32"/>
          <w:highlight w:val="none"/>
        </w:rPr>
      </w:pPr>
      <w:r>
        <w:rPr>
          <w:rFonts w:hint="eastAsia" w:ascii="宋体" w:hAnsi="宋体"/>
          <w:bCs/>
          <w:color w:val="auto"/>
          <w:szCs w:val="32"/>
          <w:highlight w:val="none"/>
        </w:rPr>
        <w:t>（2）在签订合同时不向你方提出附加条件；</w:t>
      </w:r>
    </w:p>
    <w:p w14:paraId="6F58E078">
      <w:pPr>
        <w:adjustRightInd w:val="0"/>
        <w:snapToGrid w:val="0"/>
        <w:ind w:firstLineChars="175"/>
        <w:rPr>
          <w:rFonts w:ascii="宋体" w:hAnsi="宋体"/>
          <w:bCs/>
          <w:color w:val="auto"/>
          <w:szCs w:val="32"/>
          <w:highlight w:val="none"/>
        </w:rPr>
      </w:pPr>
      <w:r>
        <w:rPr>
          <w:rFonts w:hint="eastAsia" w:ascii="宋体" w:hAnsi="宋体"/>
          <w:bCs/>
          <w:color w:val="auto"/>
          <w:szCs w:val="32"/>
          <w:highlight w:val="none"/>
        </w:rPr>
        <w:t>（</w:t>
      </w:r>
      <w:r>
        <w:rPr>
          <w:rFonts w:ascii="宋体" w:hAnsi="宋体"/>
          <w:bCs/>
          <w:color w:val="auto"/>
          <w:szCs w:val="32"/>
          <w:highlight w:val="none"/>
        </w:rPr>
        <w:t>3）按照招标文件要求提交履约保证金</w:t>
      </w:r>
      <w:r>
        <w:rPr>
          <w:rFonts w:hint="eastAsia" w:ascii="宋体" w:hAnsi="宋体"/>
          <w:bCs/>
          <w:color w:val="auto"/>
          <w:szCs w:val="32"/>
          <w:highlight w:val="none"/>
        </w:rPr>
        <w:t>；</w:t>
      </w:r>
    </w:p>
    <w:p w14:paraId="507491E6">
      <w:pPr>
        <w:adjustRightInd w:val="0"/>
        <w:snapToGrid w:val="0"/>
        <w:ind w:firstLineChars="175"/>
        <w:rPr>
          <w:rFonts w:ascii="宋体" w:hAnsi="宋体"/>
          <w:bCs/>
          <w:color w:val="auto"/>
          <w:szCs w:val="32"/>
          <w:highlight w:val="none"/>
        </w:rPr>
      </w:pPr>
      <w:r>
        <w:rPr>
          <w:rFonts w:hint="eastAsia" w:ascii="宋体" w:hAnsi="宋体"/>
          <w:bCs/>
          <w:color w:val="auto"/>
          <w:szCs w:val="32"/>
          <w:highlight w:val="none"/>
        </w:rPr>
        <w:t>（4）在合同约定的期限内完成合同规定的全部义务；</w:t>
      </w:r>
    </w:p>
    <w:p w14:paraId="138FAC27">
      <w:pPr>
        <w:adjustRightInd w:val="0"/>
        <w:snapToGrid w:val="0"/>
        <w:ind w:firstLineChars="175"/>
        <w:rPr>
          <w:rFonts w:ascii="宋体" w:hAnsi="宋体"/>
          <w:bCs/>
          <w:color w:val="auto"/>
          <w:szCs w:val="32"/>
          <w:highlight w:val="none"/>
        </w:rPr>
      </w:pPr>
      <w:r>
        <w:rPr>
          <w:rFonts w:hint="eastAsia" w:ascii="宋体" w:hAnsi="宋体"/>
          <w:bCs/>
          <w:color w:val="auto"/>
          <w:szCs w:val="32"/>
          <w:highlight w:val="none"/>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w:t>
      </w:r>
    </w:p>
    <w:p w14:paraId="50F07A6A">
      <w:pPr>
        <w:ind w:firstLine="480"/>
        <w:rPr>
          <w:color w:val="auto"/>
          <w:szCs w:val="21"/>
          <w:highlight w:val="none"/>
        </w:rPr>
      </w:pPr>
      <w:r>
        <w:rPr>
          <w:rFonts w:hint="eastAsia" w:ascii="宋体" w:hAnsi="宋体"/>
          <w:bCs/>
          <w:color w:val="auto"/>
          <w:szCs w:val="32"/>
          <w:highlight w:val="none"/>
        </w:rPr>
        <w:t>（6）</w:t>
      </w:r>
      <w:r>
        <w:rPr>
          <w:rFonts w:hint="eastAsia" w:ascii="宋体" w:hAnsi="宋体"/>
          <w:color w:val="auto"/>
          <w:highlight w:val="none"/>
        </w:rPr>
        <w:t>按照国家税务总局规定，在建筑服务发生地及时足额预缴增值税（适用于注册地不在合肥市行政区域范围（含四县一市）的中标人）；</w:t>
      </w:r>
    </w:p>
    <w:p w14:paraId="5BF3F2E7">
      <w:pPr>
        <w:adjustRightInd w:val="0"/>
        <w:snapToGrid w:val="0"/>
        <w:ind w:firstLineChars="175"/>
        <w:rPr>
          <w:rFonts w:ascii="宋体" w:hAnsi="宋体"/>
          <w:bCs/>
          <w:color w:val="auto"/>
          <w:szCs w:val="32"/>
          <w:highlight w:val="none"/>
        </w:rPr>
      </w:pPr>
      <w:bookmarkStart w:id="531" w:name="_Toc1187"/>
      <w:bookmarkStart w:id="532" w:name="_Toc369531694"/>
      <w:bookmarkStart w:id="533" w:name="_Toc352691658"/>
      <w:r>
        <w:rPr>
          <w:rFonts w:hint="eastAsia" w:ascii="宋体" w:hAnsi="宋体"/>
          <w:bCs/>
          <w:color w:val="auto"/>
          <w:szCs w:val="32"/>
          <w:highlight w:val="none"/>
        </w:rPr>
        <w:t>5.除非另外达成协议并生效，你方的中标通知书和本投标文件以及招标文件、招标文件澄清、修改、补充文件将成为约束双方的合同文件的组成部分。</w:t>
      </w:r>
    </w:p>
    <w:p w14:paraId="04A917AF">
      <w:pPr>
        <w:adjustRightInd w:val="0"/>
        <w:snapToGrid w:val="0"/>
        <w:ind w:firstLineChars="175"/>
        <w:rPr>
          <w:rFonts w:hint="eastAsia" w:ascii="宋体" w:hAnsi="宋体"/>
          <w:bCs/>
          <w:color w:val="auto"/>
          <w:szCs w:val="32"/>
          <w:highlight w:val="none"/>
        </w:rPr>
      </w:pPr>
      <w:r>
        <w:rPr>
          <w:rFonts w:hint="eastAsia" w:ascii="宋体" w:hAnsi="宋体"/>
          <w:bCs/>
          <w:color w:val="auto"/>
          <w:szCs w:val="32"/>
          <w:highlight w:val="none"/>
        </w:rPr>
        <w:t>6.</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snapToGrid w:val="0"/>
          <w:color w:val="auto"/>
          <w:kern w:val="0"/>
          <w:szCs w:val="21"/>
          <w:highlight w:val="none"/>
        </w:rPr>
        <w:t>（其他补充说明）。</w:t>
      </w:r>
      <w:bookmarkEnd w:id="531"/>
      <w:bookmarkEnd w:id="532"/>
      <w:bookmarkEnd w:id="533"/>
    </w:p>
    <w:p w14:paraId="75F74E2C">
      <w:pPr>
        <w:adjustRightInd w:val="0"/>
        <w:snapToGrid w:val="0"/>
        <w:ind w:left="0" w:leftChars="0" w:firstLine="0" w:firstLineChars="0"/>
        <w:jc w:val="center"/>
        <w:rPr>
          <w:rFonts w:ascii="宋体" w:hAnsi="宋体"/>
          <w:bCs/>
          <w:color w:val="auto"/>
          <w:sz w:val="28"/>
          <w:szCs w:val="32"/>
          <w:highlight w:val="none"/>
        </w:rPr>
      </w:pPr>
    </w:p>
    <w:p w14:paraId="24F08C88">
      <w:pPr>
        <w:adjustRightInd w:val="0"/>
        <w:snapToGrid w:val="0"/>
        <w:ind w:firstLine="960"/>
        <w:jc w:val="right"/>
        <w:rPr>
          <w:rFonts w:hint="eastAsia"/>
          <w:bCs/>
          <w:color w:val="auto"/>
          <w:szCs w:val="21"/>
          <w:highlight w:val="none"/>
          <w:u w:val="single"/>
        </w:rPr>
      </w:pPr>
      <w:r>
        <w:rPr>
          <w:rFonts w:hint="eastAsia"/>
          <w:bCs/>
          <w:color w:val="auto"/>
          <w:spacing w:val="120"/>
          <w:kern w:val="0"/>
          <w:szCs w:val="21"/>
          <w:highlight w:val="none"/>
          <w:fitText w:val="1200" w:id="2134509631"/>
        </w:rPr>
        <w:t>投标</w:t>
      </w:r>
      <w:r>
        <w:rPr>
          <w:rFonts w:hint="eastAsia"/>
          <w:bCs/>
          <w:color w:val="auto"/>
          <w:spacing w:val="0"/>
          <w:kern w:val="0"/>
          <w:szCs w:val="21"/>
          <w:highlight w:val="none"/>
          <w:fitText w:val="1200" w:id="2134509631"/>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4F47CCFA">
      <w:pPr>
        <w:adjustRightInd w:val="0"/>
        <w:snapToGrid w:val="0"/>
        <w:ind w:firstLine="480"/>
        <w:jc w:val="right"/>
        <w:rPr>
          <w:rFonts w:hint="eastAsia"/>
          <w:color w:val="auto"/>
          <w:szCs w:val="21"/>
          <w:highlight w:val="none"/>
          <w:u w:val="single"/>
        </w:rPr>
      </w:pPr>
      <w:r>
        <w:rPr>
          <w:rFonts w:hint="eastAsia"/>
          <w:color w:val="auto"/>
          <w:spacing w:val="0"/>
          <w:kern w:val="0"/>
          <w:szCs w:val="21"/>
          <w:highlight w:val="none"/>
          <w:fitText w:val="1200" w:id="2052861561"/>
        </w:rPr>
        <w:t>法定代表人</w:t>
      </w:r>
      <w:r>
        <w:rPr>
          <w:rFonts w:hint="eastAsia"/>
          <w:color w:val="auto"/>
          <w:szCs w:val="21"/>
          <w:highlight w:val="none"/>
        </w:rPr>
        <w:t>：</w:t>
      </w:r>
      <w:r>
        <w:rPr>
          <w:rFonts w:hint="eastAsia"/>
          <w:bCs/>
          <w:color w:val="auto"/>
          <w:szCs w:val="21"/>
          <w:highlight w:val="none"/>
          <w:u w:val="single"/>
        </w:rPr>
        <w:t xml:space="preserve">          </w:t>
      </w:r>
      <w:r>
        <w:rPr>
          <w:rFonts w:hint="eastAsia"/>
          <w:color w:val="auto"/>
          <w:szCs w:val="21"/>
          <w:highlight w:val="none"/>
        </w:rPr>
        <w:t>（签字或盖章）</w:t>
      </w:r>
    </w:p>
    <w:p w14:paraId="5D1D4061">
      <w:pPr>
        <w:adjustRightInd w:val="0"/>
        <w:snapToGrid w:val="0"/>
        <w:ind w:firstLine="1920"/>
        <w:jc w:val="right"/>
        <w:rPr>
          <w:rFonts w:ascii="宋体" w:hAnsi="宋体"/>
          <w:color w:val="auto"/>
          <w:szCs w:val="21"/>
          <w:highlight w:val="none"/>
        </w:rPr>
      </w:pPr>
      <w:r>
        <w:rPr>
          <w:rFonts w:hint="eastAsia"/>
          <w:bCs/>
          <w:color w:val="auto"/>
          <w:spacing w:val="360"/>
          <w:kern w:val="0"/>
          <w:szCs w:val="21"/>
          <w:highlight w:val="none"/>
          <w:fitText w:val="1200" w:id="1452541762"/>
        </w:rPr>
        <w:t>日</w:t>
      </w:r>
      <w:r>
        <w:rPr>
          <w:rFonts w:hint="eastAsia"/>
          <w:bCs/>
          <w:color w:val="auto"/>
          <w:spacing w:val="0"/>
          <w:kern w:val="0"/>
          <w:szCs w:val="21"/>
          <w:highlight w:val="none"/>
          <w:fitText w:val="1200" w:id="1452541762"/>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bookmarkEnd w:id="385"/>
    <w:bookmarkEnd w:id="386"/>
    <w:bookmarkEnd w:id="387"/>
    <w:bookmarkEnd w:id="388"/>
    <w:bookmarkEnd w:id="389"/>
    <w:bookmarkEnd w:id="390"/>
    <w:bookmarkEnd w:id="391"/>
    <w:bookmarkEnd w:id="425"/>
    <w:bookmarkEnd w:id="426"/>
    <w:bookmarkEnd w:id="530"/>
    <w:p w14:paraId="10F50531">
      <w:pPr>
        <w:pStyle w:val="7"/>
        <w:spacing w:before="240" w:after="240"/>
        <w:ind w:firstLine="118"/>
        <w:jc w:val="center"/>
        <w:rPr>
          <w:color w:val="auto"/>
          <w:szCs w:val="24"/>
          <w:highlight w:val="none"/>
        </w:rPr>
      </w:pPr>
      <w:bookmarkStart w:id="534" w:name="_Toc369531696"/>
      <w:bookmarkEnd w:id="534"/>
      <w:bookmarkStart w:id="535" w:name="_Toc369531695"/>
      <w:bookmarkEnd w:id="535"/>
      <w:bookmarkStart w:id="536" w:name="_Toc16824"/>
      <w:bookmarkEnd w:id="536"/>
      <w:bookmarkStart w:id="537" w:name="_Toc352691660"/>
      <w:bookmarkEnd w:id="537"/>
      <w:bookmarkStart w:id="538" w:name="_Toc16568"/>
      <w:bookmarkEnd w:id="538"/>
      <w:bookmarkStart w:id="539" w:name="_Toc352691659"/>
      <w:bookmarkEnd w:id="539"/>
      <w:bookmarkStart w:id="540" w:name="_Toc14830"/>
      <w:bookmarkStart w:id="541" w:name="_Toc27042"/>
      <w:bookmarkStart w:id="542" w:name="_Toc17173"/>
      <w:bookmarkStart w:id="543" w:name="_Toc18186"/>
      <w:bookmarkStart w:id="544" w:name="_Toc384308375"/>
      <w:bookmarkStart w:id="545" w:name="_Toc300835209"/>
      <w:bookmarkStart w:id="546" w:name="_Toc152042576"/>
      <w:bookmarkStart w:id="547" w:name="_Toc144974856"/>
      <w:bookmarkStart w:id="548" w:name="_Toc17960"/>
      <w:bookmarkStart w:id="549" w:name="_Toc247514246"/>
      <w:bookmarkStart w:id="550" w:name="_Toc361508752"/>
      <w:bookmarkStart w:id="551" w:name="_Toc247527827"/>
      <w:bookmarkStart w:id="552" w:name="_Toc352691661"/>
      <w:bookmarkStart w:id="553" w:name="_Toc152045787"/>
      <w:bookmarkStart w:id="554" w:name="_Toc369531697"/>
      <w:r>
        <w:rPr>
          <w:rFonts w:hint="eastAsia"/>
          <w:color w:val="auto"/>
          <w:szCs w:val="24"/>
          <w:highlight w:val="none"/>
        </w:rPr>
        <w:t>二、法定代表人身份证明或授权委托书</w:t>
      </w:r>
      <w:bookmarkEnd w:id="540"/>
      <w:bookmarkEnd w:id="541"/>
      <w:bookmarkEnd w:id="542"/>
      <w:bookmarkEnd w:id="543"/>
    </w:p>
    <w:p w14:paraId="1BD1C3C1">
      <w:pPr>
        <w:ind w:firstLine="480"/>
        <w:jc w:val="center"/>
        <w:rPr>
          <w:rFonts w:ascii="黑体" w:hAnsi="黑体" w:eastAsia="黑体"/>
          <w:bCs/>
          <w:color w:val="auto"/>
          <w:highlight w:val="none"/>
        </w:rPr>
      </w:pPr>
      <w:bookmarkStart w:id="555" w:name="_Toc16624"/>
      <w:bookmarkStart w:id="556" w:name="_Toc11186"/>
      <w:r>
        <w:rPr>
          <w:rFonts w:hint="eastAsia" w:ascii="黑体" w:hAnsi="黑体" w:eastAsia="黑体"/>
          <w:bCs/>
          <w:color w:val="auto"/>
          <w:highlight w:val="none"/>
        </w:rPr>
        <w:t>法定代表人身份证明</w:t>
      </w:r>
      <w:bookmarkEnd w:id="555"/>
      <w:bookmarkEnd w:id="556"/>
    </w:p>
    <w:p w14:paraId="66439366">
      <w:pPr>
        <w:ind w:left="0" w:leftChars="0" w:firstLine="0" w:firstLineChars="0"/>
        <w:jc w:val="center"/>
        <w:rPr>
          <w:rFonts w:ascii="宋体" w:hAnsi="宋体"/>
          <w:color w:val="auto"/>
          <w:highlight w:val="none"/>
        </w:rPr>
      </w:pPr>
    </w:p>
    <w:p w14:paraId="6F237D89">
      <w:pPr>
        <w:ind w:firstLine="480"/>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2BC30B01">
      <w:pPr>
        <w:ind w:firstLine="480"/>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26A167A1">
      <w:pPr>
        <w:ind w:firstLine="48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1C43178A">
      <w:pPr>
        <w:ind w:firstLine="48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B1BE217">
      <w:pPr>
        <w:ind w:firstLine="480"/>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5C697DF9">
      <w:pPr>
        <w:ind w:firstLine="48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0B7E24C0">
      <w:pPr>
        <w:ind w:firstLine="480"/>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6BAFD5D7">
      <w:pPr>
        <w:ind w:firstLine="48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57581335">
      <w:pPr>
        <w:ind w:firstLine="480"/>
        <w:rPr>
          <w:rFonts w:hint="eastAsia" w:ascii="宋体" w:hAnsi="宋体"/>
          <w:color w:val="auto"/>
          <w:szCs w:val="21"/>
          <w:highlight w:val="none"/>
        </w:rPr>
      </w:pPr>
      <w:r>
        <w:rPr>
          <w:rFonts w:hint="eastAsia" w:ascii="宋体" w:hAnsi="宋体"/>
          <w:color w:val="auto"/>
          <w:szCs w:val="21"/>
          <w:highlight w:val="none"/>
        </w:rPr>
        <w:t>特此证明。</w:t>
      </w:r>
    </w:p>
    <w:p w14:paraId="4CA10762">
      <w:pPr>
        <w:ind w:firstLine="480"/>
        <w:rPr>
          <w:rFonts w:hint="eastAsia" w:ascii="宋体" w:hAnsi="宋体"/>
          <w:color w:val="auto"/>
          <w:szCs w:val="21"/>
          <w:highlight w:val="none"/>
        </w:rPr>
      </w:pPr>
      <w:r>
        <w:rPr>
          <w:rFonts w:hint="eastAsia" w:ascii="宋体" w:hAnsi="宋体"/>
          <w:color w:val="auto"/>
          <w:szCs w:val="21"/>
          <w:highlight w:val="none"/>
        </w:rPr>
        <w:t>附：法定代表人身份证正反面扫描件。</w:t>
      </w:r>
    </w:p>
    <w:p w14:paraId="3C13B1F5">
      <w:pPr>
        <w:ind w:left="0" w:leftChars="0" w:firstLine="0" w:firstLineChars="0"/>
        <w:jc w:val="center"/>
        <w:rPr>
          <w:rFonts w:ascii="宋体" w:hAnsi="宋体"/>
          <w:color w:val="auto"/>
          <w:szCs w:val="21"/>
          <w:highlight w:val="none"/>
        </w:rPr>
      </w:pPr>
    </w:p>
    <w:p w14:paraId="604ADD3B">
      <w:pPr>
        <w:ind w:left="0" w:leftChars="0" w:firstLine="0" w:firstLineChars="0"/>
        <w:jc w:val="center"/>
        <w:rPr>
          <w:rFonts w:ascii="宋体" w:hAnsi="宋体"/>
          <w:color w:val="auto"/>
          <w:szCs w:val="21"/>
          <w:highlight w:val="none"/>
        </w:rPr>
      </w:pPr>
    </w:p>
    <w:p w14:paraId="094364CB">
      <w:pPr>
        <w:adjustRightInd w:val="0"/>
        <w:snapToGrid w:val="0"/>
        <w:ind w:firstLine="960"/>
        <w:jc w:val="right"/>
        <w:rPr>
          <w:rFonts w:hint="eastAsia"/>
          <w:bCs/>
          <w:color w:val="auto"/>
          <w:szCs w:val="21"/>
          <w:highlight w:val="none"/>
          <w:u w:val="single"/>
        </w:rPr>
      </w:pPr>
      <w:r>
        <w:rPr>
          <w:rFonts w:hint="eastAsia"/>
          <w:bCs/>
          <w:color w:val="auto"/>
          <w:spacing w:val="120"/>
          <w:kern w:val="0"/>
          <w:szCs w:val="21"/>
          <w:highlight w:val="none"/>
          <w:fitText w:val="1200" w:id="1462395057"/>
        </w:rPr>
        <w:t>投标</w:t>
      </w:r>
      <w:r>
        <w:rPr>
          <w:rFonts w:hint="eastAsia"/>
          <w:bCs/>
          <w:color w:val="auto"/>
          <w:spacing w:val="0"/>
          <w:kern w:val="0"/>
          <w:szCs w:val="21"/>
          <w:highlight w:val="none"/>
          <w:fitText w:val="1200" w:id="1462395057"/>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2D77E3FD">
      <w:pPr>
        <w:spacing w:before="48" w:beforeLines="20" w:after="48" w:afterLines="20"/>
        <w:ind w:firstLine="1920"/>
        <w:jc w:val="right"/>
        <w:rPr>
          <w:rFonts w:ascii="黑体" w:hAnsi="黑体" w:eastAsia="黑体"/>
          <w:bCs/>
          <w:color w:val="auto"/>
          <w:highlight w:val="none"/>
        </w:rPr>
      </w:pPr>
      <w:r>
        <w:rPr>
          <w:rFonts w:hint="eastAsia"/>
          <w:bCs/>
          <w:color w:val="auto"/>
          <w:spacing w:val="360"/>
          <w:kern w:val="0"/>
          <w:szCs w:val="21"/>
          <w:highlight w:val="none"/>
          <w:fitText w:val="1200" w:id="478763398"/>
        </w:rPr>
        <w:t>日</w:t>
      </w:r>
      <w:r>
        <w:rPr>
          <w:rFonts w:hint="eastAsia"/>
          <w:bCs/>
          <w:color w:val="auto"/>
          <w:spacing w:val="0"/>
          <w:kern w:val="0"/>
          <w:szCs w:val="21"/>
          <w:highlight w:val="none"/>
          <w:fitText w:val="1200" w:id="478763398"/>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0DE5AFD6">
      <w:pPr>
        <w:ind w:firstLine="480"/>
        <w:jc w:val="center"/>
        <w:rPr>
          <w:rFonts w:hint="eastAsia" w:ascii="黑体" w:hAnsi="黑体" w:eastAsia="黑体"/>
          <w:bCs/>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557" w:name="_Toc18586"/>
      <w:bookmarkStart w:id="558" w:name="_Toc23515"/>
    </w:p>
    <w:p w14:paraId="40DC8F2B">
      <w:pPr>
        <w:ind w:firstLine="480"/>
        <w:jc w:val="center"/>
        <w:rPr>
          <w:color w:val="auto"/>
          <w:sz w:val="32"/>
          <w:szCs w:val="32"/>
          <w:highlight w:val="none"/>
        </w:rPr>
      </w:pPr>
      <w:r>
        <w:rPr>
          <w:rFonts w:hint="eastAsia" w:ascii="黑体" w:hAnsi="黑体" w:eastAsia="黑体"/>
          <w:bCs/>
          <w:color w:val="auto"/>
          <w:highlight w:val="none"/>
        </w:rPr>
        <w:t>授权委托书</w:t>
      </w:r>
      <w:bookmarkEnd w:id="557"/>
      <w:bookmarkEnd w:id="558"/>
    </w:p>
    <w:p w14:paraId="0AE6133A">
      <w:pPr>
        <w:ind w:left="0" w:leftChars="0" w:firstLine="0" w:firstLineChars="0"/>
        <w:jc w:val="center"/>
        <w:rPr>
          <w:color w:val="auto"/>
          <w:highlight w:val="none"/>
        </w:rPr>
      </w:pPr>
    </w:p>
    <w:p w14:paraId="0CF2EB40">
      <w:pPr>
        <w:snapToGrid w:val="0"/>
        <w:ind w:firstLine="480"/>
        <w:jc w:val="left"/>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highlight w:val="none"/>
          <w:u w:val="single"/>
        </w:rPr>
        <w:t xml:space="preserve">（招标项目名称） </w:t>
      </w:r>
      <w:r>
        <w:rPr>
          <w:rFonts w:hint="eastAsia" w:ascii="宋体" w:hAnsi="宋体"/>
          <w:color w:val="auto"/>
          <w:highlight w:val="none"/>
        </w:rPr>
        <w:t xml:space="preserve">  </w:t>
      </w:r>
      <w:r>
        <w:rPr>
          <w:rFonts w:hint="eastAsia" w:ascii="宋体" w:hAnsi="宋体"/>
          <w:color w:val="auto"/>
          <w:highlight w:val="none"/>
          <w:u w:val="single"/>
        </w:rPr>
        <w:t xml:space="preserve">  标段</w:t>
      </w:r>
      <w:r>
        <w:rPr>
          <w:rFonts w:hint="eastAsia" w:ascii="宋体" w:hAnsi="宋体"/>
          <w:color w:val="auto"/>
          <w:szCs w:val="21"/>
          <w:highlight w:val="none"/>
        </w:rPr>
        <w:t>投标文件、签订合同和处理有关事宜，其法律后果由我方承担。</w:t>
      </w:r>
    </w:p>
    <w:p w14:paraId="69C63824">
      <w:pPr>
        <w:snapToGrid w:val="0"/>
        <w:ind w:firstLine="48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自本委托书签署之日起至投标有效期期满</w:t>
      </w:r>
      <w:r>
        <w:rPr>
          <w:rFonts w:hint="eastAsia" w:ascii="宋体" w:hAnsi="宋体"/>
          <w:color w:val="auto"/>
          <w:szCs w:val="21"/>
          <w:highlight w:val="none"/>
        </w:rPr>
        <w:t>。</w:t>
      </w:r>
    </w:p>
    <w:p w14:paraId="4B30F6ED">
      <w:pPr>
        <w:snapToGrid w:val="0"/>
        <w:ind w:firstLine="480"/>
        <w:rPr>
          <w:rFonts w:ascii="宋体" w:hAnsi="宋体"/>
          <w:color w:val="auto"/>
          <w:szCs w:val="21"/>
          <w:highlight w:val="none"/>
        </w:rPr>
      </w:pPr>
      <w:r>
        <w:rPr>
          <w:rFonts w:hint="eastAsia" w:ascii="宋体" w:hAnsi="宋体"/>
          <w:color w:val="auto"/>
          <w:szCs w:val="21"/>
          <w:highlight w:val="none"/>
        </w:rPr>
        <w:t>代理人无转委托权。</w:t>
      </w:r>
    </w:p>
    <w:p w14:paraId="054BB630">
      <w:pPr>
        <w:snapToGrid w:val="0"/>
        <w:ind w:firstLine="480"/>
        <w:rPr>
          <w:rFonts w:hint="eastAsia"/>
          <w:color w:val="auto"/>
          <w:szCs w:val="21"/>
          <w:highlight w:val="none"/>
        </w:rPr>
      </w:pPr>
      <w:r>
        <w:rPr>
          <w:rFonts w:hint="eastAsia" w:ascii="宋体" w:hAnsi="宋体"/>
          <w:color w:val="auto"/>
          <w:szCs w:val="21"/>
          <w:highlight w:val="none"/>
        </w:rPr>
        <w:t>附：</w:t>
      </w:r>
      <w:r>
        <w:rPr>
          <w:rFonts w:hint="eastAsia"/>
          <w:color w:val="auto"/>
          <w:szCs w:val="21"/>
          <w:highlight w:val="none"/>
        </w:rPr>
        <w:t>法定代表人身份证正反面扫描件</w:t>
      </w:r>
    </w:p>
    <w:p w14:paraId="6802F381">
      <w:pPr>
        <w:snapToGrid w:val="0"/>
        <w:ind w:firstLine="480"/>
        <w:rPr>
          <w:rFonts w:ascii="宋体" w:hAnsi="宋体"/>
          <w:color w:val="auto"/>
          <w:szCs w:val="21"/>
          <w:highlight w:val="none"/>
        </w:rPr>
      </w:pPr>
      <w:r>
        <w:rPr>
          <w:rFonts w:hint="eastAsia"/>
          <w:color w:val="auto"/>
          <w:szCs w:val="21"/>
          <w:highlight w:val="none"/>
        </w:rPr>
        <w:t xml:space="preserve">    代理人身份证正反面扫描件</w:t>
      </w:r>
    </w:p>
    <w:p w14:paraId="2BAD5FA8">
      <w:pPr>
        <w:ind w:left="0" w:leftChars="0" w:firstLine="0" w:firstLineChars="0"/>
        <w:jc w:val="center"/>
        <w:rPr>
          <w:rFonts w:ascii="宋体" w:hAnsi="宋体"/>
          <w:color w:val="auto"/>
          <w:szCs w:val="21"/>
          <w:highlight w:val="none"/>
        </w:rPr>
      </w:pPr>
    </w:p>
    <w:p w14:paraId="4A8AE741">
      <w:pPr>
        <w:adjustRightInd w:val="0"/>
        <w:snapToGrid w:val="0"/>
        <w:ind w:firstLine="960"/>
        <w:jc w:val="right"/>
        <w:rPr>
          <w:rFonts w:hint="eastAsia"/>
          <w:bCs/>
          <w:color w:val="auto"/>
          <w:szCs w:val="21"/>
          <w:highlight w:val="none"/>
          <w:u w:val="single"/>
        </w:rPr>
      </w:pPr>
      <w:r>
        <w:rPr>
          <w:rFonts w:hint="eastAsia"/>
          <w:bCs/>
          <w:color w:val="auto"/>
          <w:spacing w:val="120"/>
          <w:kern w:val="0"/>
          <w:szCs w:val="21"/>
          <w:highlight w:val="none"/>
          <w:fitText w:val="1200" w:id="51011042"/>
        </w:rPr>
        <w:t>投标</w:t>
      </w:r>
      <w:r>
        <w:rPr>
          <w:rFonts w:hint="eastAsia"/>
          <w:bCs/>
          <w:color w:val="auto"/>
          <w:spacing w:val="0"/>
          <w:kern w:val="0"/>
          <w:szCs w:val="21"/>
          <w:highlight w:val="none"/>
          <w:fitText w:val="1200" w:id="51011042"/>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3D6B4E51">
      <w:pPr>
        <w:adjustRightInd w:val="0"/>
        <w:snapToGrid w:val="0"/>
        <w:ind w:firstLine="480"/>
        <w:jc w:val="right"/>
        <w:rPr>
          <w:rFonts w:hint="eastAsia"/>
          <w:color w:val="auto"/>
          <w:szCs w:val="21"/>
          <w:highlight w:val="none"/>
          <w:u w:val="single"/>
        </w:rPr>
      </w:pPr>
      <w:r>
        <w:rPr>
          <w:rFonts w:hint="eastAsia"/>
          <w:color w:val="auto"/>
          <w:spacing w:val="0"/>
          <w:kern w:val="0"/>
          <w:szCs w:val="21"/>
          <w:highlight w:val="none"/>
          <w:fitText w:val="1200" w:id="553928831"/>
        </w:rPr>
        <w:t>法定代表人</w:t>
      </w:r>
      <w:r>
        <w:rPr>
          <w:rFonts w:hint="eastAsia"/>
          <w:color w:val="auto"/>
          <w:szCs w:val="21"/>
          <w:highlight w:val="none"/>
        </w:rPr>
        <w:t>：</w:t>
      </w:r>
      <w:r>
        <w:rPr>
          <w:rFonts w:hint="eastAsia"/>
          <w:bCs/>
          <w:color w:val="auto"/>
          <w:szCs w:val="21"/>
          <w:highlight w:val="none"/>
          <w:u w:val="single"/>
        </w:rPr>
        <w:t xml:space="preserve">          </w:t>
      </w:r>
      <w:r>
        <w:rPr>
          <w:rFonts w:hint="eastAsia"/>
          <w:color w:val="auto"/>
          <w:szCs w:val="21"/>
          <w:highlight w:val="none"/>
        </w:rPr>
        <w:t>（签字或盖章）</w:t>
      </w:r>
    </w:p>
    <w:p w14:paraId="2FBAE7FA">
      <w:pPr>
        <w:ind w:firstLine="1920"/>
        <w:jc w:val="right"/>
        <w:rPr>
          <w:rFonts w:ascii="宋体" w:hAnsi="宋体"/>
          <w:color w:val="auto"/>
          <w:szCs w:val="21"/>
          <w:highlight w:val="none"/>
        </w:rPr>
      </w:pPr>
      <w:r>
        <w:rPr>
          <w:rFonts w:hint="eastAsia"/>
          <w:bCs/>
          <w:color w:val="auto"/>
          <w:spacing w:val="360"/>
          <w:kern w:val="0"/>
          <w:szCs w:val="21"/>
          <w:highlight w:val="none"/>
          <w:fitText w:val="1200" w:id="303170998"/>
        </w:rPr>
        <w:t>日</w:t>
      </w:r>
      <w:r>
        <w:rPr>
          <w:rFonts w:hint="eastAsia"/>
          <w:bCs/>
          <w:color w:val="auto"/>
          <w:spacing w:val="0"/>
          <w:kern w:val="0"/>
          <w:szCs w:val="21"/>
          <w:highlight w:val="none"/>
          <w:fitText w:val="1200" w:id="303170998"/>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43C77B11">
      <w:pPr>
        <w:autoSpaceDE w:val="0"/>
        <w:autoSpaceDN w:val="0"/>
        <w:adjustRightInd w:val="0"/>
        <w:snapToGrid w:val="0"/>
        <w:ind w:left="0" w:leftChars="0" w:firstLine="0" w:firstLineChars="0"/>
        <w:jc w:val="center"/>
        <w:rPr>
          <w:rFonts w:ascii="宋体" w:hAnsi="宋体"/>
          <w:color w:val="auto"/>
          <w:kern w:val="0"/>
          <w:highlight w:val="none"/>
        </w:rPr>
      </w:pPr>
    </w:p>
    <w:p w14:paraId="423BC9AB">
      <w:pPr>
        <w:tabs>
          <w:tab w:val="left" w:pos="5760"/>
        </w:tabs>
        <w:autoSpaceDE w:val="0"/>
        <w:autoSpaceDN w:val="0"/>
        <w:adjustRightInd w:val="0"/>
        <w:ind w:right="11" w:firstLine="480"/>
        <w:rPr>
          <w:color w:val="auto"/>
          <w:highlight w:val="none"/>
        </w:rPr>
      </w:pPr>
      <w:r>
        <w:rPr>
          <w:rFonts w:hint="eastAsia"/>
          <w:color w:val="auto"/>
          <w:highlight w:val="none"/>
        </w:rPr>
        <w:t>注：</w:t>
      </w:r>
    </w:p>
    <w:p w14:paraId="65FAC7BF">
      <w:pPr>
        <w:tabs>
          <w:tab w:val="left" w:pos="5760"/>
        </w:tabs>
        <w:autoSpaceDE w:val="0"/>
        <w:autoSpaceDN w:val="0"/>
        <w:adjustRightInd w:val="0"/>
        <w:ind w:right="11" w:firstLine="480"/>
        <w:rPr>
          <w:color w:val="auto"/>
          <w:highlight w:val="none"/>
        </w:rPr>
      </w:pPr>
      <w:r>
        <w:rPr>
          <w:rFonts w:hint="eastAsia"/>
          <w:color w:val="auto"/>
          <w:highlight w:val="none"/>
        </w:rPr>
        <w:t>法定代表人参加投标活动并签署文件的不需要授权委托书，只需提供法定代表人身份证明；</w:t>
      </w:r>
    </w:p>
    <w:p w14:paraId="775F40EA">
      <w:pPr>
        <w:tabs>
          <w:tab w:val="left" w:pos="5760"/>
        </w:tabs>
        <w:autoSpaceDE w:val="0"/>
        <w:autoSpaceDN w:val="0"/>
        <w:adjustRightInd w:val="0"/>
        <w:ind w:right="11" w:firstLine="480"/>
        <w:rPr>
          <w:rFonts w:ascii="宋体" w:hAnsi="宋体"/>
          <w:color w:val="auto"/>
          <w:kern w:val="0"/>
          <w:highlight w:val="none"/>
        </w:rPr>
      </w:pPr>
      <w:r>
        <w:rPr>
          <w:rFonts w:hint="eastAsia"/>
          <w:color w:val="auto"/>
          <w:highlight w:val="none"/>
        </w:rPr>
        <w:t>非法定代表人参加投标活动及签署文件的还须提供授权委托书。</w:t>
      </w:r>
    </w:p>
    <w:p w14:paraId="56B577BD">
      <w:pPr>
        <w:pStyle w:val="7"/>
        <w:spacing w:before="240" w:after="240"/>
        <w:ind w:firstLine="118"/>
        <w:jc w:val="center"/>
        <w:rPr>
          <w:color w:val="auto"/>
          <w:szCs w:val="24"/>
          <w:highlight w:val="none"/>
        </w:rPr>
      </w:pPr>
      <w:r>
        <w:rPr>
          <w:rFonts w:ascii="宋体"/>
          <w:color w:val="auto"/>
          <w:kern w:val="0"/>
          <w:highlight w:val="none"/>
        </w:rPr>
        <w:br w:type="page"/>
      </w:r>
      <w:bookmarkEnd w:id="544"/>
      <w:bookmarkEnd w:id="545"/>
      <w:bookmarkEnd w:id="546"/>
      <w:bookmarkEnd w:id="547"/>
      <w:bookmarkEnd w:id="548"/>
      <w:bookmarkEnd w:id="549"/>
      <w:bookmarkEnd w:id="550"/>
      <w:bookmarkEnd w:id="551"/>
      <w:bookmarkEnd w:id="552"/>
      <w:bookmarkEnd w:id="553"/>
      <w:bookmarkEnd w:id="554"/>
      <w:bookmarkStart w:id="559" w:name="_Toc535241085"/>
      <w:bookmarkStart w:id="560" w:name="_Toc535241228"/>
      <w:bookmarkStart w:id="561" w:name="_Toc535241131"/>
      <w:bookmarkStart w:id="562" w:name="_Toc9082"/>
      <w:bookmarkStart w:id="563" w:name="_Toc11201"/>
      <w:bookmarkStart w:id="564" w:name="_Toc14287"/>
      <w:bookmarkStart w:id="565" w:name="_Toc22126"/>
      <w:r>
        <w:rPr>
          <w:rFonts w:hint="eastAsia"/>
          <w:color w:val="auto"/>
          <w:szCs w:val="24"/>
          <w:highlight w:val="none"/>
        </w:rPr>
        <w:t>三、联合体协议书</w:t>
      </w:r>
      <w:bookmarkEnd w:id="559"/>
      <w:bookmarkEnd w:id="560"/>
      <w:bookmarkEnd w:id="561"/>
      <w:r>
        <w:rPr>
          <w:rFonts w:hint="eastAsia"/>
          <w:color w:val="auto"/>
          <w:szCs w:val="24"/>
          <w:highlight w:val="none"/>
        </w:rPr>
        <w:t>（如有）</w:t>
      </w:r>
      <w:bookmarkEnd w:id="562"/>
      <w:bookmarkEnd w:id="563"/>
      <w:bookmarkEnd w:id="564"/>
      <w:bookmarkEnd w:id="565"/>
    </w:p>
    <w:p w14:paraId="714E9FCB">
      <w:pPr>
        <w:ind w:firstLine="480"/>
        <w:jc w:val="center"/>
        <w:rPr>
          <w:rFonts w:hint="eastAsia" w:ascii="宋体" w:hAnsi="宋体"/>
          <w:color w:val="auto"/>
          <w:szCs w:val="21"/>
          <w:highlight w:val="none"/>
        </w:rPr>
      </w:pPr>
      <w:r>
        <w:rPr>
          <w:rFonts w:hint="eastAsia" w:ascii="宋体" w:hAnsi="宋体"/>
          <w:color w:val="auto"/>
          <w:szCs w:val="21"/>
          <w:highlight w:val="none"/>
        </w:rPr>
        <w:t>（不接受联合体投标或未组成联合体投标，无需此件）</w:t>
      </w:r>
    </w:p>
    <w:p w14:paraId="6C01AB90">
      <w:pPr>
        <w:ind w:firstLine="480"/>
        <w:rPr>
          <w:rFonts w:ascii="宋体" w:hAnsi="宋体"/>
          <w:color w:val="auto"/>
          <w:szCs w:val="21"/>
          <w:highlight w:val="none"/>
        </w:rPr>
      </w:pPr>
      <w:r>
        <w:rPr>
          <w:rFonts w:hint="eastAsia" w:ascii="宋体" w:hAnsi="宋体"/>
          <w:color w:val="auto"/>
          <w:szCs w:val="21"/>
          <w:highlight w:val="none"/>
        </w:rPr>
        <w:t>牵头人（成员一）名称：</w:t>
      </w:r>
      <w:r>
        <w:rPr>
          <w:rFonts w:hint="eastAsia" w:ascii="宋体" w:hAnsi="宋体"/>
          <w:color w:val="auto"/>
          <w:szCs w:val="21"/>
          <w:highlight w:val="none"/>
          <w:u w:val="single"/>
        </w:rPr>
        <w:t xml:space="preserve">                                      </w:t>
      </w:r>
    </w:p>
    <w:p w14:paraId="117F79DC">
      <w:pPr>
        <w:ind w:firstLine="4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1E23F860">
      <w:pPr>
        <w:ind w:firstLine="480"/>
        <w:rPr>
          <w:rFonts w:ascii="宋体" w:hAnsi="宋体"/>
          <w:color w:val="auto"/>
          <w:szCs w:val="21"/>
          <w:highlight w:val="non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1EC86E5E">
      <w:pPr>
        <w:ind w:firstLine="480"/>
        <w:rPr>
          <w:rFonts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6D617303">
      <w:pPr>
        <w:ind w:firstLine="4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2D5F7314">
      <w:pPr>
        <w:ind w:firstLine="480"/>
        <w:rPr>
          <w:rFonts w:ascii="宋体" w:hAnsi="宋体"/>
          <w:color w:val="auto"/>
          <w:szCs w:val="21"/>
          <w:highlight w:val="none"/>
          <w:u w:val="single"/>
        </w:rPr>
      </w:pPr>
      <w:r>
        <w:rPr>
          <w:rFonts w:hint="eastAsia" w:ascii="宋体" w:hAnsi="宋体"/>
          <w:color w:val="auto"/>
          <w:szCs w:val="21"/>
          <w:highlight w:val="none"/>
        </w:rPr>
        <w:t>法定住所：</w:t>
      </w:r>
      <w:r>
        <w:rPr>
          <w:rFonts w:hint="eastAsia" w:ascii="宋体" w:hAnsi="宋体"/>
          <w:color w:val="auto"/>
          <w:szCs w:val="21"/>
          <w:highlight w:val="none"/>
          <w:u w:val="single"/>
        </w:rPr>
        <w:t xml:space="preserve">                                        </w:t>
      </w:r>
    </w:p>
    <w:p w14:paraId="587642AE">
      <w:pPr>
        <w:ind w:firstLine="600" w:firstLineChars="250"/>
        <w:rPr>
          <w:rFonts w:ascii="宋体" w:hAnsi="宋体"/>
          <w:color w:val="auto"/>
          <w:szCs w:val="21"/>
          <w:highlight w:val="none"/>
        </w:rPr>
      </w:pPr>
      <w:r>
        <w:rPr>
          <w:rFonts w:hint="eastAsia" w:ascii="宋体" w:hAnsi="宋体"/>
          <w:color w:val="auto"/>
          <w:szCs w:val="21"/>
          <w:highlight w:val="none"/>
        </w:rPr>
        <w:t>……</w:t>
      </w:r>
    </w:p>
    <w:p w14:paraId="629E3948">
      <w:pPr>
        <w:ind w:firstLine="480"/>
        <w:rPr>
          <w:rFonts w:ascii="宋体" w:hAnsi="宋体"/>
          <w:color w:val="auto"/>
          <w:szCs w:val="21"/>
          <w:highlight w:val="none"/>
        </w:rPr>
      </w:pPr>
      <w:r>
        <w:rPr>
          <w:rFonts w:hint="eastAsia" w:ascii="宋体" w:hAnsi="宋体"/>
          <w:color w:val="auto"/>
          <w:szCs w:val="21"/>
          <w:highlight w:val="none"/>
        </w:rPr>
        <w:t>鉴于上述各成员单位经过友好协商，自愿组成</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p>
    <w:p w14:paraId="1F524483">
      <w:pPr>
        <w:ind w:firstLine="48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（招标人名称）（以下简称招标人）</w:t>
      </w:r>
      <w:r>
        <w:rPr>
          <w:rFonts w:hint="eastAsia" w:ascii="宋体" w:hAnsi="宋体"/>
          <w:color w:val="auto"/>
          <w:highlight w:val="none"/>
          <w:u w:val="single"/>
        </w:rPr>
        <w:t xml:space="preserve">（招标项目名称）  </w:t>
      </w:r>
      <w:r>
        <w:rPr>
          <w:rFonts w:hint="eastAsia" w:ascii="宋体" w:hAnsi="宋体"/>
          <w:color w:val="auto"/>
          <w:highlight w:val="none"/>
        </w:rPr>
        <w:t xml:space="preserve"> </w:t>
      </w:r>
      <w:r>
        <w:rPr>
          <w:rFonts w:hint="eastAsia" w:ascii="宋体" w:hAnsi="宋体"/>
          <w:color w:val="auto"/>
          <w:highlight w:val="none"/>
          <w:u w:val="single"/>
        </w:rPr>
        <w:t xml:space="preserve">  标段</w:t>
      </w:r>
      <w:r>
        <w:rPr>
          <w:rFonts w:hint="eastAsia" w:ascii="宋体" w:hAnsi="宋体"/>
          <w:color w:val="auto"/>
          <w:szCs w:val="21"/>
          <w:highlight w:val="none"/>
        </w:rPr>
        <w:t>（以下简称本项目）的投标并争取赢得本项目监理委托合同（以下简称合同）。现就联合体投标事宜订立如下协议：</w:t>
      </w:r>
    </w:p>
    <w:p w14:paraId="5C2C1CA6">
      <w:pPr>
        <w:ind w:firstLine="480"/>
        <w:rPr>
          <w:rFonts w:ascii="宋体" w:hAnsi="宋体"/>
          <w:color w:val="auto"/>
          <w:szCs w:val="21"/>
          <w:highlight w:val="none"/>
        </w:rPr>
      </w:pPr>
      <w:r>
        <w:rPr>
          <w:color w:val="auto"/>
          <w:szCs w:val="21"/>
          <w:highlight w:val="none"/>
        </w:rPr>
        <w:t>1</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2303210C">
      <w:pPr>
        <w:ind w:firstLine="480"/>
        <w:rPr>
          <w:rFonts w:ascii="宋体" w:hAnsi="宋体"/>
          <w:color w:val="auto"/>
          <w:szCs w:val="21"/>
          <w:highlight w:val="none"/>
        </w:rPr>
      </w:pPr>
      <w:r>
        <w:rPr>
          <w:color w:val="auto"/>
          <w:szCs w:val="21"/>
          <w:highlight w:val="none"/>
        </w:rPr>
        <w:t>2</w:t>
      </w:r>
      <w:r>
        <w:rPr>
          <w:rFonts w:hint="eastAsia" w:ascii="宋体" w:hAnsi="宋体"/>
          <w:color w:val="auto"/>
          <w:szCs w:val="21"/>
          <w:highlight w:val="none"/>
        </w:rPr>
        <w:t>．在本工程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0F42C0D">
      <w:pPr>
        <w:ind w:firstLine="480"/>
        <w:rPr>
          <w:rFonts w:ascii="宋体" w:hAnsi="宋体"/>
          <w:color w:val="auto"/>
          <w:szCs w:val="21"/>
          <w:highlight w:val="none"/>
        </w:rPr>
      </w:pPr>
      <w:r>
        <w:rPr>
          <w:color w:val="auto"/>
          <w:szCs w:val="21"/>
          <w:highlight w:val="none"/>
        </w:rPr>
        <w:t>3</w:t>
      </w:r>
      <w:r>
        <w:rPr>
          <w:rFonts w:hint="eastAsia" w:ascii="宋体" w:hAnsi="宋体"/>
          <w:color w:val="auto"/>
          <w:szCs w:val="21"/>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7344B35">
      <w:pPr>
        <w:ind w:firstLine="480"/>
        <w:rPr>
          <w:rFonts w:ascii="宋体" w:hAnsi="宋体"/>
          <w:color w:val="auto"/>
          <w:szCs w:val="21"/>
          <w:highlight w:val="none"/>
        </w:rPr>
      </w:pPr>
      <w:r>
        <w:rPr>
          <w:color w:val="auto"/>
          <w:szCs w:val="21"/>
          <w:highlight w:val="none"/>
        </w:rPr>
        <w:t>4</w:t>
      </w:r>
      <w:r>
        <w:rPr>
          <w:rFonts w:hint="eastAsia" w:ascii="宋体" w:hAnsi="宋体"/>
          <w:color w:val="auto"/>
          <w:szCs w:val="21"/>
          <w:highlight w:val="none"/>
        </w:rPr>
        <w:t>．联合体各成员单位的职责分工如下：</w:t>
      </w:r>
    </w:p>
    <w:p w14:paraId="24F6F2CD">
      <w:pPr>
        <w:tabs>
          <w:tab w:val="left" w:pos="6300"/>
          <w:tab w:val="left" w:pos="8295"/>
        </w:tabs>
        <w:autoSpaceDE w:val="0"/>
        <w:autoSpaceDN w:val="0"/>
        <w:adjustRightInd w:val="0"/>
        <w:snapToGrid w:val="0"/>
        <w:ind w:firstLine="480"/>
        <w:jc w:val="left"/>
        <w:rPr>
          <w:rFonts w:ascii="宋体" w:hAnsi="宋体"/>
          <w:snapToGrid w:val="0"/>
          <w:color w:val="auto"/>
          <w:kern w:val="0"/>
          <w:szCs w:val="21"/>
          <w:highlight w:val="none"/>
        </w:rPr>
      </w:pPr>
      <w:r>
        <w:rPr>
          <w:rFonts w:hint="eastAsia" w:ascii="宋体" w:hAnsi="宋体"/>
          <w:color w:val="auto"/>
          <w:szCs w:val="21"/>
          <w:highlight w:val="none"/>
        </w:rPr>
        <w:t>牵头人（成员一）</w:t>
      </w:r>
      <w:r>
        <w:rPr>
          <w:rFonts w:hint="eastAsia" w:ascii="宋体" w:hAnsi="宋体"/>
          <w:snapToGrid w:val="0"/>
          <w:color w:val="auto"/>
          <w:kern w:val="0"/>
          <w:szCs w:val="21"/>
          <w:highlight w:val="none"/>
        </w:rPr>
        <w:t>名称：</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，具有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资格，承担</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p>
    <w:p w14:paraId="3A23AF78">
      <w:pPr>
        <w:ind w:firstLine="480"/>
        <w:rPr>
          <w:rFonts w:ascii="宋体" w:hAnsi="宋体"/>
          <w:snapToGrid w:val="0"/>
          <w:color w:val="auto"/>
          <w:kern w:val="0"/>
          <w:szCs w:val="21"/>
          <w:highlight w:val="none"/>
        </w:rPr>
      </w:pPr>
      <w:r>
        <w:rPr>
          <w:rFonts w:hint="eastAsia" w:ascii="宋体" w:hAnsi="宋体"/>
          <w:snapToGrid w:val="0"/>
          <w:color w:val="auto"/>
          <w:kern w:val="0"/>
          <w:szCs w:val="21"/>
          <w:highlight w:val="none"/>
        </w:rPr>
        <w:t>成员二名称：</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，具有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资格，承担</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p>
    <w:p w14:paraId="7731FCB0">
      <w:pPr>
        <w:ind w:firstLine="480"/>
        <w:rPr>
          <w:rFonts w:ascii="宋体" w:hAnsi="宋体"/>
          <w:snapToGrid w:val="0"/>
          <w:color w:val="auto"/>
          <w:kern w:val="0"/>
          <w:szCs w:val="21"/>
          <w:highlight w:val="none"/>
        </w:rPr>
      </w:pPr>
      <w:r>
        <w:rPr>
          <w:rFonts w:hint="eastAsia" w:ascii="宋体" w:hAnsi="宋体"/>
          <w:snapToGrid w:val="0"/>
          <w:color w:val="auto"/>
          <w:kern w:val="0"/>
          <w:szCs w:val="21"/>
          <w:highlight w:val="none"/>
        </w:rPr>
        <w:t>……。</w:t>
      </w:r>
    </w:p>
    <w:p w14:paraId="4DB56DBC">
      <w:pPr>
        <w:ind w:firstLine="480"/>
        <w:rPr>
          <w:rFonts w:ascii="宋体" w:hAnsi="宋体"/>
          <w:color w:val="auto"/>
          <w:szCs w:val="21"/>
          <w:highlight w:val="none"/>
        </w:rPr>
      </w:pPr>
      <w:r>
        <w:rPr>
          <w:color w:val="auto"/>
          <w:szCs w:val="21"/>
          <w:highlight w:val="none"/>
        </w:rPr>
        <w:t>5</w:t>
      </w:r>
      <w:r>
        <w:rPr>
          <w:rFonts w:hint="eastAsia" w:ascii="宋体" w:hAnsi="宋体"/>
          <w:color w:val="auto"/>
          <w:szCs w:val="21"/>
          <w:highlight w:val="none"/>
        </w:rPr>
        <w:t>．投标工作和联合体在中标后项目实施过程中的有关费用按照各自承担的工作量分摊。</w:t>
      </w:r>
    </w:p>
    <w:p w14:paraId="73723E36">
      <w:pPr>
        <w:ind w:firstLine="480"/>
        <w:rPr>
          <w:rFonts w:ascii="宋体" w:hAnsi="宋体"/>
          <w:color w:val="auto"/>
          <w:szCs w:val="21"/>
          <w:highlight w:val="none"/>
        </w:rPr>
      </w:pPr>
      <w:r>
        <w:rPr>
          <w:color w:val="auto"/>
          <w:szCs w:val="21"/>
          <w:highlight w:val="none"/>
        </w:rPr>
        <w:t>6</w:t>
      </w:r>
      <w:r>
        <w:rPr>
          <w:rFonts w:hint="eastAsia" w:ascii="宋体" w:hAnsi="宋体"/>
          <w:color w:val="auto"/>
          <w:szCs w:val="21"/>
          <w:highlight w:val="none"/>
        </w:rPr>
        <w:t>．联合体中标后，本联合体协议是合同的附件，对联合体各成员单位有合同约束力。</w:t>
      </w:r>
    </w:p>
    <w:p w14:paraId="2E5A1EC7">
      <w:pPr>
        <w:ind w:firstLine="480"/>
        <w:rPr>
          <w:rFonts w:ascii="宋体" w:hAnsi="宋体"/>
          <w:color w:val="auto"/>
          <w:szCs w:val="21"/>
          <w:highlight w:val="none"/>
        </w:rPr>
      </w:pPr>
      <w:r>
        <w:rPr>
          <w:color w:val="auto"/>
          <w:szCs w:val="21"/>
          <w:highlight w:val="none"/>
        </w:rPr>
        <w:t>7</w:t>
      </w:r>
      <w:r>
        <w:rPr>
          <w:rFonts w:hint="eastAsia" w:ascii="宋体" w:hAnsi="宋体"/>
          <w:color w:val="auto"/>
          <w:szCs w:val="21"/>
          <w:highlight w:val="none"/>
        </w:rPr>
        <w:t>．本协议书自签署之日起生效，联合体未中标或者合同履行完毕后自动失效。</w:t>
      </w:r>
    </w:p>
    <w:p w14:paraId="172BDBE9">
      <w:pPr>
        <w:ind w:firstLine="480"/>
        <w:rPr>
          <w:rFonts w:ascii="宋体" w:hAnsi="宋体"/>
          <w:color w:val="auto"/>
          <w:szCs w:val="21"/>
          <w:highlight w:val="none"/>
        </w:rPr>
      </w:pPr>
      <w:r>
        <w:rPr>
          <w:color w:val="auto"/>
          <w:szCs w:val="21"/>
          <w:highlight w:val="none"/>
        </w:rPr>
        <w:t>8</w:t>
      </w:r>
      <w:r>
        <w:rPr>
          <w:rFonts w:hint="eastAsia" w:ascii="宋体" w:hAnsi="宋体"/>
          <w:color w:val="auto"/>
          <w:szCs w:val="21"/>
          <w:highlight w:val="none"/>
        </w:rPr>
        <w:t>．本协议书一式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52488C41">
      <w:pPr>
        <w:ind w:left="0" w:leftChars="0" w:firstLine="0" w:firstLineChars="0"/>
        <w:jc w:val="center"/>
        <w:rPr>
          <w:rFonts w:ascii="宋体" w:hAnsi="宋体"/>
          <w:color w:val="auto"/>
          <w:szCs w:val="21"/>
          <w:highlight w:val="none"/>
        </w:rPr>
      </w:pPr>
    </w:p>
    <w:p w14:paraId="3CAFF908">
      <w:pPr>
        <w:ind w:firstLine="2040" w:firstLineChars="850"/>
        <w:rPr>
          <w:rFonts w:hint="eastAsia"/>
          <w:color w:val="auto"/>
          <w:szCs w:val="21"/>
          <w:highlight w:val="none"/>
        </w:rPr>
      </w:pPr>
      <w:r>
        <w:rPr>
          <w:rFonts w:hint="eastAsia"/>
          <w:color w:val="auto"/>
          <w:szCs w:val="21"/>
          <w:highlight w:val="none"/>
        </w:rPr>
        <w:t>牵头人（成员一）名称：</w:t>
      </w:r>
      <w:r>
        <w:rPr>
          <w:rFonts w:hint="eastAsia"/>
          <w:color w:val="auto"/>
          <w:szCs w:val="21"/>
          <w:highlight w:val="none"/>
          <w:u w:val="single"/>
        </w:rPr>
        <w:t xml:space="preserve">               </w:t>
      </w:r>
      <w:r>
        <w:rPr>
          <w:rFonts w:hint="eastAsia"/>
          <w:color w:val="auto"/>
          <w:szCs w:val="21"/>
          <w:highlight w:val="none"/>
        </w:rPr>
        <w:t>（盖单位章）</w:t>
      </w:r>
    </w:p>
    <w:p w14:paraId="554387B7">
      <w:pPr>
        <w:ind w:firstLine="2040" w:firstLineChars="85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 xml:space="preserve">                       </w:t>
      </w:r>
      <w:r>
        <w:rPr>
          <w:rFonts w:hint="eastAsia"/>
          <w:color w:val="auto"/>
          <w:szCs w:val="21"/>
          <w:highlight w:val="none"/>
        </w:rPr>
        <w:t>（签字或盖章）</w:t>
      </w:r>
    </w:p>
    <w:p w14:paraId="184775E9">
      <w:pPr>
        <w:ind w:firstLine="2040" w:firstLineChars="850"/>
        <w:rPr>
          <w:rFonts w:hint="eastAsia"/>
          <w:color w:val="auto"/>
          <w:szCs w:val="21"/>
          <w:highlight w:val="none"/>
        </w:rPr>
      </w:pPr>
    </w:p>
    <w:p w14:paraId="699C0919">
      <w:pPr>
        <w:ind w:firstLine="2040" w:firstLineChars="850"/>
        <w:rPr>
          <w:rFonts w:hint="eastAsia"/>
          <w:color w:val="auto"/>
          <w:szCs w:val="21"/>
          <w:highlight w:val="none"/>
        </w:rPr>
      </w:pPr>
      <w:r>
        <w:rPr>
          <w:rFonts w:hint="eastAsia"/>
          <w:color w:val="auto"/>
          <w:szCs w:val="21"/>
          <w:highlight w:val="none"/>
        </w:rPr>
        <w:t>成员二名称：</w:t>
      </w:r>
      <w:r>
        <w:rPr>
          <w:rFonts w:hint="eastAsia"/>
          <w:color w:val="auto"/>
          <w:szCs w:val="21"/>
          <w:highlight w:val="none"/>
          <w:u w:val="single"/>
        </w:rPr>
        <w:t xml:space="preserve">                         </w:t>
      </w:r>
      <w:r>
        <w:rPr>
          <w:rFonts w:hint="eastAsia"/>
          <w:color w:val="auto"/>
          <w:szCs w:val="21"/>
          <w:highlight w:val="none"/>
        </w:rPr>
        <w:t>（盖单位章）</w:t>
      </w:r>
    </w:p>
    <w:p w14:paraId="7904AC76">
      <w:pPr>
        <w:ind w:firstLine="2040" w:firstLineChars="85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 xml:space="preserve">                       </w:t>
      </w:r>
      <w:r>
        <w:rPr>
          <w:rFonts w:hint="eastAsia"/>
          <w:color w:val="auto"/>
          <w:szCs w:val="21"/>
          <w:highlight w:val="none"/>
        </w:rPr>
        <w:t>（签字或盖章）</w:t>
      </w:r>
    </w:p>
    <w:p w14:paraId="7D8BDE7D">
      <w:pPr>
        <w:ind w:firstLine="2400" w:firstLineChars="1000"/>
        <w:rPr>
          <w:rFonts w:hint="eastAsia"/>
          <w:color w:val="auto"/>
          <w:szCs w:val="21"/>
          <w:highlight w:val="none"/>
        </w:rPr>
      </w:pPr>
      <w:r>
        <w:rPr>
          <w:rFonts w:hint="eastAsia"/>
          <w:color w:val="auto"/>
          <w:szCs w:val="21"/>
          <w:highlight w:val="none"/>
        </w:rPr>
        <w:t>……</w:t>
      </w:r>
    </w:p>
    <w:p w14:paraId="4D10FAD9">
      <w:pPr>
        <w:ind w:firstLine="2400" w:firstLineChars="1000"/>
        <w:jc w:val="right"/>
        <w:rPr>
          <w:color w:val="auto"/>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438EF9EF">
      <w:pPr>
        <w:pStyle w:val="7"/>
        <w:spacing w:before="240" w:after="240" w:line="360" w:lineRule="auto"/>
        <w:ind w:firstLine="480" w:firstLineChars="200"/>
        <w:jc w:val="center"/>
        <w:rPr>
          <w:rFonts w:hint="eastAsia" w:ascii="宋体" w:hAnsi="宋体" w:eastAsia="宋体" w:cs="宋体"/>
          <w:color w:val="auto"/>
          <w:sz w:val="21"/>
          <w:szCs w:val="21"/>
          <w:highlight w:val="none"/>
        </w:rPr>
      </w:pPr>
      <w:r>
        <w:rPr>
          <w:color w:val="auto"/>
          <w:highlight w:val="none"/>
        </w:rPr>
        <w:br w:type="page"/>
      </w:r>
      <w:bookmarkStart w:id="566" w:name="_Toc460660229"/>
      <w:bookmarkStart w:id="567" w:name="_Toc460227114"/>
      <w:bookmarkStart w:id="568" w:name="_Toc4252"/>
      <w:bookmarkStart w:id="569" w:name="_Toc20195"/>
      <w:bookmarkStart w:id="570" w:name="_Toc3015"/>
      <w:bookmarkStart w:id="571" w:name="_Toc9588"/>
      <w:r>
        <w:rPr>
          <w:rFonts w:hint="eastAsia"/>
          <w:color w:val="auto"/>
          <w:szCs w:val="24"/>
          <w:highlight w:val="none"/>
        </w:rPr>
        <w:t>四、投标保证金</w:t>
      </w:r>
      <w:bookmarkEnd w:id="566"/>
      <w:bookmarkEnd w:id="567"/>
      <w:bookmarkEnd w:id="568"/>
      <w:bookmarkEnd w:id="569"/>
      <w:bookmarkEnd w:id="570"/>
      <w:bookmarkEnd w:id="571"/>
    </w:p>
    <w:p w14:paraId="271FDC1A">
      <w:pPr>
        <w:ind w:firstLine="480"/>
        <w:jc w:val="left"/>
        <w:rPr>
          <w:rFonts w:hint="eastAsia"/>
          <w:color w:val="auto"/>
          <w:highlight w:val="none"/>
        </w:rPr>
      </w:pPr>
      <w:r>
        <w:rPr>
          <w:rFonts w:hint="eastAsia"/>
          <w:color w:val="auto"/>
          <w:highlight w:val="none"/>
        </w:rPr>
        <w:t>如采用现金（银行转账、银行电汇）的，系统自动抓取投标保证金提交信息，投标人应在投标文件中提供基本存款账户证明扫描件（如基本存款账户开户许可证或基本存款账户信息）。</w:t>
      </w:r>
    </w:p>
    <w:p w14:paraId="62FEBAE0">
      <w:pPr>
        <w:ind w:firstLine="480"/>
        <w:jc w:val="left"/>
        <w:rPr>
          <w:rFonts w:hint="eastAsia"/>
          <w:color w:val="auto"/>
          <w:highlight w:val="none"/>
        </w:rPr>
      </w:pPr>
      <w:r>
        <w:rPr>
          <w:rFonts w:hint="eastAsia"/>
          <w:color w:val="auto"/>
          <w:highlight w:val="none"/>
        </w:rPr>
        <w:t>如采用纸质银行保函的，投标人应在投标文件中提供基本存款账户证明（如基本存款账户开户许可证或基本存款账户信息）、银行保函扫描件。银行保函格式见“投标保函示范文本”。</w:t>
      </w:r>
    </w:p>
    <w:p w14:paraId="16320CA1">
      <w:pPr>
        <w:ind w:firstLine="480"/>
        <w:jc w:val="left"/>
        <w:rPr>
          <w:rFonts w:hint="eastAsia"/>
          <w:color w:val="auto"/>
          <w:highlight w:val="none"/>
        </w:rPr>
      </w:pPr>
      <w:r>
        <w:rPr>
          <w:rFonts w:hint="eastAsia"/>
          <w:color w:val="auto"/>
          <w:highlight w:val="none"/>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投标保函示范文本”。</w:t>
      </w:r>
    </w:p>
    <w:p w14:paraId="21F4DB78">
      <w:pPr>
        <w:ind w:firstLine="480"/>
        <w:jc w:val="left"/>
        <w:rPr>
          <w:rFonts w:hint="eastAsia"/>
          <w:color w:val="auto"/>
          <w:highlight w:val="none"/>
        </w:rPr>
      </w:pPr>
      <w:r>
        <w:rPr>
          <w:rFonts w:hint="eastAsia"/>
          <w:color w:val="auto"/>
          <w:highlight w:val="none"/>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投标保函示范文本”。</w:t>
      </w:r>
    </w:p>
    <w:p w14:paraId="53613953">
      <w:pPr>
        <w:ind w:firstLine="480"/>
        <w:jc w:val="left"/>
        <w:rPr>
          <w:rFonts w:hint="eastAsia" w:ascii="宋体" w:hAnsi="宋体" w:cs="宋体"/>
          <w:b/>
          <w:bCs/>
          <w:color w:val="auto"/>
          <w:szCs w:val="21"/>
          <w:highlight w:val="none"/>
        </w:rPr>
      </w:pPr>
      <w:r>
        <w:rPr>
          <w:rFonts w:hint="eastAsia"/>
          <w:color w:val="auto"/>
          <w:highlight w:val="none"/>
        </w:rPr>
        <w:t>如采用电子保函的，系统自动抓取电子保函信息，投标文件无需提供相关证明材料。</w:t>
      </w:r>
    </w:p>
    <w:p w14:paraId="4BECC022">
      <w:pPr>
        <w:ind w:firstLine="482"/>
        <w:jc w:val="center"/>
        <w:rPr>
          <w:rFonts w:hint="eastAsia" w:ascii="宋体" w:hAnsi="宋体" w:cs="宋体"/>
          <w:b/>
          <w:bCs/>
          <w:color w:val="auto"/>
          <w:szCs w:val="21"/>
          <w:highlight w:val="none"/>
        </w:rPr>
      </w:pPr>
      <w:r>
        <w:rPr>
          <w:rFonts w:hint="eastAsia" w:ascii="黑体" w:hAnsi="黑体" w:eastAsia="黑体" w:cs="黑体"/>
          <w:b/>
          <w:bCs/>
          <w:color w:val="auto"/>
          <w:szCs w:val="21"/>
          <w:highlight w:val="none"/>
        </w:rPr>
        <w:t>（一）投标保函示范文本</w:t>
      </w:r>
    </w:p>
    <w:p w14:paraId="4459ADDC">
      <w:pPr>
        <w:ind w:firstLine="1440" w:firstLineChars="6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color w:val="auto"/>
          <w:highlight w:val="none"/>
        </w:rPr>
        <w:t>编号：</w:t>
      </w:r>
      <w:r>
        <w:rPr>
          <w:rFonts w:hint="eastAsia"/>
          <w:color w:val="auto"/>
          <w:highlight w:val="none"/>
          <w:u w:val="single"/>
        </w:rPr>
        <w:t xml:space="preserve">      </w:t>
      </w:r>
      <w:r>
        <w:rPr>
          <w:rFonts w:hint="eastAsia" w:ascii="宋体" w:hAnsi="宋体" w:cs="宋体"/>
          <w:color w:val="auto"/>
          <w:szCs w:val="21"/>
          <w:highlight w:val="none"/>
          <w:u w:val="single"/>
        </w:rPr>
        <w:t xml:space="preserve">         </w:t>
      </w:r>
    </w:p>
    <w:p w14:paraId="7C02F26B">
      <w:pPr>
        <w:ind w:left="0" w:leftChars="0" w:firstLine="0" w:firstLineChars="0"/>
        <w:jc w:val="center"/>
        <w:rPr>
          <w:rFonts w:hint="eastAsia" w:ascii="宋体" w:hAnsi="宋体" w:cs="宋体"/>
          <w:color w:val="auto"/>
          <w:szCs w:val="21"/>
          <w:highlight w:val="none"/>
        </w:rPr>
      </w:pPr>
    </w:p>
    <w:p w14:paraId="63F14022">
      <w:pPr>
        <w:ind w:firstLine="48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受益人（招标人）名称</w:t>
      </w:r>
    </w:p>
    <w:p w14:paraId="734D0797">
      <w:pPr>
        <w:ind w:firstLine="360" w:firstLineChars="150"/>
        <w:rPr>
          <w:rFonts w:hint="eastAsia" w:ascii="宋体" w:hAnsi="宋体" w:cs="宋体"/>
          <w:color w:val="auto"/>
          <w:szCs w:val="21"/>
          <w:highlight w:val="none"/>
        </w:rPr>
      </w:pPr>
      <w:r>
        <w:rPr>
          <w:rFonts w:hint="eastAsia" w:ascii="宋体" w:hAnsi="宋体" w:cs="宋体"/>
          <w:color w:val="auto"/>
          <w:szCs w:val="21"/>
          <w:highlight w:val="none"/>
        </w:rPr>
        <w:t>开立人获得通知，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（投标人）于</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日参加编号为</w:t>
      </w:r>
      <w:r>
        <w:rPr>
          <w:rFonts w:hint="eastAsia" w:ascii="宋体" w:hAnsi="宋体" w:cs="宋体"/>
          <w:snapToGrid w:val="0"/>
          <w:color w:val="auto"/>
          <w:kern w:val="0"/>
          <w:szCs w:val="21"/>
          <w:highlight w:val="none"/>
          <w:u w:val="single"/>
        </w:rPr>
        <w:t xml:space="preserve"> 招标项目标段编号 </w:t>
      </w:r>
      <w:r>
        <w:rPr>
          <w:rFonts w:hint="eastAsia" w:ascii="宋体" w:hAnsi="宋体" w:cs="宋体"/>
          <w:snapToGrid w:val="0"/>
          <w:color w:val="auto"/>
          <w:kern w:val="0"/>
          <w:szCs w:val="21"/>
          <w:highlight w:val="none"/>
        </w:rPr>
        <w:t>的</w:t>
      </w:r>
      <w:r>
        <w:rPr>
          <w:rFonts w:hint="eastAsia" w:ascii="宋体" w:hAnsi="宋体"/>
          <w:color w:val="auto"/>
          <w:highlight w:val="none"/>
          <w:u w:val="single"/>
        </w:rPr>
        <w:t xml:space="preserve">（招标项目名称） </w:t>
      </w:r>
      <w:r>
        <w:rPr>
          <w:rFonts w:hint="eastAsia" w:ascii="宋体" w:hAnsi="宋体"/>
          <w:color w:val="auto"/>
          <w:highlight w:val="non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r>
        <w:rPr>
          <w:rFonts w:hint="eastAsia" w:ascii="宋体" w:hAnsi="宋体"/>
          <w:color w:val="auto"/>
          <w:highlight w:val="none"/>
          <w:u w:val="none"/>
        </w:rPr>
        <w:t>标段</w:t>
      </w:r>
      <w:r>
        <w:rPr>
          <w:rFonts w:hint="eastAsia" w:ascii="宋体" w:hAnsi="宋体" w:cs="宋体"/>
          <w:snapToGrid w:val="0"/>
          <w:color w:val="auto"/>
          <w:kern w:val="0"/>
          <w:szCs w:val="21"/>
          <w:highlight w:val="none"/>
        </w:rPr>
        <w:t>投标（即“基础交易”）</w:t>
      </w:r>
      <w:r>
        <w:rPr>
          <w:rFonts w:hint="eastAsia" w:ascii="宋体" w:hAnsi="宋体" w:cs="宋体"/>
          <w:color w:val="auto"/>
          <w:szCs w:val="21"/>
          <w:highlight w:val="none"/>
        </w:rPr>
        <w:t>。</w:t>
      </w:r>
    </w:p>
    <w:p w14:paraId="314D7866">
      <w:pPr>
        <w:ind w:firstLine="480"/>
        <w:rPr>
          <w:rFonts w:hint="eastAsia" w:ascii="宋体" w:hAnsi="宋体" w:cs="宋体"/>
          <w:color w:val="auto"/>
          <w:szCs w:val="21"/>
          <w:highlight w:val="none"/>
        </w:rPr>
      </w:pPr>
      <w:r>
        <w:rPr>
          <w:rFonts w:hint="eastAsia" w:ascii="宋体" w:hAnsi="宋体" w:cs="宋体"/>
          <w:color w:val="auto"/>
          <w:szCs w:val="21"/>
          <w:highlight w:val="none"/>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73EEEE">
      <w:pPr>
        <w:ind w:firstLine="480"/>
        <w:rPr>
          <w:rFonts w:hint="eastAsia" w:ascii="宋体" w:hAnsi="宋体" w:cs="宋体"/>
          <w:color w:val="auto"/>
          <w:szCs w:val="21"/>
          <w:highlight w:val="none"/>
        </w:rPr>
      </w:pPr>
      <w:bookmarkStart w:id="572" w:name="_Toc17242"/>
      <w:bookmarkStart w:id="573" w:name="_Toc28452"/>
      <w:r>
        <w:rPr>
          <w:rFonts w:hint="eastAsia" w:ascii="宋体" w:hAnsi="宋体" w:cs="宋体"/>
          <w:color w:val="auto"/>
          <w:szCs w:val="21"/>
          <w:highlight w:val="none"/>
        </w:rPr>
        <w:t>二、开立人在投标人发生以下情形时承担保证担保责任：</w:t>
      </w:r>
      <w:bookmarkEnd w:id="572"/>
      <w:bookmarkEnd w:id="573"/>
      <w:r>
        <w:rPr>
          <w:rFonts w:hint="eastAsia" w:ascii="宋体" w:hAnsi="宋体" w:cs="宋体"/>
          <w:color w:val="auto"/>
          <w:szCs w:val="21"/>
          <w:highlight w:val="none"/>
        </w:rPr>
        <w:t xml:space="preserve"> </w:t>
      </w:r>
    </w:p>
    <w:p w14:paraId="49AE41C8">
      <w:pPr>
        <w:ind w:firstLine="314" w:firstLineChars="131"/>
        <w:rPr>
          <w:rFonts w:hint="eastAsia" w:ascii="宋体" w:hAnsi="宋体" w:cs="宋体"/>
          <w:snapToGrid w:val="0"/>
          <w:color w:val="auto"/>
          <w:kern w:val="0"/>
          <w:szCs w:val="21"/>
          <w:highlight w:val="none"/>
        </w:rPr>
      </w:pPr>
      <w:r>
        <w:rPr>
          <w:rFonts w:hint="eastAsia" w:ascii="宋体" w:hAnsi="宋体" w:cs="宋体"/>
          <w:color w:val="auto"/>
          <w:szCs w:val="21"/>
          <w:highlight w:val="none"/>
        </w:rPr>
        <w:t>（1）</w:t>
      </w:r>
      <w:r>
        <w:rPr>
          <w:rFonts w:hint="eastAsia" w:ascii="宋体" w:hAnsi="宋体" w:cs="宋体"/>
          <w:snapToGrid w:val="0"/>
          <w:color w:val="auto"/>
          <w:kern w:val="0"/>
          <w:szCs w:val="21"/>
          <w:highlight w:val="none"/>
        </w:rPr>
        <w:t>投标人在投标有效期内撤销投标文件；</w:t>
      </w:r>
    </w:p>
    <w:p w14:paraId="72B8DFF2">
      <w:pPr>
        <w:ind w:firstLine="314" w:firstLineChars="131"/>
        <w:rPr>
          <w:rFonts w:hint="eastAsia" w:ascii="宋体" w:hAnsi="宋体" w:cs="宋体"/>
          <w:color w:val="auto"/>
          <w:szCs w:val="21"/>
          <w:highlight w:val="none"/>
        </w:rPr>
      </w:pPr>
      <w:r>
        <w:rPr>
          <w:rFonts w:hint="eastAsia" w:ascii="宋体" w:hAnsi="宋体" w:cs="宋体"/>
          <w:color w:val="auto"/>
          <w:szCs w:val="21"/>
          <w:highlight w:val="none"/>
        </w:rPr>
        <w:t>（2）投标人在中标后无正当理由不与招标人订立合同；</w:t>
      </w:r>
    </w:p>
    <w:p w14:paraId="27AA1279">
      <w:pPr>
        <w:ind w:firstLine="314" w:firstLineChars="131"/>
        <w:rPr>
          <w:rFonts w:hint="eastAsia" w:ascii="宋体" w:hAnsi="宋体" w:cs="宋体"/>
          <w:color w:val="auto"/>
          <w:szCs w:val="21"/>
          <w:highlight w:val="none"/>
        </w:rPr>
      </w:pPr>
      <w:r>
        <w:rPr>
          <w:rFonts w:hint="eastAsia" w:ascii="宋体" w:hAnsi="宋体" w:cs="宋体"/>
          <w:color w:val="auto"/>
          <w:szCs w:val="21"/>
          <w:highlight w:val="none"/>
        </w:rPr>
        <w:t>（3）投标人在签订合同时向招标人提出附加条件；</w:t>
      </w:r>
    </w:p>
    <w:p w14:paraId="37D5F1DF">
      <w:pPr>
        <w:ind w:firstLine="314" w:firstLineChars="131"/>
        <w:rPr>
          <w:rFonts w:hint="eastAsia" w:ascii="宋体" w:hAnsi="宋体" w:cs="宋体"/>
          <w:color w:val="auto"/>
          <w:szCs w:val="21"/>
          <w:highlight w:val="none"/>
        </w:rPr>
      </w:pPr>
      <w:r>
        <w:rPr>
          <w:rFonts w:hint="eastAsia" w:ascii="宋体" w:hAnsi="宋体" w:cs="宋体"/>
          <w:color w:val="auto"/>
          <w:szCs w:val="21"/>
          <w:highlight w:val="none"/>
        </w:rPr>
        <w:t>（4）投标人不按照招标文件要求提交履约保证金；</w:t>
      </w:r>
    </w:p>
    <w:p w14:paraId="12CA2228">
      <w:pPr>
        <w:ind w:firstLine="314" w:firstLineChars="131"/>
        <w:rPr>
          <w:rFonts w:hint="eastAsia" w:ascii="宋体" w:hAnsi="宋体" w:cs="宋体"/>
          <w:color w:val="auto"/>
          <w:szCs w:val="21"/>
          <w:highlight w:val="none"/>
        </w:rPr>
      </w:pPr>
      <w:r>
        <w:rPr>
          <w:rFonts w:hint="eastAsia" w:ascii="宋体" w:hAnsi="宋体" w:cs="宋体"/>
          <w:color w:val="auto"/>
          <w:szCs w:val="21"/>
          <w:highlight w:val="none"/>
        </w:rPr>
        <w:t>（5）发生招标文件明确规定可以不予退还投标保证金的其他情形。</w:t>
      </w:r>
    </w:p>
    <w:p w14:paraId="6D8BE24D">
      <w:pPr>
        <w:ind w:firstLine="480"/>
        <w:rPr>
          <w:rFonts w:hint="eastAsia" w:ascii="宋体" w:hAnsi="宋体" w:cs="宋体"/>
          <w:color w:val="auto"/>
          <w:szCs w:val="21"/>
          <w:highlight w:val="none"/>
        </w:rPr>
      </w:pPr>
      <w:r>
        <w:rPr>
          <w:rFonts w:hint="eastAsia" w:ascii="宋体" w:hAnsi="宋体" w:cs="宋体"/>
          <w:color w:val="auto"/>
          <w:szCs w:val="21"/>
          <w:highlight w:val="none"/>
        </w:rPr>
        <w:t>三、本保函为不可撤销、不可转让的见索即付独立保函。本保函有效期自开立之日起至投标有效期届满之日止。</w:t>
      </w:r>
    </w:p>
    <w:p w14:paraId="33BAC046">
      <w:pPr>
        <w:ind w:firstLine="480"/>
        <w:rPr>
          <w:rFonts w:hint="eastAsia"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14:paraId="3BE56B0C">
      <w:pPr>
        <w:ind w:firstLine="48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1065929E">
      <w:pPr>
        <w:ind w:firstLine="48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2316D3E2">
      <w:pPr>
        <w:ind w:firstLine="480"/>
        <w:rPr>
          <w:rFonts w:hint="eastAsia" w:ascii="宋体" w:hAnsi="宋体" w:cs="宋体"/>
          <w:color w:val="auto"/>
          <w:szCs w:val="21"/>
          <w:highlight w:val="none"/>
        </w:rPr>
      </w:pPr>
      <w:r>
        <w:rPr>
          <w:rFonts w:hint="eastAsia" w:ascii="宋体" w:hAnsi="宋体" w:cs="宋体"/>
          <w:color w:val="auto"/>
          <w:szCs w:val="21"/>
          <w:highlight w:val="none"/>
        </w:rPr>
        <w:t>（3）载明申请人违反招投标文件规定的义务内容和具体条款；</w:t>
      </w:r>
    </w:p>
    <w:p w14:paraId="0D2A564D">
      <w:pPr>
        <w:ind w:firstLine="480"/>
        <w:rPr>
          <w:rFonts w:hint="eastAsia" w:ascii="宋体" w:hAnsi="宋体" w:cs="宋体"/>
          <w:color w:val="auto"/>
          <w:szCs w:val="21"/>
          <w:highlight w:val="none"/>
        </w:rPr>
      </w:pPr>
      <w:r>
        <w:rPr>
          <w:rFonts w:hint="eastAsia" w:ascii="宋体" w:hAnsi="宋体" w:cs="宋体"/>
          <w:color w:val="auto"/>
          <w:szCs w:val="21"/>
          <w:highlight w:val="none"/>
        </w:rPr>
        <w:t>（4）</w:t>
      </w:r>
      <w:bookmarkStart w:id="574" w:name="_Hlk40354839"/>
      <w:r>
        <w:rPr>
          <w:rFonts w:hint="eastAsia" w:ascii="宋体" w:hAnsi="宋体" w:cs="宋体"/>
          <w:color w:val="auto"/>
          <w:szCs w:val="21"/>
          <w:highlight w:val="none"/>
        </w:rPr>
        <w:t>声明不存在招标文件规定或我国法律规定免除申请人或我方支付责任的情形；</w:t>
      </w:r>
      <w:bookmarkEnd w:id="574"/>
    </w:p>
    <w:p w14:paraId="61582A6E">
      <w:pPr>
        <w:ind w:firstLine="480"/>
        <w:rPr>
          <w:rFonts w:hint="eastAsia" w:ascii="宋体" w:hAnsi="宋体" w:cs="宋体"/>
          <w:color w:val="auto"/>
          <w:szCs w:val="21"/>
          <w:highlight w:val="none"/>
        </w:rPr>
      </w:pPr>
      <w:r>
        <w:rPr>
          <w:rFonts w:hint="eastAsia" w:ascii="宋体" w:hAnsi="宋体" w:cs="宋体"/>
          <w:color w:val="auto"/>
          <w:szCs w:val="21"/>
          <w:highlight w:val="none"/>
        </w:rPr>
        <w:t>（5）书面付款通知应在本保函有效期内到达的地址是：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DFF436">
      <w:pPr>
        <w:ind w:firstLine="480"/>
        <w:rPr>
          <w:rFonts w:hint="eastAsia" w:ascii="宋体" w:hAnsi="宋体" w:cs="宋体"/>
          <w:color w:val="auto"/>
          <w:szCs w:val="21"/>
          <w:highlight w:val="none"/>
        </w:rPr>
      </w:pPr>
      <w:r>
        <w:rPr>
          <w:rFonts w:hint="eastAsia" w:ascii="宋体" w:hAnsi="宋体" w:cs="宋体"/>
          <w:color w:val="auto"/>
          <w:szCs w:val="21"/>
          <w:highlight w:val="none"/>
        </w:rPr>
        <w:t>受益人发出的书面付款通知应由其法定代表人（负责人）或授权代理人签字并加盖公章。</w:t>
      </w:r>
    </w:p>
    <w:p w14:paraId="7C200971">
      <w:pPr>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14:paraId="48F67093">
      <w:pPr>
        <w:ind w:firstLine="480"/>
        <w:rPr>
          <w:rStyle w:val="52"/>
          <w:rFonts w:hint="eastAsia"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14:paraId="1E6A30E6">
      <w:pPr>
        <w:ind w:firstLine="480"/>
        <w:rPr>
          <w:rFonts w:hint="eastAsia" w:ascii="宋体" w:hAnsi="宋体" w:cs="宋体"/>
          <w:color w:val="auto"/>
          <w:szCs w:val="21"/>
          <w:highlight w:val="none"/>
        </w:rPr>
      </w:pPr>
      <w:bookmarkStart w:id="575" w:name="_Toc19688"/>
      <w:bookmarkStart w:id="576" w:name="_Toc10851"/>
      <w:r>
        <w:rPr>
          <w:rFonts w:hint="eastAsia" w:ascii="宋体" w:hAnsi="宋体" w:cs="宋体"/>
          <w:color w:val="auto"/>
          <w:szCs w:val="21"/>
          <w:highlight w:val="none"/>
        </w:rPr>
        <w:t>七、本保函项下的义务和责任均在保函有效期到期后自动消灭。</w:t>
      </w:r>
      <w:bookmarkEnd w:id="575"/>
      <w:bookmarkEnd w:id="576"/>
      <w:r>
        <w:rPr>
          <w:rFonts w:hint="eastAsia" w:ascii="宋体" w:hAnsi="宋体" w:cs="宋体"/>
          <w:color w:val="auto"/>
          <w:szCs w:val="21"/>
          <w:highlight w:val="none"/>
        </w:rPr>
        <w:t xml:space="preserve"> </w:t>
      </w:r>
    </w:p>
    <w:p w14:paraId="68AFD011">
      <w:pPr>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八、本保函适用的法律为中华人民共和国法律，因本保函产生的纠纷案件，由受益人所在地人民法院管辖。 </w:t>
      </w:r>
    </w:p>
    <w:p w14:paraId="4CA2F8AA">
      <w:pPr>
        <w:ind w:firstLine="48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10C58B44">
      <w:pPr>
        <w:ind w:left="0" w:leftChars="0" w:firstLine="0" w:firstLineChars="0"/>
        <w:jc w:val="center"/>
        <w:rPr>
          <w:rFonts w:hint="eastAsia" w:ascii="宋体" w:hAnsi="宋体" w:cs="宋体"/>
          <w:color w:val="auto"/>
          <w:szCs w:val="21"/>
          <w:highlight w:val="none"/>
        </w:rPr>
      </w:pPr>
    </w:p>
    <w:p w14:paraId="3DFC1820">
      <w:pPr>
        <w:tabs>
          <w:tab w:val="left" w:pos="8422"/>
          <w:tab w:val="left" w:pos="9622"/>
        </w:tabs>
        <w:ind w:right="120" w:rightChars="50" w:firstLine="2640" w:firstLineChars="1100"/>
        <w:jc w:val="left"/>
        <w:rPr>
          <w:rFonts w:hint="eastAsia"/>
          <w:color w:val="auto"/>
          <w:highlight w:val="none"/>
        </w:rPr>
      </w:pPr>
      <w:r>
        <w:rPr>
          <w:rFonts w:hint="eastAsia"/>
          <w:color w:val="auto"/>
          <w:highlight w:val="none"/>
        </w:rPr>
        <w:t>开立人：</w:t>
      </w:r>
      <w:r>
        <w:rPr>
          <w:rFonts w:hint="eastAsia"/>
          <w:color w:val="auto"/>
          <w:highlight w:val="none"/>
          <w:u w:val="single"/>
        </w:rPr>
        <w:t xml:space="preserve">                                </w:t>
      </w:r>
      <w:r>
        <w:rPr>
          <w:rFonts w:hint="eastAsia"/>
          <w:color w:val="auto"/>
          <w:highlight w:val="none"/>
        </w:rPr>
        <w:t>（公章）</w:t>
      </w:r>
    </w:p>
    <w:p w14:paraId="6DC47CE0">
      <w:pPr>
        <w:tabs>
          <w:tab w:val="left" w:pos="8422"/>
          <w:tab w:val="left" w:pos="9622"/>
        </w:tabs>
        <w:ind w:right="120" w:rightChars="50" w:firstLine="2640" w:firstLineChars="1100"/>
        <w:jc w:val="left"/>
        <w:rPr>
          <w:rFonts w:hint="eastAsia"/>
          <w:color w:val="auto"/>
          <w:highlight w:val="none"/>
        </w:rPr>
      </w:pPr>
      <w:r>
        <w:rPr>
          <w:rFonts w:hint="eastAsia"/>
          <w:color w:val="auto"/>
          <w:highlight w:val="none"/>
        </w:rPr>
        <w:t>法定代表人（或授权代表）：</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（签字）</w:t>
      </w:r>
    </w:p>
    <w:p w14:paraId="584D3DCC">
      <w:pPr>
        <w:tabs>
          <w:tab w:val="left" w:pos="8422"/>
          <w:tab w:val="left" w:pos="9622"/>
        </w:tabs>
        <w:ind w:right="120" w:rightChars="50" w:firstLine="2640" w:firstLineChars="1100"/>
        <w:jc w:val="left"/>
        <w:rPr>
          <w:rFonts w:hint="eastAsia"/>
          <w:color w:val="auto"/>
          <w:highlight w:val="none"/>
          <w:u w:val="single"/>
        </w:rPr>
      </w:pPr>
      <w:r>
        <w:rPr>
          <w:rFonts w:hint="eastAsia"/>
          <w:color w:val="auto"/>
          <w:highlight w:val="none"/>
        </w:rPr>
        <w:t>地    址：</w:t>
      </w:r>
      <w:r>
        <w:rPr>
          <w:rFonts w:hint="eastAsia"/>
          <w:color w:val="auto"/>
          <w:highlight w:val="none"/>
          <w:u w:val="single"/>
        </w:rPr>
        <w:t xml:space="preserve">                                      </w:t>
      </w:r>
    </w:p>
    <w:p w14:paraId="7E0E98DB">
      <w:pPr>
        <w:tabs>
          <w:tab w:val="left" w:pos="8422"/>
          <w:tab w:val="left" w:pos="9622"/>
        </w:tabs>
        <w:ind w:right="120" w:rightChars="50" w:firstLine="2640" w:firstLineChars="1100"/>
        <w:jc w:val="left"/>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0C4174E9">
      <w:pPr>
        <w:tabs>
          <w:tab w:val="left" w:pos="8422"/>
          <w:tab w:val="left" w:pos="9622"/>
        </w:tabs>
        <w:ind w:right="120" w:rightChars="50" w:firstLine="2640" w:firstLineChars="1100"/>
        <w:jc w:val="left"/>
        <w:rPr>
          <w:rFonts w:hint="eastAsia"/>
          <w:color w:val="auto"/>
          <w:highlight w:val="none"/>
          <w:u w:val="single"/>
        </w:rPr>
      </w:pPr>
      <w:r>
        <w:rPr>
          <w:rFonts w:hint="eastAsia"/>
          <w:color w:val="auto"/>
          <w:highlight w:val="none"/>
        </w:rPr>
        <w:t>电    话：</w:t>
      </w:r>
      <w:r>
        <w:rPr>
          <w:rFonts w:hint="eastAsia"/>
          <w:color w:val="auto"/>
          <w:highlight w:val="none"/>
          <w:u w:val="single"/>
        </w:rPr>
        <w:t xml:space="preserve">                                      </w:t>
      </w:r>
    </w:p>
    <w:p w14:paraId="7A064447">
      <w:pPr>
        <w:tabs>
          <w:tab w:val="left" w:pos="8422"/>
          <w:tab w:val="left" w:pos="9622"/>
        </w:tabs>
        <w:ind w:right="120" w:rightChars="50" w:firstLine="2640" w:firstLineChars="1100"/>
        <w:jc w:val="left"/>
        <w:rPr>
          <w:rFonts w:hint="eastAsia"/>
          <w:color w:val="auto"/>
          <w:highlight w:val="none"/>
          <w:u w:val="single"/>
        </w:rPr>
      </w:pPr>
      <w:r>
        <w:rPr>
          <w:rFonts w:hint="eastAsia"/>
          <w:color w:val="auto"/>
          <w:highlight w:val="none"/>
        </w:rPr>
        <w:t>传    真：</w:t>
      </w:r>
      <w:r>
        <w:rPr>
          <w:rFonts w:hint="eastAsia"/>
          <w:color w:val="auto"/>
          <w:highlight w:val="none"/>
          <w:u w:val="single"/>
        </w:rPr>
        <w:t xml:space="preserve">                                      </w:t>
      </w:r>
    </w:p>
    <w:p w14:paraId="32BFCF66">
      <w:pPr>
        <w:tabs>
          <w:tab w:val="left" w:pos="8422"/>
          <w:tab w:val="left" w:pos="9622"/>
        </w:tabs>
        <w:ind w:right="120" w:rightChars="50" w:firstLine="2640" w:firstLineChars="1100"/>
        <w:jc w:val="left"/>
        <w:rPr>
          <w:rFonts w:hint="eastAsia" w:ascii="宋体" w:hAnsi="宋体" w:cs="宋体"/>
          <w:color w:val="auto"/>
          <w:szCs w:val="21"/>
          <w:highlight w:val="none"/>
        </w:rPr>
      </w:pPr>
      <w:r>
        <w:rPr>
          <w:rFonts w:hint="eastAsia"/>
          <w:color w:val="auto"/>
          <w:highlight w:val="none"/>
        </w:rPr>
        <w:t>开立时间：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日</w:t>
      </w:r>
    </w:p>
    <w:p w14:paraId="6A7FAACE">
      <w:pPr>
        <w:ind w:firstLine="480"/>
        <w:rPr>
          <w:rFonts w:hint="eastAsia" w:ascii="宋体" w:hAnsi="宋体" w:cs="宋体"/>
          <w:color w:val="auto"/>
          <w:szCs w:val="21"/>
          <w:highlight w:val="none"/>
        </w:rPr>
      </w:pPr>
      <w:r>
        <w:rPr>
          <w:rFonts w:hint="eastAsia" w:ascii="宋体" w:hAnsi="宋体" w:cs="宋体"/>
          <w:color w:val="auto"/>
          <w:szCs w:val="21"/>
          <w:highlight w:val="none"/>
        </w:rPr>
        <w:t>注：</w:t>
      </w:r>
    </w:p>
    <w:p w14:paraId="2E23A9FE">
      <w:pPr>
        <w:ind w:firstLine="480"/>
        <w:rPr>
          <w:rFonts w:hint="eastAsia" w:ascii="宋体" w:hAnsi="宋体" w:cs="宋体"/>
          <w:color w:val="auto"/>
          <w:szCs w:val="21"/>
          <w:highlight w:val="none"/>
        </w:rPr>
      </w:pPr>
      <w:r>
        <w:rPr>
          <w:rFonts w:hint="eastAsia" w:ascii="宋体" w:hAnsi="宋体" w:cs="宋体"/>
          <w:color w:val="auto"/>
          <w:szCs w:val="21"/>
          <w:highlight w:val="none"/>
        </w:rPr>
        <w:t>1.允许投标人实际开具的银行保函或担保机构或保证保险机构出具的担保的格式与本文件提供的格式有所不同，但不得更改本文件提供的银行保函或担保格式中的实质性内容。</w:t>
      </w:r>
    </w:p>
    <w:p w14:paraId="124A225A">
      <w:pPr>
        <w:numPr>
          <w:ilvl w:val="0"/>
          <w:numId w:val="3"/>
        </w:numPr>
        <w:ind w:firstLine="480"/>
        <w:rPr>
          <w:rFonts w:hAnsi="宋体"/>
          <w:bCs/>
          <w:color w:val="auto"/>
          <w:szCs w:val="24"/>
          <w:highlight w:val="none"/>
        </w:rPr>
      </w:pPr>
      <w:r>
        <w:rPr>
          <w:rFonts w:hint="eastAsia" w:cs="楷体"/>
          <w:bCs/>
          <w:snapToGrid w:val="0"/>
          <w:color w:val="auto"/>
          <w:highlight w:val="none"/>
        </w:rPr>
        <w:t>投标人开具的银行保函（或担保机构担保或保证保险）必须具有明确有效的查询途径（网址链接及查询方式）</w:t>
      </w:r>
      <w:r>
        <w:rPr>
          <w:rFonts w:hint="eastAsia" w:ascii="宋体" w:hAnsi="宋体" w:cs="宋体"/>
          <w:color w:val="auto"/>
          <w:szCs w:val="21"/>
          <w:highlight w:val="none"/>
        </w:rPr>
        <w:t>。</w:t>
      </w:r>
      <w:bookmarkStart w:id="577" w:name="_Hlk108996232"/>
    </w:p>
    <w:p w14:paraId="6E2EB7C0">
      <w:pPr>
        <w:rPr>
          <w:rFonts w:hint="eastAsia"/>
          <w:color w:val="auto"/>
          <w:highlight w:val="none"/>
        </w:rPr>
      </w:pPr>
      <w:r>
        <w:rPr>
          <w:rFonts w:hint="eastAsia"/>
          <w:color w:val="auto"/>
          <w:highlight w:val="none"/>
        </w:rPr>
        <w:br w:type="page"/>
      </w:r>
    </w:p>
    <w:p w14:paraId="07ED854D">
      <w:pPr>
        <w:bidi w:val="0"/>
        <w:ind w:left="0" w:leftChars="0" w:firstLine="0" w:firstLineChars="0"/>
        <w:jc w:val="center"/>
        <w:rPr>
          <w:color w:val="auto"/>
          <w:highlight w:val="none"/>
        </w:rPr>
      </w:pPr>
    </w:p>
    <w:p w14:paraId="0367B590">
      <w:pPr>
        <w:ind w:firstLine="482"/>
        <w:jc w:val="center"/>
        <w:rPr>
          <w:rFonts w:ascii="宋体" w:hAnsi="宋体" w:cs="宋体"/>
          <w:color w:val="auto"/>
          <w:szCs w:val="21"/>
          <w:highlight w:val="none"/>
        </w:rPr>
      </w:pPr>
      <w:r>
        <w:rPr>
          <w:rFonts w:hint="eastAsia" w:ascii="宋体" w:hAnsi="宋体" w:cs="宋体"/>
          <w:b/>
          <w:bCs/>
          <w:color w:val="auto"/>
          <w:szCs w:val="21"/>
          <w:highlight w:val="none"/>
        </w:rPr>
        <w:t>（二）免缴投标保证金承诺函</w:t>
      </w:r>
      <w:bookmarkEnd w:id="577"/>
    </w:p>
    <w:p w14:paraId="240D287F">
      <w:pPr>
        <w:pStyle w:val="7"/>
        <w:spacing w:before="240" w:after="240" w:line="375" w:lineRule="auto"/>
        <w:ind w:firstLine="118"/>
        <w:jc w:val="center"/>
        <w:rPr>
          <w:rFonts w:hint="eastAsia"/>
          <w:color w:val="auto"/>
          <w:szCs w:val="24"/>
          <w:highlight w:val="none"/>
        </w:rPr>
      </w:pPr>
      <w:bookmarkStart w:id="578" w:name="_Toc19951"/>
      <w:bookmarkStart w:id="579" w:name="_Toc17938"/>
      <w:bookmarkStart w:id="580" w:name="_Toc32620"/>
      <w:bookmarkStart w:id="581" w:name="_Toc2948"/>
    </w:p>
    <w:p w14:paraId="145BF164">
      <w:pPr>
        <w:spacing w:line="360" w:lineRule="auto"/>
        <w:jc w:val="center"/>
        <w:outlineLvl w:val="9"/>
        <w:rPr>
          <w:rFonts w:ascii="黑体" w:hAnsi="黑体" w:eastAsia="黑体" w:cs="黑体"/>
          <w:color w:val="auto"/>
          <w:kern w:val="2"/>
          <w:szCs w:val="24"/>
          <w:highlight w:val="none"/>
        </w:rPr>
      </w:pPr>
      <w:r>
        <w:rPr>
          <w:rFonts w:hint="eastAsia" w:ascii="Times New Roman" w:eastAsia="黑体"/>
          <w:bCs/>
          <w:color w:val="auto"/>
          <w:kern w:val="2"/>
          <w:szCs w:val="24"/>
          <w:highlight w:val="none"/>
        </w:rPr>
        <w:t>免缴投标保证金</w:t>
      </w:r>
      <w:r>
        <w:rPr>
          <w:rFonts w:hint="eastAsia" w:ascii="黑体" w:hAnsi="黑体" w:eastAsia="黑体" w:cs="黑体"/>
          <w:color w:val="auto"/>
          <w:kern w:val="2"/>
          <w:szCs w:val="24"/>
          <w:highlight w:val="none"/>
        </w:rPr>
        <w:t>承诺函</w:t>
      </w:r>
    </w:p>
    <w:p w14:paraId="0353E319">
      <w:pPr>
        <w:spacing w:line="560" w:lineRule="exact"/>
        <w:outlineLvl w:val="9"/>
        <w:rPr>
          <w:rFonts w:hAnsi="宋体"/>
          <w:bCs/>
          <w:color w:val="auto"/>
          <w:kern w:val="2"/>
          <w:sz w:val="21"/>
          <w:szCs w:val="21"/>
          <w:highlight w:val="none"/>
        </w:rPr>
      </w:pPr>
    </w:p>
    <w:p w14:paraId="258EB523">
      <w:pPr>
        <w:spacing w:line="560" w:lineRule="exact"/>
        <w:outlineLvl w:val="9"/>
        <w:rPr>
          <w:rFonts w:hAnsi="宋体"/>
          <w:color w:val="auto"/>
          <w:kern w:val="2"/>
          <w:szCs w:val="24"/>
          <w:highlight w:val="none"/>
        </w:rPr>
      </w:pPr>
      <w:r>
        <w:rPr>
          <w:rFonts w:hAnsi="宋体"/>
          <w:bCs/>
          <w:color w:val="auto"/>
          <w:kern w:val="2"/>
          <w:szCs w:val="24"/>
          <w:highlight w:val="none"/>
        </w:rPr>
        <w:t>致：</w:t>
      </w:r>
      <w:r>
        <w:rPr>
          <w:rFonts w:hAnsi="宋体"/>
          <w:color w:val="auto"/>
          <w:kern w:val="2"/>
          <w:szCs w:val="24"/>
          <w:highlight w:val="none"/>
          <w:u w:val="single"/>
        </w:rPr>
        <w:t xml:space="preserve">           </w:t>
      </w:r>
      <w:r>
        <w:rPr>
          <w:rFonts w:hAnsi="宋体"/>
          <w:bCs/>
          <w:color w:val="auto"/>
          <w:kern w:val="2"/>
          <w:szCs w:val="24"/>
          <w:highlight w:val="none"/>
        </w:rPr>
        <w:t>(招标人名称)</w:t>
      </w:r>
    </w:p>
    <w:p w14:paraId="3E9A01FD">
      <w:pPr>
        <w:tabs>
          <w:tab w:val="left" w:pos="8422"/>
          <w:tab w:val="left" w:pos="9622"/>
        </w:tabs>
        <w:spacing w:line="560" w:lineRule="exact"/>
        <w:ind w:firstLine="480" w:firstLineChars="200"/>
        <w:outlineLvl w:val="9"/>
        <w:rPr>
          <w:rFonts w:hAnsi="宋体"/>
          <w:color w:val="auto"/>
          <w:kern w:val="2"/>
          <w:szCs w:val="24"/>
          <w:highlight w:val="none"/>
        </w:rPr>
      </w:pPr>
      <w:r>
        <w:rPr>
          <w:rFonts w:hAnsi="宋体"/>
          <w:color w:val="auto"/>
          <w:kern w:val="2"/>
          <w:szCs w:val="24"/>
          <w:highlight w:val="none"/>
        </w:rPr>
        <w:t>按照招标文件的规定，我单位郑重承诺如下：</w:t>
      </w:r>
    </w:p>
    <w:p w14:paraId="78A021CC">
      <w:pPr>
        <w:tabs>
          <w:tab w:val="left" w:pos="8422"/>
          <w:tab w:val="left" w:pos="9622"/>
        </w:tabs>
        <w:spacing w:line="560" w:lineRule="exact"/>
        <w:ind w:firstLine="480" w:firstLineChars="200"/>
        <w:outlineLvl w:val="9"/>
        <w:rPr>
          <w:rFonts w:hAnsi="宋体"/>
          <w:color w:val="auto"/>
          <w:kern w:val="2"/>
          <w:szCs w:val="24"/>
          <w:highlight w:val="none"/>
        </w:rPr>
      </w:pPr>
      <w:r>
        <w:rPr>
          <w:rFonts w:hAnsi="宋体"/>
          <w:color w:val="auto"/>
          <w:kern w:val="2"/>
          <w:szCs w:val="24"/>
          <w:highlight w:val="none"/>
        </w:rPr>
        <w:t>我单位将严格遵守《中华人民共和国招标投标法》等法律、法规</w:t>
      </w:r>
      <w:r>
        <w:rPr>
          <w:rFonts w:hint="eastAsia" w:hAnsi="宋体"/>
          <w:color w:val="auto"/>
          <w:kern w:val="2"/>
          <w:szCs w:val="24"/>
          <w:highlight w:val="none"/>
        </w:rPr>
        <w:t>和招标文件约定条款</w:t>
      </w:r>
      <w:r>
        <w:rPr>
          <w:rFonts w:hAnsi="宋体"/>
          <w:color w:val="auto"/>
          <w:kern w:val="2"/>
          <w:szCs w:val="24"/>
          <w:highlight w:val="none"/>
        </w:rPr>
        <w:t>。如果存在招标文件约定的投标保证金不予退还的情形，将于收到招标人书面通知7日内将招标文件约定的投标保证金足额缴纳至招标人指定账户。</w:t>
      </w:r>
    </w:p>
    <w:p w14:paraId="62BEA54D">
      <w:pPr>
        <w:tabs>
          <w:tab w:val="left" w:pos="8422"/>
          <w:tab w:val="left" w:pos="9622"/>
        </w:tabs>
        <w:spacing w:line="560" w:lineRule="exact"/>
        <w:ind w:firstLine="480" w:firstLineChars="200"/>
        <w:outlineLvl w:val="9"/>
        <w:rPr>
          <w:rFonts w:hAnsi="宋体"/>
          <w:color w:val="auto"/>
          <w:kern w:val="2"/>
          <w:szCs w:val="24"/>
          <w:highlight w:val="none"/>
        </w:rPr>
      </w:pPr>
      <w:r>
        <w:rPr>
          <w:rFonts w:hAnsi="宋体"/>
          <w:color w:val="auto"/>
          <w:kern w:val="2"/>
          <w:szCs w:val="24"/>
          <w:highlight w:val="none"/>
        </w:rPr>
        <w:t>我单位对上述承诺的真实性负责。如有虚假，我单位愿意承担弄虚作假法律责任。</w:t>
      </w:r>
    </w:p>
    <w:p w14:paraId="5DCA2AD7">
      <w:pPr>
        <w:tabs>
          <w:tab w:val="left" w:pos="8422"/>
          <w:tab w:val="left" w:pos="9622"/>
        </w:tabs>
        <w:spacing w:line="560" w:lineRule="exact"/>
        <w:outlineLvl w:val="9"/>
        <w:rPr>
          <w:rFonts w:hAnsi="宋体"/>
          <w:color w:val="auto"/>
          <w:kern w:val="2"/>
          <w:szCs w:val="24"/>
          <w:highlight w:val="none"/>
        </w:rPr>
      </w:pPr>
    </w:p>
    <w:p w14:paraId="4EC2CBB7">
      <w:pPr>
        <w:tabs>
          <w:tab w:val="left" w:pos="8422"/>
          <w:tab w:val="left" w:pos="9622"/>
        </w:tabs>
        <w:spacing w:line="360" w:lineRule="auto"/>
        <w:ind w:right="120" w:rightChars="50"/>
        <w:jc w:val="left"/>
        <w:outlineLvl w:val="9"/>
        <w:rPr>
          <w:rFonts w:hint="eastAsia" w:hAnsi="宋体" w:cs="宋体"/>
          <w:color w:val="auto"/>
          <w:kern w:val="2"/>
          <w:szCs w:val="24"/>
          <w:highlight w:val="none"/>
        </w:rPr>
      </w:pPr>
      <w:r>
        <w:rPr>
          <w:rFonts w:hint="eastAsia" w:hAnsi="宋体"/>
          <w:color w:val="auto"/>
          <w:kern w:val="2"/>
          <w:szCs w:val="24"/>
          <w:highlight w:val="none"/>
        </w:rPr>
        <w:t xml:space="preserve">     </w:t>
      </w:r>
    </w:p>
    <w:p w14:paraId="4F3C9F48">
      <w:pPr>
        <w:adjustRightInd w:val="0"/>
        <w:snapToGrid w:val="0"/>
        <w:spacing w:line="360" w:lineRule="auto"/>
        <w:jc w:val="right"/>
        <w:outlineLvl w:val="9"/>
        <w:rPr>
          <w:rFonts w:hint="eastAsia" w:hAnsi="宋体" w:cs="仿宋_GB2312"/>
          <w:bCs/>
          <w:color w:val="auto"/>
          <w:kern w:val="2"/>
          <w:szCs w:val="24"/>
          <w:highlight w:val="none"/>
          <w:u w:val="single"/>
        </w:rPr>
      </w:pPr>
      <w:r>
        <w:rPr>
          <w:rFonts w:hint="eastAsia" w:hAnsi="宋体" w:cs="仿宋_GB2312"/>
          <w:bCs/>
          <w:color w:val="auto"/>
          <w:spacing w:val="120"/>
          <w:kern w:val="0"/>
          <w:szCs w:val="24"/>
          <w:highlight w:val="none"/>
          <w:fitText w:val="1200" w:id="87770465"/>
        </w:rPr>
        <w:t>投标</w:t>
      </w:r>
      <w:r>
        <w:rPr>
          <w:rFonts w:hint="eastAsia" w:hAnsi="宋体" w:cs="仿宋_GB2312"/>
          <w:bCs/>
          <w:color w:val="auto"/>
          <w:spacing w:val="0"/>
          <w:kern w:val="0"/>
          <w:szCs w:val="24"/>
          <w:highlight w:val="none"/>
          <w:fitText w:val="1200" w:id="87770465"/>
        </w:rPr>
        <w:t>人</w:t>
      </w:r>
      <w:r>
        <w:rPr>
          <w:rFonts w:hint="eastAsia" w:hAnsi="宋体" w:cs="仿宋_GB2312"/>
          <w:bCs/>
          <w:color w:val="auto"/>
          <w:kern w:val="2"/>
          <w:szCs w:val="24"/>
          <w:highlight w:val="none"/>
        </w:rPr>
        <w:t>：</w:t>
      </w:r>
      <w:r>
        <w:rPr>
          <w:rFonts w:hint="eastAsia" w:hAnsi="宋体" w:cs="仿宋_GB2312"/>
          <w:bCs/>
          <w:color w:val="auto"/>
          <w:kern w:val="2"/>
          <w:szCs w:val="24"/>
          <w:highlight w:val="none"/>
          <w:u w:val="single"/>
        </w:rPr>
        <w:t xml:space="preserve">            </w:t>
      </w:r>
      <w:r>
        <w:rPr>
          <w:rFonts w:hint="eastAsia" w:hAnsi="宋体" w:cs="仿宋_GB2312"/>
          <w:bCs/>
          <w:color w:val="auto"/>
          <w:kern w:val="2"/>
          <w:szCs w:val="24"/>
          <w:highlight w:val="none"/>
        </w:rPr>
        <w:t>（盖单位章）</w:t>
      </w:r>
    </w:p>
    <w:p w14:paraId="38A15AFC">
      <w:pPr>
        <w:adjustRightInd w:val="0"/>
        <w:snapToGrid w:val="0"/>
        <w:spacing w:line="360" w:lineRule="auto"/>
        <w:jc w:val="right"/>
        <w:outlineLvl w:val="9"/>
        <w:rPr>
          <w:rFonts w:hint="eastAsia" w:hAnsi="宋体" w:cs="仿宋_GB2312"/>
          <w:color w:val="auto"/>
          <w:kern w:val="2"/>
          <w:szCs w:val="24"/>
          <w:highlight w:val="none"/>
        </w:rPr>
      </w:pPr>
      <w:r>
        <w:rPr>
          <w:rFonts w:hint="eastAsia" w:hAnsi="宋体" w:cs="仿宋_GB2312"/>
          <w:bCs/>
          <w:color w:val="auto"/>
          <w:spacing w:val="360"/>
          <w:kern w:val="0"/>
          <w:szCs w:val="24"/>
          <w:highlight w:val="none"/>
          <w:fitText w:val="1200" w:id="1349811978"/>
        </w:rPr>
        <w:t>日</w:t>
      </w:r>
      <w:r>
        <w:rPr>
          <w:rFonts w:hint="eastAsia" w:hAnsi="宋体" w:cs="仿宋_GB2312"/>
          <w:bCs/>
          <w:color w:val="auto"/>
          <w:spacing w:val="0"/>
          <w:kern w:val="0"/>
          <w:szCs w:val="24"/>
          <w:highlight w:val="none"/>
          <w:fitText w:val="1200" w:id="1349811978"/>
        </w:rPr>
        <w:t>期</w:t>
      </w:r>
      <w:r>
        <w:rPr>
          <w:rFonts w:hint="eastAsia" w:hAnsi="宋体" w:cs="仿宋_GB2312"/>
          <w:color w:val="auto"/>
          <w:kern w:val="2"/>
          <w:szCs w:val="24"/>
          <w:highlight w:val="none"/>
        </w:rPr>
        <w:t>：</w:t>
      </w:r>
      <w:r>
        <w:rPr>
          <w:rFonts w:hint="eastAsia" w:hAnsi="宋体" w:cs="仿宋_GB2312"/>
          <w:color w:val="auto"/>
          <w:kern w:val="2"/>
          <w:szCs w:val="24"/>
          <w:highlight w:val="none"/>
          <w:u w:val="single"/>
        </w:rPr>
        <w:t xml:space="preserve">       </w:t>
      </w:r>
      <w:r>
        <w:rPr>
          <w:rFonts w:hint="eastAsia" w:hAnsi="宋体" w:cs="仿宋_GB2312"/>
          <w:color w:val="auto"/>
          <w:kern w:val="2"/>
          <w:szCs w:val="24"/>
          <w:highlight w:val="none"/>
        </w:rPr>
        <w:t>年</w:t>
      </w:r>
      <w:r>
        <w:rPr>
          <w:rFonts w:hint="eastAsia" w:hAnsi="宋体" w:cs="仿宋_GB2312"/>
          <w:color w:val="auto"/>
          <w:kern w:val="2"/>
          <w:szCs w:val="24"/>
          <w:highlight w:val="none"/>
          <w:u w:val="single"/>
        </w:rPr>
        <w:t xml:space="preserve">     </w:t>
      </w:r>
      <w:r>
        <w:rPr>
          <w:rFonts w:hint="eastAsia" w:hAnsi="宋体" w:cs="仿宋_GB2312"/>
          <w:color w:val="auto"/>
          <w:kern w:val="2"/>
          <w:szCs w:val="24"/>
          <w:highlight w:val="none"/>
        </w:rPr>
        <w:t>月</w:t>
      </w:r>
      <w:r>
        <w:rPr>
          <w:rFonts w:hint="eastAsia" w:hAnsi="宋体" w:cs="仿宋_GB2312"/>
          <w:color w:val="auto"/>
          <w:kern w:val="2"/>
          <w:szCs w:val="24"/>
          <w:highlight w:val="none"/>
          <w:u w:val="single"/>
        </w:rPr>
        <w:t xml:space="preserve">      </w:t>
      </w:r>
      <w:r>
        <w:rPr>
          <w:rFonts w:hint="eastAsia" w:hAnsi="宋体" w:cs="仿宋_GB2312"/>
          <w:color w:val="auto"/>
          <w:kern w:val="2"/>
          <w:szCs w:val="24"/>
          <w:highlight w:val="none"/>
        </w:rPr>
        <w:t>日</w:t>
      </w:r>
    </w:p>
    <w:p w14:paraId="5CD91177">
      <w:pPr>
        <w:rPr>
          <w:rFonts w:hint="eastAsia"/>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p>
    <w:p w14:paraId="51942533">
      <w:pPr>
        <w:pStyle w:val="7"/>
        <w:spacing w:before="240" w:after="240" w:line="375" w:lineRule="auto"/>
        <w:ind w:firstLine="118"/>
        <w:jc w:val="center"/>
        <w:rPr>
          <w:color w:val="auto"/>
          <w:szCs w:val="24"/>
          <w:highlight w:val="none"/>
        </w:rPr>
      </w:pPr>
      <w:r>
        <w:rPr>
          <w:rFonts w:hint="eastAsia"/>
          <w:color w:val="auto"/>
          <w:szCs w:val="24"/>
          <w:highlight w:val="none"/>
        </w:rPr>
        <w:t>五、</w:t>
      </w:r>
      <w:bookmarkStart w:id="582" w:name="_Toc535241089"/>
      <w:bookmarkStart w:id="583" w:name="_Toc535241232"/>
      <w:bookmarkStart w:id="584" w:name="_Toc535241135"/>
      <w:r>
        <w:rPr>
          <w:rFonts w:hint="eastAsia"/>
          <w:color w:val="auto"/>
          <w:szCs w:val="24"/>
          <w:highlight w:val="none"/>
        </w:rPr>
        <w:t>拟委任的主要人员汇总表</w:t>
      </w:r>
      <w:bookmarkEnd w:id="578"/>
      <w:bookmarkEnd w:id="579"/>
      <w:bookmarkEnd w:id="580"/>
      <w:bookmarkEnd w:id="581"/>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81"/>
        <w:gridCol w:w="786"/>
        <w:gridCol w:w="735"/>
        <w:gridCol w:w="709"/>
        <w:gridCol w:w="1286"/>
        <w:gridCol w:w="840"/>
        <w:gridCol w:w="709"/>
        <w:gridCol w:w="1334"/>
      </w:tblGrid>
      <w:tr w14:paraId="7C1C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73C72AA6">
            <w:pPr>
              <w:spacing w:line="440" w:lineRule="exact"/>
              <w:ind w:firstLine="0" w:firstLineChars="0"/>
              <w:jc w:val="center"/>
              <w:rPr>
                <w:b/>
                <w:bCs/>
                <w:color w:val="auto"/>
                <w:highlight w:val="none"/>
              </w:rPr>
            </w:pPr>
            <w:r>
              <w:rPr>
                <w:b/>
                <w:bCs/>
                <w:color w:val="auto"/>
                <w:highlight w:val="none"/>
              </w:rPr>
              <w:t>序号</w:t>
            </w:r>
          </w:p>
        </w:tc>
        <w:tc>
          <w:tcPr>
            <w:tcW w:w="1481" w:type="dxa"/>
            <w:vMerge w:val="restart"/>
            <w:noWrap w:val="0"/>
            <w:vAlign w:val="center"/>
          </w:tcPr>
          <w:p w14:paraId="517C7756">
            <w:pPr>
              <w:spacing w:line="440" w:lineRule="exact"/>
              <w:ind w:firstLine="0" w:firstLineChars="0"/>
              <w:jc w:val="center"/>
              <w:rPr>
                <w:b/>
                <w:bCs/>
                <w:color w:val="auto"/>
                <w:highlight w:val="none"/>
              </w:rPr>
            </w:pPr>
            <w:r>
              <w:rPr>
                <w:b/>
                <w:bCs/>
                <w:color w:val="auto"/>
                <w:highlight w:val="none"/>
              </w:rPr>
              <w:t>本项目任职</w:t>
            </w:r>
          </w:p>
        </w:tc>
        <w:tc>
          <w:tcPr>
            <w:tcW w:w="786" w:type="dxa"/>
            <w:vMerge w:val="restart"/>
            <w:noWrap w:val="0"/>
            <w:vAlign w:val="center"/>
          </w:tcPr>
          <w:p w14:paraId="70BCB461">
            <w:pPr>
              <w:spacing w:line="440" w:lineRule="exact"/>
              <w:ind w:firstLine="0" w:firstLineChars="0"/>
              <w:jc w:val="center"/>
              <w:rPr>
                <w:b/>
                <w:bCs/>
                <w:color w:val="auto"/>
                <w:highlight w:val="none"/>
              </w:rPr>
            </w:pPr>
            <w:r>
              <w:rPr>
                <w:b/>
                <w:bCs/>
                <w:color w:val="auto"/>
                <w:highlight w:val="none"/>
              </w:rPr>
              <w:t>姓名</w:t>
            </w:r>
          </w:p>
        </w:tc>
        <w:tc>
          <w:tcPr>
            <w:tcW w:w="735" w:type="dxa"/>
            <w:vMerge w:val="restart"/>
            <w:noWrap w:val="0"/>
            <w:vAlign w:val="center"/>
          </w:tcPr>
          <w:p w14:paraId="34AACBF6">
            <w:pPr>
              <w:spacing w:line="440" w:lineRule="exact"/>
              <w:ind w:firstLine="0" w:firstLineChars="0"/>
              <w:jc w:val="center"/>
              <w:rPr>
                <w:b/>
                <w:bCs/>
                <w:color w:val="auto"/>
                <w:highlight w:val="none"/>
              </w:rPr>
            </w:pPr>
            <w:r>
              <w:rPr>
                <w:rFonts w:hint="eastAsia"/>
                <w:b/>
                <w:bCs/>
                <w:color w:val="auto"/>
                <w:highlight w:val="none"/>
              </w:rPr>
              <w:t>职称</w:t>
            </w:r>
          </w:p>
        </w:tc>
        <w:tc>
          <w:tcPr>
            <w:tcW w:w="709" w:type="dxa"/>
            <w:vMerge w:val="restart"/>
            <w:noWrap w:val="0"/>
            <w:vAlign w:val="center"/>
          </w:tcPr>
          <w:p w14:paraId="404BDAFE">
            <w:pPr>
              <w:spacing w:line="440" w:lineRule="exact"/>
              <w:ind w:firstLine="0" w:firstLineChars="0"/>
              <w:jc w:val="center"/>
              <w:rPr>
                <w:b/>
                <w:bCs/>
                <w:color w:val="auto"/>
                <w:highlight w:val="none"/>
              </w:rPr>
            </w:pPr>
            <w:r>
              <w:rPr>
                <w:rFonts w:hint="eastAsia"/>
                <w:b/>
                <w:bCs/>
                <w:color w:val="auto"/>
                <w:highlight w:val="none"/>
              </w:rPr>
              <w:t>专业</w:t>
            </w:r>
          </w:p>
        </w:tc>
        <w:tc>
          <w:tcPr>
            <w:tcW w:w="2835" w:type="dxa"/>
            <w:gridSpan w:val="3"/>
            <w:noWrap w:val="0"/>
            <w:vAlign w:val="center"/>
          </w:tcPr>
          <w:p w14:paraId="3705F0DA">
            <w:pPr>
              <w:spacing w:line="440" w:lineRule="exact"/>
              <w:ind w:firstLine="0" w:firstLineChars="0"/>
              <w:jc w:val="center"/>
              <w:rPr>
                <w:b/>
                <w:bCs/>
                <w:color w:val="auto"/>
                <w:highlight w:val="none"/>
              </w:rPr>
            </w:pPr>
            <w:r>
              <w:rPr>
                <w:b/>
                <w:bCs/>
                <w:color w:val="auto"/>
                <w:highlight w:val="none"/>
              </w:rPr>
              <w:t>执业或职业资格证明</w:t>
            </w:r>
          </w:p>
        </w:tc>
        <w:tc>
          <w:tcPr>
            <w:tcW w:w="1334" w:type="dxa"/>
            <w:vMerge w:val="restart"/>
            <w:noWrap w:val="0"/>
            <w:vAlign w:val="center"/>
          </w:tcPr>
          <w:p w14:paraId="2D4A71FB">
            <w:pPr>
              <w:spacing w:line="440" w:lineRule="exact"/>
              <w:ind w:firstLine="0" w:firstLineChars="0"/>
              <w:jc w:val="center"/>
              <w:rPr>
                <w:b/>
                <w:bCs/>
                <w:color w:val="auto"/>
                <w:highlight w:val="none"/>
              </w:rPr>
            </w:pPr>
            <w:r>
              <w:rPr>
                <w:b/>
                <w:bCs/>
                <w:color w:val="auto"/>
                <w:highlight w:val="none"/>
              </w:rPr>
              <w:t>备注</w:t>
            </w:r>
          </w:p>
        </w:tc>
      </w:tr>
      <w:tr w14:paraId="7FE4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12817C1B">
            <w:pPr>
              <w:ind w:firstLine="482"/>
              <w:jc w:val="center"/>
              <w:rPr>
                <w:b/>
                <w:bCs/>
                <w:color w:val="auto"/>
                <w:highlight w:val="none"/>
              </w:rPr>
            </w:pPr>
          </w:p>
        </w:tc>
        <w:tc>
          <w:tcPr>
            <w:tcW w:w="1481" w:type="dxa"/>
            <w:vMerge w:val="continue"/>
            <w:noWrap w:val="0"/>
            <w:vAlign w:val="top"/>
          </w:tcPr>
          <w:p w14:paraId="36EB2066">
            <w:pPr>
              <w:ind w:firstLine="482"/>
              <w:jc w:val="center"/>
              <w:rPr>
                <w:b/>
                <w:bCs/>
                <w:color w:val="auto"/>
                <w:highlight w:val="none"/>
              </w:rPr>
            </w:pPr>
          </w:p>
        </w:tc>
        <w:tc>
          <w:tcPr>
            <w:tcW w:w="786" w:type="dxa"/>
            <w:vMerge w:val="continue"/>
            <w:noWrap w:val="0"/>
            <w:vAlign w:val="center"/>
          </w:tcPr>
          <w:p w14:paraId="4E067155">
            <w:pPr>
              <w:ind w:firstLine="482"/>
              <w:jc w:val="center"/>
              <w:rPr>
                <w:b/>
                <w:bCs/>
                <w:color w:val="auto"/>
                <w:highlight w:val="none"/>
              </w:rPr>
            </w:pPr>
          </w:p>
        </w:tc>
        <w:tc>
          <w:tcPr>
            <w:tcW w:w="735" w:type="dxa"/>
            <w:vMerge w:val="continue"/>
            <w:noWrap w:val="0"/>
            <w:vAlign w:val="center"/>
          </w:tcPr>
          <w:p w14:paraId="5746E479">
            <w:pPr>
              <w:ind w:firstLine="482"/>
              <w:jc w:val="center"/>
              <w:rPr>
                <w:b/>
                <w:bCs/>
                <w:color w:val="auto"/>
                <w:highlight w:val="none"/>
              </w:rPr>
            </w:pPr>
          </w:p>
        </w:tc>
        <w:tc>
          <w:tcPr>
            <w:tcW w:w="709" w:type="dxa"/>
            <w:vMerge w:val="continue"/>
            <w:noWrap w:val="0"/>
            <w:vAlign w:val="center"/>
          </w:tcPr>
          <w:p w14:paraId="391A2978">
            <w:pPr>
              <w:spacing w:line="440" w:lineRule="exact"/>
              <w:ind w:firstLine="482"/>
              <w:jc w:val="center"/>
              <w:rPr>
                <w:b/>
                <w:bCs/>
                <w:color w:val="auto"/>
                <w:highlight w:val="none"/>
              </w:rPr>
            </w:pPr>
          </w:p>
        </w:tc>
        <w:tc>
          <w:tcPr>
            <w:tcW w:w="1286" w:type="dxa"/>
            <w:noWrap w:val="0"/>
            <w:vAlign w:val="center"/>
          </w:tcPr>
          <w:p w14:paraId="50804EF9">
            <w:pPr>
              <w:spacing w:before="100" w:beforeAutospacing="1" w:after="100" w:afterAutospacing="1" w:line="440" w:lineRule="exact"/>
              <w:ind w:firstLine="0" w:firstLineChars="0"/>
              <w:jc w:val="center"/>
              <w:rPr>
                <w:b/>
                <w:bCs/>
                <w:color w:val="auto"/>
                <w:highlight w:val="none"/>
              </w:rPr>
            </w:pPr>
            <w:r>
              <w:rPr>
                <w:b/>
                <w:bCs/>
                <w:color w:val="auto"/>
                <w:highlight w:val="none"/>
              </w:rPr>
              <w:t>证书名称</w:t>
            </w:r>
          </w:p>
        </w:tc>
        <w:tc>
          <w:tcPr>
            <w:tcW w:w="840" w:type="dxa"/>
            <w:noWrap w:val="0"/>
            <w:vAlign w:val="center"/>
          </w:tcPr>
          <w:p w14:paraId="079F33FC">
            <w:pPr>
              <w:spacing w:before="100" w:beforeAutospacing="1" w:after="100" w:afterAutospacing="1" w:line="440" w:lineRule="exact"/>
              <w:ind w:firstLine="0" w:firstLineChars="0"/>
              <w:jc w:val="center"/>
              <w:rPr>
                <w:b/>
                <w:bCs/>
                <w:color w:val="auto"/>
                <w:highlight w:val="none"/>
              </w:rPr>
            </w:pPr>
            <w:r>
              <w:rPr>
                <w:b/>
                <w:bCs/>
                <w:color w:val="auto"/>
                <w:highlight w:val="none"/>
              </w:rPr>
              <w:t>级别</w:t>
            </w:r>
          </w:p>
        </w:tc>
        <w:tc>
          <w:tcPr>
            <w:tcW w:w="709" w:type="dxa"/>
            <w:noWrap w:val="0"/>
            <w:vAlign w:val="center"/>
          </w:tcPr>
          <w:p w14:paraId="450375E0">
            <w:pPr>
              <w:spacing w:before="100" w:beforeAutospacing="1" w:after="100" w:afterAutospacing="1" w:line="440" w:lineRule="exact"/>
              <w:ind w:firstLine="0" w:firstLineChars="0"/>
              <w:jc w:val="center"/>
              <w:rPr>
                <w:b/>
                <w:bCs/>
                <w:color w:val="auto"/>
                <w:highlight w:val="none"/>
              </w:rPr>
            </w:pPr>
            <w:r>
              <w:rPr>
                <w:b/>
                <w:bCs/>
                <w:color w:val="auto"/>
                <w:highlight w:val="none"/>
              </w:rPr>
              <w:t>证号</w:t>
            </w:r>
          </w:p>
        </w:tc>
        <w:tc>
          <w:tcPr>
            <w:tcW w:w="1334" w:type="dxa"/>
            <w:vMerge w:val="continue"/>
            <w:noWrap w:val="0"/>
            <w:vAlign w:val="center"/>
          </w:tcPr>
          <w:p w14:paraId="43A2DE81">
            <w:pPr>
              <w:spacing w:line="440" w:lineRule="exact"/>
              <w:ind w:firstLine="480"/>
              <w:jc w:val="center"/>
              <w:rPr>
                <w:color w:val="auto"/>
                <w:highlight w:val="none"/>
              </w:rPr>
            </w:pPr>
          </w:p>
        </w:tc>
      </w:tr>
      <w:tr w14:paraId="65F1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12FF9FD2">
            <w:pPr>
              <w:spacing w:line="440" w:lineRule="exact"/>
              <w:ind w:left="0" w:leftChars="0" w:firstLine="0" w:firstLineChars="0"/>
              <w:jc w:val="center"/>
              <w:rPr>
                <w:color w:val="auto"/>
                <w:highlight w:val="none"/>
              </w:rPr>
            </w:pPr>
          </w:p>
        </w:tc>
        <w:tc>
          <w:tcPr>
            <w:tcW w:w="1481" w:type="dxa"/>
            <w:noWrap w:val="0"/>
            <w:vAlign w:val="top"/>
          </w:tcPr>
          <w:p w14:paraId="6E848A8C">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center"/>
          </w:tcPr>
          <w:p w14:paraId="65C743E7">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center"/>
          </w:tcPr>
          <w:p w14:paraId="5DB09FDE">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center"/>
          </w:tcPr>
          <w:p w14:paraId="79E4C15F">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center"/>
          </w:tcPr>
          <w:p w14:paraId="38CFE4B7">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center"/>
          </w:tcPr>
          <w:p w14:paraId="297C14CC">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center"/>
          </w:tcPr>
          <w:p w14:paraId="64172937">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center"/>
          </w:tcPr>
          <w:p w14:paraId="28E33740">
            <w:pPr>
              <w:spacing w:line="440" w:lineRule="exact"/>
              <w:ind w:left="0" w:leftChars="0" w:firstLine="0" w:firstLineChars="0"/>
              <w:jc w:val="center"/>
              <w:rPr>
                <w:rFonts w:ascii="Times New Roman" w:hAnsi="Times New Roman" w:eastAsia="宋体" w:cs="Times New Roman"/>
                <w:color w:val="auto"/>
                <w:highlight w:val="none"/>
              </w:rPr>
            </w:pPr>
          </w:p>
        </w:tc>
      </w:tr>
      <w:tr w14:paraId="146F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493FF9B">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06DD0E67">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3FF2EAC2">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60D9FEA3">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4531BA03">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07C3002D">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4583167F">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42B8A278">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3BA29DA6">
            <w:pPr>
              <w:spacing w:line="440" w:lineRule="exact"/>
              <w:ind w:left="0" w:leftChars="0" w:firstLine="0" w:firstLineChars="0"/>
              <w:jc w:val="center"/>
              <w:rPr>
                <w:rFonts w:ascii="Times New Roman" w:hAnsi="Times New Roman" w:eastAsia="宋体" w:cs="Times New Roman"/>
                <w:color w:val="auto"/>
                <w:highlight w:val="none"/>
              </w:rPr>
            </w:pPr>
          </w:p>
        </w:tc>
      </w:tr>
      <w:tr w14:paraId="5439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1835F57">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194EADC0">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058BA21B">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4632C1AE">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CFD79CE">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35D730C6">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795178D2">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82D7A17">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10C8A0EB">
            <w:pPr>
              <w:spacing w:line="440" w:lineRule="exact"/>
              <w:ind w:left="0" w:leftChars="0" w:firstLine="0" w:firstLineChars="0"/>
              <w:jc w:val="center"/>
              <w:rPr>
                <w:rFonts w:ascii="Times New Roman" w:hAnsi="Times New Roman" w:eastAsia="宋体" w:cs="Times New Roman"/>
                <w:color w:val="auto"/>
                <w:highlight w:val="none"/>
              </w:rPr>
            </w:pPr>
          </w:p>
        </w:tc>
      </w:tr>
      <w:tr w14:paraId="6E93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9409CE9">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08C76A21">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11E3EBAB">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6EA6E6FD">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D007C0E">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36E8DA35">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66423403">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473DAF6F">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36CB441F">
            <w:pPr>
              <w:spacing w:line="440" w:lineRule="exact"/>
              <w:ind w:left="0" w:leftChars="0" w:firstLine="0" w:firstLineChars="0"/>
              <w:jc w:val="center"/>
              <w:rPr>
                <w:rFonts w:ascii="Times New Roman" w:hAnsi="Times New Roman" w:eastAsia="宋体" w:cs="Times New Roman"/>
                <w:color w:val="auto"/>
                <w:highlight w:val="none"/>
              </w:rPr>
            </w:pPr>
          </w:p>
        </w:tc>
      </w:tr>
      <w:tr w14:paraId="40FE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F70974B">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7E888872">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44D347AB">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096269C0">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46C11606">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491D4073">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01F9C98A">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A8E5AA7">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52F30F02">
            <w:pPr>
              <w:spacing w:line="440" w:lineRule="exact"/>
              <w:ind w:left="0" w:leftChars="0" w:firstLine="0" w:firstLineChars="0"/>
              <w:jc w:val="center"/>
              <w:rPr>
                <w:rFonts w:ascii="Times New Roman" w:hAnsi="Times New Roman" w:eastAsia="宋体" w:cs="Times New Roman"/>
                <w:color w:val="auto"/>
                <w:highlight w:val="none"/>
              </w:rPr>
            </w:pPr>
          </w:p>
        </w:tc>
      </w:tr>
      <w:tr w14:paraId="097A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9F07484">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7F04010B">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280B0EAC">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5E203532">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4566B2C9">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7BAFEB38">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4B7CE6A7">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6FED096">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6DE28924">
            <w:pPr>
              <w:spacing w:line="440" w:lineRule="exact"/>
              <w:ind w:left="0" w:leftChars="0" w:firstLine="0" w:firstLineChars="0"/>
              <w:jc w:val="center"/>
              <w:rPr>
                <w:rFonts w:ascii="Times New Roman" w:hAnsi="Times New Roman" w:eastAsia="宋体" w:cs="Times New Roman"/>
                <w:color w:val="auto"/>
                <w:highlight w:val="none"/>
              </w:rPr>
            </w:pPr>
          </w:p>
        </w:tc>
      </w:tr>
      <w:tr w14:paraId="6007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62D7E5A">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1F1DAC4A">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61F0BCFA">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3103EC50">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973A17F">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2A33BD2D">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0C203FE5">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55467C31">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071756F4">
            <w:pPr>
              <w:spacing w:line="440" w:lineRule="exact"/>
              <w:ind w:left="0" w:leftChars="0" w:firstLine="0" w:firstLineChars="0"/>
              <w:jc w:val="center"/>
              <w:rPr>
                <w:rFonts w:ascii="Times New Roman" w:hAnsi="Times New Roman" w:eastAsia="宋体" w:cs="Times New Roman"/>
                <w:color w:val="auto"/>
                <w:highlight w:val="none"/>
              </w:rPr>
            </w:pPr>
          </w:p>
        </w:tc>
      </w:tr>
      <w:tr w14:paraId="305E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6AD5011">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1412F8B0">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2DE701E0">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5C3D958A">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8C9DCAD">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6FCC30AB">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6E9A9005">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FA7CF9A">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51476B1E">
            <w:pPr>
              <w:spacing w:line="440" w:lineRule="exact"/>
              <w:ind w:left="0" w:leftChars="0" w:firstLine="0" w:firstLineChars="0"/>
              <w:jc w:val="center"/>
              <w:rPr>
                <w:rFonts w:ascii="Times New Roman" w:hAnsi="Times New Roman" w:eastAsia="宋体" w:cs="Times New Roman"/>
                <w:color w:val="auto"/>
                <w:highlight w:val="none"/>
              </w:rPr>
            </w:pPr>
          </w:p>
        </w:tc>
      </w:tr>
      <w:tr w14:paraId="2073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F3FA359">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51034A61">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71489845">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727B0F01">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4F7FCC2">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2341BBBC">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30ECE54F">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ABB0985">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3CF1AD1F">
            <w:pPr>
              <w:spacing w:line="440" w:lineRule="exact"/>
              <w:ind w:left="0" w:leftChars="0" w:firstLine="0" w:firstLineChars="0"/>
              <w:jc w:val="center"/>
              <w:rPr>
                <w:rFonts w:ascii="Times New Roman" w:hAnsi="Times New Roman" w:eastAsia="宋体" w:cs="Times New Roman"/>
                <w:color w:val="auto"/>
                <w:highlight w:val="none"/>
              </w:rPr>
            </w:pPr>
          </w:p>
        </w:tc>
      </w:tr>
      <w:tr w14:paraId="2CFD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6A9DB23">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1A63CD15">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6F0EC0C5">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45E90544">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5045E75">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3ABC3D8C">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6F1B2EB8">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6BFDA834">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33EF01EE">
            <w:pPr>
              <w:spacing w:line="440" w:lineRule="exact"/>
              <w:ind w:left="0" w:leftChars="0" w:firstLine="0" w:firstLineChars="0"/>
              <w:jc w:val="center"/>
              <w:rPr>
                <w:rFonts w:ascii="Times New Roman" w:hAnsi="Times New Roman" w:eastAsia="宋体" w:cs="Times New Roman"/>
                <w:color w:val="auto"/>
                <w:highlight w:val="none"/>
              </w:rPr>
            </w:pPr>
          </w:p>
        </w:tc>
      </w:tr>
      <w:tr w14:paraId="4B25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F9C6356">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0EFBE6B0">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6BD4AC00">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71D4CBEF">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7E93E623">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364CA966">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252D899F">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7AA13B7F">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7EC79BB5">
            <w:pPr>
              <w:spacing w:line="440" w:lineRule="exact"/>
              <w:ind w:left="0" w:leftChars="0" w:firstLine="0" w:firstLineChars="0"/>
              <w:jc w:val="center"/>
              <w:rPr>
                <w:rFonts w:ascii="Times New Roman" w:hAnsi="Times New Roman" w:eastAsia="宋体" w:cs="Times New Roman"/>
                <w:color w:val="auto"/>
                <w:highlight w:val="none"/>
              </w:rPr>
            </w:pPr>
          </w:p>
        </w:tc>
      </w:tr>
      <w:tr w14:paraId="1CC2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C4E5D10">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6DFCBA6D">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559BB490">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6A720CA2">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3F31B57">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1BFDBD1C">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7CB15C81">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46FBF3DD">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01E253BB">
            <w:pPr>
              <w:spacing w:line="440" w:lineRule="exact"/>
              <w:ind w:left="0" w:leftChars="0" w:firstLine="0" w:firstLineChars="0"/>
              <w:jc w:val="center"/>
              <w:rPr>
                <w:rFonts w:ascii="Times New Roman" w:hAnsi="Times New Roman" w:eastAsia="宋体" w:cs="Times New Roman"/>
                <w:color w:val="auto"/>
                <w:highlight w:val="none"/>
              </w:rPr>
            </w:pPr>
          </w:p>
        </w:tc>
      </w:tr>
      <w:tr w14:paraId="574E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5D39641">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0811F391">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50575521">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0E0563E6">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7B0061D">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116A0674">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60B65C7E">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100AD84">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470D78FB">
            <w:pPr>
              <w:spacing w:line="440" w:lineRule="exact"/>
              <w:ind w:left="0" w:leftChars="0" w:firstLine="0" w:firstLineChars="0"/>
              <w:jc w:val="center"/>
              <w:rPr>
                <w:rFonts w:ascii="Times New Roman" w:hAnsi="Times New Roman" w:eastAsia="宋体" w:cs="Times New Roman"/>
                <w:color w:val="auto"/>
                <w:highlight w:val="none"/>
              </w:rPr>
            </w:pPr>
          </w:p>
        </w:tc>
      </w:tr>
      <w:tr w14:paraId="3563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55CC3B2">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45E848B2">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6FC53E96">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1BC9C111">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A2C0C94">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5DCD30B2">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42EE77D2">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0B3DAE4D">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400FF1A3">
            <w:pPr>
              <w:spacing w:line="440" w:lineRule="exact"/>
              <w:ind w:left="0" w:leftChars="0" w:firstLine="0" w:firstLineChars="0"/>
              <w:jc w:val="center"/>
              <w:rPr>
                <w:rFonts w:ascii="Times New Roman" w:hAnsi="Times New Roman" w:eastAsia="宋体" w:cs="Times New Roman"/>
                <w:color w:val="auto"/>
                <w:highlight w:val="none"/>
              </w:rPr>
            </w:pPr>
          </w:p>
        </w:tc>
      </w:tr>
      <w:tr w14:paraId="2B8D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C78AE9A">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63190988">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0A78D296">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0D96382E">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3A160449">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67814C42">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49F9FA9F">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2E021B25">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5EB4F47D">
            <w:pPr>
              <w:spacing w:line="440" w:lineRule="exact"/>
              <w:ind w:left="0" w:leftChars="0" w:firstLine="0" w:firstLineChars="0"/>
              <w:jc w:val="center"/>
              <w:rPr>
                <w:rFonts w:ascii="Times New Roman" w:hAnsi="Times New Roman" w:eastAsia="宋体" w:cs="Times New Roman"/>
                <w:color w:val="auto"/>
                <w:highlight w:val="none"/>
              </w:rPr>
            </w:pPr>
          </w:p>
        </w:tc>
      </w:tr>
      <w:tr w14:paraId="3FEF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A6CB126">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62184706">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733E3E90">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124DFB91">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6C0197DF">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706FB923">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54B06E72">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5FAA09D1">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6A475F0E">
            <w:pPr>
              <w:spacing w:line="440" w:lineRule="exact"/>
              <w:ind w:left="0" w:leftChars="0" w:firstLine="0" w:firstLineChars="0"/>
              <w:jc w:val="center"/>
              <w:rPr>
                <w:rFonts w:ascii="Times New Roman" w:hAnsi="Times New Roman" w:eastAsia="宋体" w:cs="Times New Roman"/>
                <w:color w:val="auto"/>
                <w:highlight w:val="none"/>
              </w:rPr>
            </w:pPr>
          </w:p>
        </w:tc>
      </w:tr>
      <w:tr w14:paraId="1039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9D68A8B">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5D1F703D">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7240342A">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1F013FD2">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40DD6C8F">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635F0EC3">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26FF7FA5">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11B72679">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59A0946F">
            <w:pPr>
              <w:spacing w:line="440" w:lineRule="exact"/>
              <w:ind w:left="0" w:leftChars="0" w:firstLine="0" w:firstLineChars="0"/>
              <w:jc w:val="center"/>
              <w:rPr>
                <w:rFonts w:ascii="Times New Roman" w:hAnsi="Times New Roman" w:eastAsia="宋体" w:cs="Times New Roman"/>
                <w:color w:val="auto"/>
                <w:highlight w:val="none"/>
              </w:rPr>
            </w:pPr>
          </w:p>
        </w:tc>
      </w:tr>
      <w:tr w14:paraId="1F7C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BF84BA5">
            <w:pPr>
              <w:spacing w:line="440" w:lineRule="exact"/>
              <w:ind w:left="0" w:leftChars="0" w:firstLine="0" w:firstLineChars="0"/>
              <w:jc w:val="center"/>
              <w:rPr>
                <w:rFonts w:ascii="Times New Roman" w:hAnsi="Times New Roman" w:eastAsia="宋体" w:cs="Times New Roman"/>
                <w:color w:val="auto"/>
                <w:highlight w:val="none"/>
              </w:rPr>
            </w:pPr>
          </w:p>
        </w:tc>
        <w:tc>
          <w:tcPr>
            <w:tcW w:w="1481" w:type="dxa"/>
            <w:noWrap w:val="0"/>
            <w:vAlign w:val="top"/>
          </w:tcPr>
          <w:p w14:paraId="6F53F6FF">
            <w:pPr>
              <w:spacing w:line="440" w:lineRule="exact"/>
              <w:ind w:left="0" w:leftChars="0" w:firstLine="0" w:firstLineChars="0"/>
              <w:jc w:val="center"/>
              <w:rPr>
                <w:rFonts w:ascii="Times New Roman" w:hAnsi="Times New Roman" w:eastAsia="宋体" w:cs="Times New Roman"/>
                <w:color w:val="auto"/>
                <w:highlight w:val="none"/>
              </w:rPr>
            </w:pPr>
          </w:p>
        </w:tc>
        <w:tc>
          <w:tcPr>
            <w:tcW w:w="786" w:type="dxa"/>
            <w:noWrap w:val="0"/>
            <w:vAlign w:val="top"/>
          </w:tcPr>
          <w:p w14:paraId="77644A2A">
            <w:pPr>
              <w:spacing w:line="440" w:lineRule="exact"/>
              <w:ind w:left="0" w:leftChars="0" w:firstLine="0" w:firstLineChars="0"/>
              <w:jc w:val="center"/>
              <w:rPr>
                <w:rFonts w:ascii="Times New Roman" w:hAnsi="Times New Roman" w:eastAsia="宋体" w:cs="Times New Roman"/>
                <w:color w:val="auto"/>
                <w:highlight w:val="none"/>
              </w:rPr>
            </w:pPr>
          </w:p>
        </w:tc>
        <w:tc>
          <w:tcPr>
            <w:tcW w:w="735" w:type="dxa"/>
            <w:noWrap w:val="0"/>
            <w:vAlign w:val="top"/>
          </w:tcPr>
          <w:p w14:paraId="0C8C6D05">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02BFBB25">
            <w:pPr>
              <w:spacing w:line="440" w:lineRule="exact"/>
              <w:ind w:left="0" w:leftChars="0" w:firstLine="0" w:firstLineChars="0"/>
              <w:jc w:val="center"/>
              <w:rPr>
                <w:rFonts w:ascii="Times New Roman" w:hAnsi="Times New Roman" w:eastAsia="宋体" w:cs="Times New Roman"/>
                <w:color w:val="auto"/>
                <w:highlight w:val="none"/>
              </w:rPr>
            </w:pPr>
          </w:p>
        </w:tc>
        <w:tc>
          <w:tcPr>
            <w:tcW w:w="1286" w:type="dxa"/>
            <w:noWrap w:val="0"/>
            <w:vAlign w:val="top"/>
          </w:tcPr>
          <w:p w14:paraId="73CE3782">
            <w:pPr>
              <w:spacing w:line="440" w:lineRule="exact"/>
              <w:ind w:left="0" w:leftChars="0" w:firstLine="0" w:firstLineChars="0"/>
              <w:jc w:val="center"/>
              <w:rPr>
                <w:rFonts w:ascii="Times New Roman" w:hAnsi="Times New Roman" w:eastAsia="宋体" w:cs="Times New Roman"/>
                <w:color w:val="auto"/>
                <w:highlight w:val="none"/>
              </w:rPr>
            </w:pPr>
          </w:p>
        </w:tc>
        <w:tc>
          <w:tcPr>
            <w:tcW w:w="840" w:type="dxa"/>
            <w:noWrap w:val="0"/>
            <w:vAlign w:val="top"/>
          </w:tcPr>
          <w:p w14:paraId="50BBA56D">
            <w:pPr>
              <w:spacing w:line="440" w:lineRule="exact"/>
              <w:ind w:left="0" w:leftChars="0" w:firstLine="0" w:firstLineChars="0"/>
              <w:jc w:val="center"/>
              <w:rPr>
                <w:rFonts w:ascii="Times New Roman" w:hAnsi="Times New Roman" w:eastAsia="宋体" w:cs="Times New Roman"/>
                <w:color w:val="auto"/>
                <w:highlight w:val="none"/>
              </w:rPr>
            </w:pPr>
          </w:p>
        </w:tc>
        <w:tc>
          <w:tcPr>
            <w:tcW w:w="709" w:type="dxa"/>
            <w:noWrap w:val="0"/>
            <w:vAlign w:val="top"/>
          </w:tcPr>
          <w:p w14:paraId="5FB0B10D">
            <w:pPr>
              <w:spacing w:line="440" w:lineRule="exact"/>
              <w:ind w:left="0" w:leftChars="0" w:firstLine="0" w:firstLineChars="0"/>
              <w:jc w:val="center"/>
              <w:rPr>
                <w:rFonts w:ascii="Times New Roman" w:hAnsi="Times New Roman" w:eastAsia="宋体" w:cs="Times New Roman"/>
                <w:color w:val="auto"/>
                <w:highlight w:val="none"/>
              </w:rPr>
            </w:pPr>
          </w:p>
        </w:tc>
        <w:tc>
          <w:tcPr>
            <w:tcW w:w="1334" w:type="dxa"/>
            <w:noWrap w:val="0"/>
            <w:vAlign w:val="top"/>
          </w:tcPr>
          <w:p w14:paraId="49B61A94">
            <w:pPr>
              <w:spacing w:line="440" w:lineRule="exact"/>
              <w:ind w:left="0" w:leftChars="0" w:firstLine="0" w:firstLineChars="0"/>
              <w:jc w:val="center"/>
              <w:rPr>
                <w:rFonts w:ascii="Times New Roman" w:hAnsi="Times New Roman" w:eastAsia="宋体" w:cs="Times New Roman"/>
                <w:color w:val="auto"/>
                <w:highlight w:val="none"/>
              </w:rPr>
            </w:pPr>
          </w:p>
        </w:tc>
      </w:tr>
      <w:bookmarkEnd w:id="582"/>
      <w:bookmarkEnd w:id="583"/>
      <w:bookmarkEnd w:id="584"/>
    </w:tbl>
    <w:p w14:paraId="0EEABD35">
      <w:pPr>
        <w:widowControl/>
        <w:ind w:firstLine="480"/>
        <w:jc w:val="left"/>
        <w:rPr>
          <w:rFonts w:ascii="黑体" w:eastAsia="黑体"/>
          <w:color w:val="auto"/>
          <w:szCs w:val="24"/>
          <w:highlight w:val="none"/>
        </w:rPr>
      </w:pPr>
    </w:p>
    <w:p w14:paraId="38177E43">
      <w:pPr>
        <w:pStyle w:val="7"/>
        <w:spacing w:before="240" w:after="240" w:line="360" w:lineRule="auto"/>
        <w:ind w:firstLine="118"/>
        <w:jc w:val="center"/>
        <w:rPr>
          <w:rFonts w:hint="eastAsia"/>
          <w:color w:val="auto"/>
          <w:szCs w:val="24"/>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585" w:name="_Toc6758"/>
      <w:bookmarkStart w:id="586" w:name="_Toc14005"/>
      <w:bookmarkStart w:id="587" w:name="_Toc5638"/>
      <w:bookmarkStart w:id="588" w:name="_Toc8997"/>
    </w:p>
    <w:p w14:paraId="73C7812C">
      <w:pPr>
        <w:pStyle w:val="7"/>
        <w:spacing w:before="240" w:after="240" w:line="360" w:lineRule="auto"/>
        <w:ind w:firstLine="118"/>
        <w:jc w:val="center"/>
        <w:rPr>
          <w:color w:val="auto"/>
          <w:szCs w:val="24"/>
          <w:highlight w:val="none"/>
        </w:rPr>
      </w:pPr>
      <w:r>
        <w:rPr>
          <w:rFonts w:hint="eastAsia"/>
          <w:color w:val="auto"/>
          <w:szCs w:val="24"/>
          <w:highlight w:val="none"/>
        </w:rPr>
        <w:t>六、资格审查资料</w:t>
      </w:r>
      <w:bookmarkEnd w:id="585"/>
      <w:bookmarkEnd w:id="586"/>
      <w:bookmarkEnd w:id="587"/>
      <w:bookmarkEnd w:id="588"/>
    </w:p>
    <w:p w14:paraId="090BE53D">
      <w:pPr>
        <w:pStyle w:val="7"/>
        <w:spacing w:before="240" w:after="240" w:line="360" w:lineRule="auto"/>
        <w:ind w:firstLine="118"/>
        <w:jc w:val="center"/>
        <w:rPr>
          <w:rFonts w:ascii="宋体" w:hAnsi="宋体"/>
          <w:color w:val="auto"/>
          <w:szCs w:val="24"/>
          <w:highlight w:val="none"/>
        </w:rPr>
      </w:pPr>
      <w:r>
        <w:rPr>
          <w:rFonts w:hint="eastAsia"/>
          <w:color w:val="auto"/>
          <w:szCs w:val="24"/>
          <w:highlight w:val="none"/>
        </w:rPr>
        <w:t>（一）投标人基本情况表</w:t>
      </w:r>
    </w:p>
    <w:tbl>
      <w:tblPr>
        <w:tblStyle w:val="44"/>
        <w:tblW w:w="0" w:type="auto"/>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0A09CA0C">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CBC7BA0">
            <w:pPr>
              <w:autoSpaceDE w:val="0"/>
              <w:autoSpaceDN w:val="0"/>
              <w:adjustRightInd w:val="0"/>
              <w:snapToGrid w:val="0"/>
              <w:ind w:firstLine="0" w:firstLineChars="0"/>
              <w:jc w:val="center"/>
              <w:rPr>
                <w:rFonts w:ascii="宋体" w:hAnsi="宋体"/>
                <w:color w:val="auto"/>
                <w:kern w:val="0"/>
                <w:highlight w:val="none"/>
              </w:rPr>
            </w:pPr>
            <w:bookmarkStart w:id="589" w:name="_Toc390411623"/>
            <w:bookmarkStart w:id="590" w:name="_Toc421917003"/>
            <w:r>
              <w:rPr>
                <w:rFonts w:hint="eastAsia" w:ascii="宋体" w:hAnsi="宋体"/>
                <w:color w:val="auto"/>
                <w:kern w:val="0"/>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5A811276">
            <w:pPr>
              <w:autoSpaceDE w:val="0"/>
              <w:autoSpaceDN w:val="0"/>
              <w:adjustRightInd w:val="0"/>
              <w:snapToGrid w:val="0"/>
              <w:ind w:firstLine="480"/>
              <w:jc w:val="center"/>
              <w:rPr>
                <w:rFonts w:ascii="宋体" w:hAnsi="宋体"/>
                <w:color w:val="auto"/>
                <w:kern w:val="0"/>
                <w:highlight w:val="none"/>
              </w:rPr>
            </w:pPr>
          </w:p>
        </w:tc>
      </w:tr>
      <w:tr w14:paraId="06F181AF">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4D3750E">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4F8F0D71">
            <w:pPr>
              <w:autoSpaceDE w:val="0"/>
              <w:autoSpaceDN w:val="0"/>
              <w:adjustRightInd w:val="0"/>
              <w:snapToGrid w:val="0"/>
              <w:ind w:firstLine="480"/>
              <w:jc w:val="center"/>
              <w:rPr>
                <w:rFonts w:ascii="宋体" w:hAnsi="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6B3D1A8">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A9E32B9">
            <w:pPr>
              <w:autoSpaceDE w:val="0"/>
              <w:autoSpaceDN w:val="0"/>
              <w:adjustRightInd w:val="0"/>
              <w:snapToGrid w:val="0"/>
              <w:ind w:firstLine="480"/>
              <w:jc w:val="center"/>
              <w:rPr>
                <w:rFonts w:ascii="宋体" w:hAnsi="宋体"/>
                <w:color w:val="auto"/>
                <w:kern w:val="0"/>
                <w:highlight w:val="none"/>
              </w:rPr>
            </w:pPr>
          </w:p>
        </w:tc>
      </w:tr>
      <w:tr w14:paraId="3F5F8B2C">
        <w:tblPrEx>
          <w:tblCellMar>
            <w:top w:w="0" w:type="dxa"/>
            <w:left w:w="0" w:type="dxa"/>
            <w:bottom w:w="0" w:type="dxa"/>
            <w:right w:w="0" w:type="dxa"/>
          </w:tblCellMar>
        </w:tblPrEx>
        <w:trPr>
          <w:trHeight w:val="90"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C8DD7">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717785D">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0ABDD8E6">
            <w:pPr>
              <w:autoSpaceDE w:val="0"/>
              <w:autoSpaceDN w:val="0"/>
              <w:adjustRightInd w:val="0"/>
              <w:snapToGrid w:val="0"/>
              <w:ind w:firstLine="480"/>
              <w:jc w:val="center"/>
              <w:rPr>
                <w:rFonts w:ascii="宋体" w:hAnsi="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9239ADB">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 xml:space="preserve">电 </w:t>
            </w:r>
            <w:r>
              <w:rPr>
                <w:rFonts w:hint="eastAsia" w:ascii="宋体" w:hAnsi="宋体"/>
                <w:color w:val="auto"/>
                <w:spacing w:val="1"/>
                <w:kern w:val="0"/>
                <w:highlight w:val="none"/>
              </w:rPr>
              <w:t xml:space="preserve"> </w:t>
            </w:r>
            <w:r>
              <w:rPr>
                <w:rFonts w:hint="eastAsia" w:ascii="宋体" w:hAnsi="宋体"/>
                <w:color w:val="auto"/>
                <w:kern w:val="0"/>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55D0725">
            <w:pPr>
              <w:autoSpaceDE w:val="0"/>
              <w:autoSpaceDN w:val="0"/>
              <w:adjustRightInd w:val="0"/>
              <w:snapToGrid w:val="0"/>
              <w:ind w:firstLine="480"/>
              <w:jc w:val="center"/>
              <w:rPr>
                <w:rFonts w:ascii="宋体" w:hAnsi="宋体"/>
                <w:color w:val="auto"/>
                <w:kern w:val="0"/>
                <w:highlight w:val="none"/>
              </w:rPr>
            </w:pPr>
          </w:p>
        </w:tc>
      </w:tr>
      <w:tr w14:paraId="7980C7FB">
        <w:tblPrEx>
          <w:tblCellMar>
            <w:top w:w="0" w:type="dxa"/>
            <w:left w:w="0" w:type="dxa"/>
            <w:bottom w:w="0" w:type="dxa"/>
            <w:right w:w="0" w:type="dxa"/>
          </w:tblCellMar>
        </w:tblPrEx>
        <w:trPr>
          <w:trHeight w:val="90"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90230">
            <w:pPr>
              <w:widowControl/>
              <w:adjustRightInd w:val="0"/>
              <w:snapToGrid w:val="0"/>
              <w:ind w:firstLine="480"/>
              <w:jc w:val="center"/>
              <w:rPr>
                <w:rFonts w:ascii="宋体" w:hAnsi="宋体"/>
                <w:color w:val="auto"/>
                <w:kern w:val="0"/>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5CF49E8">
            <w:pPr>
              <w:tabs>
                <w:tab w:val="left" w:pos="540"/>
              </w:tabs>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731A31F8">
            <w:pPr>
              <w:autoSpaceDE w:val="0"/>
              <w:autoSpaceDN w:val="0"/>
              <w:adjustRightInd w:val="0"/>
              <w:snapToGrid w:val="0"/>
              <w:ind w:firstLine="480"/>
              <w:jc w:val="center"/>
              <w:rPr>
                <w:rFonts w:ascii="宋体" w:hAnsi="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527FE826">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A05F513">
            <w:pPr>
              <w:autoSpaceDE w:val="0"/>
              <w:autoSpaceDN w:val="0"/>
              <w:adjustRightInd w:val="0"/>
              <w:snapToGrid w:val="0"/>
              <w:ind w:firstLine="480"/>
              <w:jc w:val="center"/>
              <w:rPr>
                <w:rFonts w:ascii="宋体" w:hAnsi="宋体"/>
                <w:color w:val="auto"/>
                <w:kern w:val="0"/>
                <w:highlight w:val="none"/>
              </w:rPr>
            </w:pPr>
          </w:p>
        </w:tc>
      </w:tr>
      <w:tr w14:paraId="6062EC05">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933FB55">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BA99078">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8076A29">
            <w:pPr>
              <w:autoSpaceDE w:val="0"/>
              <w:autoSpaceDN w:val="0"/>
              <w:adjustRightInd w:val="0"/>
              <w:snapToGrid w:val="0"/>
              <w:ind w:firstLine="480"/>
              <w:jc w:val="center"/>
              <w:rPr>
                <w:rFonts w:ascii="宋体" w:hAnsi="宋体"/>
                <w:color w:val="auto"/>
                <w:kern w:val="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542BFE1A">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54050702">
            <w:pPr>
              <w:autoSpaceDE w:val="0"/>
              <w:autoSpaceDN w:val="0"/>
              <w:adjustRightInd w:val="0"/>
              <w:snapToGrid w:val="0"/>
              <w:ind w:firstLine="480"/>
              <w:jc w:val="center"/>
              <w:rPr>
                <w:rFonts w:ascii="宋体" w:hAnsi="宋体"/>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0AE072">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2616B78">
            <w:pPr>
              <w:autoSpaceDE w:val="0"/>
              <w:autoSpaceDN w:val="0"/>
              <w:adjustRightInd w:val="0"/>
              <w:snapToGrid w:val="0"/>
              <w:ind w:firstLine="480"/>
              <w:jc w:val="center"/>
              <w:rPr>
                <w:rFonts w:ascii="宋体" w:hAnsi="宋体"/>
                <w:color w:val="auto"/>
                <w:kern w:val="0"/>
                <w:highlight w:val="none"/>
              </w:rPr>
            </w:pPr>
          </w:p>
        </w:tc>
      </w:tr>
      <w:tr w14:paraId="705894A0">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A000BD8">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78F5FE7">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490887B">
            <w:pPr>
              <w:autoSpaceDE w:val="0"/>
              <w:autoSpaceDN w:val="0"/>
              <w:adjustRightInd w:val="0"/>
              <w:snapToGrid w:val="0"/>
              <w:ind w:firstLine="480"/>
              <w:jc w:val="center"/>
              <w:rPr>
                <w:rFonts w:ascii="宋体" w:hAnsi="宋体"/>
                <w:color w:val="auto"/>
                <w:kern w:val="0"/>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63367984">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05F181B7">
            <w:pPr>
              <w:autoSpaceDE w:val="0"/>
              <w:autoSpaceDN w:val="0"/>
              <w:adjustRightInd w:val="0"/>
              <w:snapToGrid w:val="0"/>
              <w:ind w:firstLine="480"/>
              <w:jc w:val="center"/>
              <w:rPr>
                <w:rFonts w:ascii="宋体" w:hAnsi="宋体"/>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5B15045">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F96E6E">
            <w:pPr>
              <w:autoSpaceDE w:val="0"/>
              <w:autoSpaceDN w:val="0"/>
              <w:adjustRightInd w:val="0"/>
              <w:snapToGrid w:val="0"/>
              <w:ind w:firstLine="480"/>
              <w:jc w:val="center"/>
              <w:rPr>
                <w:rFonts w:ascii="宋体" w:hAnsi="宋体"/>
                <w:color w:val="auto"/>
                <w:kern w:val="0"/>
                <w:highlight w:val="none"/>
              </w:rPr>
            </w:pPr>
          </w:p>
        </w:tc>
      </w:tr>
      <w:tr w14:paraId="7AE42912">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D6CE6B0">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307286E">
            <w:pPr>
              <w:autoSpaceDE w:val="0"/>
              <w:autoSpaceDN w:val="0"/>
              <w:adjustRightInd w:val="0"/>
              <w:snapToGrid w:val="0"/>
              <w:ind w:firstLine="480"/>
              <w:jc w:val="center"/>
              <w:rPr>
                <w:rFonts w:ascii="宋体" w:hAnsi="宋体"/>
                <w:color w:val="auto"/>
                <w:kern w:val="0"/>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0993774E">
            <w:pPr>
              <w:autoSpaceDE w:val="0"/>
              <w:autoSpaceDN w:val="0"/>
              <w:adjustRightInd w:val="0"/>
              <w:snapToGrid w:val="0"/>
              <w:ind w:firstLine="480"/>
              <w:jc w:val="center"/>
              <w:rPr>
                <w:rFonts w:ascii="宋体" w:hAnsi="宋体"/>
                <w:color w:val="auto"/>
                <w:kern w:val="0"/>
                <w:highlight w:val="none"/>
              </w:rPr>
            </w:pPr>
            <w:r>
              <w:rPr>
                <w:rFonts w:hint="eastAsia" w:ascii="宋体" w:hAnsi="宋体"/>
                <w:color w:val="auto"/>
                <w:kern w:val="0"/>
                <w:highlight w:val="none"/>
              </w:rPr>
              <w:t>员工总人数：</w:t>
            </w:r>
          </w:p>
        </w:tc>
      </w:tr>
      <w:tr w14:paraId="4FBBB6E3">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0D5B98F">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6BDEA5D">
            <w:pPr>
              <w:autoSpaceDE w:val="0"/>
              <w:autoSpaceDN w:val="0"/>
              <w:adjustRightInd w:val="0"/>
              <w:snapToGrid w:val="0"/>
              <w:ind w:firstLine="480"/>
              <w:jc w:val="center"/>
              <w:rPr>
                <w:rFonts w:ascii="宋体" w:hAnsi="宋体"/>
                <w:color w:val="auto"/>
                <w:kern w:val="0"/>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423DA">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F8854AC">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国家注册监理工程师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369DC8CF">
            <w:pPr>
              <w:autoSpaceDE w:val="0"/>
              <w:autoSpaceDN w:val="0"/>
              <w:adjustRightInd w:val="0"/>
              <w:snapToGrid w:val="0"/>
              <w:ind w:firstLine="480"/>
              <w:jc w:val="center"/>
              <w:rPr>
                <w:rFonts w:ascii="宋体" w:hAnsi="宋体"/>
                <w:color w:val="auto"/>
                <w:kern w:val="0"/>
                <w:highlight w:val="none"/>
              </w:rPr>
            </w:pPr>
          </w:p>
        </w:tc>
      </w:tr>
      <w:tr w14:paraId="0CE1807D">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34670D">
            <w:pPr>
              <w:autoSpaceDE w:val="0"/>
              <w:autoSpaceDN w:val="0"/>
              <w:adjustRightInd w:val="0"/>
              <w:snapToGrid w:val="0"/>
              <w:spacing w:line="240" w:lineRule="auto"/>
              <w:ind w:firstLine="0" w:firstLineChars="0"/>
              <w:jc w:val="center"/>
              <w:rPr>
                <w:rFonts w:ascii="宋体" w:hAnsi="宋体"/>
                <w:color w:val="auto"/>
                <w:kern w:val="0"/>
                <w:highlight w:val="none"/>
              </w:rPr>
            </w:pPr>
            <w:r>
              <w:rPr>
                <w:rFonts w:hint="eastAsia" w:ascii="宋体" w:hAnsi="宋体"/>
                <w:color w:val="auto"/>
                <w:kern w:val="0"/>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403AF2EE">
            <w:pPr>
              <w:autoSpaceDE w:val="0"/>
              <w:autoSpaceDN w:val="0"/>
              <w:adjustRightInd w:val="0"/>
              <w:snapToGrid w:val="0"/>
              <w:ind w:firstLine="480"/>
              <w:jc w:val="center"/>
              <w:rPr>
                <w:rFonts w:ascii="宋体" w:hAnsi="宋体"/>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76A74">
            <w:pPr>
              <w:widowControl/>
              <w:adjustRightInd w:val="0"/>
              <w:snapToGrid w:val="0"/>
              <w:ind w:firstLine="480"/>
              <w:jc w:val="center"/>
              <w:rPr>
                <w:rFonts w:ascii="宋体" w:hAnsi="宋体"/>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AF6DEFF">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6E765A4D">
            <w:pPr>
              <w:autoSpaceDE w:val="0"/>
              <w:autoSpaceDN w:val="0"/>
              <w:adjustRightInd w:val="0"/>
              <w:snapToGrid w:val="0"/>
              <w:ind w:firstLine="480"/>
              <w:jc w:val="center"/>
              <w:rPr>
                <w:rFonts w:ascii="宋体" w:hAnsi="宋体"/>
                <w:color w:val="auto"/>
                <w:kern w:val="0"/>
                <w:highlight w:val="none"/>
              </w:rPr>
            </w:pPr>
          </w:p>
        </w:tc>
      </w:tr>
      <w:tr w14:paraId="460C250B">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4B65A11">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9D4C0F2">
            <w:pPr>
              <w:autoSpaceDE w:val="0"/>
              <w:autoSpaceDN w:val="0"/>
              <w:adjustRightInd w:val="0"/>
              <w:snapToGrid w:val="0"/>
              <w:ind w:firstLine="480"/>
              <w:jc w:val="center"/>
              <w:rPr>
                <w:rFonts w:ascii="宋体" w:hAnsi="宋体"/>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3CFDF">
            <w:pPr>
              <w:widowControl/>
              <w:adjustRightInd w:val="0"/>
              <w:snapToGrid w:val="0"/>
              <w:ind w:firstLine="480"/>
              <w:jc w:val="center"/>
              <w:rPr>
                <w:rFonts w:ascii="宋体" w:hAnsi="宋体"/>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80BDA97">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6CC7E90F">
            <w:pPr>
              <w:autoSpaceDE w:val="0"/>
              <w:autoSpaceDN w:val="0"/>
              <w:adjustRightInd w:val="0"/>
              <w:snapToGrid w:val="0"/>
              <w:ind w:firstLine="480"/>
              <w:jc w:val="center"/>
              <w:rPr>
                <w:rFonts w:ascii="宋体" w:hAnsi="宋体"/>
                <w:color w:val="auto"/>
                <w:kern w:val="0"/>
                <w:highlight w:val="none"/>
              </w:rPr>
            </w:pPr>
          </w:p>
        </w:tc>
      </w:tr>
      <w:tr w14:paraId="41D97544">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76A0187">
            <w:pPr>
              <w:autoSpaceDE w:val="0"/>
              <w:autoSpaceDN w:val="0"/>
              <w:adjustRightInd w:val="0"/>
              <w:snapToGrid w:val="0"/>
              <w:spacing w:line="240" w:lineRule="auto"/>
              <w:ind w:firstLine="0" w:firstLineChars="0"/>
              <w:jc w:val="center"/>
              <w:rPr>
                <w:rFonts w:ascii="宋体" w:hAnsi="宋体"/>
                <w:color w:val="auto"/>
                <w:kern w:val="0"/>
                <w:highlight w:val="none"/>
              </w:rPr>
            </w:pPr>
            <w:r>
              <w:rPr>
                <w:rFonts w:hint="eastAsia" w:ascii="宋体" w:hAnsi="宋体"/>
                <w:color w:val="auto"/>
                <w:kern w:val="0"/>
                <w:highlight w:val="none"/>
              </w:rPr>
              <w:t>基本存款账户开户银行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D9E8130">
            <w:pPr>
              <w:autoSpaceDE w:val="0"/>
              <w:autoSpaceDN w:val="0"/>
              <w:adjustRightInd w:val="0"/>
              <w:snapToGrid w:val="0"/>
              <w:spacing w:line="240" w:lineRule="auto"/>
              <w:ind w:firstLine="480"/>
              <w:jc w:val="center"/>
              <w:rPr>
                <w:rFonts w:ascii="宋体" w:hAnsi="宋体"/>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27B87">
            <w:pPr>
              <w:widowControl/>
              <w:adjustRightInd w:val="0"/>
              <w:snapToGrid w:val="0"/>
              <w:spacing w:line="240" w:lineRule="auto"/>
              <w:ind w:firstLine="480"/>
              <w:jc w:val="center"/>
              <w:rPr>
                <w:rFonts w:ascii="宋体" w:hAnsi="宋体"/>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8B81B2B">
            <w:pPr>
              <w:autoSpaceDE w:val="0"/>
              <w:autoSpaceDN w:val="0"/>
              <w:adjustRightInd w:val="0"/>
              <w:snapToGrid w:val="0"/>
              <w:spacing w:line="240" w:lineRule="auto"/>
              <w:ind w:firstLine="0" w:firstLineChars="0"/>
              <w:jc w:val="center"/>
              <w:rPr>
                <w:rFonts w:ascii="宋体" w:hAnsi="宋体"/>
                <w:color w:val="auto"/>
                <w:kern w:val="0"/>
                <w:highlight w:val="none"/>
              </w:rPr>
            </w:pPr>
            <w:r>
              <w:rPr>
                <w:rFonts w:hint="eastAsia" w:ascii="宋体" w:hAnsi="宋体"/>
                <w:color w:val="auto"/>
                <w:kern w:val="0"/>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1C7C378">
            <w:pPr>
              <w:autoSpaceDE w:val="0"/>
              <w:autoSpaceDN w:val="0"/>
              <w:adjustRightInd w:val="0"/>
              <w:snapToGrid w:val="0"/>
              <w:ind w:firstLine="480"/>
              <w:jc w:val="center"/>
              <w:rPr>
                <w:rFonts w:ascii="宋体" w:hAnsi="宋体"/>
                <w:color w:val="auto"/>
                <w:kern w:val="0"/>
                <w:highlight w:val="none"/>
              </w:rPr>
            </w:pPr>
          </w:p>
        </w:tc>
      </w:tr>
      <w:tr w14:paraId="21280A28">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76EEA2F">
            <w:pPr>
              <w:autoSpaceDE w:val="0"/>
              <w:autoSpaceDN w:val="0"/>
              <w:adjustRightInd w:val="0"/>
              <w:snapToGrid w:val="0"/>
              <w:spacing w:line="240" w:lineRule="auto"/>
              <w:ind w:firstLine="0" w:firstLineChars="0"/>
              <w:jc w:val="center"/>
              <w:rPr>
                <w:rFonts w:ascii="宋体" w:hAnsi="宋体"/>
                <w:color w:val="auto"/>
                <w:kern w:val="0"/>
                <w:highlight w:val="none"/>
              </w:rPr>
            </w:pPr>
            <w:r>
              <w:rPr>
                <w:rFonts w:hint="eastAsia" w:ascii="宋体" w:hAnsi="宋体"/>
                <w:color w:val="auto"/>
                <w:kern w:val="0"/>
                <w:highlight w:val="none"/>
              </w:rPr>
              <w:t>基本存款账户银行账号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282E1F5">
            <w:pPr>
              <w:autoSpaceDE w:val="0"/>
              <w:autoSpaceDN w:val="0"/>
              <w:adjustRightInd w:val="0"/>
              <w:snapToGrid w:val="0"/>
              <w:spacing w:line="240" w:lineRule="auto"/>
              <w:ind w:firstLine="480"/>
              <w:jc w:val="center"/>
              <w:rPr>
                <w:rFonts w:ascii="宋体" w:hAnsi="宋体"/>
                <w:color w:val="auto"/>
                <w:kern w:val="0"/>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8E45F">
            <w:pPr>
              <w:widowControl/>
              <w:adjustRightInd w:val="0"/>
              <w:snapToGrid w:val="0"/>
              <w:spacing w:line="240" w:lineRule="auto"/>
              <w:ind w:firstLine="480"/>
              <w:jc w:val="center"/>
              <w:rPr>
                <w:rFonts w:ascii="宋体" w:hAnsi="宋体"/>
                <w:color w:val="auto"/>
                <w:kern w:val="0"/>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2CBCD7C">
            <w:pPr>
              <w:autoSpaceDE w:val="0"/>
              <w:autoSpaceDN w:val="0"/>
              <w:adjustRightInd w:val="0"/>
              <w:snapToGrid w:val="0"/>
              <w:spacing w:line="240" w:lineRule="auto"/>
              <w:ind w:firstLine="0" w:firstLineChars="0"/>
              <w:jc w:val="center"/>
              <w:rPr>
                <w:rFonts w:ascii="宋体" w:hAnsi="宋体"/>
                <w:color w:val="auto"/>
                <w:kern w:val="0"/>
                <w:highlight w:val="none"/>
              </w:rPr>
            </w:pPr>
            <w:r>
              <w:rPr>
                <w:rFonts w:hint="eastAsia" w:ascii="宋体" w:hAnsi="宋体"/>
                <w:color w:val="auto"/>
                <w:kern w:val="0"/>
                <w:highlight w:val="none"/>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6FA981FC">
            <w:pPr>
              <w:autoSpaceDE w:val="0"/>
              <w:autoSpaceDN w:val="0"/>
              <w:adjustRightInd w:val="0"/>
              <w:snapToGrid w:val="0"/>
              <w:ind w:firstLine="480"/>
              <w:jc w:val="center"/>
              <w:rPr>
                <w:rFonts w:ascii="宋体" w:hAnsi="宋体"/>
                <w:color w:val="auto"/>
                <w:kern w:val="0"/>
                <w:highlight w:val="none"/>
              </w:rPr>
            </w:pPr>
          </w:p>
        </w:tc>
      </w:tr>
      <w:tr w14:paraId="5EDA71B2">
        <w:tblPrEx>
          <w:tblCellMar>
            <w:top w:w="0" w:type="dxa"/>
            <w:left w:w="0" w:type="dxa"/>
            <w:bottom w:w="0" w:type="dxa"/>
            <w:right w:w="0" w:type="dxa"/>
          </w:tblCellMar>
        </w:tblPrEx>
        <w:trPr>
          <w:trHeight w:val="90"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2C068D80">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6425F8C6">
            <w:pPr>
              <w:autoSpaceDE w:val="0"/>
              <w:autoSpaceDN w:val="0"/>
              <w:adjustRightInd w:val="0"/>
              <w:snapToGrid w:val="0"/>
              <w:ind w:firstLine="480"/>
              <w:jc w:val="center"/>
              <w:rPr>
                <w:rFonts w:ascii="宋体" w:hAnsi="宋体"/>
                <w:color w:val="auto"/>
                <w:kern w:val="0"/>
                <w:highlight w:val="none"/>
              </w:rPr>
            </w:pPr>
          </w:p>
        </w:tc>
      </w:tr>
      <w:tr w14:paraId="46AC603F">
        <w:tblPrEx>
          <w:tblCellMar>
            <w:top w:w="0" w:type="dxa"/>
            <w:left w:w="0" w:type="dxa"/>
            <w:bottom w:w="0" w:type="dxa"/>
            <w:right w:w="0" w:type="dxa"/>
          </w:tblCellMar>
        </w:tblPrEx>
        <w:trPr>
          <w:trHeight w:val="46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4D853D3D">
            <w:pPr>
              <w:autoSpaceDE w:val="0"/>
              <w:autoSpaceDN w:val="0"/>
              <w:adjustRightInd w:val="0"/>
              <w:snapToGrid w:val="0"/>
              <w:ind w:firstLine="0" w:firstLineChars="0"/>
              <w:jc w:val="center"/>
              <w:rPr>
                <w:color w:val="auto"/>
                <w:szCs w:val="21"/>
                <w:highlight w:val="none"/>
              </w:rPr>
            </w:pPr>
            <w:r>
              <w:rPr>
                <w:rFonts w:ascii="宋体" w:hAnsi="宋体"/>
                <w:color w:val="auto"/>
                <w:kern w:val="0"/>
                <w:highlight w:val="none"/>
              </w:rPr>
              <w:t>投标人关联企业情况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42DDEC21">
            <w:pPr>
              <w:topLinePunct/>
              <w:ind w:firstLine="0" w:firstLineChars="0"/>
              <w:jc w:val="left"/>
              <w:rPr>
                <w:color w:val="auto"/>
                <w:highlight w:val="none"/>
              </w:rPr>
            </w:pPr>
            <w:r>
              <w:rPr>
                <w:rFonts w:hint="eastAsia"/>
                <w:color w:val="auto"/>
                <w:highlight w:val="none"/>
              </w:rPr>
              <w:t>投标人应提供关联企业情况，包括：</w:t>
            </w:r>
          </w:p>
          <w:p w14:paraId="6C2FB908">
            <w:pPr>
              <w:topLinePunct/>
              <w:ind w:firstLine="0" w:firstLineChars="0"/>
              <w:jc w:val="left"/>
              <w:rPr>
                <w:color w:val="auto"/>
                <w:highlight w:val="none"/>
              </w:rPr>
            </w:pPr>
            <w:r>
              <w:rPr>
                <w:rFonts w:hint="eastAsia"/>
                <w:color w:val="auto"/>
                <w:highlight w:val="none"/>
              </w:rPr>
              <w:t>（1）投标人投资（控股）或管理的下属企业名称、持有股权（出资额）比例；</w:t>
            </w:r>
          </w:p>
          <w:p w14:paraId="4AD2A49E">
            <w:pPr>
              <w:topLinePunct/>
              <w:ind w:firstLine="0" w:firstLineChars="0"/>
              <w:jc w:val="left"/>
              <w:rPr>
                <w:rFonts w:hint="eastAsia"/>
                <w:color w:val="auto"/>
                <w:highlight w:val="none"/>
              </w:rPr>
            </w:pPr>
            <w:r>
              <w:rPr>
                <w:rFonts w:hint="eastAsia"/>
                <w:color w:val="auto"/>
                <w:highlight w:val="none"/>
              </w:rPr>
              <w:t>（2）与投标人单位负责人（即法定代表人）为同一人的其他单位名称；</w:t>
            </w:r>
          </w:p>
          <w:p w14:paraId="143FB26D">
            <w:pPr>
              <w:topLinePunct/>
              <w:ind w:firstLine="0" w:firstLineChars="0"/>
              <w:jc w:val="left"/>
              <w:rPr>
                <w:color w:val="auto"/>
                <w:highlight w:val="none"/>
              </w:rPr>
            </w:pPr>
            <w:r>
              <w:rPr>
                <w:rFonts w:hint="eastAsia"/>
                <w:color w:val="auto"/>
                <w:szCs w:val="21"/>
                <w:highlight w:val="none"/>
              </w:rPr>
              <w:t>（3）......</w:t>
            </w:r>
          </w:p>
        </w:tc>
      </w:tr>
      <w:tr w14:paraId="4247B9A6">
        <w:tblPrEx>
          <w:tblCellMar>
            <w:top w:w="0" w:type="dxa"/>
            <w:left w:w="0" w:type="dxa"/>
            <w:bottom w:w="0" w:type="dxa"/>
            <w:right w:w="0"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7F85D44">
            <w:pPr>
              <w:autoSpaceDE w:val="0"/>
              <w:autoSpaceDN w:val="0"/>
              <w:adjustRightInd w:val="0"/>
              <w:snapToGrid w:val="0"/>
              <w:ind w:firstLine="0" w:firstLineChars="0"/>
              <w:jc w:val="center"/>
              <w:rPr>
                <w:rFonts w:ascii="宋体" w:hAnsi="宋体"/>
                <w:color w:val="auto"/>
                <w:kern w:val="0"/>
                <w:highlight w:val="none"/>
              </w:rPr>
            </w:pPr>
            <w:r>
              <w:rPr>
                <w:rFonts w:hint="eastAsia" w:ascii="宋体" w:hAnsi="宋体"/>
                <w:color w:val="auto"/>
                <w:kern w:val="0"/>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6DEB58CE">
            <w:pPr>
              <w:autoSpaceDE w:val="0"/>
              <w:autoSpaceDN w:val="0"/>
              <w:adjustRightInd w:val="0"/>
              <w:snapToGrid w:val="0"/>
              <w:ind w:firstLine="480"/>
              <w:jc w:val="center"/>
              <w:rPr>
                <w:rFonts w:ascii="宋体" w:hAnsi="宋体"/>
                <w:color w:val="auto"/>
                <w:kern w:val="0"/>
                <w:highlight w:val="none"/>
              </w:rPr>
            </w:pPr>
          </w:p>
        </w:tc>
      </w:tr>
      <w:bookmarkEnd w:id="589"/>
      <w:bookmarkEnd w:id="590"/>
    </w:tbl>
    <w:p w14:paraId="0BE74802">
      <w:pPr>
        <w:autoSpaceDE w:val="0"/>
        <w:autoSpaceDN w:val="0"/>
        <w:adjustRightInd w:val="0"/>
        <w:spacing w:line="360" w:lineRule="auto"/>
        <w:ind w:firstLine="480"/>
        <w:jc w:val="left"/>
        <w:rPr>
          <w:color w:val="auto"/>
          <w:highlight w:val="none"/>
        </w:rPr>
      </w:pPr>
      <w:r>
        <w:rPr>
          <w:rFonts w:hint="eastAsia" w:ascii="宋体" w:hAnsi="宋体"/>
          <w:color w:val="auto"/>
          <w:highlight w:val="none"/>
        </w:rPr>
        <w:t>注：</w:t>
      </w:r>
      <w:r>
        <w:rPr>
          <w:rFonts w:hint="eastAsia" w:ascii="宋体" w:hAnsi="宋体" w:cs="宋体"/>
          <w:color w:val="auto"/>
          <w:kern w:val="0"/>
          <w:szCs w:val="21"/>
          <w:highlight w:val="none"/>
        </w:rPr>
        <w:t>投标人应根据招标文件第二章“投标人须知”前附表附录</w:t>
      </w:r>
      <w:r>
        <w:rPr>
          <w:rFonts w:ascii="宋体" w:hAnsi="宋体" w:cs="宋体"/>
          <w:color w:val="auto"/>
          <w:kern w:val="0"/>
          <w:szCs w:val="21"/>
          <w:highlight w:val="none"/>
        </w:rPr>
        <w:t>1的要求在本表后附</w:t>
      </w:r>
      <w:r>
        <w:rPr>
          <w:rFonts w:hint="eastAsia" w:ascii="宋体" w:hAnsi="宋体" w:cs="宋体"/>
          <w:color w:val="auto"/>
          <w:kern w:val="0"/>
          <w:szCs w:val="21"/>
          <w:highlight w:val="none"/>
        </w:rPr>
        <w:t>资质证书、营业执照等材料</w:t>
      </w:r>
      <w:r>
        <w:rPr>
          <w:rFonts w:hint="eastAsia" w:ascii="宋体" w:hAnsi="宋体"/>
          <w:color w:val="auto"/>
          <w:kern w:val="0"/>
          <w:highlight w:val="none"/>
        </w:rPr>
        <w:t>。接受联合体的，联合体成员分别填写。</w:t>
      </w:r>
    </w:p>
    <w:p w14:paraId="717DF3B1">
      <w:pPr>
        <w:pStyle w:val="7"/>
        <w:spacing w:before="240" w:after="240"/>
        <w:ind w:firstLine="118"/>
        <w:jc w:val="center"/>
        <w:rPr>
          <w:rFonts w:hint="eastAsia"/>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p>
    <w:p w14:paraId="140733CD">
      <w:pPr>
        <w:pStyle w:val="7"/>
        <w:spacing w:before="240" w:after="240"/>
        <w:ind w:firstLine="118"/>
        <w:jc w:val="center"/>
        <w:rPr>
          <w:bCs/>
          <w:color w:val="auto"/>
          <w:highlight w:val="none"/>
        </w:rPr>
      </w:pPr>
      <w:r>
        <w:rPr>
          <w:rFonts w:hint="eastAsia"/>
          <w:color w:val="auto"/>
          <w:highlight w:val="none"/>
        </w:rPr>
        <w:t>（二）投标人业绩情况表（资格审查）</w:t>
      </w:r>
    </w:p>
    <w:tbl>
      <w:tblPr>
        <w:tblStyle w:val="4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3"/>
        <w:gridCol w:w="6138"/>
        <w:gridCol w:w="1205"/>
      </w:tblGrid>
      <w:tr w14:paraId="65BD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0D06DDAC">
            <w:pPr>
              <w:ind w:firstLine="0" w:firstLineChars="0"/>
              <w:jc w:val="center"/>
              <w:rPr>
                <w:b/>
                <w:color w:val="auto"/>
                <w:highlight w:val="none"/>
              </w:rPr>
            </w:pPr>
            <w:r>
              <w:rPr>
                <w:rFonts w:hint="eastAsia"/>
                <w:b/>
                <w:color w:val="auto"/>
                <w:highlight w:val="none"/>
              </w:rPr>
              <w:t>业绩序号</w:t>
            </w:r>
          </w:p>
        </w:tc>
        <w:tc>
          <w:tcPr>
            <w:tcW w:w="3468" w:type="pct"/>
            <w:noWrap w:val="0"/>
            <w:vAlign w:val="center"/>
          </w:tcPr>
          <w:p w14:paraId="6F32F6CF">
            <w:pPr>
              <w:ind w:firstLine="0" w:firstLineChars="0"/>
              <w:jc w:val="center"/>
              <w:rPr>
                <w:rFonts w:hint="eastAsia"/>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681" w:type="pct"/>
            <w:noWrap w:val="0"/>
            <w:vAlign w:val="center"/>
          </w:tcPr>
          <w:p w14:paraId="09C1FCF6">
            <w:pPr>
              <w:ind w:firstLine="0" w:firstLineChars="0"/>
              <w:jc w:val="center"/>
              <w:rPr>
                <w:b/>
                <w:color w:val="auto"/>
                <w:highlight w:val="none"/>
              </w:rPr>
            </w:pPr>
            <w:r>
              <w:rPr>
                <w:rFonts w:hint="eastAsia"/>
                <w:b/>
                <w:color w:val="auto"/>
                <w:highlight w:val="none"/>
              </w:rPr>
              <w:t>备注</w:t>
            </w:r>
          </w:p>
        </w:tc>
      </w:tr>
      <w:tr w14:paraId="49C7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6E48F6EE">
            <w:pPr>
              <w:ind w:firstLine="0" w:firstLineChars="0"/>
              <w:jc w:val="center"/>
              <w:rPr>
                <w:color w:val="auto"/>
                <w:highlight w:val="none"/>
              </w:rPr>
            </w:pPr>
            <w:r>
              <w:rPr>
                <w:rFonts w:hint="eastAsia"/>
                <w:color w:val="auto"/>
                <w:highlight w:val="none"/>
              </w:rPr>
              <w:t>1</w:t>
            </w:r>
          </w:p>
        </w:tc>
        <w:tc>
          <w:tcPr>
            <w:tcW w:w="3468" w:type="pct"/>
            <w:noWrap w:val="0"/>
            <w:vAlign w:val="center"/>
          </w:tcPr>
          <w:p w14:paraId="21F64125">
            <w:pPr>
              <w:ind w:firstLine="480"/>
              <w:jc w:val="center"/>
              <w:rPr>
                <w:rFonts w:hint="eastAsia"/>
                <w:color w:val="auto"/>
                <w:highlight w:val="none"/>
              </w:rPr>
            </w:pPr>
          </w:p>
        </w:tc>
        <w:tc>
          <w:tcPr>
            <w:tcW w:w="681" w:type="pct"/>
            <w:noWrap w:val="0"/>
            <w:vAlign w:val="center"/>
          </w:tcPr>
          <w:p w14:paraId="5416C862">
            <w:pPr>
              <w:ind w:firstLine="480"/>
              <w:jc w:val="center"/>
              <w:rPr>
                <w:color w:val="auto"/>
                <w:highlight w:val="none"/>
              </w:rPr>
            </w:pPr>
          </w:p>
        </w:tc>
      </w:tr>
      <w:tr w14:paraId="3FA9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4419D462">
            <w:pPr>
              <w:ind w:firstLine="0" w:firstLineChars="0"/>
              <w:jc w:val="center"/>
              <w:rPr>
                <w:color w:val="auto"/>
                <w:highlight w:val="none"/>
              </w:rPr>
            </w:pPr>
            <w:r>
              <w:rPr>
                <w:color w:val="auto"/>
                <w:highlight w:val="none"/>
              </w:rPr>
              <w:t>2</w:t>
            </w:r>
          </w:p>
        </w:tc>
        <w:tc>
          <w:tcPr>
            <w:tcW w:w="3468" w:type="pct"/>
            <w:noWrap w:val="0"/>
            <w:vAlign w:val="center"/>
          </w:tcPr>
          <w:p w14:paraId="79FA8D5E">
            <w:pPr>
              <w:ind w:firstLine="480"/>
              <w:jc w:val="center"/>
              <w:rPr>
                <w:rFonts w:hint="eastAsia"/>
                <w:color w:val="auto"/>
                <w:highlight w:val="none"/>
              </w:rPr>
            </w:pPr>
          </w:p>
        </w:tc>
        <w:tc>
          <w:tcPr>
            <w:tcW w:w="681" w:type="pct"/>
            <w:noWrap w:val="0"/>
            <w:vAlign w:val="center"/>
          </w:tcPr>
          <w:p w14:paraId="0D4E4B03">
            <w:pPr>
              <w:ind w:firstLine="480"/>
              <w:jc w:val="center"/>
              <w:rPr>
                <w:color w:val="auto"/>
                <w:highlight w:val="none"/>
              </w:rPr>
            </w:pPr>
          </w:p>
        </w:tc>
      </w:tr>
      <w:tr w14:paraId="3BD9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321ED9B5">
            <w:pPr>
              <w:ind w:firstLine="0" w:firstLineChars="0"/>
              <w:jc w:val="center"/>
              <w:rPr>
                <w:color w:val="auto"/>
                <w:highlight w:val="none"/>
              </w:rPr>
            </w:pPr>
            <w:r>
              <w:rPr>
                <w:rFonts w:hint="eastAsia"/>
                <w:color w:val="auto"/>
                <w:highlight w:val="none"/>
              </w:rPr>
              <w:t>……</w:t>
            </w:r>
          </w:p>
        </w:tc>
        <w:tc>
          <w:tcPr>
            <w:tcW w:w="3468" w:type="pct"/>
            <w:noWrap w:val="0"/>
            <w:vAlign w:val="center"/>
          </w:tcPr>
          <w:p w14:paraId="7942B3E6">
            <w:pPr>
              <w:ind w:firstLine="480"/>
              <w:jc w:val="center"/>
              <w:rPr>
                <w:color w:val="auto"/>
                <w:highlight w:val="none"/>
              </w:rPr>
            </w:pPr>
          </w:p>
        </w:tc>
        <w:tc>
          <w:tcPr>
            <w:tcW w:w="681" w:type="pct"/>
            <w:noWrap w:val="0"/>
            <w:vAlign w:val="center"/>
          </w:tcPr>
          <w:p w14:paraId="5C3683FF">
            <w:pPr>
              <w:ind w:firstLine="480"/>
              <w:jc w:val="center"/>
              <w:rPr>
                <w:color w:val="auto"/>
                <w:highlight w:val="none"/>
              </w:rPr>
            </w:pPr>
          </w:p>
        </w:tc>
      </w:tr>
    </w:tbl>
    <w:p w14:paraId="2A010CFE">
      <w:pPr>
        <w:spacing w:line="360" w:lineRule="auto"/>
        <w:ind w:firstLine="480"/>
        <w:rPr>
          <w:color w:val="auto"/>
          <w:highlight w:val="none"/>
        </w:rPr>
      </w:pPr>
      <w:r>
        <w:rPr>
          <w:rFonts w:hint="eastAsia"/>
          <w:color w:val="auto"/>
          <w:highlight w:val="none"/>
        </w:rPr>
        <w:t>注：</w:t>
      </w:r>
    </w:p>
    <w:p w14:paraId="1C14EBD5">
      <w:pPr>
        <w:spacing w:line="360" w:lineRule="auto"/>
        <w:ind w:firstLine="480"/>
        <w:rPr>
          <w:color w:val="auto"/>
          <w:highlight w:val="none"/>
        </w:rPr>
      </w:pPr>
      <w:r>
        <w:rPr>
          <w:rFonts w:hint="eastAsia"/>
          <w:color w:val="auto"/>
          <w:highlight w:val="none"/>
        </w:rPr>
        <w:t>1.投标人应将用于资格审查的投标人业绩在上表中列明，按照列明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依次填写“投标人</w:t>
      </w:r>
      <w:r>
        <w:rPr>
          <w:color w:val="auto"/>
          <w:highlight w:val="none"/>
        </w:rPr>
        <w:t>业绩</w:t>
      </w:r>
      <w:r>
        <w:rPr>
          <w:rFonts w:hint="eastAsia"/>
          <w:color w:val="auto"/>
          <w:highlight w:val="none"/>
        </w:rPr>
        <w:t>信息</w:t>
      </w:r>
      <w:r>
        <w:rPr>
          <w:color w:val="auto"/>
          <w:highlight w:val="none"/>
        </w:rPr>
        <w:t>表</w:t>
      </w:r>
      <w:r>
        <w:rPr>
          <w:rFonts w:hint="eastAsia"/>
          <w:color w:val="auto"/>
          <w:highlight w:val="none"/>
        </w:rPr>
        <w:t>（资格</w:t>
      </w:r>
      <w:r>
        <w:rPr>
          <w:color w:val="auto"/>
          <w:highlight w:val="none"/>
        </w:rPr>
        <w:t>审查</w:t>
      </w:r>
      <w:r>
        <w:rPr>
          <w:rFonts w:hint="eastAsia"/>
          <w:color w:val="auto"/>
          <w:highlight w:val="none"/>
        </w:rPr>
        <w:t>）”，并附相应业绩证明材料。</w:t>
      </w:r>
    </w:p>
    <w:p w14:paraId="0834C4F5">
      <w:pPr>
        <w:spacing w:line="360" w:lineRule="auto"/>
        <w:ind w:firstLine="480"/>
        <w:rPr>
          <w:color w:val="auto"/>
          <w:highlight w:val="none"/>
        </w:rPr>
      </w:pPr>
      <w:r>
        <w:rPr>
          <w:rFonts w:hint="eastAsia"/>
          <w:color w:val="auto"/>
          <w:highlight w:val="none"/>
        </w:rPr>
        <w:t>2.评标</w:t>
      </w:r>
      <w:r>
        <w:rPr>
          <w:color w:val="auto"/>
          <w:highlight w:val="none"/>
        </w:rPr>
        <w:t>委员会应当按照上表</w:t>
      </w:r>
      <w:r>
        <w:rPr>
          <w:rFonts w:hint="eastAsia"/>
          <w:color w:val="auto"/>
          <w:highlight w:val="none"/>
        </w:rPr>
        <w:t>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w:t>
      </w:r>
      <w:r>
        <w:rPr>
          <w:color w:val="auto"/>
          <w:highlight w:val="none"/>
        </w:rPr>
        <w:t>进行评审，</w:t>
      </w:r>
      <w:r>
        <w:rPr>
          <w:rFonts w:hint="eastAsia"/>
          <w:color w:val="auto"/>
          <w:highlight w:val="none"/>
        </w:rPr>
        <w:t>且仅评审“附录2 资格审查条件（业绩最低要求）”规定数量的业绩，超出规定数量部分或未在上表列明的业绩均不作为资格审查投标人业绩予以评审。</w:t>
      </w:r>
    </w:p>
    <w:p w14:paraId="1AE748E1">
      <w:pPr>
        <w:tabs>
          <w:tab w:val="left" w:pos="8422"/>
          <w:tab w:val="left" w:pos="9622"/>
        </w:tabs>
        <w:ind w:left="0" w:leftChars="0" w:right="120" w:rightChars="50" w:firstLine="0" w:firstLineChars="0"/>
        <w:jc w:val="center"/>
        <w:rPr>
          <w:color w:val="auto"/>
          <w:highlight w:val="none"/>
        </w:rPr>
      </w:pPr>
    </w:p>
    <w:p w14:paraId="2773C9C2">
      <w:pPr>
        <w:bidi w:val="0"/>
        <w:ind w:left="0" w:leftChars="0" w:firstLine="0" w:firstLineChars="0"/>
        <w:jc w:val="center"/>
        <w:rPr>
          <w:color w:val="auto"/>
          <w:highlight w:val="none"/>
        </w:rPr>
      </w:pPr>
    </w:p>
    <w:p w14:paraId="5BF4359F">
      <w:pPr>
        <w:adjustRightInd w:val="0"/>
        <w:snapToGrid w:val="0"/>
        <w:ind w:firstLine="960"/>
        <w:jc w:val="right"/>
        <w:rPr>
          <w:rFonts w:hint="eastAsia"/>
          <w:bCs/>
          <w:color w:val="auto"/>
          <w:szCs w:val="21"/>
          <w:highlight w:val="none"/>
          <w:u w:val="single"/>
        </w:rPr>
      </w:pPr>
      <w:r>
        <w:rPr>
          <w:rFonts w:hint="eastAsia"/>
          <w:bCs/>
          <w:color w:val="auto"/>
          <w:spacing w:val="120"/>
          <w:kern w:val="0"/>
          <w:szCs w:val="21"/>
          <w:highlight w:val="none"/>
          <w:fitText w:val="1200" w:id="1730628868"/>
        </w:rPr>
        <w:t>投标</w:t>
      </w:r>
      <w:r>
        <w:rPr>
          <w:rFonts w:hint="eastAsia"/>
          <w:bCs/>
          <w:color w:val="auto"/>
          <w:spacing w:val="0"/>
          <w:kern w:val="0"/>
          <w:szCs w:val="21"/>
          <w:highlight w:val="none"/>
          <w:fitText w:val="1200" w:id="1730628868"/>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7B36A96E">
      <w:pPr>
        <w:adjustRightInd w:val="0"/>
        <w:snapToGrid w:val="0"/>
        <w:ind w:firstLine="1920"/>
        <w:jc w:val="right"/>
        <w:rPr>
          <w:rFonts w:hint="eastAsia" w:eastAsia="黑体"/>
          <w:color w:val="auto"/>
          <w:sz w:val="28"/>
          <w:szCs w:val="28"/>
          <w:highlight w:val="none"/>
        </w:rPr>
      </w:pPr>
      <w:r>
        <w:rPr>
          <w:rFonts w:hint="eastAsia"/>
          <w:bCs/>
          <w:color w:val="auto"/>
          <w:spacing w:val="360"/>
          <w:kern w:val="0"/>
          <w:szCs w:val="21"/>
          <w:highlight w:val="none"/>
          <w:fitText w:val="1200" w:id="1143285580"/>
        </w:rPr>
        <w:t>日</w:t>
      </w:r>
      <w:r>
        <w:rPr>
          <w:rFonts w:hint="eastAsia"/>
          <w:bCs/>
          <w:color w:val="auto"/>
          <w:spacing w:val="0"/>
          <w:kern w:val="0"/>
          <w:szCs w:val="21"/>
          <w:highlight w:val="none"/>
          <w:fitText w:val="1200" w:id="1143285580"/>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6F28979">
      <w:pPr>
        <w:ind w:firstLine="482"/>
        <w:jc w:val="center"/>
        <w:rPr>
          <w:b/>
          <w:color w:val="auto"/>
          <w:highlight w:val="none"/>
        </w:rPr>
      </w:pPr>
      <w:r>
        <w:rPr>
          <w:b/>
          <w:color w:val="auto"/>
          <w:highlight w:val="none"/>
        </w:rPr>
        <w:br w:type="page"/>
      </w:r>
      <w:r>
        <w:rPr>
          <w:rFonts w:hint="eastAsia"/>
          <w:b/>
          <w:color w:val="auto"/>
          <w:highlight w:val="none"/>
        </w:rPr>
        <w:t>投标人业绩</w:t>
      </w:r>
      <w:r>
        <w:rPr>
          <w:b/>
          <w:color w:val="auto"/>
          <w:highlight w:val="none"/>
        </w:rPr>
        <w:t>信息表</w:t>
      </w:r>
      <w:r>
        <w:rPr>
          <w:rFonts w:hint="eastAsia"/>
          <w:b/>
          <w:color w:val="auto"/>
          <w:highlight w:val="none"/>
        </w:rPr>
        <w:t>（资格审查）</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6607"/>
      </w:tblGrid>
      <w:tr w14:paraId="2FCA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79C968D">
            <w:pPr>
              <w:autoSpaceDE w:val="0"/>
              <w:autoSpaceDN w:val="0"/>
              <w:adjustRightInd w:val="0"/>
              <w:spacing w:line="300" w:lineRule="exact"/>
              <w:ind w:firstLine="0" w:firstLineChars="0"/>
              <w:jc w:val="center"/>
              <w:rPr>
                <w:rFonts w:hint="eastAsia" w:cs="宋体"/>
                <w:color w:val="auto"/>
                <w:szCs w:val="21"/>
                <w:highlight w:val="none"/>
              </w:rPr>
            </w:pPr>
            <w:r>
              <w:rPr>
                <w:rFonts w:hint="eastAsia" w:cs="宋体"/>
                <w:color w:val="auto"/>
                <w:szCs w:val="21"/>
                <w:highlight w:val="none"/>
              </w:rPr>
              <w:t>项目名称</w:t>
            </w:r>
          </w:p>
          <w:p w14:paraId="7A5914F3">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（合同名称）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D27B878">
            <w:pPr>
              <w:autoSpaceDE w:val="0"/>
              <w:autoSpaceDN w:val="0"/>
              <w:adjustRightInd w:val="0"/>
              <w:spacing w:line="300" w:lineRule="exact"/>
              <w:ind w:left="0" w:leftChars="0" w:firstLine="0" w:firstLineChars="0"/>
              <w:jc w:val="center"/>
              <w:rPr>
                <w:rFonts w:hint="eastAsia" w:cs="宋体"/>
                <w:color w:val="auto"/>
                <w:szCs w:val="21"/>
                <w:highlight w:val="none"/>
              </w:rPr>
            </w:pPr>
          </w:p>
        </w:tc>
      </w:tr>
      <w:tr w14:paraId="0062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D0555A7">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项目所在地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916E980">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C3B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C35990A">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委托人名称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AD4535B">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486F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A7D49A8">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委托人地址</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08531AA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58F3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249002E3">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委托人电话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7D1B33A">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675B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D7B34D3">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合同价格</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D44B076">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75BE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251CC908">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开工日期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0FD4D7D8">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4AE6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E074947">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竣工日期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24FE5D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35CE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12745C2">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承担的工作</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A1D5AF6">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FD8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2A8CBC8">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工程质量</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4A495161">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30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680270B6">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监理单位及联系电话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32693D8">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47BA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27E8BEE6">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总监理工程师及电话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B44FC10">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A25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3EBEA466">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项目描述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4EB5811B">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02B7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33F69FCD">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备注</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5B450FD">
            <w:pPr>
              <w:autoSpaceDE w:val="0"/>
              <w:autoSpaceDN w:val="0"/>
              <w:adjustRightInd w:val="0"/>
              <w:spacing w:line="300" w:lineRule="exact"/>
              <w:ind w:left="0" w:leftChars="0" w:firstLine="0" w:firstLineChars="0"/>
              <w:jc w:val="center"/>
              <w:rPr>
                <w:rFonts w:cs="宋体"/>
                <w:color w:val="auto"/>
                <w:szCs w:val="21"/>
                <w:highlight w:val="none"/>
              </w:rPr>
            </w:pPr>
            <w:r>
              <w:rPr>
                <w:rFonts w:hint="eastAsia"/>
                <w:color w:val="auto"/>
                <w:highlight w:val="none"/>
              </w:rPr>
              <w:t>资格审查业绩</w:t>
            </w:r>
          </w:p>
        </w:tc>
      </w:tr>
    </w:tbl>
    <w:p w14:paraId="76A31A62">
      <w:pPr>
        <w:ind w:firstLine="480"/>
        <w:rPr>
          <w:rFonts w:ascii="宋体" w:hAnsi="宋体" w:cs="宋体"/>
          <w:color w:val="auto"/>
          <w:kern w:val="0"/>
          <w:szCs w:val="21"/>
          <w:highlight w:val="none"/>
        </w:rPr>
      </w:pPr>
      <w:r>
        <w:rPr>
          <w:rFonts w:hint="eastAsia" w:cs="宋体"/>
          <w:color w:val="auto"/>
          <w:szCs w:val="21"/>
          <w:highlight w:val="none"/>
        </w:rPr>
        <w:t>注：投标人应根据招标文件第二章“投标人须知”前附表附录2的要求在本表后附相关证明材料。</w:t>
      </w:r>
    </w:p>
    <w:p w14:paraId="04B8D3B8">
      <w:pPr>
        <w:pStyle w:val="7"/>
        <w:spacing w:before="240" w:after="240"/>
        <w:ind w:firstLine="118"/>
        <w:jc w:val="center"/>
        <w:rPr>
          <w:bCs/>
          <w:color w:val="auto"/>
          <w:highlight w:val="none"/>
        </w:rPr>
      </w:pPr>
      <w:r>
        <w:rPr>
          <w:rFonts w:ascii="宋体"/>
          <w:color w:val="auto"/>
          <w:szCs w:val="21"/>
          <w:highlight w:val="none"/>
        </w:rPr>
        <w:br w:type="page"/>
      </w:r>
      <w:r>
        <w:rPr>
          <w:rStyle w:val="54"/>
          <w:rFonts w:hint="eastAsia"/>
          <w:color w:val="auto"/>
          <w:highlight w:val="none"/>
        </w:rPr>
        <w:t>（三）总监理工程师业绩情况表（资格审查）</w:t>
      </w:r>
    </w:p>
    <w:tbl>
      <w:tblPr>
        <w:tblStyle w:val="4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6"/>
        <w:gridCol w:w="5178"/>
        <w:gridCol w:w="2212"/>
      </w:tblGrid>
      <w:tr w14:paraId="4932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0"/>
            <w:vAlign w:val="center"/>
          </w:tcPr>
          <w:p w14:paraId="41272550">
            <w:pPr>
              <w:ind w:firstLine="0" w:firstLineChars="0"/>
              <w:rPr>
                <w:b/>
                <w:color w:val="auto"/>
                <w:highlight w:val="none"/>
              </w:rPr>
            </w:pPr>
            <w:r>
              <w:rPr>
                <w:rFonts w:hint="eastAsia"/>
                <w:b/>
                <w:color w:val="auto"/>
                <w:highlight w:val="none"/>
              </w:rPr>
              <w:t>业绩序号</w:t>
            </w:r>
          </w:p>
        </w:tc>
        <w:tc>
          <w:tcPr>
            <w:tcW w:w="2926" w:type="pct"/>
            <w:noWrap w:val="0"/>
            <w:vAlign w:val="center"/>
          </w:tcPr>
          <w:p w14:paraId="41EF27CF">
            <w:pPr>
              <w:ind w:firstLine="482"/>
              <w:jc w:val="center"/>
              <w:rPr>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1250" w:type="pct"/>
            <w:noWrap w:val="0"/>
            <w:vAlign w:val="center"/>
          </w:tcPr>
          <w:p w14:paraId="13BF4BC0">
            <w:pPr>
              <w:ind w:firstLine="482"/>
              <w:jc w:val="center"/>
              <w:rPr>
                <w:b/>
                <w:color w:val="auto"/>
                <w:highlight w:val="none"/>
              </w:rPr>
            </w:pPr>
            <w:r>
              <w:rPr>
                <w:rFonts w:hint="eastAsia"/>
                <w:b/>
                <w:color w:val="auto"/>
                <w:highlight w:val="none"/>
              </w:rPr>
              <w:t>备注</w:t>
            </w:r>
          </w:p>
        </w:tc>
      </w:tr>
      <w:tr w14:paraId="7B8B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0"/>
            <w:vAlign w:val="center"/>
          </w:tcPr>
          <w:p w14:paraId="4888468E">
            <w:pPr>
              <w:ind w:firstLine="0" w:firstLineChars="0"/>
              <w:jc w:val="center"/>
              <w:rPr>
                <w:color w:val="auto"/>
                <w:highlight w:val="none"/>
              </w:rPr>
            </w:pPr>
            <w:r>
              <w:rPr>
                <w:rFonts w:hint="eastAsia"/>
                <w:color w:val="auto"/>
                <w:highlight w:val="none"/>
              </w:rPr>
              <w:t>1</w:t>
            </w:r>
          </w:p>
        </w:tc>
        <w:tc>
          <w:tcPr>
            <w:tcW w:w="2926" w:type="pct"/>
            <w:noWrap w:val="0"/>
            <w:vAlign w:val="center"/>
          </w:tcPr>
          <w:p w14:paraId="7B03D5B0">
            <w:pPr>
              <w:ind w:firstLine="480"/>
              <w:jc w:val="center"/>
              <w:rPr>
                <w:color w:val="auto"/>
                <w:highlight w:val="none"/>
              </w:rPr>
            </w:pPr>
          </w:p>
        </w:tc>
        <w:tc>
          <w:tcPr>
            <w:tcW w:w="1250" w:type="pct"/>
            <w:noWrap w:val="0"/>
            <w:vAlign w:val="center"/>
          </w:tcPr>
          <w:p w14:paraId="3D373671">
            <w:pPr>
              <w:ind w:firstLine="480"/>
              <w:jc w:val="center"/>
              <w:rPr>
                <w:color w:val="auto"/>
                <w:highlight w:val="none"/>
              </w:rPr>
            </w:pPr>
          </w:p>
        </w:tc>
      </w:tr>
      <w:tr w14:paraId="2618E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0"/>
            <w:vAlign w:val="center"/>
          </w:tcPr>
          <w:p w14:paraId="52CDDE8D">
            <w:pPr>
              <w:ind w:firstLine="0" w:firstLineChars="0"/>
              <w:jc w:val="center"/>
              <w:rPr>
                <w:color w:val="auto"/>
                <w:highlight w:val="none"/>
              </w:rPr>
            </w:pPr>
            <w:r>
              <w:rPr>
                <w:rFonts w:hint="eastAsia"/>
                <w:color w:val="auto"/>
                <w:highlight w:val="none"/>
              </w:rPr>
              <w:t>2</w:t>
            </w:r>
          </w:p>
        </w:tc>
        <w:tc>
          <w:tcPr>
            <w:tcW w:w="2926" w:type="pct"/>
            <w:noWrap w:val="0"/>
            <w:vAlign w:val="center"/>
          </w:tcPr>
          <w:p w14:paraId="3B99DE93">
            <w:pPr>
              <w:ind w:firstLine="480"/>
              <w:jc w:val="center"/>
              <w:rPr>
                <w:color w:val="auto"/>
                <w:highlight w:val="none"/>
              </w:rPr>
            </w:pPr>
          </w:p>
        </w:tc>
        <w:tc>
          <w:tcPr>
            <w:tcW w:w="1250" w:type="pct"/>
            <w:noWrap w:val="0"/>
            <w:vAlign w:val="center"/>
          </w:tcPr>
          <w:p w14:paraId="1C520352">
            <w:pPr>
              <w:ind w:firstLine="480"/>
              <w:jc w:val="center"/>
              <w:rPr>
                <w:color w:val="auto"/>
                <w:highlight w:val="none"/>
              </w:rPr>
            </w:pPr>
          </w:p>
        </w:tc>
      </w:tr>
      <w:tr w14:paraId="0BCA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0"/>
            <w:vAlign w:val="center"/>
          </w:tcPr>
          <w:p w14:paraId="3E717010">
            <w:pPr>
              <w:ind w:firstLine="0" w:firstLineChars="0"/>
              <w:jc w:val="center"/>
              <w:rPr>
                <w:color w:val="auto"/>
                <w:highlight w:val="none"/>
              </w:rPr>
            </w:pPr>
            <w:r>
              <w:rPr>
                <w:rFonts w:hint="eastAsia"/>
                <w:color w:val="auto"/>
                <w:highlight w:val="none"/>
              </w:rPr>
              <w:t>……</w:t>
            </w:r>
          </w:p>
        </w:tc>
        <w:tc>
          <w:tcPr>
            <w:tcW w:w="2926" w:type="pct"/>
            <w:noWrap w:val="0"/>
            <w:vAlign w:val="center"/>
          </w:tcPr>
          <w:p w14:paraId="4A2D77ED">
            <w:pPr>
              <w:ind w:firstLine="480"/>
              <w:jc w:val="center"/>
              <w:rPr>
                <w:color w:val="auto"/>
                <w:highlight w:val="none"/>
              </w:rPr>
            </w:pPr>
          </w:p>
        </w:tc>
        <w:tc>
          <w:tcPr>
            <w:tcW w:w="1250" w:type="pct"/>
            <w:noWrap w:val="0"/>
            <w:vAlign w:val="center"/>
          </w:tcPr>
          <w:p w14:paraId="50028C55">
            <w:pPr>
              <w:ind w:firstLine="480"/>
              <w:jc w:val="center"/>
              <w:rPr>
                <w:color w:val="auto"/>
                <w:highlight w:val="none"/>
              </w:rPr>
            </w:pPr>
          </w:p>
        </w:tc>
      </w:tr>
    </w:tbl>
    <w:p w14:paraId="31B7DC4A">
      <w:pPr>
        <w:ind w:firstLine="480"/>
        <w:rPr>
          <w:color w:val="auto"/>
          <w:highlight w:val="none"/>
        </w:rPr>
      </w:pPr>
      <w:r>
        <w:rPr>
          <w:rFonts w:hint="eastAsia"/>
          <w:color w:val="auto"/>
          <w:highlight w:val="none"/>
        </w:rPr>
        <w:t>注：</w:t>
      </w:r>
    </w:p>
    <w:p w14:paraId="107901C6">
      <w:pPr>
        <w:ind w:firstLine="480"/>
        <w:rPr>
          <w:color w:val="auto"/>
          <w:highlight w:val="none"/>
        </w:rPr>
      </w:pPr>
      <w:r>
        <w:rPr>
          <w:rFonts w:hint="eastAsia"/>
          <w:color w:val="auto"/>
          <w:highlight w:val="none"/>
        </w:rPr>
        <w:t>1.投标人应将用于资格审查的总监理工程师业绩在上表中列明，按照列明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依次填写“总监理工程师</w:t>
      </w:r>
      <w:r>
        <w:rPr>
          <w:color w:val="auto"/>
          <w:highlight w:val="none"/>
        </w:rPr>
        <w:t>业绩</w:t>
      </w:r>
      <w:r>
        <w:rPr>
          <w:rFonts w:hint="eastAsia"/>
          <w:color w:val="auto"/>
          <w:highlight w:val="none"/>
        </w:rPr>
        <w:t>信息</w:t>
      </w:r>
      <w:r>
        <w:rPr>
          <w:color w:val="auto"/>
          <w:highlight w:val="none"/>
        </w:rPr>
        <w:t>表</w:t>
      </w:r>
      <w:r>
        <w:rPr>
          <w:rFonts w:hint="eastAsia"/>
          <w:color w:val="auto"/>
          <w:highlight w:val="none"/>
        </w:rPr>
        <w:t>（资格</w:t>
      </w:r>
      <w:r>
        <w:rPr>
          <w:color w:val="auto"/>
          <w:highlight w:val="none"/>
        </w:rPr>
        <w:t>审查</w:t>
      </w:r>
      <w:r>
        <w:rPr>
          <w:rFonts w:hint="eastAsia"/>
          <w:color w:val="auto"/>
          <w:highlight w:val="none"/>
        </w:rPr>
        <w:t>）”，并附相应业绩证明材料。</w:t>
      </w:r>
    </w:p>
    <w:p w14:paraId="5E58767A">
      <w:pPr>
        <w:ind w:firstLine="480"/>
        <w:rPr>
          <w:rFonts w:hint="eastAsia"/>
          <w:color w:val="auto"/>
          <w:highlight w:val="none"/>
        </w:rPr>
      </w:pPr>
      <w:r>
        <w:rPr>
          <w:rFonts w:hint="eastAsia"/>
          <w:color w:val="auto"/>
          <w:highlight w:val="none"/>
        </w:rPr>
        <w:t>2.评标</w:t>
      </w:r>
      <w:r>
        <w:rPr>
          <w:color w:val="auto"/>
          <w:highlight w:val="none"/>
        </w:rPr>
        <w:t>委员会应当按照上表</w:t>
      </w:r>
      <w:r>
        <w:rPr>
          <w:rFonts w:hint="eastAsia"/>
          <w:color w:val="auto"/>
          <w:highlight w:val="none"/>
        </w:rPr>
        <w:t>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w:t>
      </w:r>
      <w:r>
        <w:rPr>
          <w:color w:val="auto"/>
          <w:highlight w:val="none"/>
        </w:rPr>
        <w:t>进行评审，</w:t>
      </w:r>
      <w:r>
        <w:rPr>
          <w:rFonts w:hint="eastAsia"/>
          <w:color w:val="auto"/>
          <w:highlight w:val="none"/>
        </w:rPr>
        <w:t>且仅评审“附录4  资格审查条件（总监理工程师最低要求）”规定数量的业绩，超出规定数量部分或未在上表列明的业绩均不作为资格审查总监理工程师业绩予以评审。</w:t>
      </w:r>
    </w:p>
    <w:p w14:paraId="6901C5C0">
      <w:pPr>
        <w:tabs>
          <w:tab w:val="left" w:pos="8422"/>
          <w:tab w:val="left" w:pos="9622"/>
        </w:tabs>
        <w:ind w:left="4800" w:leftChars="2000" w:right="120" w:rightChars="50" w:firstLine="480"/>
        <w:jc w:val="left"/>
        <w:rPr>
          <w:color w:val="auto"/>
          <w:highlight w:val="none"/>
        </w:rPr>
      </w:pPr>
    </w:p>
    <w:p w14:paraId="297FD3BB">
      <w:pPr>
        <w:adjustRightInd w:val="0"/>
        <w:snapToGrid w:val="0"/>
        <w:ind w:firstLine="960"/>
        <w:jc w:val="right"/>
        <w:rPr>
          <w:rFonts w:hint="eastAsia"/>
          <w:bCs/>
          <w:color w:val="auto"/>
          <w:szCs w:val="21"/>
          <w:highlight w:val="none"/>
          <w:u w:val="single"/>
        </w:rPr>
      </w:pPr>
      <w:r>
        <w:rPr>
          <w:rFonts w:hint="eastAsia"/>
          <w:bCs/>
          <w:color w:val="auto"/>
          <w:spacing w:val="120"/>
          <w:kern w:val="0"/>
          <w:szCs w:val="21"/>
          <w:highlight w:val="none"/>
          <w:fitText w:val="1200" w:id="706768399"/>
        </w:rPr>
        <w:t>投标</w:t>
      </w:r>
      <w:r>
        <w:rPr>
          <w:rFonts w:hint="eastAsia"/>
          <w:bCs/>
          <w:color w:val="auto"/>
          <w:spacing w:val="0"/>
          <w:kern w:val="0"/>
          <w:szCs w:val="21"/>
          <w:highlight w:val="none"/>
          <w:fitText w:val="1200" w:id="706768399"/>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2D7F4B52">
      <w:pPr>
        <w:adjustRightInd w:val="0"/>
        <w:snapToGrid w:val="0"/>
        <w:ind w:firstLine="1920"/>
        <w:jc w:val="right"/>
        <w:rPr>
          <w:rFonts w:hint="eastAsia" w:eastAsia="黑体"/>
          <w:color w:val="auto"/>
          <w:sz w:val="28"/>
          <w:szCs w:val="28"/>
          <w:highlight w:val="none"/>
        </w:rPr>
      </w:pPr>
      <w:r>
        <w:rPr>
          <w:rFonts w:hint="eastAsia"/>
          <w:bCs/>
          <w:color w:val="auto"/>
          <w:spacing w:val="360"/>
          <w:kern w:val="0"/>
          <w:szCs w:val="21"/>
          <w:highlight w:val="none"/>
          <w:fitText w:val="1200" w:id="1908635179"/>
        </w:rPr>
        <w:t>日</w:t>
      </w:r>
      <w:r>
        <w:rPr>
          <w:rFonts w:hint="eastAsia"/>
          <w:bCs/>
          <w:color w:val="auto"/>
          <w:spacing w:val="0"/>
          <w:kern w:val="0"/>
          <w:szCs w:val="21"/>
          <w:highlight w:val="none"/>
          <w:fitText w:val="1200" w:id="1908635179"/>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447BC74">
      <w:pPr>
        <w:ind w:firstLine="482"/>
        <w:jc w:val="center"/>
        <w:rPr>
          <w:b/>
          <w:color w:val="auto"/>
          <w:highlight w:val="none"/>
        </w:rPr>
      </w:pPr>
      <w:r>
        <w:rPr>
          <w:b/>
          <w:color w:val="auto"/>
          <w:highlight w:val="none"/>
        </w:rPr>
        <w:br w:type="page"/>
      </w:r>
      <w:r>
        <w:rPr>
          <w:rFonts w:hint="eastAsia"/>
          <w:b/>
          <w:color w:val="auto"/>
          <w:highlight w:val="none"/>
        </w:rPr>
        <w:t>总监理工程师业绩</w:t>
      </w:r>
      <w:r>
        <w:rPr>
          <w:b/>
          <w:color w:val="auto"/>
          <w:highlight w:val="none"/>
        </w:rPr>
        <w:t>信息表</w:t>
      </w:r>
      <w:r>
        <w:rPr>
          <w:rFonts w:hint="eastAsia"/>
          <w:b/>
          <w:color w:val="auto"/>
          <w:highlight w:val="none"/>
        </w:rPr>
        <w:t>（资格审查）</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6606"/>
      </w:tblGrid>
      <w:tr w14:paraId="773F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0A64570C">
            <w:pPr>
              <w:autoSpaceDE w:val="0"/>
              <w:autoSpaceDN w:val="0"/>
              <w:adjustRightInd w:val="0"/>
              <w:spacing w:line="300" w:lineRule="exact"/>
              <w:ind w:firstLine="0" w:firstLineChars="0"/>
              <w:jc w:val="center"/>
              <w:rPr>
                <w:rFonts w:hint="eastAsia" w:cs="宋体"/>
                <w:color w:val="auto"/>
                <w:szCs w:val="21"/>
                <w:highlight w:val="none"/>
              </w:rPr>
            </w:pPr>
            <w:r>
              <w:rPr>
                <w:rFonts w:hint="eastAsia" w:cs="宋体"/>
                <w:color w:val="auto"/>
                <w:szCs w:val="21"/>
                <w:highlight w:val="none"/>
              </w:rPr>
              <w:t>项目名称</w:t>
            </w:r>
          </w:p>
          <w:p w14:paraId="6894A9AB">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4F968DDA">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713A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5F6A0668">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4A864F65">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7D17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2E4B75E8">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委托人名称</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3F72159E">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6B28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4DA8103F">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委托人地址</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42D68323">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39D6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104C56B9">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委托人电话</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7037C77E">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5D7D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3CD69E57">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20CDDCD7">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7146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24D73535">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79EB253C">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146C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22FB9DBF">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竣工日期</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68EF5A0B">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3A64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548B0591">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323BA771">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08F6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50ADA1D0">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2E825BE7">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4417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6E21AD00">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05A37719">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473F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039C28F0">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3B4B997E">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5148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07E42ED9">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568E46AB">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p>
        </w:tc>
      </w:tr>
      <w:tr w14:paraId="5ECC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6" w:type="pct"/>
            <w:tcBorders>
              <w:top w:val="single" w:color="auto" w:sz="4" w:space="0"/>
              <w:left w:val="single" w:color="auto" w:sz="4" w:space="0"/>
              <w:bottom w:val="single" w:color="auto" w:sz="4" w:space="0"/>
              <w:right w:val="single" w:color="auto" w:sz="4" w:space="0"/>
            </w:tcBorders>
            <w:noWrap w:val="0"/>
            <w:vAlign w:val="center"/>
          </w:tcPr>
          <w:p w14:paraId="585F35BC">
            <w:pPr>
              <w:autoSpaceDE w:val="0"/>
              <w:autoSpaceDN w:val="0"/>
              <w:adjustRightInd w:val="0"/>
              <w:spacing w:line="300" w:lineRule="exact"/>
              <w:ind w:firstLine="0" w:firstLineChars="0"/>
              <w:jc w:val="center"/>
              <w:rPr>
                <w:rFonts w:cs="宋体"/>
                <w:color w:val="auto"/>
                <w:szCs w:val="21"/>
                <w:highlight w:val="none"/>
              </w:rPr>
            </w:pPr>
            <w:r>
              <w:rPr>
                <w:rFonts w:hint="eastAsia" w:cs="宋体"/>
                <w:color w:val="auto"/>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0"/>
            <w:vAlign w:val="center"/>
          </w:tcPr>
          <w:p w14:paraId="2A72FD5B">
            <w:pPr>
              <w:autoSpaceDE w:val="0"/>
              <w:autoSpaceDN w:val="0"/>
              <w:adjustRightInd w:val="0"/>
              <w:spacing w:line="300" w:lineRule="exact"/>
              <w:ind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资格审查业绩</w:t>
            </w:r>
          </w:p>
        </w:tc>
      </w:tr>
    </w:tbl>
    <w:p w14:paraId="320B00B1">
      <w:pPr>
        <w:ind w:firstLine="480"/>
        <w:rPr>
          <w:color w:val="auto"/>
          <w:highlight w:val="none"/>
        </w:rPr>
      </w:pPr>
      <w:r>
        <w:rPr>
          <w:rFonts w:hint="eastAsia" w:cs="宋体"/>
          <w:color w:val="auto"/>
          <w:szCs w:val="21"/>
          <w:highlight w:val="none"/>
        </w:rPr>
        <w:t>注：投标人应根据招标文件第二章“投标人须知”前附表附录4的要求在本表后附相关证明材料。</w:t>
      </w:r>
    </w:p>
    <w:p w14:paraId="62768B6E">
      <w:pPr>
        <w:widowControl/>
        <w:ind w:firstLine="480"/>
        <w:jc w:val="center"/>
        <w:outlineLvl w:val="2"/>
        <w:rPr>
          <w:rFonts w:hint="eastAsia" w:ascii="黑体" w:eastAsia="黑体"/>
          <w:color w:val="auto"/>
          <w:szCs w:val="24"/>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591" w:name="_Toc12163"/>
      <w:bookmarkStart w:id="592" w:name="_Toc14432"/>
    </w:p>
    <w:p w14:paraId="7D189B1B">
      <w:pPr>
        <w:widowControl/>
        <w:ind w:firstLine="480"/>
        <w:jc w:val="center"/>
        <w:outlineLvl w:val="2"/>
        <w:rPr>
          <w:rFonts w:ascii="黑体"/>
          <w:color w:val="auto"/>
          <w:szCs w:val="24"/>
          <w:highlight w:val="none"/>
        </w:rPr>
      </w:pPr>
      <w:r>
        <w:rPr>
          <w:rFonts w:hint="eastAsia" w:ascii="黑体" w:eastAsia="黑体"/>
          <w:color w:val="auto"/>
          <w:szCs w:val="24"/>
          <w:highlight w:val="none"/>
        </w:rPr>
        <w:t>（四）主要人员简历表</w:t>
      </w:r>
      <w:bookmarkEnd w:id="591"/>
      <w:bookmarkEnd w:id="592"/>
    </w:p>
    <w:p w14:paraId="261A2815">
      <w:pPr>
        <w:topLinePunct/>
        <w:spacing w:line="440" w:lineRule="exact"/>
        <w:ind w:firstLine="460"/>
        <w:jc w:val="center"/>
        <w:rPr>
          <w:color w:val="auto"/>
          <w:sz w:val="23"/>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688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jc w:val="center"/>
        </w:trPr>
        <w:tc>
          <w:tcPr>
            <w:tcW w:w="1187" w:type="dxa"/>
            <w:noWrap w:val="0"/>
            <w:vAlign w:val="center"/>
          </w:tcPr>
          <w:p w14:paraId="299ADBC1">
            <w:pPr>
              <w:spacing w:line="440" w:lineRule="exact"/>
              <w:ind w:firstLine="0" w:firstLineChars="0"/>
              <w:jc w:val="center"/>
              <w:rPr>
                <w:color w:val="auto"/>
                <w:highlight w:val="none"/>
              </w:rPr>
            </w:pPr>
            <w:r>
              <w:rPr>
                <w:color w:val="auto"/>
                <w:highlight w:val="none"/>
              </w:rPr>
              <w:t>姓  名</w:t>
            </w:r>
          </w:p>
        </w:tc>
        <w:tc>
          <w:tcPr>
            <w:tcW w:w="1048" w:type="dxa"/>
            <w:gridSpan w:val="2"/>
            <w:noWrap w:val="0"/>
            <w:vAlign w:val="center"/>
          </w:tcPr>
          <w:p w14:paraId="44F32A80">
            <w:pPr>
              <w:spacing w:line="440" w:lineRule="exact"/>
              <w:ind w:firstLine="480"/>
              <w:jc w:val="center"/>
              <w:rPr>
                <w:color w:val="auto"/>
                <w:highlight w:val="none"/>
              </w:rPr>
            </w:pPr>
          </w:p>
        </w:tc>
        <w:tc>
          <w:tcPr>
            <w:tcW w:w="958" w:type="dxa"/>
            <w:noWrap w:val="0"/>
            <w:vAlign w:val="center"/>
          </w:tcPr>
          <w:p w14:paraId="52639C0D">
            <w:pPr>
              <w:spacing w:line="440" w:lineRule="exact"/>
              <w:ind w:firstLine="0" w:firstLineChars="0"/>
              <w:jc w:val="center"/>
              <w:rPr>
                <w:color w:val="auto"/>
                <w:highlight w:val="none"/>
              </w:rPr>
            </w:pPr>
            <w:r>
              <w:rPr>
                <w:color w:val="auto"/>
                <w:highlight w:val="none"/>
              </w:rPr>
              <w:t>年龄</w:t>
            </w:r>
          </w:p>
        </w:tc>
        <w:tc>
          <w:tcPr>
            <w:tcW w:w="1065" w:type="dxa"/>
            <w:noWrap w:val="0"/>
            <w:vAlign w:val="center"/>
          </w:tcPr>
          <w:p w14:paraId="298F4EC1">
            <w:pPr>
              <w:spacing w:line="440" w:lineRule="exact"/>
              <w:ind w:firstLine="480"/>
              <w:jc w:val="center"/>
              <w:rPr>
                <w:color w:val="auto"/>
                <w:highlight w:val="none"/>
              </w:rPr>
            </w:pPr>
          </w:p>
        </w:tc>
        <w:tc>
          <w:tcPr>
            <w:tcW w:w="2368" w:type="dxa"/>
            <w:gridSpan w:val="3"/>
            <w:noWrap w:val="0"/>
            <w:vAlign w:val="center"/>
          </w:tcPr>
          <w:p w14:paraId="72E2D9B8">
            <w:pPr>
              <w:spacing w:line="440" w:lineRule="exact"/>
              <w:ind w:firstLine="0" w:firstLineChars="0"/>
              <w:jc w:val="center"/>
              <w:rPr>
                <w:color w:val="auto"/>
                <w:highlight w:val="none"/>
              </w:rPr>
            </w:pPr>
            <w:r>
              <w:rPr>
                <w:rFonts w:hint="eastAsia"/>
                <w:color w:val="auto"/>
                <w:highlight w:val="none"/>
              </w:rPr>
              <w:t>执业或</w:t>
            </w:r>
            <w:r>
              <w:rPr>
                <w:color w:val="auto"/>
                <w:highlight w:val="none"/>
              </w:rPr>
              <w:t>职业</w:t>
            </w:r>
          </w:p>
          <w:p w14:paraId="2C6DD26B">
            <w:pPr>
              <w:spacing w:line="440" w:lineRule="exact"/>
              <w:ind w:firstLine="0" w:firstLineChars="0"/>
              <w:jc w:val="center"/>
              <w:rPr>
                <w:color w:val="auto"/>
                <w:highlight w:val="none"/>
              </w:rPr>
            </w:pPr>
            <w:r>
              <w:rPr>
                <w:rFonts w:hint="eastAsia"/>
                <w:color w:val="auto"/>
                <w:highlight w:val="none"/>
              </w:rPr>
              <w:t>资格证书名称</w:t>
            </w:r>
          </w:p>
        </w:tc>
        <w:tc>
          <w:tcPr>
            <w:tcW w:w="1896" w:type="dxa"/>
            <w:noWrap w:val="0"/>
            <w:vAlign w:val="center"/>
          </w:tcPr>
          <w:p w14:paraId="32792DE7">
            <w:pPr>
              <w:spacing w:line="440" w:lineRule="exact"/>
              <w:ind w:firstLine="480"/>
              <w:jc w:val="center"/>
              <w:rPr>
                <w:color w:val="auto"/>
                <w:highlight w:val="none"/>
              </w:rPr>
            </w:pPr>
          </w:p>
        </w:tc>
      </w:tr>
      <w:tr w14:paraId="191E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2B047562">
            <w:pPr>
              <w:spacing w:line="440" w:lineRule="exact"/>
              <w:ind w:firstLine="0" w:firstLineChars="0"/>
              <w:jc w:val="center"/>
              <w:rPr>
                <w:color w:val="auto"/>
                <w:highlight w:val="none"/>
              </w:rPr>
            </w:pPr>
            <w:r>
              <w:rPr>
                <w:color w:val="auto"/>
                <w:highlight w:val="none"/>
              </w:rPr>
              <w:t>职  称</w:t>
            </w:r>
          </w:p>
        </w:tc>
        <w:tc>
          <w:tcPr>
            <w:tcW w:w="1048" w:type="dxa"/>
            <w:gridSpan w:val="2"/>
            <w:noWrap w:val="0"/>
            <w:vAlign w:val="center"/>
          </w:tcPr>
          <w:p w14:paraId="027A5D63">
            <w:pPr>
              <w:spacing w:line="440" w:lineRule="exact"/>
              <w:ind w:firstLine="480"/>
              <w:jc w:val="center"/>
              <w:rPr>
                <w:color w:val="auto"/>
                <w:highlight w:val="none"/>
              </w:rPr>
            </w:pPr>
          </w:p>
        </w:tc>
        <w:tc>
          <w:tcPr>
            <w:tcW w:w="958" w:type="dxa"/>
            <w:noWrap w:val="0"/>
            <w:vAlign w:val="center"/>
          </w:tcPr>
          <w:p w14:paraId="40B8E2BC">
            <w:pPr>
              <w:spacing w:before="100" w:beforeAutospacing="1" w:after="100" w:afterAutospacing="1" w:line="440" w:lineRule="exact"/>
              <w:ind w:firstLine="240" w:firstLineChars="100"/>
              <w:rPr>
                <w:color w:val="auto"/>
                <w:highlight w:val="none"/>
              </w:rPr>
            </w:pPr>
            <w:r>
              <w:rPr>
                <w:color w:val="auto"/>
                <w:highlight w:val="none"/>
              </w:rPr>
              <w:t>学历</w:t>
            </w:r>
          </w:p>
        </w:tc>
        <w:tc>
          <w:tcPr>
            <w:tcW w:w="1065" w:type="dxa"/>
            <w:noWrap w:val="0"/>
            <w:vAlign w:val="center"/>
          </w:tcPr>
          <w:p w14:paraId="7AC0C7FB">
            <w:pPr>
              <w:spacing w:line="440" w:lineRule="exact"/>
              <w:ind w:firstLine="480"/>
              <w:jc w:val="center"/>
              <w:rPr>
                <w:color w:val="auto"/>
                <w:highlight w:val="none"/>
              </w:rPr>
            </w:pPr>
          </w:p>
        </w:tc>
        <w:tc>
          <w:tcPr>
            <w:tcW w:w="2368" w:type="dxa"/>
            <w:gridSpan w:val="3"/>
            <w:noWrap w:val="0"/>
            <w:vAlign w:val="center"/>
          </w:tcPr>
          <w:p w14:paraId="4D481C9B">
            <w:pPr>
              <w:spacing w:before="100" w:beforeAutospacing="1" w:after="100" w:afterAutospacing="1" w:line="440" w:lineRule="exact"/>
              <w:ind w:firstLine="0" w:firstLineChars="0"/>
              <w:jc w:val="center"/>
              <w:rPr>
                <w:color w:val="auto"/>
                <w:highlight w:val="none"/>
              </w:rPr>
            </w:pPr>
            <w:r>
              <w:rPr>
                <w:color w:val="auto"/>
                <w:highlight w:val="none"/>
              </w:rPr>
              <w:t>拟在本项目任职</w:t>
            </w:r>
          </w:p>
        </w:tc>
        <w:tc>
          <w:tcPr>
            <w:tcW w:w="1896" w:type="dxa"/>
            <w:noWrap w:val="0"/>
            <w:vAlign w:val="center"/>
          </w:tcPr>
          <w:p w14:paraId="3F25976C">
            <w:pPr>
              <w:spacing w:line="440" w:lineRule="exact"/>
              <w:ind w:firstLine="480"/>
              <w:jc w:val="center"/>
              <w:rPr>
                <w:color w:val="auto"/>
                <w:highlight w:val="none"/>
              </w:rPr>
            </w:pPr>
          </w:p>
        </w:tc>
      </w:tr>
      <w:tr w14:paraId="1F8E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749C1C74">
            <w:pPr>
              <w:spacing w:before="100" w:beforeAutospacing="1" w:after="100" w:afterAutospacing="1" w:line="440" w:lineRule="exact"/>
              <w:ind w:firstLine="0" w:firstLineChars="0"/>
              <w:jc w:val="center"/>
              <w:rPr>
                <w:color w:val="auto"/>
                <w:highlight w:val="none"/>
              </w:rPr>
            </w:pPr>
            <w:r>
              <w:rPr>
                <w:color w:val="auto"/>
                <w:highlight w:val="none"/>
              </w:rPr>
              <w:t>工作年限</w:t>
            </w:r>
          </w:p>
        </w:tc>
        <w:tc>
          <w:tcPr>
            <w:tcW w:w="3071" w:type="dxa"/>
            <w:gridSpan w:val="4"/>
            <w:noWrap w:val="0"/>
            <w:vAlign w:val="center"/>
          </w:tcPr>
          <w:p w14:paraId="48829904">
            <w:pPr>
              <w:spacing w:line="440" w:lineRule="exact"/>
              <w:ind w:firstLine="480"/>
              <w:jc w:val="center"/>
              <w:rPr>
                <w:color w:val="auto"/>
                <w:highlight w:val="none"/>
              </w:rPr>
            </w:pPr>
          </w:p>
        </w:tc>
        <w:tc>
          <w:tcPr>
            <w:tcW w:w="2368" w:type="dxa"/>
            <w:gridSpan w:val="3"/>
            <w:noWrap w:val="0"/>
            <w:vAlign w:val="center"/>
          </w:tcPr>
          <w:p w14:paraId="0A101BAF">
            <w:pPr>
              <w:spacing w:before="100" w:beforeAutospacing="1" w:after="100" w:afterAutospacing="1" w:line="440" w:lineRule="exact"/>
              <w:ind w:firstLine="0" w:firstLineChars="0"/>
              <w:jc w:val="center"/>
              <w:rPr>
                <w:color w:val="auto"/>
                <w:highlight w:val="none"/>
              </w:rPr>
            </w:pPr>
            <w:r>
              <w:rPr>
                <w:color w:val="auto"/>
                <w:highlight w:val="none"/>
              </w:rPr>
              <w:t>从事监理工作年限</w:t>
            </w:r>
          </w:p>
        </w:tc>
        <w:tc>
          <w:tcPr>
            <w:tcW w:w="1896" w:type="dxa"/>
            <w:noWrap w:val="0"/>
            <w:vAlign w:val="center"/>
          </w:tcPr>
          <w:p w14:paraId="655A8A87">
            <w:pPr>
              <w:spacing w:line="440" w:lineRule="exact"/>
              <w:ind w:firstLine="480"/>
              <w:jc w:val="center"/>
              <w:rPr>
                <w:color w:val="auto"/>
                <w:highlight w:val="none"/>
              </w:rPr>
            </w:pPr>
          </w:p>
        </w:tc>
      </w:tr>
      <w:tr w14:paraId="777C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58012B4B">
            <w:pPr>
              <w:spacing w:before="100" w:beforeAutospacing="1" w:after="100" w:afterAutospacing="1" w:line="440" w:lineRule="exact"/>
              <w:ind w:firstLine="0" w:firstLineChars="0"/>
              <w:jc w:val="center"/>
              <w:rPr>
                <w:color w:val="auto"/>
                <w:highlight w:val="none"/>
              </w:rPr>
            </w:pPr>
            <w:r>
              <w:rPr>
                <w:color w:val="auto"/>
                <w:highlight w:val="none"/>
              </w:rPr>
              <w:t>毕业学校</w:t>
            </w:r>
          </w:p>
        </w:tc>
        <w:tc>
          <w:tcPr>
            <w:tcW w:w="7335" w:type="dxa"/>
            <w:gridSpan w:val="8"/>
            <w:noWrap w:val="0"/>
            <w:vAlign w:val="center"/>
          </w:tcPr>
          <w:p w14:paraId="7827233E">
            <w:pPr>
              <w:spacing w:before="100" w:beforeAutospacing="1" w:after="100" w:afterAutospacing="1" w:line="440" w:lineRule="exact"/>
              <w:ind w:firstLine="1320" w:firstLineChars="550"/>
              <w:jc w:val="center"/>
              <w:rPr>
                <w:color w:val="auto"/>
                <w:highlight w:val="none"/>
              </w:rPr>
            </w:pPr>
            <w:r>
              <w:rPr>
                <w:color w:val="auto"/>
                <w:highlight w:val="none"/>
              </w:rPr>
              <w:t>年毕业于</w:t>
            </w:r>
            <w:r>
              <w:rPr>
                <w:rFonts w:hint="eastAsia"/>
                <w:color w:val="auto"/>
                <w:highlight w:val="none"/>
              </w:rPr>
              <w:t xml:space="preserve">      </w:t>
            </w:r>
            <w:r>
              <w:rPr>
                <w:color w:val="auto"/>
                <w:highlight w:val="none"/>
              </w:rPr>
              <w:t xml:space="preserve">    学校</w:t>
            </w:r>
            <w:r>
              <w:rPr>
                <w:rFonts w:hint="eastAsia"/>
                <w:color w:val="auto"/>
                <w:highlight w:val="none"/>
              </w:rPr>
              <w:t xml:space="preserve">      </w:t>
            </w:r>
            <w:r>
              <w:rPr>
                <w:color w:val="auto"/>
                <w:highlight w:val="none"/>
              </w:rPr>
              <w:t>专业</w:t>
            </w:r>
          </w:p>
        </w:tc>
      </w:tr>
      <w:tr w14:paraId="54A0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5E66F55">
            <w:pPr>
              <w:spacing w:before="100" w:beforeAutospacing="1" w:after="100" w:afterAutospacing="1" w:line="440" w:lineRule="exact"/>
              <w:ind w:firstLine="0" w:firstLineChars="0"/>
              <w:jc w:val="center"/>
              <w:rPr>
                <w:color w:val="auto"/>
                <w:highlight w:val="none"/>
              </w:rPr>
            </w:pPr>
            <w:r>
              <w:rPr>
                <w:color w:val="auto"/>
                <w:highlight w:val="none"/>
              </w:rPr>
              <w:t>主要工作经历</w:t>
            </w:r>
          </w:p>
        </w:tc>
      </w:tr>
      <w:tr w14:paraId="3BE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5A14741F">
            <w:pPr>
              <w:spacing w:before="100" w:beforeAutospacing="1" w:after="100" w:afterAutospacing="1" w:line="440" w:lineRule="exact"/>
              <w:ind w:firstLine="0" w:firstLineChars="0"/>
              <w:jc w:val="center"/>
              <w:rPr>
                <w:color w:val="auto"/>
                <w:highlight w:val="none"/>
              </w:rPr>
            </w:pPr>
            <w:r>
              <w:rPr>
                <w:color w:val="auto"/>
                <w:highlight w:val="none"/>
              </w:rPr>
              <w:t>时  间</w:t>
            </w:r>
          </w:p>
        </w:tc>
        <w:tc>
          <w:tcPr>
            <w:tcW w:w="3420" w:type="dxa"/>
            <w:gridSpan w:val="4"/>
            <w:noWrap w:val="0"/>
            <w:vAlign w:val="center"/>
          </w:tcPr>
          <w:p w14:paraId="2BBAFDC9">
            <w:pPr>
              <w:spacing w:before="100" w:beforeAutospacing="1" w:after="100" w:afterAutospacing="1" w:line="440" w:lineRule="exact"/>
              <w:ind w:firstLine="0" w:firstLineChars="0"/>
              <w:jc w:val="center"/>
              <w:rPr>
                <w:color w:val="auto"/>
                <w:highlight w:val="none"/>
              </w:rPr>
            </w:pPr>
            <w:r>
              <w:rPr>
                <w:color w:val="auto"/>
                <w:highlight w:val="none"/>
              </w:rPr>
              <w:t>参加过的类似项目</w:t>
            </w:r>
          </w:p>
        </w:tc>
        <w:tc>
          <w:tcPr>
            <w:tcW w:w="1261" w:type="dxa"/>
            <w:noWrap w:val="0"/>
            <w:vAlign w:val="center"/>
          </w:tcPr>
          <w:p w14:paraId="1EA80DA2">
            <w:pPr>
              <w:spacing w:before="100" w:beforeAutospacing="1" w:after="100" w:afterAutospacing="1" w:line="440" w:lineRule="exact"/>
              <w:ind w:firstLine="0" w:firstLineChars="0"/>
              <w:jc w:val="center"/>
              <w:rPr>
                <w:color w:val="auto"/>
                <w:highlight w:val="none"/>
              </w:rPr>
            </w:pPr>
            <w:r>
              <w:rPr>
                <w:color w:val="auto"/>
                <w:highlight w:val="none"/>
              </w:rPr>
              <w:t>担任职务</w:t>
            </w:r>
          </w:p>
        </w:tc>
        <w:tc>
          <w:tcPr>
            <w:tcW w:w="2297" w:type="dxa"/>
            <w:gridSpan w:val="2"/>
            <w:noWrap w:val="0"/>
            <w:vAlign w:val="center"/>
          </w:tcPr>
          <w:p w14:paraId="57F453C7">
            <w:pPr>
              <w:spacing w:before="100" w:beforeAutospacing="1" w:after="100" w:afterAutospacing="1" w:line="440" w:lineRule="exact"/>
              <w:ind w:firstLine="0" w:firstLineChars="0"/>
              <w:jc w:val="center"/>
              <w:rPr>
                <w:color w:val="auto"/>
                <w:highlight w:val="none"/>
              </w:rPr>
            </w:pPr>
            <w:r>
              <w:rPr>
                <w:color w:val="auto"/>
                <w:highlight w:val="none"/>
              </w:rPr>
              <w:t>委托人及联系电话</w:t>
            </w:r>
          </w:p>
        </w:tc>
      </w:tr>
      <w:tr w14:paraId="1890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1CEEFCF">
            <w:pPr>
              <w:spacing w:line="440" w:lineRule="exact"/>
              <w:ind w:firstLine="480"/>
              <w:jc w:val="center"/>
              <w:rPr>
                <w:color w:val="auto"/>
                <w:highlight w:val="none"/>
              </w:rPr>
            </w:pPr>
          </w:p>
        </w:tc>
        <w:tc>
          <w:tcPr>
            <w:tcW w:w="3420" w:type="dxa"/>
            <w:gridSpan w:val="4"/>
            <w:noWrap w:val="0"/>
            <w:vAlign w:val="top"/>
          </w:tcPr>
          <w:p w14:paraId="04FED3A2">
            <w:pPr>
              <w:spacing w:line="440" w:lineRule="exact"/>
              <w:ind w:firstLine="480"/>
              <w:jc w:val="center"/>
              <w:rPr>
                <w:color w:val="auto"/>
                <w:highlight w:val="none"/>
              </w:rPr>
            </w:pPr>
          </w:p>
        </w:tc>
        <w:tc>
          <w:tcPr>
            <w:tcW w:w="1261" w:type="dxa"/>
            <w:noWrap w:val="0"/>
            <w:vAlign w:val="top"/>
          </w:tcPr>
          <w:p w14:paraId="3BAA047D">
            <w:pPr>
              <w:spacing w:line="440" w:lineRule="exact"/>
              <w:ind w:firstLine="480"/>
              <w:jc w:val="center"/>
              <w:rPr>
                <w:color w:val="auto"/>
                <w:highlight w:val="none"/>
              </w:rPr>
            </w:pPr>
          </w:p>
        </w:tc>
        <w:tc>
          <w:tcPr>
            <w:tcW w:w="2297" w:type="dxa"/>
            <w:gridSpan w:val="2"/>
            <w:noWrap w:val="0"/>
            <w:vAlign w:val="top"/>
          </w:tcPr>
          <w:p w14:paraId="1C50555D">
            <w:pPr>
              <w:spacing w:line="440" w:lineRule="exact"/>
              <w:ind w:firstLine="480"/>
              <w:jc w:val="center"/>
              <w:rPr>
                <w:color w:val="auto"/>
                <w:highlight w:val="none"/>
              </w:rPr>
            </w:pPr>
          </w:p>
        </w:tc>
      </w:tr>
      <w:tr w14:paraId="5460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4" w:type="dxa"/>
            <w:gridSpan w:val="2"/>
            <w:noWrap w:val="0"/>
            <w:vAlign w:val="top"/>
          </w:tcPr>
          <w:p w14:paraId="037C7D17">
            <w:pPr>
              <w:spacing w:line="440" w:lineRule="exact"/>
              <w:ind w:firstLine="480"/>
              <w:jc w:val="center"/>
              <w:rPr>
                <w:color w:val="auto"/>
                <w:highlight w:val="none"/>
              </w:rPr>
            </w:pPr>
          </w:p>
        </w:tc>
        <w:tc>
          <w:tcPr>
            <w:tcW w:w="3420" w:type="dxa"/>
            <w:gridSpan w:val="4"/>
            <w:noWrap w:val="0"/>
            <w:vAlign w:val="top"/>
          </w:tcPr>
          <w:p w14:paraId="1615FBC6">
            <w:pPr>
              <w:spacing w:line="440" w:lineRule="exact"/>
              <w:ind w:firstLine="480"/>
              <w:jc w:val="center"/>
              <w:rPr>
                <w:color w:val="auto"/>
                <w:highlight w:val="none"/>
              </w:rPr>
            </w:pPr>
          </w:p>
        </w:tc>
        <w:tc>
          <w:tcPr>
            <w:tcW w:w="1261" w:type="dxa"/>
            <w:noWrap w:val="0"/>
            <w:vAlign w:val="top"/>
          </w:tcPr>
          <w:p w14:paraId="32FA4749">
            <w:pPr>
              <w:spacing w:line="440" w:lineRule="exact"/>
              <w:ind w:firstLine="480"/>
              <w:jc w:val="center"/>
              <w:rPr>
                <w:color w:val="auto"/>
                <w:highlight w:val="none"/>
              </w:rPr>
            </w:pPr>
          </w:p>
        </w:tc>
        <w:tc>
          <w:tcPr>
            <w:tcW w:w="2297" w:type="dxa"/>
            <w:gridSpan w:val="2"/>
            <w:noWrap w:val="0"/>
            <w:vAlign w:val="top"/>
          </w:tcPr>
          <w:p w14:paraId="430B71BA">
            <w:pPr>
              <w:spacing w:line="440" w:lineRule="exact"/>
              <w:ind w:firstLine="480"/>
              <w:jc w:val="center"/>
              <w:rPr>
                <w:color w:val="auto"/>
                <w:highlight w:val="none"/>
              </w:rPr>
            </w:pPr>
          </w:p>
        </w:tc>
      </w:tr>
      <w:tr w14:paraId="46B3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4" w:type="dxa"/>
            <w:gridSpan w:val="2"/>
            <w:noWrap w:val="0"/>
            <w:vAlign w:val="top"/>
          </w:tcPr>
          <w:p w14:paraId="0D5E5D26">
            <w:pPr>
              <w:spacing w:line="440" w:lineRule="exact"/>
              <w:ind w:firstLine="480"/>
              <w:jc w:val="center"/>
              <w:rPr>
                <w:color w:val="auto"/>
                <w:highlight w:val="none"/>
              </w:rPr>
            </w:pPr>
          </w:p>
        </w:tc>
        <w:tc>
          <w:tcPr>
            <w:tcW w:w="3420" w:type="dxa"/>
            <w:gridSpan w:val="4"/>
            <w:noWrap w:val="0"/>
            <w:vAlign w:val="top"/>
          </w:tcPr>
          <w:p w14:paraId="661B3A2A">
            <w:pPr>
              <w:spacing w:line="440" w:lineRule="exact"/>
              <w:ind w:firstLine="480"/>
              <w:jc w:val="center"/>
              <w:rPr>
                <w:color w:val="auto"/>
                <w:highlight w:val="none"/>
              </w:rPr>
            </w:pPr>
          </w:p>
        </w:tc>
        <w:tc>
          <w:tcPr>
            <w:tcW w:w="1261" w:type="dxa"/>
            <w:noWrap w:val="0"/>
            <w:vAlign w:val="top"/>
          </w:tcPr>
          <w:p w14:paraId="57C151CB">
            <w:pPr>
              <w:spacing w:line="440" w:lineRule="exact"/>
              <w:ind w:firstLine="480"/>
              <w:jc w:val="center"/>
              <w:rPr>
                <w:color w:val="auto"/>
                <w:highlight w:val="none"/>
              </w:rPr>
            </w:pPr>
          </w:p>
        </w:tc>
        <w:tc>
          <w:tcPr>
            <w:tcW w:w="2297" w:type="dxa"/>
            <w:gridSpan w:val="2"/>
            <w:noWrap w:val="0"/>
            <w:vAlign w:val="top"/>
          </w:tcPr>
          <w:p w14:paraId="12776071">
            <w:pPr>
              <w:spacing w:line="440" w:lineRule="exact"/>
              <w:ind w:firstLine="480"/>
              <w:jc w:val="center"/>
              <w:rPr>
                <w:color w:val="auto"/>
                <w:highlight w:val="none"/>
              </w:rPr>
            </w:pPr>
          </w:p>
        </w:tc>
      </w:tr>
      <w:tr w14:paraId="3342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22791997">
            <w:pPr>
              <w:spacing w:line="440" w:lineRule="exact"/>
              <w:ind w:firstLine="480"/>
              <w:rPr>
                <w:color w:val="auto"/>
                <w:highlight w:val="none"/>
              </w:rPr>
            </w:pPr>
          </w:p>
        </w:tc>
        <w:tc>
          <w:tcPr>
            <w:tcW w:w="3420" w:type="dxa"/>
            <w:gridSpan w:val="4"/>
            <w:noWrap w:val="0"/>
            <w:vAlign w:val="center"/>
          </w:tcPr>
          <w:p w14:paraId="71AF8556">
            <w:pPr>
              <w:spacing w:line="440" w:lineRule="exact"/>
              <w:ind w:firstLine="480"/>
              <w:rPr>
                <w:color w:val="auto"/>
                <w:highlight w:val="none"/>
              </w:rPr>
            </w:pPr>
          </w:p>
        </w:tc>
        <w:tc>
          <w:tcPr>
            <w:tcW w:w="1261" w:type="dxa"/>
            <w:noWrap w:val="0"/>
            <w:vAlign w:val="center"/>
          </w:tcPr>
          <w:p w14:paraId="576DC4BE">
            <w:pPr>
              <w:spacing w:line="440" w:lineRule="exact"/>
              <w:ind w:firstLine="480"/>
              <w:rPr>
                <w:color w:val="auto"/>
                <w:highlight w:val="none"/>
              </w:rPr>
            </w:pPr>
          </w:p>
        </w:tc>
        <w:tc>
          <w:tcPr>
            <w:tcW w:w="2297" w:type="dxa"/>
            <w:gridSpan w:val="2"/>
            <w:noWrap w:val="0"/>
            <w:vAlign w:val="center"/>
          </w:tcPr>
          <w:p w14:paraId="425C8ADE">
            <w:pPr>
              <w:spacing w:line="440" w:lineRule="exact"/>
              <w:ind w:firstLine="480"/>
              <w:rPr>
                <w:color w:val="auto"/>
                <w:highlight w:val="none"/>
              </w:rPr>
            </w:pPr>
          </w:p>
        </w:tc>
      </w:tr>
      <w:tr w14:paraId="70C2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1AC274D">
            <w:pPr>
              <w:spacing w:line="440" w:lineRule="exact"/>
              <w:ind w:firstLine="480"/>
              <w:rPr>
                <w:color w:val="auto"/>
                <w:highlight w:val="none"/>
              </w:rPr>
            </w:pPr>
          </w:p>
        </w:tc>
        <w:tc>
          <w:tcPr>
            <w:tcW w:w="3420" w:type="dxa"/>
            <w:gridSpan w:val="4"/>
            <w:noWrap w:val="0"/>
            <w:vAlign w:val="center"/>
          </w:tcPr>
          <w:p w14:paraId="2F07288F">
            <w:pPr>
              <w:spacing w:line="440" w:lineRule="exact"/>
              <w:ind w:firstLine="480"/>
              <w:rPr>
                <w:color w:val="auto"/>
                <w:highlight w:val="none"/>
              </w:rPr>
            </w:pPr>
          </w:p>
        </w:tc>
        <w:tc>
          <w:tcPr>
            <w:tcW w:w="1261" w:type="dxa"/>
            <w:noWrap w:val="0"/>
            <w:vAlign w:val="center"/>
          </w:tcPr>
          <w:p w14:paraId="7FF6DDF9">
            <w:pPr>
              <w:spacing w:line="440" w:lineRule="exact"/>
              <w:ind w:firstLine="480"/>
              <w:rPr>
                <w:color w:val="auto"/>
                <w:highlight w:val="none"/>
              </w:rPr>
            </w:pPr>
          </w:p>
        </w:tc>
        <w:tc>
          <w:tcPr>
            <w:tcW w:w="2297" w:type="dxa"/>
            <w:gridSpan w:val="2"/>
            <w:noWrap w:val="0"/>
            <w:vAlign w:val="center"/>
          </w:tcPr>
          <w:p w14:paraId="0B7BCA5F">
            <w:pPr>
              <w:spacing w:line="440" w:lineRule="exact"/>
              <w:ind w:firstLine="480"/>
              <w:rPr>
                <w:color w:val="auto"/>
                <w:highlight w:val="none"/>
              </w:rPr>
            </w:pPr>
          </w:p>
        </w:tc>
      </w:tr>
      <w:tr w14:paraId="38FC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341C63AA">
            <w:pPr>
              <w:spacing w:line="440" w:lineRule="exact"/>
              <w:ind w:firstLine="480"/>
              <w:rPr>
                <w:color w:val="auto"/>
                <w:highlight w:val="none"/>
              </w:rPr>
            </w:pPr>
          </w:p>
        </w:tc>
        <w:tc>
          <w:tcPr>
            <w:tcW w:w="3420" w:type="dxa"/>
            <w:gridSpan w:val="4"/>
            <w:noWrap w:val="0"/>
            <w:vAlign w:val="center"/>
          </w:tcPr>
          <w:p w14:paraId="2423ABFC">
            <w:pPr>
              <w:spacing w:line="440" w:lineRule="exact"/>
              <w:ind w:firstLine="480"/>
              <w:rPr>
                <w:color w:val="auto"/>
                <w:highlight w:val="none"/>
              </w:rPr>
            </w:pPr>
          </w:p>
        </w:tc>
        <w:tc>
          <w:tcPr>
            <w:tcW w:w="1261" w:type="dxa"/>
            <w:noWrap w:val="0"/>
            <w:vAlign w:val="center"/>
          </w:tcPr>
          <w:p w14:paraId="5D32E5E4">
            <w:pPr>
              <w:spacing w:line="440" w:lineRule="exact"/>
              <w:ind w:firstLine="480"/>
              <w:rPr>
                <w:color w:val="auto"/>
                <w:highlight w:val="none"/>
              </w:rPr>
            </w:pPr>
          </w:p>
        </w:tc>
        <w:tc>
          <w:tcPr>
            <w:tcW w:w="2297" w:type="dxa"/>
            <w:gridSpan w:val="2"/>
            <w:noWrap w:val="0"/>
            <w:vAlign w:val="center"/>
          </w:tcPr>
          <w:p w14:paraId="4BA90F1E">
            <w:pPr>
              <w:spacing w:line="440" w:lineRule="exact"/>
              <w:ind w:firstLine="480"/>
              <w:rPr>
                <w:color w:val="auto"/>
                <w:highlight w:val="none"/>
              </w:rPr>
            </w:pPr>
          </w:p>
        </w:tc>
      </w:tr>
      <w:tr w14:paraId="4EE0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7AD6289D">
            <w:pPr>
              <w:spacing w:line="440" w:lineRule="exact"/>
              <w:ind w:firstLine="480"/>
              <w:rPr>
                <w:color w:val="auto"/>
                <w:highlight w:val="none"/>
              </w:rPr>
            </w:pPr>
          </w:p>
        </w:tc>
        <w:tc>
          <w:tcPr>
            <w:tcW w:w="3420" w:type="dxa"/>
            <w:gridSpan w:val="4"/>
            <w:noWrap w:val="0"/>
            <w:vAlign w:val="center"/>
          </w:tcPr>
          <w:p w14:paraId="5028D722">
            <w:pPr>
              <w:spacing w:line="440" w:lineRule="exact"/>
              <w:ind w:firstLine="480"/>
              <w:rPr>
                <w:color w:val="auto"/>
                <w:highlight w:val="none"/>
              </w:rPr>
            </w:pPr>
          </w:p>
        </w:tc>
        <w:tc>
          <w:tcPr>
            <w:tcW w:w="1261" w:type="dxa"/>
            <w:noWrap w:val="0"/>
            <w:vAlign w:val="center"/>
          </w:tcPr>
          <w:p w14:paraId="18A12531">
            <w:pPr>
              <w:spacing w:line="440" w:lineRule="exact"/>
              <w:ind w:firstLine="480"/>
              <w:rPr>
                <w:color w:val="auto"/>
                <w:highlight w:val="none"/>
              </w:rPr>
            </w:pPr>
          </w:p>
        </w:tc>
        <w:tc>
          <w:tcPr>
            <w:tcW w:w="2297" w:type="dxa"/>
            <w:gridSpan w:val="2"/>
            <w:noWrap w:val="0"/>
            <w:vAlign w:val="center"/>
          </w:tcPr>
          <w:p w14:paraId="1F691587">
            <w:pPr>
              <w:spacing w:line="440" w:lineRule="exact"/>
              <w:ind w:firstLine="480"/>
              <w:rPr>
                <w:color w:val="auto"/>
                <w:highlight w:val="none"/>
              </w:rPr>
            </w:pPr>
          </w:p>
        </w:tc>
      </w:tr>
    </w:tbl>
    <w:p w14:paraId="46E7CEE4">
      <w:pPr>
        <w:ind w:firstLine="480"/>
        <w:rPr>
          <w:color w:val="auto"/>
          <w:highlight w:val="none"/>
        </w:rPr>
      </w:pPr>
      <w:r>
        <w:rPr>
          <w:color w:val="auto"/>
          <w:highlight w:val="none"/>
        </w:rPr>
        <w:t>注：</w:t>
      </w:r>
    </w:p>
    <w:p w14:paraId="7963D4A7">
      <w:pPr>
        <w:ind w:firstLine="480"/>
        <w:rPr>
          <w:color w:val="auto"/>
          <w:highlight w:val="none"/>
        </w:rPr>
      </w:pPr>
      <w:r>
        <w:rPr>
          <w:color w:val="auto"/>
          <w:highlight w:val="none"/>
        </w:rPr>
        <w:t>1.</w:t>
      </w:r>
      <w:r>
        <w:rPr>
          <w:rFonts w:hint="eastAsia"/>
          <w:color w:val="auto"/>
          <w:highlight w:val="none"/>
        </w:rPr>
        <w:t>本表应填写总监理工程师及其他主要人员相关情况。</w:t>
      </w:r>
    </w:p>
    <w:p w14:paraId="56B9ECB9">
      <w:pPr>
        <w:ind w:firstLine="480"/>
        <w:rPr>
          <w:color w:val="auto"/>
          <w:highlight w:val="none"/>
        </w:rPr>
      </w:pPr>
      <w:r>
        <w:rPr>
          <w:color w:val="auto"/>
          <w:highlight w:val="none"/>
        </w:rPr>
        <w:t>2.投标人应根据招标文件第二章“投标人须知”前附表附录4</w:t>
      </w:r>
      <w:r>
        <w:rPr>
          <w:rFonts w:hint="eastAsia"/>
          <w:color w:val="auto"/>
          <w:highlight w:val="none"/>
        </w:rPr>
        <w:t>、</w:t>
      </w:r>
      <w:r>
        <w:rPr>
          <w:color w:val="auto"/>
          <w:highlight w:val="none"/>
        </w:rPr>
        <w:t>附录5</w:t>
      </w:r>
      <w:r>
        <w:rPr>
          <w:rFonts w:hint="eastAsia"/>
          <w:color w:val="auto"/>
          <w:highlight w:val="none"/>
        </w:rPr>
        <w:t>的要求在本表后附相关证明材料。</w:t>
      </w:r>
    </w:p>
    <w:p w14:paraId="79C55186">
      <w:pPr>
        <w:pStyle w:val="7"/>
        <w:spacing w:before="240" w:after="240"/>
        <w:ind w:firstLine="118"/>
        <w:jc w:val="center"/>
        <w:rPr>
          <w:color w:val="auto"/>
          <w:highlight w:val="none"/>
        </w:rPr>
      </w:pPr>
      <w:r>
        <w:rPr>
          <w:rFonts w:hint="eastAsia"/>
          <w:color w:val="auto"/>
          <w:highlight w:val="none"/>
        </w:rPr>
        <w:t>（五）拟投入本项目的主要试验检测仪器设备表</w:t>
      </w:r>
    </w:p>
    <w:p w14:paraId="149EFDEB">
      <w:pPr>
        <w:ind w:left="0" w:leftChars="0" w:firstLine="0" w:firstLineChars="0"/>
        <w:jc w:val="center"/>
        <w:rPr>
          <w:color w:val="auto"/>
          <w:highlight w:val="none"/>
        </w:rPr>
      </w:pPr>
    </w:p>
    <w:p w14:paraId="574CE8A8">
      <w:pPr>
        <w:ind w:firstLine="480"/>
        <w:rPr>
          <w:rFonts w:ascii="宋体" w:hAnsi="宋体"/>
          <w:b/>
          <w:bCs/>
          <w:color w:val="auto"/>
          <w:spacing w:val="-6"/>
          <w:szCs w:val="21"/>
          <w:highlight w:val="none"/>
        </w:rPr>
      </w:pPr>
      <w:r>
        <w:rPr>
          <w:rFonts w:hint="eastAsia"/>
          <w:color w:val="auto"/>
          <w:highlight w:val="none"/>
        </w:rPr>
        <w:t>主要仪器设备承诺</w:t>
      </w:r>
    </w:p>
    <w:p w14:paraId="05DC8CBF">
      <w:pPr>
        <w:ind w:firstLine="480"/>
        <w:rPr>
          <w:rFonts w:hint="eastAsia"/>
          <w:bCs/>
          <w:color w:val="auto"/>
          <w:szCs w:val="21"/>
          <w:highlight w:val="none"/>
        </w:rPr>
      </w:pPr>
      <w:r>
        <w:rPr>
          <w:rFonts w:hint="eastAsia" w:ascii="宋体" w:hAnsi="宋体" w:cs="宋体"/>
          <w:color w:val="auto"/>
          <w:szCs w:val="24"/>
          <w:highlight w:val="none"/>
          <w:u w:val="single"/>
        </w:rPr>
        <w:t>致：(招标人)</w:t>
      </w:r>
    </w:p>
    <w:p w14:paraId="6D96C2EC">
      <w:pPr>
        <w:ind w:firstLine="480"/>
        <w:rPr>
          <w:rFonts w:hint="eastAsia"/>
          <w:color w:val="auto"/>
          <w:highlight w:val="none"/>
        </w:rPr>
      </w:pPr>
      <w:r>
        <w:rPr>
          <w:rFonts w:hint="eastAsia"/>
          <w:color w:val="auto"/>
          <w:highlight w:val="none"/>
        </w:rPr>
        <w:t>我方承诺：在本项目服务过程中，须按照国家、地方、行业相关规范标准，配备相关仪器设备，并根据项目实际需要和招标人要求，增加仪器设备，所有费用包含在合同价中，不增加相关费用，如实际与承诺不符，你方可终止合同并报</w:t>
      </w:r>
      <w:r>
        <w:rPr>
          <w:rFonts w:ascii="宋体" w:hAnsi="宋体" w:cs="宋体"/>
          <w:color w:val="auto"/>
          <w:szCs w:val="24"/>
          <w:highlight w:val="none"/>
        </w:rPr>
        <w:t>公共资源交易监督管理部门</w:t>
      </w:r>
      <w:r>
        <w:rPr>
          <w:rFonts w:hint="eastAsia"/>
          <w:color w:val="auto"/>
          <w:highlight w:val="none"/>
        </w:rPr>
        <w:t>处理，造成的损失由我方承担。</w:t>
      </w:r>
    </w:p>
    <w:p w14:paraId="65854DA0">
      <w:pPr>
        <w:spacing w:line="440" w:lineRule="exact"/>
        <w:ind w:left="0" w:leftChars="0" w:firstLine="0" w:firstLineChars="0"/>
        <w:jc w:val="center"/>
        <w:rPr>
          <w:rFonts w:hint="eastAsia" w:ascii="宋体" w:hAnsi="宋体"/>
          <w:color w:val="auto"/>
          <w:spacing w:val="-6"/>
          <w:szCs w:val="21"/>
          <w:highlight w:val="none"/>
        </w:rPr>
      </w:pPr>
    </w:p>
    <w:p w14:paraId="697B3F77">
      <w:pPr>
        <w:spacing w:line="440" w:lineRule="exact"/>
        <w:ind w:left="0" w:leftChars="0" w:firstLine="0" w:firstLineChars="0"/>
        <w:jc w:val="center"/>
        <w:rPr>
          <w:rFonts w:hint="eastAsia" w:ascii="宋体" w:hAnsi="宋体"/>
          <w:color w:val="auto"/>
          <w:spacing w:val="-6"/>
          <w:szCs w:val="21"/>
          <w:highlight w:val="none"/>
        </w:rPr>
      </w:pPr>
    </w:p>
    <w:p w14:paraId="5136043E">
      <w:pPr>
        <w:spacing w:line="440" w:lineRule="exact"/>
        <w:ind w:left="0" w:leftChars="0" w:firstLine="0" w:firstLineChars="0"/>
        <w:jc w:val="center"/>
        <w:rPr>
          <w:rFonts w:hint="eastAsia" w:ascii="宋体" w:hAnsi="宋体"/>
          <w:color w:val="auto"/>
          <w:spacing w:val="-6"/>
          <w:szCs w:val="21"/>
          <w:highlight w:val="none"/>
        </w:rPr>
      </w:pPr>
    </w:p>
    <w:p w14:paraId="540B1934">
      <w:pPr>
        <w:spacing w:line="440" w:lineRule="exact"/>
        <w:ind w:left="0" w:leftChars="0" w:firstLine="0" w:firstLineChars="0"/>
        <w:jc w:val="center"/>
        <w:rPr>
          <w:rFonts w:hint="eastAsia" w:ascii="宋体" w:hAnsi="宋体"/>
          <w:color w:val="auto"/>
          <w:spacing w:val="-6"/>
          <w:szCs w:val="21"/>
          <w:highlight w:val="none"/>
        </w:rPr>
      </w:pPr>
    </w:p>
    <w:p w14:paraId="209411E9">
      <w:pPr>
        <w:ind w:firstLine="456"/>
        <w:jc w:val="right"/>
        <w:rPr>
          <w:rFonts w:hint="eastAsia" w:ascii="宋体" w:hAnsi="宋体"/>
          <w:color w:val="auto"/>
          <w:szCs w:val="21"/>
          <w:highlight w:val="none"/>
        </w:rPr>
      </w:pPr>
      <w:r>
        <w:rPr>
          <w:rFonts w:hint="eastAsia" w:ascii="宋体" w:hAnsi="宋体"/>
          <w:color w:val="auto"/>
          <w:spacing w:val="-6"/>
          <w:szCs w:val="21"/>
          <w:highlight w:val="none"/>
        </w:rPr>
        <w:t xml:space="preserve">   </w:t>
      </w: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06C20F7">
      <w:pPr>
        <w:ind w:firstLine="456"/>
        <w:jc w:val="center"/>
        <w:rPr>
          <w:rFonts w:hint="eastAsia" w:ascii="宋体" w:hAnsi="宋体"/>
          <w:color w:val="auto"/>
          <w:szCs w:val="21"/>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p>
    <w:p w14:paraId="41BE2277">
      <w:pPr>
        <w:ind w:firstLine="456"/>
        <w:jc w:val="center"/>
        <w:rPr>
          <w:rFonts w:eastAsia="黑体"/>
          <w:color w:val="auto"/>
          <w:szCs w:val="24"/>
          <w:highlight w:val="none"/>
        </w:rPr>
      </w:pPr>
      <w:r>
        <w:rPr>
          <w:rFonts w:hint="eastAsia" w:eastAsia="黑体"/>
          <w:color w:val="auto"/>
          <w:szCs w:val="24"/>
          <w:highlight w:val="none"/>
        </w:rPr>
        <w:t>（六）投标人信誉情况</w:t>
      </w:r>
    </w:p>
    <w:p w14:paraId="4BE113F1">
      <w:pPr>
        <w:ind w:left="0" w:leftChars="0" w:firstLine="0" w:firstLineChars="0"/>
        <w:jc w:val="center"/>
        <w:rPr>
          <w:color w:val="auto"/>
          <w:szCs w:val="21"/>
          <w:highlight w:val="none"/>
        </w:rPr>
      </w:pPr>
    </w:p>
    <w:p w14:paraId="0071260E">
      <w:pPr>
        <w:widowControl/>
        <w:ind w:firstLine="480"/>
        <w:jc w:val="left"/>
        <w:rPr>
          <w:rFonts w:hint="eastAsia"/>
          <w:color w:val="auto"/>
          <w:szCs w:val="21"/>
          <w:highlight w:val="none"/>
        </w:rPr>
      </w:pPr>
      <w:r>
        <w:rPr>
          <w:rFonts w:hint="eastAsia"/>
          <w:color w:val="auto"/>
          <w:szCs w:val="21"/>
          <w:highlight w:val="none"/>
        </w:rPr>
        <w:t>投标人无需提供证明材料，由评标委员会通过电子服务系统查询。</w:t>
      </w:r>
    </w:p>
    <w:p w14:paraId="2876C147">
      <w:pPr>
        <w:pStyle w:val="7"/>
        <w:spacing w:before="240" w:after="240" w:line="413" w:lineRule="auto"/>
        <w:ind w:firstLine="118"/>
        <w:jc w:val="center"/>
        <w:rPr>
          <w:rFonts w:hint="eastAsia"/>
          <w:color w:val="auto"/>
          <w:szCs w:val="24"/>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593" w:name="_Toc15941"/>
      <w:bookmarkStart w:id="594" w:name="_Toc30629"/>
      <w:bookmarkStart w:id="595" w:name="_Toc29992"/>
      <w:bookmarkStart w:id="596" w:name="_Toc12274"/>
    </w:p>
    <w:p w14:paraId="1AD28076">
      <w:pPr>
        <w:pStyle w:val="7"/>
        <w:spacing w:before="240" w:after="240" w:line="413" w:lineRule="auto"/>
        <w:ind w:firstLine="118"/>
        <w:jc w:val="center"/>
        <w:rPr>
          <w:rFonts w:hint="eastAsia"/>
          <w:color w:val="auto"/>
          <w:szCs w:val="24"/>
          <w:highlight w:val="none"/>
        </w:rPr>
      </w:pPr>
      <w:r>
        <w:rPr>
          <w:rFonts w:hint="eastAsia"/>
          <w:color w:val="auto"/>
          <w:szCs w:val="24"/>
          <w:highlight w:val="none"/>
        </w:rPr>
        <w:t>七、</w:t>
      </w:r>
      <w:bookmarkStart w:id="597" w:name="_Toc14457"/>
      <w:bookmarkStart w:id="598" w:name="_Toc21217"/>
      <w:bookmarkStart w:id="599" w:name="_Toc12604"/>
      <w:bookmarkStart w:id="600" w:name="_Toc14438"/>
      <w:bookmarkStart w:id="601" w:name="_Toc2170"/>
      <w:r>
        <w:rPr>
          <w:rFonts w:hint="eastAsia"/>
          <w:color w:val="auto"/>
          <w:szCs w:val="24"/>
          <w:highlight w:val="none"/>
        </w:rPr>
        <w:t>商务文件详细评审资料</w:t>
      </w:r>
      <w:bookmarkEnd w:id="593"/>
      <w:bookmarkEnd w:id="594"/>
      <w:bookmarkEnd w:id="595"/>
      <w:bookmarkEnd w:id="596"/>
      <w:bookmarkEnd w:id="597"/>
      <w:bookmarkEnd w:id="598"/>
      <w:bookmarkEnd w:id="599"/>
      <w:bookmarkEnd w:id="600"/>
      <w:bookmarkEnd w:id="601"/>
    </w:p>
    <w:p w14:paraId="1BB1BC1F">
      <w:pPr>
        <w:spacing w:before="240" w:beforeLines="100" w:after="240" w:afterLines="100"/>
        <w:ind w:firstLine="480"/>
        <w:jc w:val="center"/>
        <w:outlineLvl w:val="3"/>
        <w:rPr>
          <w:rFonts w:hint="eastAsia" w:eastAsia="黑体"/>
          <w:bCs/>
          <w:color w:val="auto"/>
          <w:highlight w:val="none"/>
        </w:rPr>
      </w:pPr>
      <w:bookmarkStart w:id="602" w:name="_Toc20569"/>
      <w:bookmarkStart w:id="603" w:name="_Toc1400"/>
      <w:bookmarkStart w:id="604" w:name="_Toc2001"/>
      <w:bookmarkStart w:id="605" w:name="_Toc23684"/>
      <w:bookmarkStart w:id="606" w:name="_Toc8624"/>
      <w:bookmarkStart w:id="607" w:name="_Toc2365"/>
      <w:r>
        <w:rPr>
          <w:rFonts w:hint="eastAsia" w:ascii="黑体" w:hAnsi="黑体" w:eastAsia="黑体"/>
          <w:bCs/>
          <w:color w:val="auto"/>
          <w:highlight w:val="none"/>
        </w:rPr>
        <w:t>（一）</w:t>
      </w:r>
      <w:bookmarkEnd w:id="602"/>
      <w:bookmarkEnd w:id="603"/>
      <w:bookmarkEnd w:id="604"/>
      <w:bookmarkEnd w:id="605"/>
      <w:bookmarkEnd w:id="606"/>
      <w:bookmarkEnd w:id="607"/>
      <w:r>
        <w:rPr>
          <w:rFonts w:hint="eastAsia" w:eastAsia="黑体"/>
          <w:bCs/>
          <w:color w:val="auto"/>
          <w:highlight w:val="none"/>
        </w:rPr>
        <w:t>投标人业绩情况表（详细评审）</w:t>
      </w:r>
    </w:p>
    <w:tbl>
      <w:tblPr>
        <w:tblStyle w:val="4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9"/>
        <w:gridCol w:w="5357"/>
        <w:gridCol w:w="1840"/>
      </w:tblGrid>
      <w:tr w14:paraId="5FA85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0"/>
            <w:vAlign w:val="center"/>
          </w:tcPr>
          <w:p w14:paraId="0C33B4DA">
            <w:pPr>
              <w:ind w:left="0" w:leftChars="0" w:firstLine="0" w:firstLineChars="0"/>
              <w:jc w:val="center"/>
              <w:rPr>
                <w:b/>
                <w:color w:val="auto"/>
                <w:highlight w:val="none"/>
              </w:rPr>
            </w:pPr>
            <w:r>
              <w:rPr>
                <w:rFonts w:hint="eastAsia"/>
                <w:b/>
                <w:color w:val="auto"/>
                <w:highlight w:val="none"/>
              </w:rPr>
              <w:t>业绩序号</w:t>
            </w:r>
          </w:p>
        </w:tc>
        <w:tc>
          <w:tcPr>
            <w:tcW w:w="3027" w:type="pct"/>
            <w:noWrap w:val="0"/>
            <w:vAlign w:val="center"/>
          </w:tcPr>
          <w:p w14:paraId="5D4F3F1B">
            <w:pPr>
              <w:ind w:left="0" w:leftChars="0" w:firstLine="0" w:firstLineChars="0"/>
              <w:jc w:val="center"/>
              <w:rPr>
                <w:rFonts w:hint="eastAsia"/>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1040" w:type="pct"/>
            <w:noWrap w:val="0"/>
            <w:vAlign w:val="center"/>
          </w:tcPr>
          <w:p w14:paraId="30C7D8CE">
            <w:pPr>
              <w:ind w:left="0" w:leftChars="0" w:firstLine="0" w:firstLineChars="0"/>
              <w:jc w:val="center"/>
              <w:rPr>
                <w:b/>
                <w:color w:val="auto"/>
                <w:highlight w:val="none"/>
              </w:rPr>
            </w:pPr>
            <w:r>
              <w:rPr>
                <w:rFonts w:hint="eastAsia"/>
                <w:b/>
                <w:color w:val="auto"/>
                <w:highlight w:val="none"/>
              </w:rPr>
              <w:t>备注</w:t>
            </w:r>
          </w:p>
        </w:tc>
      </w:tr>
      <w:tr w14:paraId="25D26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0"/>
            <w:vAlign w:val="center"/>
          </w:tcPr>
          <w:p w14:paraId="261F9D31">
            <w:pPr>
              <w:ind w:left="0" w:leftChars="0" w:firstLine="0" w:firstLineChars="0"/>
              <w:jc w:val="center"/>
              <w:rPr>
                <w:rFonts w:hint="eastAsia"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highlight w:val="none"/>
              </w:rPr>
              <w:t>1</w:t>
            </w:r>
          </w:p>
        </w:tc>
        <w:tc>
          <w:tcPr>
            <w:tcW w:w="3027" w:type="pct"/>
            <w:noWrap w:val="0"/>
            <w:vAlign w:val="center"/>
          </w:tcPr>
          <w:p w14:paraId="3BA24D9D">
            <w:pPr>
              <w:ind w:left="0" w:leftChars="0" w:firstLine="0" w:firstLineChars="0"/>
              <w:jc w:val="center"/>
              <w:rPr>
                <w:rFonts w:hint="eastAsia" w:ascii="Times New Roman" w:hAnsi="Times New Roman" w:eastAsia="宋体" w:cs="Times New Roman"/>
                <w:b w:val="0"/>
                <w:bCs/>
                <w:color w:val="auto"/>
                <w:highlight w:val="none"/>
              </w:rPr>
            </w:pPr>
          </w:p>
        </w:tc>
        <w:tc>
          <w:tcPr>
            <w:tcW w:w="1040" w:type="pct"/>
            <w:noWrap w:val="0"/>
            <w:vAlign w:val="center"/>
          </w:tcPr>
          <w:p w14:paraId="76B94976">
            <w:pPr>
              <w:ind w:left="0" w:leftChars="0" w:firstLine="0" w:firstLineChars="0"/>
              <w:jc w:val="center"/>
              <w:rPr>
                <w:rFonts w:hint="eastAsia" w:ascii="Times New Roman" w:hAnsi="Times New Roman" w:eastAsia="宋体" w:cs="Times New Roman"/>
                <w:b w:val="0"/>
                <w:bCs/>
                <w:color w:val="auto"/>
                <w:highlight w:val="none"/>
              </w:rPr>
            </w:pPr>
          </w:p>
        </w:tc>
      </w:tr>
      <w:tr w14:paraId="1010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0"/>
            <w:vAlign w:val="center"/>
          </w:tcPr>
          <w:p w14:paraId="27D861D6">
            <w:pPr>
              <w:ind w:left="0" w:leftChars="0" w:firstLine="0" w:firstLineChars="0"/>
              <w:jc w:val="center"/>
              <w:rPr>
                <w:rFonts w:hint="eastAsia"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highlight w:val="none"/>
              </w:rPr>
              <w:t>2</w:t>
            </w:r>
          </w:p>
        </w:tc>
        <w:tc>
          <w:tcPr>
            <w:tcW w:w="3027" w:type="pct"/>
            <w:noWrap w:val="0"/>
            <w:vAlign w:val="center"/>
          </w:tcPr>
          <w:p w14:paraId="2AAD63F8">
            <w:pPr>
              <w:ind w:left="0" w:leftChars="0" w:firstLine="0" w:firstLineChars="0"/>
              <w:jc w:val="center"/>
              <w:rPr>
                <w:rFonts w:hint="eastAsia" w:ascii="Times New Roman" w:hAnsi="Times New Roman" w:eastAsia="宋体" w:cs="Times New Roman"/>
                <w:b w:val="0"/>
                <w:bCs/>
                <w:color w:val="auto"/>
                <w:highlight w:val="none"/>
              </w:rPr>
            </w:pPr>
          </w:p>
        </w:tc>
        <w:tc>
          <w:tcPr>
            <w:tcW w:w="1040" w:type="pct"/>
            <w:noWrap w:val="0"/>
            <w:vAlign w:val="center"/>
          </w:tcPr>
          <w:p w14:paraId="4AA1077D">
            <w:pPr>
              <w:ind w:left="0" w:leftChars="0" w:firstLine="0" w:firstLineChars="0"/>
              <w:jc w:val="center"/>
              <w:rPr>
                <w:rFonts w:hint="eastAsia" w:ascii="Times New Roman" w:hAnsi="Times New Roman" w:eastAsia="宋体" w:cs="Times New Roman"/>
                <w:b w:val="0"/>
                <w:bCs/>
                <w:color w:val="auto"/>
                <w:highlight w:val="none"/>
              </w:rPr>
            </w:pPr>
          </w:p>
        </w:tc>
      </w:tr>
      <w:tr w14:paraId="1AB2F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0"/>
            <w:vAlign w:val="center"/>
          </w:tcPr>
          <w:p w14:paraId="69CE48F7">
            <w:pPr>
              <w:ind w:left="0" w:leftChars="0" w:firstLine="0" w:firstLineChars="0"/>
              <w:jc w:val="center"/>
              <w:rPr>
                <w:rFonts w:hint="eastAsia"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highlight w:val="none"/>
              </w:rPr>
              <w:t>……</w:t>
            </w:r>
          </w:p>
        </w:tc>
        <w:tc>
          <w:tcPr>
            <w:tcW w:w="3027" w:type="pct"/>
            <w:noWrap w:val="0"/>
            <w:vAlign w:val="center"/>
          </w:tcPr>
          <w:p w14:paraId="711EC0C6">
            <w:pPr>
              <w:ind w:left="0" w:leftChars="0" w:firstLine="0" w:firstLineChars="0"/>
              <w:jc w:val="center"/>
              <w:rPr>
                <w:rFonts w:hint="eastAsia" w:ascii="Times New Roman" w:hAnsi="Times New Roman" w:eastAsia="宋体" w:cs="Times New Roman"/>
                <w:b w:val="0"/>
                <w:bCs/>
                <w:color w:val="auto"/>
                <w:highlight w:val="none"/>
              </w:rPr>
            </w:pPr>
          </w:p>
        </w:tc>
        <w:tc>
          <w:tcPr>
            <w:tcW w:w="1040" w:type="pct"/>
            <w:noWrap w:val="0"/>
            <w:vAlign w:val="center"/>
          </w:tcPr>
          <w:p w14:paraId="7527D1F1">
            <w:pPr>
              <w:ind w:left="0" w:leftChars="0" w:firstLine="0" w:firstLineChars="0"/>
              <w:jc w:val="center"/>
              <w:rPr>
                <w:rFonts w:hint="eastAsia" w:ascii="Times New Roman" w:hAnsi="Times New Roman" w:eastAsia="宋体" w:cs="Times New Roman"/>
                <w:b w:val="0"/>
                <w:bCs/>
                <w:color w:val="auto"/>
                <w:highlight w:val="none"/>
              </w:rPr>
            </w:pPr>
          </w:p>
        </w:tc>
      </w:tr>
    </w:tbl>
    <w:p w14:paraId="03366674">
      <w:pPr>
        <w:ind w:firstLine="480"/>
        <w:rPr>
          <w:color w:val="auto"/>
          <w:highlight w:val="none"/>
        </w:rPr>
      </w:pPr>
      <w:r>
        <w:rPr>
          <w:rFonts w:hint="eastAsia"/>
          <w:color w:val="auto"/>
          <w:highlight w:val="none"/>
        </w:rPr>
        <w:t>注：</w:t>
      </w:r>
    </w:p>
    <w:p w14:paraId="7E757617">
      <w:pPr>
        <w:ind w:firstLine="480"/>
        <w:rPr>
          <w:color w:val="auto"/>
          <w:highlight w:val="none"/>
        </w:rPr>
      </w:pPr>
      <w:r>
        <w:rPr>
          <w:rFonts w:hint="eastAsia"/>
          <w:color w:val="auto"/>
          <w:highlight w:val="none"/>
        </w:rPr>
        <w:t>1.投标人应将用于商务文件详细评审的投标人业绩在上表中列明，按照列明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依次填写“投标人</w:t>
      </w:r>
      <w:r>
        <w:rPr>
          <w:color w:val="auto"/>
          <w:highlight w:val="none"/>
        </w:rPr>
        <w:t>业绩</w:t>
      </w:r>
      <w:r>
        <w:rPr>
          <w:rFonts w:hint="eastAsia"/>
          <w:color w:val="auto"/>
          <w:highlight w:val="none"/>
        </w:rPr>
        <w:t>信息</w:t>
      </w:r>
      <w:r>
        <w:rPr>
          <w:color w:val="auto"/>
          <w:highlight w:val="none"/>
        </w:rPr>
        <w:t>表</w:t>
      </w:r>
      <w:r>
        <w:rPr>
          <w:rFonts w:hint="eastAsia"/>
          <w:color w:val="auto"/>
          <w:highlight w:val="none"/>
        </w:rPr>
        <w:t>（详细评审）”，并附相应业绩证明材料。</w:t>
      </w:r>
    </w:p>
    <w:p w14:paraId="43028AC0">
      <w:pPr>
        <w:ind w:firstLine="480"/>
        <w:rPr>
          <w:rFonts w:hint="eastAsia"/>
          <w:color w:val="auto"/>
          <w:highlight w:val="none"/>
        </w:rPr>
      </w:pPr>
      <w:r>
        <w:rPr>
          <w:rFonts w:hint="eastAsia"/>
          <w:color w:val="auto"/>
          <w:highlight w:val="none"/>
        </w:rPr>
        <w:t>2.评标</w:t>
      </w:r>
      <w:r>
        <w:rPr>
          <w:color w:val="auto"/>
          <w:highlight w:val="none"/>
        </w:rPr>
        <w:t>委员会应当按照上表</w:t>
      </w:r>
      <w:r>
        <w:rPr>
          <w:rFonts w:hint="eastAsia"/>
          <w:color w:val="auto"/>
          <w:highlight w:val="none"/>
        </w:rPr>
        <w:t>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w:t>
      </w:r>
      <w:r>
        <w:rPr>
          <w:color w:val="auto"/>
          <w:highlight w:val="none"/>
        </w:rPr>
        <w:t>进行评审，</w:t>
      </w:r>
      <w:r>
        <w:rPr>
          <w:rFonts w:hint="eastAsia"/>
          <w:color w:val="auto"/>
          <w:highlight w:val="none"/>
        </w:rPr>
        <w:t>且仅评审评审标准规定数量的业绩，超出规定数量部分或未在上表列明的业绩均不作为商务文件详细评审投标人业绩予以评审。</w:t>
      </w:r>
    </w:p>
    <w:p w14:paraId="60D385E1">
      <w:pPr>
        <w:tabs>
          <w:tab w:val="left" w:pos="8422"/>
          <w:tab w:val="left" w:pos="9622"/>
        </w:tabs>
        <w:ind w:left="0" w:leftChars="0" w:right="120" w:rightChars="50" w:firstLine="0" w:firstLineChars="0"/>
        <w:jc w:val="center"/>
        <w:rPr>
          <w:color w:val="auto"/>
          <w:highlight w:val="none"/>
        </w:rPr>
      </w:pPr>
    </w:p>
    <w:p w14:paraId="4BFC3711">
      <w:pPr>
        <w:adjustRightInd w:val="0"/>
        <w:snapToGrid w:val="0"/>
        <w:spacing w:line="360" w:lineRule="auto"/>
        <w:ind w:firstLine="960"/>
        <w:jc w:val="right"/>
        <w:rPr>
          <w:rFonts w:hint="eastAsia"/>
          <w:bCs/>
          <w:color w:val="auto"/>
          <w:szCs w:val="21"/>
          <w:highlight w:val="none"/>
          <w:u w:val="single"/>
        </w:rPr>
      </w:pPr>
      <w:r>
        <w:rPr>
          <w:rFonts w:hint="eastAsia"/>
          <w:bCs/>
          <w:color w:val="auto"/>
          <w:spacing w:val="120"/>
          <w:kern w:val="0"/>
          <w:szCs w:val="21"/>
          <w:highlight w:val="none"/>
          <w:fitText w:val="1200" w:id="242559345"/>
        </w:rPr>
        <w:t>投标</w:t>
      </w:r>
      <w:r>
        <w:rPr>
          <w:rFonts w:hint="eastAsia"/>
          <w:bCs/>
          <w:color w:val="auto"/>
          <w:spacing w:val="0"/>
          <w:kern w:val="0"/>
          <w:szCs w:val="21"/>
          <w:highlight w:val="none"/>
          <w:fitText w:val="1200" w:id="242559345"/>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28FC5AA2">
      <w:pPr>
        <w:adjustRightInd w:val="0"/>
        <w:snapToGrid w:val="0"/>
        <w:spacing w:line="360" w:lineRule="auto"/>
        <w:ind w:firstLine="1920"/>
        <w:jc w:val="right"/>
        <w:rPr>
          <w:rFonts w:hint="eastAsia" w:eastAsia="黑体"/>
          <w:color w:val="auto"/>
          <w:sz w:val="28"/>
          <w:szCs w:val="28"/>
          <w:highlight w:val="none"/>
        </w:rPr>
      </w:pPr>
      <w:r>
        <w:rPr>
          <w:rFonts w:hint="eastAsia"/>
          <w:bCs/>
          <w:color w:val="auto"/>
          <w:spacing w:val="360"/>
          <w:kern w:val="0"/>
          <w:szCs w:val="21"/>
          <w:highlight w:val="none"/>
          <w:fitText w:val="1200" w:id="514081747"/>
        </w:rPr>
        <w:t>日</w:t>
      </w:r>
      <w:r>
        <w:rPr>
          <w:rFonts w:hint="eastAsia"/>
          <w:bCs/>
          <w:color w:val="auto"/>
          <w:spacing w:val="0"/>
          <w:kern w:val="0"/>
          <w:szCs w:val="21"/>
          <w:highlight w:val="none"/>
          <w:fitText w:val="1200" w:id="514081747"/>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588D0F6">
      <w:pPr>
        <w:ind w:left="0" w:leftChars="0" w:firstLine="0" w:firstLineChars="0"/>
        <w:jc w:val="center"/>
        <w:rPr>
          <w:b/>
          <w:color w:val="auto"/>
          <w:highlight w:val="none"/>
        </w:rPr>
      </w:pPr>
      <w:r>
        <w:rPr>
          <w:b/>
          <w:color w:val="auto"/>
          <w:highlight w:val="none"/>
        </w:rPr>
        <w:br w:type="page"/>
      </w:r>
      <w:r>
        <w:rPr>
          <w:rFonts w:hint="eastAsia"/>
          <w:b/>
          <w:color w:val="auto"/>
          <w:highlight w:val="none"/>
        </w:rPr>
        <w:t>投标人业绩信息表（详细评审）</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6607"/>
      </w:tblGrid>
      <w:tr w14:paraId="3A06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82D300A">
            <w:pPr>
              <w:autoSpaceDE w:val="0"/>
              <w:autoSpaceDN w:val="0"/>
              <w:adjustRightInd w:val="0"/>
              <w:spacing w:line="300" w:lineRule="exact"/>
              <w:ind w:left="0" w:leftChars="0" w:firstLine="0" w:firstLineChars="0"/>
              <w:jc w:val="center"/>
              <w:rPr>
                <w:rFonts w:hint="eastAsia" w:cs="宋体"/>
                <w:color w:val="auto"/>
                <w:szCs w:val="21"/>
                <w:highlight w:val="none"/>
              </w:rPr>
            </w:pPr>
            <w:r>
              <w:rPr>
                <w:rFonts w:hint="eastAsia" w:cs="宋体"/>
                <w:color w:val="auto"/>
                <w:szCs w:val="21"/>
                <w:highlight w:val="none"/>
              </w:rPr>
              <w:t>项目名称</w:t>
            </w:r>
          </w:p>
          <w:p w14:paraId="4FA4D030">
            <w:pPr>
              <w:autoSpaceDE w:val="0"/>
              <w:autoSpaceDN w:val="0"/>
              <w:adjustRightInd w:val="0"/>
              <w:spacing w:line="300" w:lineRule="exact"/>
              <w:ind w:left="0" w:leftChars="0" w:firstLine="0" w:firstLineChars="0"/>
              <w:jc w:val="center"/>
              <w:rPr>
                <w:rFonts w:cs="宋体"/>
                <w:color w:val="auto"/>
                <w:szCs w:val="21"/>
                <w:highlight w:val="none"/>
              </w:rPr>
            </w:pPr>
            <w:r>
              <w:rPr>
                <w:rFonts w:hint="eastAsia" w:cs="宋体"/>
                <w:color w:val="auto"/>
                <w:szCs w:val="21"/>
                <w:highlight w:val="none"/>
              </w:rPr>
              <w:t>（合同名称）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4C452A0">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785A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8EE6A16">
            <w:pPr>
              <w:autoSpaceDE w:val="0"/>
              <w:autoSpaceDN w:val="0"/>
              <w:adjustRightInd w:val="0"/>
              <w:spacing w:line="300" w:lineRule="exact"/>
              <w:ind w:left="0" w:leftChars="0" w:firstLine="0" w:firstLineChars="0"/>
              <w:jc w:val="center"/>
              <w:rPr>
                <w:rFonts w:cs="宋体"/>
                <w:color w:val="auto"/>
                <w:szCs w:val="21"/>
                <w:highlight w:val="none"/>
              </w:rPr>
            </w:pPr>
            <w:r>
              <w:rPr>
                <w:rFonts w:hint="eastAsia" w:cs="宋体"/>
                <w:color w:val="auto"/>
                <w:szCs w:val="21"/>
                <w:highlight w:val="none"/>
              </w:rPr>
              <w:t>项目所在地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43211ABD">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3596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6460E697">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发包人名称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1972C63">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48B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38CDAACB">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发包人地址</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6E94752">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3199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30F7A0B0">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发包人电话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2F735CB">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63C5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72A8336B">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合同价格</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785138BE">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0E15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61BEBF61">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开工日期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3870C64">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7423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7F6B4191">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竣工日期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E80800C">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2C1A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888D19F">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承担的工作</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4877348C">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0A4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CD8F47E">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工程质量</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7EBC65F7">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2C0F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8998895">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监理单位及联系电话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58FEFFA">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510E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3BC952AA">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总监理工程师及电话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CA3B0D6">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00FA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78BE5988">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项目描述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DBA3C33">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96B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2DEE545">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备注</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7FE38722">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商务文件详细评审业绩</w:t>
            </w:r>
          </w:p>
        </w:tc>
      </w:tr>
    </w:tbl>
    <w:p w14:paraId="7EC23480">
      <w:pPr>
        <w:spacing w:line="360" w:lineRule="auto"/>
        <w:ind w:firstLine="480"/>
        <w:rPr>
          <w:color w:val="auto"/>
          <w:highlight w:val="none"/>
        </w:rPr>
      </w:pPr>
      <w:r>
        <w:rPr>
          <w:rFonts w:hint="eastAsia" w:cs="宋体"/>
          <w:color w:val="auto"/>
          <w:szCs w:val="21"/>
          <w:highlight w:val="none"/>
        </w:rPr>
        <w:t>注：投标人应根据招标文件第</w:t>
      </w:r>
      <w:r>
        <w:rPr>
          <w:rFonts w:hint="eastAsia" w:cs="宋体"/>
          <w:color w:val="auto"/>
          <w:szCs w:val="21"/>
          <w:highlight w:val="none"/>
          <w:lang w:val="en-US" w:eastAsia="zh-CN"/>
        </w:rPr>
        <w:t>三</w:t>
      </w:r>
      <w:r>
        <w:rPr>
          <w:rFonts w:hint="eastAsia" w:cs="宋体"/>
          <w:color w:val="auto"/>
          <w:szCs w:val="21"/>
          <w:highlight w:val="none"/>
        </w:rPr>
        <w:t>章</w:t>
      </w:r>
      <w:r>
        <w:rPr>
          <w:rFonts w:hint="eastAsia" w:cs="宋体"/>
          <w:color w:val="auto"/>
          <w:szCs w:val="21"/>
          <w:highlight w:val="none"/>
          <w:lang w:val="en-US" w:eastAsia="zh-CN"/>
        </w:rPr>
        <w:t xml:space="preserve"> 评标办法-商务、技术及报价文件详细评审标准</w:t>
      </w:r>
      <w:r>
        <w:rPr>
          <w:rFonts w:hint="eastAsia" w:cs="宋体"/>
          <w:color w:val="auto"/>
          <w:szCs w:val="21"/>
          <w:highlight w:val="none"/>
        </w:rPr>
        <w:t>的要求在本表后附相关证明材料。</w:t>
      </w:r>
    </w:p>
    <w:p w14:paraId="0C3E77ED">
      <w:pPr>
        <w:spacing w:before="240" w:beforeLines="100" w:after="240" w:afterLines="100"/>
        <w:ind w:left="0" w:leftChars="0" w:firstLine="0" w:firstLineChars="0"/>
        <w:jc w:val="center"/>
        <w:outlineLvl w:val="3"/>
        <w:rPr>
          <w:rFonts w:eastAsia="黑体"/>
          <w:bCs/>
          <w:color w:val="auto"/>
          <w:highlight w:val="none"/>
        </w:rPr>
      </w:pPr>
      <w:r>
        <w:rPr>
          <w:rFonts w:hAnsi="黑体" w:eastAsia="黑体"/>
          <w:bCs/>
          <w:color w:val="auto"/>
          <w:szCs w:val="21"/>
          <w:highlight w:val="none"/>
        </w:rPr>
        <w:br w:type="page"/>
      </w:r>
      <w:bookmarkStart w:id="608" w:name="_Toc19339"/>
      <w:bookmarkStart w:id="609" w:name="_Toc21543"/>
      <w:bookmarkStart w:id="610" w:name="_Toc17457"/>
      <w:bookmarkStart w:id="611" w:name="_Toc14380"/>
      <w:bookmarkStart w:id="612" w:name="_Toc1845"/>
      <w:bookmarkStart w:id="613" w:name="_Toc5020"/>
      <w:r>
        <w:rPr>
          <w:rFonts w:hint="eastAsia" w:ascii="黑体" w:hAnsi="黑体" w:eastAsia="黑体"/>
          <w:bCs/>
          <w:color w:val="auto"/>
          <w:highlight w:val="none"/>
        </w:rPr>
        <w:t>（二）</w:t>
      </w:r>
      <w:bookmarkEnd w:id="608"/>
      <w:bookmarkEnd w:id="609"/>
      <w:bookmarkEnd w:id="610"/>
      <w:bookmarkEnd w:id="611"/>
      <w:bookmarkEnd w:id="612"/>
      <w:bookmarkEnd w:id="613"/>
      <w:r>
        <w:rPr>
          <w:rFonts w:hint="eastAsia" w:eastAsia="黑体"/>
          <w:bCs/>
          <w:color w:val="auto"/>
          <w:highlight w:val="none"/>
        </w:rPr>
        <w:t>总监理工程师业绩情况表（详细评审）</w:t>
      </w:r>
    </w:p>
    <w:tbl>
      <w:tblPr>
        <w:tblStyle w:val="4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4"/>
        <w:gridCol w:w="5847"/>
        <w:gridCol w:w="1375"/>
      </w:tblGrid>
      <w:tr w14:paraId="78E3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0"/>
            <w:vAlign w:val="center"/>
          </w:tcPr>
          <w:p w14:paraId="29B9E4E1">
            <w:pPr>
              <w:ind w:left="0" w:leftChars="0" w:firstLine="0" w:firstLineChars="0"/>
              <w:jc w:val="center"/>
              <w:rPr>
                <w:b/>
                <w:color w:val="auto"/>
                <w:highlight w:val="none"/>
              </w:rPr>
            </w:pPr>
            <w:r>
              <w:rPr>
                <w:rFonts w:hint="eastAsia"/>
                <w:b/>
                <w:color w:val="auto"/>
                <w:highlight w:val="none"/>
              </w:rPr>
              <w:t>业绩序号</w:t>
            </w:r>
          </w:p>
        </w:tc>
        <w:tc>
          <w:tcPr>
            <w:tcW w:w="3304" w:type="pct"/>
            <w:noWrap w:val="0"/>
            <w:vAlign w:val="center"/>
          </w:tcPr>
          <w:p w14:paraId="543CAC97">
            <w:pPr>
              <w:ind w:left="0" w:leftChars="0" w:firstLine="0" w:firstLineChars="0"/>
              <w:jc w:val="center"/>
              <w:rPr>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777" w:type="pct"/>
            <w:noWrap w:val="0"/>
            <w:vAlign w:val="center"/>
          </w:tcPr>
          <w:p w14:paraId="7EF90A3A">
            <w:pPr>
              <w:ind w:left="0" w:leftChars="0" w:firstLine="0" w:firstLineChars="0"/>
              <w:jc w:val="center"/>
              <w:rPr>
                <w:b/>
                <w:color w:val="auto"/>
                <w:highlight w:val="none"/>
              </w:rPr>
            </w:pPr>
            <w:r>
              <w:rPr>
                <w:rFonts w:hint="eastAsia"/>
                <w:b/>
                <w:color w:val="auto"/>
                <w:highlight w:val="none"/>
              </w:rPr>
              <w:t>备注</w:t>
            </w:r>
          </w:p>
        </w:tc>
      </w:tr>
      <w:tr w14:paraId="0BFEA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0"/>
            <w:vAlign w:val="center"/>
          </w:tcPr>
          <w:p w14:paraId="4DF67A00">
            <w:pPr>
              <w:ind w:left="0" w:leftChars="0" w:firstLine="0" w:firstLineChars="0"/>
              <w:jc w:val="center"/>
              <w:rPr>
                <w:rFonts w:hint="eastAsia"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highlight w:val="none"/>
              </w:rPr>
              <w:t>1</w:t>
            </w:r>
          </w:p>
        </w:tc>
        <w:tc>
          <w:tcPr>
            <w:tcW w:w="3304" w:type="pct"/>
            <w:noWrap w:val="0"/>
            <w:vAlign w:val="center"/>
          </w:tcPr>
          <w:p w14:paraId="0AD15EDE">
            <w:pPr>
              <w:ind w:left="0" w:leftChars="0" w:firstLine="0" w:firstLineChars="0"/>
              <w:jc w:val="center"/>
              <w:rPr>
                <w:rFonts w:hint="eastAsia" w:ascii="Times New Roman" w:hAnsi="Times New Roman" w:eastAsia="宋体" w:cs="Times New Roman"/>
                <w:b/>
                <w:color w:val="auto"/>
                <w:highlight w:val="none"/>
              </w:rPr>
            </w:pPr>
          </w:p>
        </w:tc>
        <w:tc>
          <w:tcPr>
            <w:tcW w:w="777" w:type="pct"/>
            <w:noWrap w:val="0"/>
            <w:vAlign w:val="center"/>
          </w:tcPr>
          <w:p w14:paraId="25AA78EB">
            <w:pPr>
              <w:ind w:left="0" w:leftChars="0" w:firstLine="0" w:firstLineChars="0"/>
              <w:jc w:val="center"/>
              <w:rPr>
                <w:rFonts w:hint="eastAsia" w:ascii="Times New Roman" w:hAnsi="Times New Roman" w:eastAsia="宋体" w:cs="Times New Roman"/>
                <w:b/>
                <w:color w:val="auto"/>
                <w:highlight w:val="none"/>
              </w:rPr>
            </w:pPr>
          </w:p>
        </w:tc>
      </w:tr>
      <w:tr w14:paraId="3AEB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0"/>
            <w:vAlign w:val="center"/>
          </w:tcPr>
          <w:p w14:paraId="0435DB55">
            <w:pPr>
              <w:ind w:left="0" w:leftChars="0" w:firstLine="0" w:firstLineChars="0"/>
              <w:jc w:val="center"/>
              <w:rPr>
                <w:rFonts w:hint="eastAsia"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highlight w:val="none"/>
              </w:rPr>
              <w:t>2</w:t>
            </w:r>
          </w:p>
        </w:tc>
        <w:tc>
          <w:tcPr>
            <w:tcW w:w="3304" w:type="pct"/>
            <w:noWrap w:val="0"/>
            <w:vAlign w:val="center"/>
          </w:tcPr>
          <w:p w14:paraId="330479CB">
            <w:pPr>
              <w:ind w:left="0" w:leftChars="0" w:firstLine="0" w:firstLineChars="0"/>
              <w:jc w:val="center"/>
              <w:rPr>
                <w:rFonts w:hint="eastAsia" w:ascii="Times New Roman" w:hAnsi="Times New Roman" w:eastAsia="宋体" w:cs="Times New Roman"/>
                <w:b/>
                <w:color w:val="auto"/>
                <w:highlight w:val="none"/>
              </w:rPr>
            </w:pPr>
          </w:p>
        </w:tc>
        <w:tc>
          <w:tcPr>
            <w:tcW w:w="777" w:type="pct"/>
            <w:noWrap w:val="0"/>
            <w:vAlign w:val="center"/>
          </w:tcPr>
          <w:p w14:paraId="3269220E">
            <w:pPr>
              <w:ind w:left="0" w:leftChars="0" w:firstLine="0" w:firstLineChars="0"/>
              <w:jc w:val="center"/>
              <w:rPr>
                <w:rFonts w:hint="eastAsia" w:ascii="Times New Roman" w:hAnsi="Times New Roman" w:eastAsia="宋体" w:cs="Times New Roman"/>
                <w:b/>
                <w:color w:val="auto"/>
                <w:highlight w:val="none"/>
              </w:rPr>
            </w:pPr>
          </w:p>
        </w:tc>
      </w:tr>
      <w:tr w14:paraId="3E52B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0"/>
            <w:vAlign w:val="center"/>
          </w:tcPr>
          <w:p w14:paraId="7C206F57">
            <w:pPr>
              <w:ind w:left="0" w:leftChars="0" w:firstLine="0" w:firstLineChars="0"/>
              <w:jc w:val="center"/>
              <w:rPr>
                <w:rFonts w:hint="eastAsia" w:ascii="Times New Roman" w:hAnsi="Times New Roman" w:eastAsia="宋体" w:cs="Times New Roman"/>
                <w:b w:val="0"/>
                <w:bCs/>
                <w:color w:val="auto"/>
                <w:highlight w:val="none"/>
              </w:rPr>
            </w:pPr>
            <w:r>
              <w:rPr>
                <w:rFonts w:hint="eastAsia" w:ascii="Times New Roman" w:hAnsi="Times New Roman" w:eastAsia="宋体" w:cs="Times New Roman"/>
                <w:b w:val="0"/>
                <w:bCs/>
                <w:color w:val="auto"/>
                <w:highlight w:val="none"/>
              </w:rPr>
              <w:t>……</w:t>
            </w:r>
          </w:p>
        </w:tc>
        <w:tc>
          <w:tcPr>
            <w:tcW w:w="3304" w:type="pct"/>
            <w:noWrap w:val="0"/>
            <w:vAlign w:val="center"/>
          </w:tcPr>
          <w:p w14:paraId="767D96B5">
            <w:pPr>
              <w:ind w:left="0" w:leftChars="0" w:firstLine="0" w:firstLineChars="0"/>
              <w:jc w:val="center"/>
              <w:rPr>
                <w:rFonts w:hint="eastAsia" w:ascii="Times New Roman" w:hAnsi="Times New Roman" w:eastAsia="宋体" w:cs="Times New Roman"/>
                <w:b/>
                <w:color w:val="auto"/>
                <w:highlight w:val="none"/>
              </w:rPr>
            </w:pPr>
          </w:p>
        </w:tc>
        <w:tc>
          <w:tcPr>
            <w:tcW w:w="777" w:type="pct"/>
            <w:noWrap w:val="0"/>
            <w:vAlign w:val="center"/>
          </w:tcPr>
          <w:p w14:paraId="45B60849">
            <w:pPr>
              <w:ind w:left="0" w:leftChars="0" w:firstLine="0" w:firstLineChars="0"/>
              <w:jc w:val="center"/>
              <w:rPr>
                <w:rFonts w:hint="eastAsia" w:ascii="Times New Roman" w:hAnsi="Times New Roman" w:eastAsia="宋体" w:cs="Times New Roman"/>
                <w:b/>
                <w:color w:val="auto"/>
                <w:highlight w:val="none"/>
              </w:rPr>
            </w:pPr>
          </w:p>
        </w:tc>
      </w:tr>
    </w:tbl>
    <w:p w14:paraId="465F9CC3">
      <w:pPr>
        <w:ind w:firstLine="480"/>
        <w:rPr>
          <w:color w:val="auto"/>
          <w:highlight w:val="none"/>
        </w:rPr>
      </w:pPr>
      <w:r>
        <w:rPr>
          <w:rFonts w:hint="eastAsia"/>
          <w:color w:val="auto"/>
          <w:highlight w:val="none"/>
        </w:rPr>
        <w:t>注：</w:t>
      </w:r>
    </w:p>
    <w:p w14:paraId="778BF1B4">
      <w:pPr>
        <w:spacing w:line="360" w:lineRule="auto"/>
        <w:ind w:firstLine="480"/>
        <w:rPr>
          <w:color w:val="auto"/>
          <w:highlight w:val="none"/>
        </w:rPr>
      </w:pPr>
      <w:r>
        <w:rPr>
          <w:rFonts w:hint="eastAsia"/>
          <w:color w:val="auto"/>
          <w:highlight w:val="none"/>
        </w:rPr>
        <w:t>1.投标人应将用于商务文件详细评审的总监理工程师业绩在上表中列明，按照列明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依次填写“总监理工程师</w:t>
      </w:r>
      <w:r>
        <w:rPr>
          <w:color w:val="auto"/>
          <w:highlight w:val="none"/>
        </w:rPr>
        <w:t>业绩</w:t>
      </w:r>
      <w:r>
        <w:rPr>
          <w:rFonts w:hint="eastAsia"/>
          <w:color w:val="auto"/>
          <w:highlight w:val="none"/>
        </w:rPr>
        <w:t>信息</w:t>
      </w:r>
      <w:r>
        <w:rPr>
          <w:color w:val="auto"/>
          <w:highlight w:val="none"/>
        </w:rPr>
        <w:t>表</w:t>
      </w:r>
      <w:r>
        <w:rPr>
          <w:rFonts w:hint="eastAsia"/>
          <w:color w:val="auto"/>
          <w:highlight w:val="none"/>
        </w:rPr>
        <w:t>（详细评审）”，并附相应业绩证明材料。</w:t>
      </w:r>
    </w:p>
    <w:p w14:paraId="5FF6BEEC">
      <w:pPr>
        <w:spacing w:line="360" w:lineRule="auto"/>
        <w:ind w:firstLine="480"/>
        <w:rPr>
          <w:rFonts w:hint="eastAsia"/>
          <w:color w:val="auto"/>
          <w:highlight w:val="none"/>
        </w:rPr>
      </w:pPr>
      <w:r>
        <w:rPr>
          <w:rFonts w:hint="eastAsia"/>
          <w:color w:val="auto"/>
          <w:highlight w:val="none"/>
        </w:rPr>
        <w:t>2.评标</w:t>
      </w:r>
      <w:r>
        <w:rPr>
          <w:color w:val="auto"/>
          <w:highlight w:val="none"/>
        </w:rPr>
        <w:t>委员会应当按照上表</w:t>
      </w:r>
      <w:r>
        <w:rPr>
          <w:rFonts w:hint="eastAsia"/>
          <w:color w:val="auto"/>
          <w:highlight w:val="none"/>
        </w:rPr>
        <w:t>列明</w:t>
      </w:r>
      <w:r>
        <w:rPr>
          <w:color w:val="auto"/>
          <w:highlight w:val="none"/>
        </w:rPr>
        <w:t>的</w:t>
      </w:r>
      <w:r>
        <w:rPr>
          <w:rFonts w:hint="eastAsia"/>
          <w:color w:val="auto"/>
          <w:highlight w:val="none"/>
        </w:rPr>
        <w:t>业绩序号先后</w:t>
      </w:r>
      <w:r>
        <w:rPr>
          <w:color w:val="auto"/>
          <w:highlight w:val="none"/>
        </w:rPr>
        <w:t>顺序</w:t>
      </w:r>
      <w:r>
        <w:rPr>
          <w:rFonts w:hint="eastAsia"/>
          <w:color w:val="auto"/>
          <w:highlight w:val="none"/>
        </w:rPr>
        <w:t>依次</w:t>
      </w:r>
      <w:r>
        <w:rPr>
          <w:color w:val="auto"/>
          <w:highlight w:val="none"/>
        </w:rPr>
        <w:t>进行评审，</w:t>
      </w:r>
      <w:r>
        <w:rPr>
          <w:rFonts w:hint="eastAsia"/>
          <w:color w:val="auto"/>
          <w:highlight w:val="none"/>
        </w:rPr>
        <w:t>且仅评审评审标准规定数量的业绩，超出规定数量部分或未在上表列明的业绩均不作为商务文件详细评审总监理工程师业绩予以评审。</w:t>
      </w:r>
    </w:p>
    <w:p w14:paraId="7DCDD568">
      <w:pPr>
        <w:tabs>
          <w:tab w:val="left" w:pos="8422"/>
          <w:tab w:val="left" w:pos="9622"/>
        </w:tabs>
        <w:ind w:left="0" w:leftChars="0" w:right="120" w:rightChars="50" w:firstLine="0" w:firstLineChars="0"/>
        <w:jc w:val="center"/>
        <w:rPr>
          <w:color w:val="auto"/>
          <w:highlight w:val="none"/>
        </w:rPr>
      </w:pPr>
    </w:p>
    <w:p w14:paraId="3377837B">
      <w:pPr>
        <w:adjustRightInd w:val="0"/>
        <w:snapToGrid w:val="0"/>
        <w:ind w:firstLine="960"/>
        <w:jc w:val="right"/>
        <w:rPr>
          <w:rFonts w:hint="eastAsia"/>
          <w:bCs/>
          <w:color w:val="auto"/>
          <w:szCs w:val="21"/>
          <w:highlight w:val="none"/>
          <w:u w:val="single"/>
        </w:rPr>
      </w:pPr>
      <w:r>
        <w:rPr>
          <w:rFonts w:hint="eastAsia"/>
          <w:bCs/>
          <w:color w:val="auto"/>
          <w:spacing w:val="120"/>
          <w:kern w:val="0"/>
          <w:szCs w:val="21"/>
          <w:highlight w:val="none"/>
          <w:fitText w:val="1200" w:id="786375980"/>
        </w:rPr>
        <w:t>投标</w:t>
      </w:r>
      <w:r>
        <w:rPr>
          <w:rFonts w:hint="eastAsia"/>
          <w:bCs/>
          <w:color w:val="auto"/>
          <w:spacing w:val="0"/>
          <w:kern w:val="0"/>
          <w:szCs w:val="21"/>
          <w:highlight w:val="none"/>
          <w:fitText w:val="1200" w:id="786375980"/>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2C56F76B">
      <w:pPr>
        <w:adjustRightInd w:val="0"/>
        <w:snapToGrid w:val="0"/>
        <w:ind w:firstLine="1920"/>
        <w:jc w:val="right"/>
        <w:rPr>
          <w:rFonts w:hint="eastAsia" w:eastAsia="黑体"/>
          <w:color w:val="auto"/>
          <w:sz w:val="28"/>
          <w:szCs w:val="28"/>
          <w:highlight w:val="none"/>
        </w:rPr>
      </w:pPr>
      <w:r>
        <w:rPr>
          <w:rFonts w:hint="eastAsia"/>
          <w:bCs/>
          <w:color w:val="auto"/>
          <w:spacing w:val="360"/>
          <w:kern w:val="0"/>
          <w:szCs w:val="21"/>
          <w:highlight w:val="none"/>
          <w:fitText w:val="1200" w:id="1271744209"/>
        </w:rPr>
        <w:t>日</w:t>
      </w:r>
      <w:r>
        <w:rPr>
          <w:rFonts w:hint="eastAsia"/>
          <w:bCs/>
          <w:color w:val="auto"/>
          <w:spacing w:val="0"/>
          <w:kern w:val="0"/>
          <w:szCs w:val="21"/>
          <w:highlight w:val="none"/>
          <w:fitText w:val="1200" w:id="1271744209"/>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F4C805">
      <w:pPr>
        <w:ind w:left="0" w:leftChars="0" w:firstLine="0" w:firstLineChars="0"/>
        <w:jc w:val="center"/>
        <w:rPr>
          <w:b/>
          <w:color w:val="auto"/>
          <w:highlight w:val="none"/>
        </w:rPr>
      </w:pPr>
      <w:r>
        <w:rPr>
          <w:color w:val="auto"/>
          <w:highlight w:val="none"/>
        </w:rPr>
        <w:br w:type="page"/>
      </w:r>
      <w:r>
        <w:rPr>
          <w:rFonts w:hint="eastAsia"/>
          <w:b/>
          <w:color w:val="auto"/>
          <w:highlight w:val="none"/>
        </w:rPr>
        <w:t>总监理工程师</w:t>
      </w:r>
      <w:r>
        <w:rPr>
          <w:b/>
          <w:color w:val="auto"/>
          <w:highlight w:val="none"/>
        </w:rPr>
        <w:t>业绩信息表</w:t>
      </w:r>
      <w:r>
        <w:rPr>
          <w:rFonts w:hint="eastAsia"/>
          <w:b/>
          <w:color w:val="auto"/>
          <w:highlight w:val="none"/>
        </w:rPr>
        <w:t>（详细评审）</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6607"/>
      </w:tblGrid>
      <w:tr w14:paraId="2A56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D6AF8C4">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项目名称</w:t>
            </w:r>
          </w:p>
          <w:p w14:paraId="5EB285C7">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（合同名称）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146FFA3">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40B1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AA2FC0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项目所在地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0051278">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63A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F8D69A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发包人名称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167CDEC">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4F8B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E61120E">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发包人地址</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75E1474">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3437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61BCA4F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发包人电话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B34D775">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00DF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AF4241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合同价格</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065BEA25">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190C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D2D1CAE">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开工日期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46B702A5">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77D6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228B278F">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竣工日期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2456D03">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4BE1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B539A50">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承担的工作</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DFA0477">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768B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7A27A0AE">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工程质量</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ED82DA5">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0DAF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CC7693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监理单位及联系电话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D20D5BB">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7FC3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68368D6">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总监理工程师及电话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E7DBB17">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502B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3A42FD1C">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项目描述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70EA3B9">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p>
        </w:tc>
      </w:tr>
      <w:tr w14:paraId="6A31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D96BE97">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备注</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D8418E4">
            <w:pPr>
              <w:autoSpaceDE w:val="0"/>
              <w:autoSpaceDN w:val="0"/>
              <w:adjustRightInd w:val="0"/>
              <w:spacing w:line="300" w:lineRule="exact"/>
              <w:ind w:left="0" w:leftChars="0" w:firstLine="0" w:firstLineChars="0"/>
              <w:jc w:val="cente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商务文件详细评审业绩</w:t>
            </w:r>
          </w:p>
        </w:tc>
      </w:tr>
    </w:tbl>
    <w:p w14:paraId="52FC3EBC">
      <w:pPr>
        <w:ind w:firstLine="480"/>
        <w:rPr>
          <w:rFonts w:hint="eastAsia"/>
          <w:color w:val="auto"/>
          <w:highlight w:val="none"/>
        </w:rPr>
      </w:pPr>
      <w:r>
        <w:rPr>
          <w:rFonts w:hint="eastAsia" w:cs="宋体"/>
          <w:color w:val="auto"/>
          <w:szCs w:val="21"/>
          <w:highlight w:val="none"/>
        </w:rPr>
        <w:t>注：投标人应根据招标文件第三章 评标办法-商务、技术及报价文件详细评审标准</w:t>
      </w:r>
      <w:r>
        <w:rPr>
          <w:rFonts w:hint="eastAsia" w:cs="宋体"/>
          <w:color w:val="auto"/>
          <w:szCs w:val="21"/>
          <w:highlight w:val="none"/>
          <w:lang w:val="en-US" w:eastAsia="zh-CN"/>
        </w:rPr>
        <w:t>的</w:t>
      </w:r>
      <w:r>
        <w:rPr>
          <w:rFonts w:hint="eastAsia" w:cs="宋体"/>
          <w:color w:val="auto"/>
          <w:szCs w:val="21"/>
          <w:highlight w:val="none"/>
        </w:rPr>
        <w:t>要求在本表后附相关证明材料。</w:t>
      </w:r>
    </w:p>
    <w:p w14:paraId="7DC5E628">
      <w:pPr>
        <w:ind w:firstLine="480"/>
        <w:jc w:val="center"/>
        <w:outlineLvl w:val="3"/>
        <w:rPr>
          <w:rFonts w:hint="eastAsia"/>
          <w:color w:val="auto"/>
          <w:szCs w:val="24"/>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614" w:name="_Toc2285"/>
      <w:r>
        <w:rPr>
          <w:rFonts w:hint="eastAsia" w:ascii="黑体" w:hAnsi="黑体"/>
          <w:color w:val="auto"/>
          <w:highlight w:val="none"/>
        </w:rPr>
        <w:br w:type="page"/>
      </w:r>
      <w:bookmarkStart w:id="615" w:name="_Toc17080"/>
      <w:bookmarkStart w:id="616" w:name="_Toc32247"/>
      <w:bookmarkStart w:id="617" w:name="_Toc63"/>
      <w:bookmarkStart w:id="618" w:name="_Toc14699"/>
      <w:bookmarkStart w:id="619" w:name="_Toc13749"/>
      <w:r>
        <w:rPr>
          <w:rStyle w:val="57"/>
          <w:rFonts w:hint="eastAsia"/>
          <w:color w:val="auto"/>
          <w:highlight w:val="none"/>
        </w:rPr>
        <w:t>（三）奖项、荣誉（如有）</w:t>
      </w:r>
      <w:bookmarkEnd w:id="614"/>
      <w:bookmarkEnd w:id="615"/>
      <w:bookmarkEnd w:id="616"/>
      <w:bookmarkEnd w:id="617"/>
      <w:bookmarkEnd w:id="618"/>
      <w:bookmarkEnd w:id="619"/>
      <w:bookmarkStart w:id="620" w:name="_Toc8542"/>
      <w:bookmarkStart w:id="621" w:name="_Toc31779"/>
      <w:bookmarkStart w:id="622" w:name="_Toc23579"/>
      <w:bookmarkStart w:id="623" w:name="_Toc15118"/>
      <w:bookmarkStart w:id="624" w:name="_Toc460227118"/>
      <w:bookmarkStart w:id="625" w:name="_Toc460660233"/>
      <w:bookmarkStart w:id="626" w:name="_Toc390411629"/>
      <w:bookmarkStart w:id="627" w:name="_Toc421917010"/>
    </w:p>
    <w:p w14:paraId="58247556">
      <w:pPr>
        <w:pStyle w:val="7"/>
        <w:spacing w:before="240" w:after="240" w:line="413" w:lineRule="auto"/>
        <w:ind w:firstLine="118"/>
        <w:jc w:val="center"/>
        <w:rPr>
          <w:rFonts w:hint="eastAsia"/>
          <w:color w:val="auto"/>
          <w:szCs w:val="24"/>
          <w:highlight w:val="none"/>
        </w:rPr>
      </w:pPr>
      <w:r>
        <w:rPr>
          <w:rFonts w:hint="eastAsia"/>
          <w:color w:val="auto"/>
          <w:szCs w:val="24"/>
          <w:highlight w:val="none"/>
        </w:rPr>
        <w:t>八、诚信投标承诺书</w:t>
      </w:r>
      <w:bookmarkEnd w:id="620"/>
      <w:bookmarkEnd w:id="621"/>
      <w:bookmarkEnd w:id="622"/>
      <w:bookmarkEnd w:id="623"/>
    </w:p>
    <w:p w14:paraId="0E145B00">
      <w:pPr>
        <w:spacing w:line="360" w:lineRule="auto"/>
        <w:ind w:firstLine="480"/>
        <w:jc w:val="both"/>
        <w:rPr>
          <w:rFonts w:hint="eastAsia" w:ascii="黑体" w:hAnsi="黑体" w:eastAsia="黑体"/>
          <w:bCs/>
          <w:color w:val="auto"/>
          <w:highlight w:val="none"/>
        </w:rPr>
      </w:pPr>
      <w:bookmarkStart w:id="628" w:name="_Toc26029"/>
      <w:bookmarkStart w:id="629" w:name="_Toc22844"/>
      <w:r>
        <w:rPr>
          <w:rFonts w:hint="eastAsia"/>
          <w:color w:val="auto"/>
          <w:highlight w:val="none"/>
        </w:rPr>
        <w:t>诚信投标承诺书</w:t>
      </w:r>
      <w:bookmarkEnd w:id="628"/>
      <w:bookmarkEnd w:id="629"/>
    </w:p>
    <w:p w14:paraId="2AFE334F">
      <w:pPr>
        <w:spacing w:line="360" w:lineRule="auto"/>
        <w:ind w:firstLine="480"/>
        <w:jc w:val="both"/>
        <w:rPr>
          <w:rFonts w:hAnsi="宋体" w:cs="宋体"/>
          <w:color w:val="auto"/>
          <w:szCs w:val="24"/>
          <w:highlight w:val="none"/>
        </w:rPr>
      </w:pPr>
      <w:r>
        <w:rPr>
          <w:rFonts w:hint="eastAsia" w:ascii="宋体" w:hAnsi="宋体" w:cs="宋体"/>
          <w:color w:val="auto"/>
          <w:szCs w:val="24"/>
          <w:highlight w:val="none"/>
          <w:u w:val="single"/>
        </w:rPr>
        <w:t>致：(招标人)</w:t>
      </w:r>
    </w:p>
    <w:p w14:paraId="3F4B5912">
      <w:pPr>
        <w:spacing w:before="240" w:beforeLines="100" w:line="360" w:lineRule="auto"/>
        <w:ind w:firstLine="480"/>
        <w:jc w:val="both"/>
        <w:rPr>
          <w:rFonts w:hint="eastAsia" w:hAnsi="宋体" w:cs="宋体"/>
          <w:color w:val="auto"/>
          <w:szCs w:val="24"/>
          <w:highlight w:val="none"/>
        </w:rPr>
      </w:pPr>
      <w:r>
        <w:rPr>
          <w:rFonts w:hint="eastAsia" w:hAnsi="宋体" w:cs="宋体"/>
          <w:color w:val="auto"/>
          <w:szCs w:val="24"/>
          <w:highlight w:val="none"/>
        </w:rPr>
        <w:t>我公司郑重承诺：</w:t>
      </w:r>
    </w:p>
    <w:p w14:paraId="64966971">
      <w:pPr>
        <w:spacing w:before="240" w:beforeLines="100" w:line="360" w:lineRule="auto"/>
        <w:ind w:firstLine="480"/>
        <w:jc w:val="both"/>
        <w:rPr>
          <w:rFonts w:hint="eastAsia" w:hAnsi="宋体" w:cs="宋体"/>
          <w:color w:val="auto"/>
          <w:szCs w:val="24"/>
          <w:highlight w:val="none"/>
        </w:rPr>
      </w:pPr>
      <w:r>
        <w:rPr>
          <w:rFonts w:hint="eastAsia" w:hAnsi="宋体" w:cs="宋体"/>
          <w:color w:val="auto"/>
          <w:szCs w:val="24"/>
          <w:highlight w:val="none"/>
        </w:rPr>
        <w:t>1.遵循公开、公正和诚实信用的原则自愿参加</w:t>
      </w:r>
      <w:r>
        <w:rPr>
          <w:rFonts w:hint="eastAsia" w:hAnsi="宋体" w:cs="宋体"/>
          <w:color w:val="auto"/>
          <w:szCs w:val="24"/>
          <w:highlight w:val="none"/>
          <w:u w:val="single"/>
        </w:rPr>
        <w:t>（招标项目名称）</w:t>
      </w:r>
      <w:r>
        <w:rPr>
          <w:rFonts w:hint="eastAsia" w:hAnsi="宋体" w:cs="宋体"/>
          <w:color w:val="auto"/>
          <w:szCs w:val="24"/>
          <w:highlight w:val="none"/>
        </w:rPr>
        <w:t xml:space="preserve"> </w:t>
      </w:r>
      <w:r>
        <w:rPr>
          <w:rFonts w:hint="eastAsia" w:hAnsi="宋体" w:cs="宋体"/>
          <w:color w:val="auto"/>
          <w:szCs w:val="24"/>
          <w:highlight w:val="none"/>
          <w:u w:val="single"/>
        </w:rPr>
        <w:t xml:space="preserve">  标段</w:t>
      </w:r>
      <w:r>
        <w:rPr>
          <w:rFonts w:hint="eastAsia" w:hAnsi="宋体" w:cs="宋体"/>
          <w:color w:val="auto"/>
          <w:szCs w:val="24"/>
          <w:highlight w:val="none"/>
        </w:rPr>
        <w:t>的投标。</w:t>
      </w:r>
    </w:p>
    <w:p w14:paraId="7F6A3636">
      <w:pPr>
        <w:spacing w:line="360" w:lineRule="auto"/>
        <w:ind w:firstLine="480"/>
        <w:jc w:val="both"/>
        <w:rPr>
          <w:rFonts w:hint="eastAsia" w:hAnsi="宋体" w:cs="宋体"/>
          <w:color w:val="auto"/>
          <w:szCs w:val="24"/>
          <w:highlight w:val="none"/>
        </w:rPr>
      </w:pPr>
      <w:r>
        <w:rPr>
          <w:rFonts w:hint="eastAsia" w:hAnsi="宋体" w:cs="宋体"/>
          <w:color w:val="auto"/>
          <w:szCs w:val="24"/>
          <w:highlight w:val="none"/>
        </w:rPr>
        <w:t>2.本次投标提供的资质证书、业绩及奖项等一切材料均真实、有效、合法。否则，我公司愿意接受招标人、公共资源交易监督管理部门作出的相关处理、处罚。</w:t>
      </w:r>
    </w:p>
    <w:p w14:paraId="1B116569">
      <w:pPr>
        <w:spacing w:line="360" w:lineRule="auto"/>
        <w:ind w:firstLine="480"/>
        <w:jc w:val="both"/>
        <w:rPr>
          <w:rFonts w:hint="eastAsia" w:hAnsi="宋体" w:cs="宋体"/>
          <w:color w:val="auto"/>
          <w:szCs w:val="24"/>
          <w:highlight w:val="none"/>
        </w:rPr>
      </w:pPr>
      <w:r>
        <w:rPr>
          <w:rFonts w:hint="eastAsia" w:hAnsi="宋体" w:cs="宋体"/>
          <w:color w:val="auto"/>
          <w:szCs w:val="24"/>
          <w:highlight w:val="none"/>
        </w:rPr>
        <w:t>3.本次投标为我公司自行投标，未出借、转让资质证书，未让他人挂靠投标。</w:t>
      </w:r>
    </w:p>
    <w:p w14:paraId="09CBB659">
      <w:pPr>
        <w:spacing w:line="360" w:lineRule="auto"/>
        <w:ind w:firstLine="480"/>
        <w:jc w:val="both"/>
        <w:rPr>
          <w:rFonts w:hint="eastAsia" w:hAnsi="宋体" w:cs="宋体"/>
          <w:color w:val="auto"/>
          <w:szCs w:val="24"/>
          <w:highlight w:val="none"/>
        </w:rPr>
      </w:pPr>
      <w:r>
        <w:rPr>
          <w:rFonts w:hint="eastAsia" w:hAnsi="宋体" w:cs="宋体"/>
          <w:color w:val="auto"/>
          <w:szCs w:val="24"/>
          <w:highlight w:val="none"/>
        </w:rPr>
        <w:t>4.未与其他投标人相互串通投标报价，未排挤其他投标人的公平竞争、损害招标人的合法权益。</w:t>
      </w:r>
    </w:p>
    <w:p w14:paraId="75797F8C">
      <w:pPr>
        <w:spacing w:line="360" w:lineRule="auto"/>
        <w:ind w:firstLine="480"/>
        <w:jc w:val="both"/>
        <w:rPr>
          <w:rFonts w:hint="eastAsia" w:hAnsi="宋体" w:cs="宋体"/>
          <w:color w:val="auto"/>
          <w:szCs w:val="24"/>
          <w:highlight w:val="none"/>
        </w:rPr>
      </w:pPr>
      <w:r>
        <w:rPr>
          <w:rFonts w:hint="eastAsia" w:hAnsi="宋体" w:cs="宋体"/>
          <w:color w:val="auto"/>
          <w:szCs w:val="24"/>
          <w:highlight w:val="none"/>
        </w:rPr>
        <w:t>5.未与招标人、招标代理机构或其他投标人串通投标，损害国家利益、社会公共利益或者他人的合法权益。</w:t>
      </w:r>
    </w:p>
    <w:p w14:paraId="46DC4960">
      <w:pPr>
        <w:spacing w:line="360" w:lineRule="auto"/>
        <w:ind w:firstLine="480"/>
        <w:jc w:val="both"/>
        <w:rPr>
          <w:rFonts w:hAnsi="宋体" w:cs="宋体"/>
          <w:color w:val="auto"/>
          <w:szCs w:val="24"/>
          <w:highlight w:val="none"/>
        </w:rPr>
      </w:pPr>
      <w:r>
        <w:rPr>
          <w:rFonts w:hint="eastAsia" w:hAnsi="宋体" w:cs="宋体"/>
          <w:color w:val="auto"/>
          <w:szCs w:val="24"/>
          <w:highlight w:val="none"/>
        </w:rPr>
        <w:t>6.中标后按照合同约定履行义务，完成中标项目；不向他人转让中标项目，不将中标项目肢解后分别向他人转让；不分包。</w:t>
      </w:r>
    </w:p>
    <w:p w14:paraId="3D7A86AD">
      <w:pPr>
        <w:spacing w:line="360" w:lineRule="auto"/>
        <w:ind w:firstLine="480"/>
        <w:jc w:val="both"/>
        <w:rPr>
          <w:rFonts w:hint="eastAsia" w:hAnsi="宋体" w:cs="宋体"/>
          <w:color w:val="auto"/>
          <w:szCs w:val="24"/>
          <w:highlight w:val="none"/>
        </w:rPr>
      </w:pPr>
      <w:r>
        <w:rPr>
          <w:rFonts w:hint="eastAsia" w:hAnsi="宋体" w:cs="宋体"/>
          <w:color w:val="auto"/>
          <w:szCs w:val="24"/>
          <w:highlight w:val="none"/>
        </w:rPr>
        <w:t>7.如提出异议（投诉），对提供的异议（投诉）材料的真实性负责，不恶意异议（投诉）；不捏造事实、提供虚假材料或者以非法手段取得证明材料进行异议（投诉），影响交易活动正常进行；否则，我公司愿意接受公共资源交易监督管理部门作出的相关处理、处罚。</w:t>
      </w:r>
    </w:p>
    <w:p w14:paraId="4FB91F33">
      <w:pPr>
        <w:spacing w:line="360" w:lineRule="auto"/>
        <w:ind w:firstLine="480"/>
        <w:jc w:val="both"/>
        <w:rPr>
          <w:rFonts w:hint="eastAsia" w:hAnsi="宋体" w:cs="宋体"/>
          <w:color w:val="auto"/>
          <w:szCs w:val="24"/>
          <w:highlight w:val="none"/>
        </w:rPr>
      </w:pPr>
      <w:r>
        <w:rPr>
          <w:rFonts w:hint="eastAsia" w:hAnsi="宋体" w:cs="宋体"/>
          <w:color w:val="auto"/>
          <w:szCs w:val="24"/>
          <w:highlight w:val="none"/>
        </w:rPr>
        <w:t>8.本次投标不存在第二章“投标人须知”第1.4.3项、第1.4.4项规定的任何一种情形。</w:t>
      </w:r>
    </w:p>
    <w:p w14:paraId="780A09FA">
      <w:pPr>
        <w:spacing w:line="360" w:lineRule="auto"/>
        <w:ind w:firstLine="480"/>
        <w:jc w:val="both"/>
        <w:rPr>
          <w:rFonts w:hint="eastAsia" w:hAnsi="宋体" w:cs="宋体"/>
          <w:color w:val="auto"/>
          <w:szCs w:val="24"/>
          <w:highlight w:val="none"/>
          <w:u w:val="single"/>
        </w:rPr>
      </w:pPr>
      <w:r>
        <w:rPr>
          <w:rFonts w:hint="eastAsia" w:hAnsi="宋体" w:cs="宋体"/>
          <w:color w:val="auto"/>
          <w:szCs w:val="24"/>
          <w:highlight w:val="none"/>
        </w:rPr>
        <w:t>9.</w:t>
      </w:r>
      <w:r>
        <w:rPr>
          <w:rFonts w:hint="eastAsia" w:hAnsi="宋体" w:cs="宋体"/>
          <w:color w:val="auto"/>
          <w:szCs w:val="24"/>
          <w:highlight w:val="none"/>
          <w:u w:val="single"/>
        </w:rPr>
        <w:t xml:space="preserve">                    </w:t>
      </w:r>
      <w:r>
        <w:rPr>
          <w:snapToGrid w:val="0"/>
          <w:color w:val="auto"/>
          <w:szCs w:val="21"/>
          <w:highlight w:val="none"/>
        </w:rPr>
        <w:t>（其他补充</w:t>
      </w:r>
      <w:r>
        <w:rPr>
          <w:rFonts w:hint="eastAsia"/>
          <w:snapToGrid w:val="0"/>
          <w:color w:val="auto"/>
          <w:szCs w:val="21"/>
          <w:highlight w:val="none"/>
        </w:rPr>
        <w:t>承诺</w:t>
      </w:r>
      <w:r>
        <w:rPr>
          <w:snapToGrid w:val="0"/>
          <w:color w:val="auto"/>
          <w:szCs w:val="21"/>
          <w:highlight w:val="none"/>
        </w:rPr>
        <w:t>）</w:t>
      </w:r>
      <w:r>
        <w:rPr>
          <w:rFonts w:hint="eastAsia"/>
          <w:snapToGrid w:val="0"/>
          <w:color w:val="auto"/>
          <w:szCs w:val="21"/>
          <w:highlight w:val="none"/>
        </w:rPr>
        <w:t>。</w:t>
      </w:r>
    </w:p>
    <w:p w14:paraId="3BCDEC07">
      <w:pPr>
        <w:ind w:left="0" w:leftChars="0" w:firstLine="0" w:firstLineChars="0"/>
        <w:jc w:val="center"/>
        <w:rPr>
          <w:rFonts w:hint="eastAsia" w:hAnsi="宋体" w:cs="宋体"/>
          <w:color w:val="auto"/>
          <w:szCs w:val="24"/>
          <w:highlight w:val="none"/>
        </w:rPr>
      </w:pPr>
    </w:p>
    <w:p w14:paraId="02A84E1F">
      <w:pPr>
        <w:adjustRightInd w:val="0"/>
        <w:snapToGrid w:val="0"/>
        <w:ind w:firstLine="960"/>
        <w:jc w:val="right"/>
        <w:rPr>
          <w:rFonts w:hint="eastAsia"/>
          <w:bCs/>
          <w:color w:val="auto"/>
          <w:szCs w:val="21"/>
          <w:highlight w:val="none"/>
          <w:u w:val="single"/>
        </w:rPr>
      </w:pPr>
      <w:r>
        <w:rPr>
          <w:rFonts w:hint="eastAsia"/>
          <w:bCs/>
          <w:color w:val="auto"/>
          <w:spacing w:val="120"/>
          <w:kern w:val="0"/>
          <w:szCs w:val="21"/>
          <w:highlight w:val="none"/>
          <w:fitText w:val="1200" w:id="1443050001"/>
        </w:rPr>
        <w:t>投标</w:t>
      </w:r>
      <w:r>
        <w:rPr>
          <w:rFonts w:hint="eastAsia"/>
          <w:bCs/>
          <w:color w:val="auto"/>
          <w:spacing w:val="0"/>
          <w:kern w:val="0"/>
          <w:szCs w:val="21"/>
          <w:highlight w:val="none"/>
          <w:fitText w:val="1200" w:id="1443050001"/>
        </w:rPr>
        <w:t>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（盖单位章）</w:t>
      </w:r>
    </w:p>
    <w:p w14:paraId="6F0433FE">
      <w:pPr>
        <w:adjustRightInd w:val="0"/>
        <w:snapToGrid w:val="0"/>
        <w:ind w:firstLine="480"/>
        <w:jc w:val="right"/>
        <w:rPr>
          <w:rFonts w:hint="eastAsia"/>
          <w:bCs/>
          <w:color w:val="auto"/>
          <w:spacing w:val="160"/>
          <w:szCs w:val="21"/>
          <w:highlight w:val="none"/>
        </w:rPr>
      </w:pPr>
      <w:r>
        <w:rPr>
          <w:rFonts w:hint="eastAsia"/>
          <w:color w:val="auto"/>
          <w:spacing w:val="0"/>
          <w:kern w:val="0"/>
          <w:szCs w:val="21"/>
          <w:highlight w:val="none"/>
          <w:fitText w:val="1200" w:id="1473931617"/>
        </w:rPr>
        <w:t>法定代表人</w:t>
      </w:r>
      <w:r>
        <w:rPr>
          <w:rFonts w:hint="eastAsia"/>
          <w:color w:val="auto"/>
          <w:szCs w:val="21"/>
          <w:highlight w:val="none"/>
        </w:rPr>
        <w:t>：</w:t>
      </w:r>
      <w:r>
        <w:rPr>
          <w:rFonts w:hint="eastAsia"/>
          <w:bCs/>
          <w:color w:val="auto"/>
          <w:szCs w:val="21"/>
          <w:highlight w:val="none"/>
          <w:u w:val="single"/>
        </w:rPr>
        <w:t xml:space="preserve">          </w:t>
      </w:r>
      <w:r>
        <w:rPr>
          <w:rFonts w:hint="eastAsia"/>
          <w:color w:val="auto"/>
          <w:szCs w:val="21"/>
          <w:highlight w:val="none"/>
        </w:rPr>
        <w:t>（签字或盖章）</w:t>
      </w:r>
    </w:p>
    <w:p w14:paraId="53258C18">
      <w:pPr>
        <w:wordWrap w:val="0"/>
        <w:ind w:firstLine="1920"/>
        <w:jc w:val="right"/>
        <w:rPr>
          <w:rFonts w:hint="eastAsia" w:hAnsi="宋体" w:cs="宋体"/>
          <w:color w:val="auto"/>
          <w:szCs w:val="24"/>
          <w:highlight w:val="none"/>
        </w:rPr>
      </w:pPr>
      <w:r>
        <w:rPr>
          <w:rFonts w:hint="eastAsia"/>
          <w:bCs/>
          <w:color w:val="auto"/>
          <w:spacing w:val="360"/>
          <w:kern w:val="0"/>
          <w:szCs w:val="21"/>
          <w:highlight w:val="none"/>
          <w:fitText w:val="1200" w:id="602300449"/>
        </w:rPr>
        <w:t>日</w:t>
      </w:r>
      <w:r>
        <w:rPr>
          <w:rFonts w:hint="eastAsia"/>
          <w:bCs/>
          <w:color w:val="auto"/>
          <w:spacing w:val="0"/>
          <w:kern w:val="0"/>
          <w:szCs w:val="21"/>
          <w:highlight w:val="none"/>
          <w:fitText w:val="1200" w:id="602300449"/>
        </w:rPr>
        <w:t>期</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11281BEA">
      <w:pPr>
        <w:pStyle w:val="7"/>
        <w:tabs>
          <w:tab w:val="left" w:pos="3603"/>
          <w:tab w:val="center" w:pos="4436"/>
        </w:tabs>
        <w:spacing w:before="240" w:after="240" w:line="413" w:lineRule="auto"/>
        <w:ind w:firstLine="118"/>
        <w:jc w:val="left"/>
        <w:rPr>
          <w:rFonts w:hint="eastAsia"/>
          <w:color w:val="auto"/>
          <w:szCs w:val="24"/>
          <w:highlight w:val="none"/>
        </w:rPr>
      </w:pPr>
      <w:bookmarkStart w:id="630" w:name="_Toc23357"/>
      <w:bookmarkStart w:id="631" w:name="_Toc25860"/>
      <w:r>
        <w:rPr>
          <w:rFonts w:hint="eastAsia"/>
          <w:color w:val="auto"/>
          <w:szCs w:val="24"/>
          <w:highlight w:val="none"/>
        </w:rPr>
        <w:tab/>
      </w:r>
      <w:r>
        <w:rPr>
          <w:rFonts w:hint="eastAsia"/>
          <w:color w:val="auto"/>
          <w:szCs w:val="24"/>
          <w:highlight w:val="none"/>
        </w:rPr>
        <w:tab/>
      </w:r>
      <w:r>
        <w:rPr>
          <w:rStyle w:val="54"/>
          <w:rFonts w:hint="eastAsia"/>
          <w:color w:val="auto"/>
          <w:highlight w:val="none"/>
        </w:rPr>
        <w:t>九、其他资料</w:t>
      </w:r>
      <w:bookmarkEnd w:id="624"/>
      <w:bookmarkEnd w:id="625"/>
      <w:bookmarkEnd w:id="626"/>
      <w:bookmarkEnd w:id="627"/>
      <w:bookmarkEnd w:id="630"/>
      <w:bookmarkEnd w:id="631"/>
    </w:p>
    <w:p w14:paraId="117120E4">
      <w:pPr>
        <w:spacing w:line="440" w:lineRule="exact"/>
        <w:ind w:left="0" w:leftChars="0" w:firstLine="480" w:firstLineChars="200"/>
        <w:jc w:val="both"/>
        <w:rPr>
          <w:rFonts w:hint="eastAsia" w:hAnsi="宋体"/>
          <w:color w:val="auto"/>
          <w:highlight w:val="none"/>
        </w:rPr>
      </w:pPr>
      <w:r>
        <w:rPr>
          <w:rFonts w:hint="eastAsia" w:hAnsi="宋体"/>
          <w:color w:val="auto"/>
          <w:highlight w:val="none"/>
        </w:rPr>
        <w:t>投标人根据自身情况可以自行增加相关内容，如无，本节可以不附。</w:t>
      </w:r>
    </w:p>
    <w:p w14:paraId="6ECE6069">
      <w:pPr>
        <w:spacing w:before="480" w:beforeLines="200"/>
        <w:ind w:firstLine="883"/>
        <w:jc w:val="center"/>
        <w:rPr>
          <w:rFonts w:hint="eastAsia"/>
          <w:b/>
          <w:bCs/>
          <w:color w:val="auto"/>
          <w:sz w:val="44"/>
          <w:szCs w:val="44"/>
          <w:highlight w:val="none"/>
        </w:rPr>
      </w:pPr>
      <w:bookmarkStart w:id="632" w:name="_Toc15622"/>
      <w:bookmarkStart w:id="633" w:name="_Toc17482"/>
      <w:bookmarkStart w:id="634" w:name="_Toc14552"/>
      <w:bookmarkStart w:id="635" w:name="_Toc0"/>
      <w:bookmarkStart w:id="636" w:name="_Toc584"/>
      <w:bookmarkStart w:id="637" w:name="_Toc30110"/>
      <w:bookmarkStart w:id="638" w:name="_Toc9691"/>
      <w:r>
        <w:rPr>
          <w:rFonts w:hint="eastAsia"/>
          <w:b/>
          <w:color w:val="auto"/>
          <w:sz w:val="44"/>
          <w:szCs w:val="44"/>
          <w:highlight w:val="none"/>
          <w:u w:val="single"/>
        </w:rPr>
        <w:br w:type="page"/>
      </w:r>
      <w:r>
        <w:rPr>
          <w:rFonts w:hint="eastAsia"/>
          <w:b/>
          <w:color w:val="auto"/>
          <w:sz w:val="44"/>
          <w:szCs w:val="44"/>
          <w:highlight w:val="none"/>
          <w:u w:val="single"/>
        </w:rPr>
        <w:t>（招标项目名称）</w:t>
      </w:r>
      <w:r>
        <w:rPr>
          <w:rFonts w:hint="eastAsia"/>
          <w:color w:val="auto"/>
          <w:sz w:val="44"/>
          <w:szCs w:val="44"/>
          <w:highlight w:val="none"/>
        </w:rPr>
        <w:t xml:space="preserve"> </w:t>
      </w:r>
      <w:r>
        <w:rPr>
          <w:rFonts w:hint="eastAsia"/>
          <w:bCs/>
          <w:color w:val="auto"/>
          <w:sz w:val="44"/>
          <w:szCs w:val="44"/>
          <w:highlight w:val="none"/>
          <w:u w:val="single"/>
        </w:rPr>
        <w:t xml:space="preserve"> </w:t>
      </w:r>
      <w:r>
        <w:rPr>
          <w:rFonts w:hint="eastAsia"/>
          <w:bCs/>
          <w:color w:val="auto"/>
          <w:sz w:val="44"/>
          <w:szCs w:val="44"/>
          <w:highlight w:val="none"/>
          <w:u w:val="single"/>
          <w:lang w:val="en-US" w:eastAsia="zh-CN"/>
        </w:rPr>
        <w:t>/</w:t>
      </w:r>
      <w:r>
        <w:rPr>
          <w:rFonts w:hint="eastAsia"/>
          <w:bCs/>
          <w:color w:val="auto"/>
          <w:sz w:val="44"/>
          <w:szCs w:val="44"/>
          <w:highlight w:val="none"/>
          <w:u w:val="single"/>
        </w:rPr>
        <w:t xml:space="preserve"> </w:t>
      </w:r>
      <w:r>
        <w:rPr>
          <w:rFonts w:hint="eastAsia"/>
          <w:b/>
          <w:color w:val="auto"/>
          <w:sz w:val="44"/>
          <w:szCs w:val="44"/>
          <w:highlight w:val="none"/>
        </w:rPr>
        <w:t>标段招标</w:t>
      </w:r>
      <w:bookmarkEnd w:id="632"/>
      <w:bookmarkEnd w:id="633"/>
      <w:bookmarkEnd w:id="634"/>
      <w:bookmarkEnd w:id="635"/>
      <w:bookmarkEnd w:id="636"/>
      <w:bookmarkEnd w:id="637"/>
      <w:bookmarkEnd w:id="638"/>
    </w:p>
    <w:p w14:paraId="2E019A09">
      <w:pPr>
        <w:pStyle w:val="6"/>
        <w:spacing w:before="1200" w:beforeLines="500" w:after="240"/>
        <w:ind w:firstLine="880"/>
        <w:jc w:val="center"/>
        <w:rPr>
          <w:rFonts w:hint="eastAsia"/>
          <w:color w:val="auto"/>
          <w:sz w:val="44"/>
          <w:szCs w:val="44"/>
          <w:highlight w:val="none"/>
        </w:rPr>
      </w:pPr>
      <w:bookmarkStart w:id="639" w:name="_Toc9455"/>
      <w:bookmarkStart w:id="640" w:name="_Toc23592"/>
      <w:r>
        <w:rPr>
          <w:rFonts w:hint="eastAsia"/>
          <w:color w:val="auto"/>
          <w:sz w:val="44"/>
          <w:szCs w:val="44"/>
          <w:highlight w:val="none"/>
        </w:rPr>
        <w:t>投标文件</w:t>
      </w:r>
      <w:bookmarkEnd w:id="639"/>
    </w:p>
    <w:p w14:paraId="15BEE44F">
      <w:pPr>
        <w:pStyle w:val="6"/>
        <w:spacing w:before="240" w:after="240"/>
        <w:ind w:firstLine="720"/>
        <w:jc w:val="center"/>
        <w:rPr>
          <w:rFonts w:hint="eastAsia"/>
          <w:color w:val="auto"/>
          <w:sz w:val="36"/>
          <w:szCs w:val="22"/>
          <w:highlight w:val="none"/>
        </w:rPr>
      </w:pPr>
      <w:bookmarkStart w:id="641" w:name="_Toc14324"/>
      <w:r>
        <w:rPr>
          <w:rFonts w:hint="eastAsia"/>
          <w:color w:val="auto"/>
          <w:sz w:val="36"/>
          <w:szCs w:val="22"/>
          <w:highlight w:val="none"/>
        </w:rPr>
        <w:t>（技术文件）</w:t>
      </w:r>
      <w:bookmarkEnd w:id="640"/>
      <w:bookmarkEnd w:id="641"/>
    </w:p>
    <w:p w14:paraId="1BC5B93F">
      <w:pPr>
        <w:spacing w:before="7200" w:beforeLines="3000" w:line="480" w:lineRule="auto"/>
        <w:ind w:firstLine="560"/>
        <w:jc w:val="center"/>
        <w:rPr>
          <w:rFonts w:hint="eastAsia" w:eastAsia="黑体"/>
          <w:color w:val="auto"/>
          <w:sz w:val="28"/>
          <w:szCs w:val="28"/>
          <w:highlight w:val="none"/>
        </w:rPr>
      </w:pPr>
      <w:bookmarkStart w:id="642" w:name="_Toc14549"/>
      <w:bookmarkStart w:id="643" w:name="_Toc15620"/>
      <w:bookmarkStart w:id="644" w:name="_Toc7858"/>
      <w:bookmarkStart w:id="645" w:name="_Toc18372"/>
      <w:bookmarkStart w:id="646" w:name="_Toc2070"/>
      <w:r>
        <w:rPr>
          <w:rFonts w:hint="eastAsia" w:eastAsia="黑体"/>
          <w:color w:val="auto"/>
          <w:sz w:val="28"/>
          <w:szCs w:val="28"/>
          <w:highlight w:val="none"/>
        </w:rPr>
        <w:t>投标人：</w:t>
      </w:r>
      <w:r>
        <w:rPr>
          <w:rFonts w:hint="eastAsia" w:eastAsia="黑体"/>
          <w:color w:val="auto"/>
          <w:sz w:val="28"/>
          <w:szCs w:val="28"/>
          <w:highlight w:val="none"/>
          <w:u w:val="single"/>
        </w:rPr>
        <w:t xml:space="preserve">                               </w:t>
      </w:r>
      <w:r>
        <w:rPr>
          <w:rFonts w:hint="eastAsia" w:eastAsia="黑体"/>
          <w:color w:val="auto"/>
          <w:sz w:val="28"/>
          <w:szCs w:val="28"/>
          <w:highlight w:val="none"/>
        </w:rPr>
        <w:t>（盖单位章）</w:t>
      </w:r>
      <w:bookmarkEnd w:id="642"/>
      <w:bookmarkEnd w:id="643"/>
      <w:bookmarkEnd w:id="644"/>
      <w:bookmarkEnd w:id="645"/>
      <w:bookmarkEnd w:id="646"/>
    </w:p>
    <w:p w14:paraId="5226B5CB">
      <w:pPr>
        <w:tabs>
          <w:tab w:val="left" w:pos="3280"/>
          <w:tab w:val="left" w:pos="4680"/>
          <w:tab w:val="left" w:pos="6080"/>
        </w:tabs>
        <w:autoSpaceDE w:val="0"/>
        <w:autoSpaceDN w:val="0"/>
        <w:adjustRightInd w:val="0"/>
        <w:snapToGrid w:val="0"/>
        <w:spacing w:line="480" w:lineRule="auto"/>
        <w:ind w:firstLine="560"/>
        <w:jc w:val="center"/>
        <w:rPr>
          <w:color w:val="auto"/>
          <w:sz w:val="32"/>
          <w:szCs w:val="32"/>
          <w:highlight w:val="none"/>
        </w:rPr>
      </w:pPr>
      <w:r>
        <w:rPr>
          <w:rFonts w:hint="eastAsia" w:eastAsia="黑体"/>
          <w:color w:val="auto"/>
          <w:sz w:val="28"/>
          <w:szCs w:val="28"/>
          <w:highlight w:val="none"/>
          <w:u w:val="single"/>
        </w:rPr>
        <w:t xml:space="preserve">         </w:t>
      </w:r>
      <w:bookmarkStart w:id="647" w:name="_Toc18115"/>
      <w:bookmarkStart w:id="648" w:name="_Toc16137"/>
      <w:bookmarkStart w:id="649" w:name="_Toc518"/>
      <w:r>
        <w:rPr>
          <w:rFonts w:hint="eastAsia" w:eastAsia="黑体"/>
          <w:color w:val="auto"/>
          <w:sz w:val="28"/>
          <w:szCs w:val="28"/>
          <w:highlight w:val="none"/>
        </w:rPr>
        <w:t>年</w:t>
      </w:r>
      <w:r>
        <w:rPr>
          <w:rFonts w:hint="eastAsia" w:eastAsia="黑体"/>
          <w:color w:val="auto"/>
          <w:sz w:val="28"/>
          <w:szCs w:val="28"/>
          <w:highlight w:val="none"/>
          <w:u w:val="single"/>
        </w:rPr>
        <w:t xml:space="preserve">         </w:t>
      </w:r>
      <w:r>
        <w:rPr>
          <w:rFonts w:hint="eastAsia" w:eastAsia="黑体"/>
          <w:color w:val="auto"/>
          <w:sz w:val="28"/>
          <w:szCs w:val="28"/>
          <w:highlight w:val="none"/>
        </w:rPr>
        <w:t>月</w:t>
      </w:r>
      <w:r>
        <w:rPr>
          <w:rFonts w:hint="eastAsia" w:eastAsia="黑体"/>
          <w:color w:val="auto"/>
          <w:sz w:val="28"/>
          <w:szCs w:val="28"/>
          <w:highlight w:val="none"/>
          <w:u w:val="single"/>
        </w:rPr>
        <w:t xml:space="preserve">         </w:t>
      </w:r>
      <w:r>
        <w:rPr>
          <w:rFonts w:hint="eastAsia" w:eastAsia="黑体"/>
          <w:color w:val="auto"/>
          <w:sz w:val="28"/>
          <w:szCs w:val="28"/>
          <w:highlight w:val="none"/>
        </w:rPr>
        <w:t>日</w:t>
      </w:r>
      <w:bookmarkEnd w:id="647"/>
      <w:bookmarkEnd w:id="648"/>
      <w:bookmarkEnd w:id="649"/>
    </w:p>
    <w:p w14:paraId="08A5D4E8">
      <w:pPr>
        <w:ind w:firstLine="480"/>
        <w:jc w:val="center"/>
        <w:rPr>
          <w:rFonts w:hint="eastAsia"/>
          <w:color w:val="auto"/>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650" w:name="_Toc10387"/>
      <w:bookmarkStart w:id="651" w:name="_Toc21700"/>
      <w:bookmarkStart w:id="652" w:name="_Toc15997"/>
    </w:p>
    <w:p w14:paraId="510DE1CC">
      <w:pPr>
        <w:ind w:firstLine="480"/>
        <w:jc w:val="center"/>
        <w:rPr>
          <w:rFonts w:hint="eastAsia" w:ascii="黑体" w:eastAsia="黑体"/>
          <w:color w:val="auto"/>
          <w:szCs w:val="28"/>
          <w:highlight w:val="none"/>
        </w:rPr>
      </w:pPr>
      <w:r>
        <w:rPr>
          <w:rFonts w:hint="eastAsia"/>
          <w:color w:val="auto"/>
          <w:highlight w:val="none"/>
        </w:rPr>
        <w:t>目  录</w:t>
      </w:r>
      <w:bookmarkEnd w:id="650"/>
      <w:bookmarkEnd w:id="651"/>
      <w:bookmarkEnd w:id="652"/>
    </w:p>
    <w:p w14:paraId="10CD2C07">
      <w:pPr>
        <w:ind w:firstLine="480"/>
        <w:rPr>
          <w:rFonts w:hint="eastAsia"/>
          <w:color w:val="auto"/>
          <w:highlight w:val="none"/>
        </w:rPr>
      </w:pPr>
      <w:r>
        <w:rPr>
          <w:rFonts w:hint="eastAsia"/>
          <w:color w:val="auto"/>
          <w:highlight w:val="none"/>
        </w:rPr>
        <w:t>一、监理大纲</w:t>
      </w:r>
    </w:p>
    <w:p w14:paraId="3423AF52">
      <w:pPr>
        <w:ind w:firstLine="480"/>
        <w:rPr>
          <w:rFonts w:hint="eastAsia"/>
          <w:color w:val="auto"/>
          <w:highlight w:val="none"/>
        </w:rPr>
      </w:pPr>
      <w:r>
        <w:rPr>
          <w:rFonts w:hint="eastAsia"/>
          <w:color w:val="auto"/>
          <w:highlight w:val="none"/>
        </w:rPr>
        <w:t>二、其他内容</w:t>
      </w:r>
    </w:p>
    <w:p w14:paraId="7B4B22FE">
      <w:pPr>
        <w:pStyle w:val="7"/>
        <w:spacing w:before="240" w:after="240" w:line="360" w:lineRule="auto"/>
        <w:ind w:firstLine="118"/>
        <w:jc w:val="center"/>
        <w:rPr>
          <w:rFonts w:hint="eastAsia"/>
          <w:color w:val="auto"/>
          <w:szCs w:val="24"/>
          <w:highlight w:val="none"/>
        </w:rPr>
      </w:pPr>
      <w:r>
        <w:rPr>
          <w:rFonts w:ascii="宋体" w:hAnsi="宋体"/>
          <w:color w:val="auto"/>
          <w:highlight w:val="none"/>
        </w:rPr>
        <w:br w:type="page"/>
      </w:r>
      <w:bookmarkStart w:id="653" w:name="_Toc24099"/>
      <w:bookmarkStart w:id="654" w:name="_Toc6437"/>
      <w:bookmarkStart w:id="655" w:name="_Toc30383"/>
      <w:r>
        <w:rPr>
          <w:rFonts w:hint="eastAsia"/>
          <w:color w:val="auto"/>
          <w:szCs w:val="24"/>
          <w:highlight w:val="none"/>
        </w:rPr>
        <w:t>一、监理大纲</w:t>
      </w:r>
      <w:bookmarkEnd w:id="653"/>
      <w:bookmarkEnd w:id="654"/>
      <w:bookmarkEnd w:id="655"/>
    </w:p>
    <w:p w14:paraId="7810D94B">
      <w:pPr>
        <w:ind w:left="0" w:leftChars="0" w:firstLine="0" w:firstLineChars="0"/>
        <w:jc w:val="center"/>
        <w:rPr>
          <w:rFonts w:hint="eastAsia" w:ascii="Times New Roman" w:hAnsi="Times New Roman" w:eastAsia="宋体" w:cs="Times New Roman"/>
          <w:color w:val="auto"/>
          <w:highlight w:val="none"/>
        </w:rPr>
      </w:pPr>
    </w:p>
    <w:p w14:paraId="748ED6F1">
      <w:pPr>
        <w:ind w:left="0" w:leftChars="0" w:firstLine="0" w:firstLineChars="0"/>
        <w:jc w:val="center"/>
        <w:rPr>
          <w:rFonts w:hint="eastAsia" w:ascii="Times New Roman" w:hAnsi="Times New Roman" w:eastAsia="宋体" w:cs="Times New Roman"/>
          <w:color w:val="auto"/>
          <w:highlight w:val="none"/>
        </w:rPr>
      </w:pPr>
    </w:p>
    <w:p w14:paraId="061A91A7">
      <w:pPr>
        <w:ind w:left="0" w:leftChars="0" w:firstLine="0" w:firstLineChars="0"/>
        <w:jc w:val="center"/>
        <w:rPr>
          <w:rFonts w:hint="eastAsia" w:ascii="Times New Roman" w:hAnsi="Times New Roman" w:eastAsia="宋体" w:cs="Times New Roman"/>
          <w:color w:val="auto"/>
          <w:highlight w:val="none"/>
        </w:rPr>
      </w:pPr>
    </w:p>
    <w:p w14:paraId="137C2D17">
      <w:pPr>
        <w:ind w:left="0" w:leftChars="0" w:firstLine="0" w:firstLineChars="0"/>
        <w:jc w:val="center"/>
        <w:rPr>
          <w:rFonts w:hint="eastAsia" w:ascii="Times New Roman" w:hAnsi="Times New Roman" w:eastAsia="宋体" w:cs="Times New Roman"/>
          <w:color w:val="auto"/>
          <w:highlight w:val="none"/>
        </w:rPr>
      </w:pPr>
    </w:p>
    <w:p w14:paraId="59041009">
      <w:pPr>
        <w:ind w:left="0" w:leftChars="0" w:firstLine="0" w:firstLineChars="0"/>
        <w:jc w:val="center"/>
        <w:rPr>
          <w:rFonts w:hint="eastAsia" w:ascii="Times New Roman" w:hAnsi="Times New Roman" w:eastAsia="宋体" w:cs="Times New Roman"/>
          <w:color w:val="auto"/>
          <w:highlight w:val="none"/>
        </w:rPr>
      </w:pPr>
    </w:p>
    <w:p w14:paraId="32C42E8B">
      <w:pPr>
        <w:ind w:left="0" w:leftChars="0" w:firstLine="0" w:firstLineChars="0"/>
        <w:jc w:val="center"/>
        <w:rPr>
          <w:rFonts w:hint="eastAsia" w:ascii="Times New Roman" w:hAnsi="Times New Roman" w:eastAsia="宋体" w:cs="Times New Roman"/>
          <w:color w:val="auto"/>
          <w:highlight w:val="none"/>
        </w:rPr>
      </w:pPr>
    </w:p>
    <w:p w14:paraId="5C18329F">
      <w:pPr>
        <w:ind w:left="0" w:leftChars="0" w:firstLine="0" w:firstLineChars="0"/>
        <w:jc w:val="center"/>
        <w:rPr>
          <w:rFonts w:hint="eastAsia" w:ascii="Times New Roman" w:hAnsi="Times New Roman" w:eastAsia="宋体" w:cs="Times New Roman"/>
          <w:color w:val="auto"/>
          <w:highlight w:val="none"/>
        </w:rPr>
      </w:pPr>
    </w:p>
    <w:p w14:paraId="4C249DE0">
      <w:pPr>
        <w:ind w:left="0" w:leftChars="0" w:firstLine="0" w:firstLineChars="0"/>
        <w:jc w:val="center"/>
        <w:rPr>
          <w:rFonts w:hint="eastAsia" w:ascii="Times New Roman" w:hAnsi="Times New Roman" w:eastAsia="宋体" w:cs="Times New Roman"/>
          <w:color w:val="auto"/>
          <w:highlight w:val="none"/>
        </w:rPr>
      </w:pPr>
    </w:p>
    <w:p w14:paraId="18885260">
      <w:pPr>
        <w:ind w:left="0" w:leftChars="0" w:firstLine="0" w:firstLineChars="0"/>
        <w:jc w:val="center"/>
        <w:rPr>
          <w:rFonts w:hint="eastAsia" w:ascii="Times New Roman" w:hAnsi="Times New Roman" w:eastAsia="宋体" w:cs="Times New Roman"/>
          <w:color w:val="auto"/>
          <w:highlight w:val="none"/>
        </w:rPr>
      </w:pPr>
    </w:p>
    <w:p w14:paraId="2AC24249">
      <w:pPr>
        <w:ind w:left="0" w:leftChars="0" w:firstLine="0" w:firstLineChars="0"/>
        <w:jc w:val="center"/>
        <w:rPr>
          <w:rFonts w:hint="eastAsia" w:ascii="Times New Roman" w:hAnsi="Times New Roman" w:eastAsia="宋体" w:cs="Times New Roman"/>
          <w:color w:val="auto"/>
          <w:highlight w:val="none"/>
        </w:rPr>
      </w:pPr>
    </w:p>
    <w:p w14:paraId="756B2F50">
      <w:pPr>
        <w:pStyle w:val="7"/>
        <w:spacing w:before="240" w:after="240"/>
        <w:ind w:firstLine="118"/>
        <w:jc w:val="center"/>
        <w:rPr>
          <w:rFonts w:hint="eastAsia"/>
          <w:color w:val="auto"/>
          <w:highlight w:val="none"/>
        </w:rPr>
      </w:pPr>
      <w:bookmarkStart w:id="656" w:name="_Toc19131"/>
      <w:bookmarkStart w:id="657" w:name="_Toc4336"/>
      <w:bookmarkStart w:id="658" w:name="_Toc20200"/>
      <w:bookmarkStart w:id="659" w:name="_Toc22802"/>
      <w:bookmarkStart w:id="660" w:name="_Toc16977"/>
      <w:r>
        <w:rPr>
          <w:rFonts w:hint="eastAsia"/>
          <w:color w:val="auto"/>
          <w:highlight w:val="none"/>
        </w:rPr>
        <w:t>二、其他内容</w:t>
      </w:r>
      <w:bookmarkEnd w:id="656"/>
      <w:bookmarkEnd w:id="657"/>
      <w:bookmarkEnd w:id="658"/>
      <w:bookmarkEnd w:id="659"/>
      <w:bookmarkEnd w:id="660"/>
    </w:p>
    <w:p w14:paraId="6BEB4441">
      <w:pPr>
        <w:ind w:firstLine="480"/>
        <w:rPr>
          <w:rFonts w:hint="eastAsia"/>
          <w:color w:val="auto"/>
          <w:highlight w:val="none"/>
        </w:rPr>
      </w:pPr>
      <w:r>
        <w:rPr>
          <w:rFonts w:hint="eastAsia"/>
          <w:color w:val="auto"/>
          <w:highlight w:val="none"/>
        </w:rPr>
        <w:t>投标人根据自身情况可以自行增加相关内容，如无，本节可以不附。</w:t>
      </w:r>
    </w:p>
    <w:p w14:paraId="4996B11B">
      <w:pPr>
        <w:ind w:left="0" w:leftChars="0" w:firstLine="0" w:firstLineChars="0"/>
        <w:jc w:val="center"/>
        <w:rPr>
          <w:rFonts w:hint="eastAsia"/>
          <w:color w:val="auto"/>
          <w:highlight w:val="none"/>
        </w:rPr>
      </w:pPr>
    </w:p>
    <w:p w14:paraId="4E8AA6B2">
      <w:pPr>
        <w:pStyle w:val="7"/>
        <w:spacing w:before="240" w:after="240"/>
        <w:ind w:firstLine="118"/>
        <w:jc w:val="center"/>
        <w:rPr>
          <w:rFonts w:hint="eastAsia"/>
          <w:b/>
          <w:bCs/>
          <w:color w:val="auto"/>
          <w:sz w:val="44"/>
          <w:szCs w:val="44"/>
          <w:highlight w:val="none"/>
        </w:rPr>
      </w:pPr>
      <w:r>
        <w:rPr>
          <w:rFonts w:hint="eastAsia"/>
          <w:color w:val="auto"/>
          <w:highlight w:val="none"/>
        </w:rPr>
        <w:br w:type="page"/>
      </w:r>
      <w:r>
        <w:rPr>
          <w:rFonts w:hint="eastAsia"/>
          <w:b/>
          <w:color w:val="auto"/>
          <w:sz w:val="44"/>
          <w:szCs w:val="44"/>
          <w:highlight w:val="none"/>
          <w:u w:val="single"/>
        </w:rPr>
        <w:t>（招标项目名称）</w:t>
      </w:r>
      <w:r>
        <w:rPr>
          <w:rFonts w:hint="eastAsia"/>
          <w:color w:val="auto"/>
          <w:sz w:val="44"/>
          <w:szCs w:val="44"/>
          <w:highlight w:val="none"/>
        </w:rPr>
        <w:t xml:space="preserve"> </w:t>
      </w:r>
      <w:r>
        <w:rPr>
          <w:rFonts w:hint="eastAsia"/>
          <w:bCs/>
          <w:color w:val="auto"/>
          <w:sz w:val="44"/>
          <w:szCs w:val="44"/>
          <w:highlight w:val="none"/>
          <w:u w:val="single"/>
        </w:rPr>
        <w:t xml:space="preserve"> </w:t>
      </w:r>
      <w:r>
        <w:rPr>
          <w:rFonts w:hint="eastAsia"/>
          <w:bCs/>
          <w:color w:val="auto"/>
          <w:sz w:val="44"/>
          <w:szCs w:val="44"/>
          <w:highlight w:val="none"/>
          <w:u w:val="single"/>
          <w:lang w:val="en-US" w:eastAsia="zh-CN"/>
        </w:rPr>
        <w:t>/</w:t>
      </w:r>
      <w:r>
        <w:rPr>
          <w:rFonts w:hint="eastAsia"/>
          <w:bCs/>
          <w:color w:val="auto"/>
          <w:sz w:val="44"/>
          <w:szCs w:val="44"/>
          <w:highlight w:val="none"/>
          <w:u w:val="single"/>
        </w:rPr>
        <w:t xml:space="preserve"> </w:t>
      </w:r>
      <w:r>
        <w:rPr>
          <w:rFonts w:hint="eastAsia"/>
          <w:b/>
          <w:color w:val="auto"/>
          <w:sz w:val="44"/>
          <w:szCs w:val="44"/>
          <w:highlight w:val="none"/>
        </w:rPr>
        <w:t>标段招标</w:t>
      </w:r>
    </w:p>
    <w:p w14:paraId="38843CB4">
      <w:pPr>
        <w:pStyle w:val="6"/>
        <w:spacing w:before="1200" w:beforeLines="500" w:after="240"/>
        <w:ind w:firstLine="880"/>
        <w:jc w:val="center"/>
        <w:rPr>
          <w:rFonts w:hint="eastAsia"/>
          <w:color w:val="auto"/>
          <w:sz w:val="44"/>
          <w:szCs w:val="44"/>
          <w:highlight w:val="none"/>
        </w:rPr>
      </w:pPr>
      <w:bookmarkStart w:id="661" w:name="_Toc27417"/>
      <w:bookmarkStart w:id="662" w:name="_Toc7747"/>
      <w:r>
        <w:rPr>
          <w:rFonts w:hint="eastAsia"/>
          <w:color w:val="auto"/>
          <w:sz w:val="44"/>
          <w:szCs w:val="44"/>
          <w:highlight w:val="none"/>
        </w:rPr>
        <w:t>投标文件</w:t>
      </w:r>
      <w:bookmarkEnd w:id="661"/>
    </w:p>
    <w:p w14:paraId="13D28B4C">
      <w:pPr>
        <w:pStyle w:val="6"/>
        <w:spacing w:before="240" w:after="240"/>
        <w:ind w:firstLine="640"/>
        <w:jc w:val="center"/>
        <w:rPr>
          <w:rFonts w:hint="eastAsia"/>
          <w:color w:val="auto"/>
          <w:highlight w:val="none"/>
        </w:rPr>
      </w:pPr>
      <w:bookmarkStart w:id="663" w:name="_Toc5759"/>
      <w:r>
        <w:rPr>
          <w:rFonts w:hint="eastAsia"/>
          <w:color w:val="auto"/>
          <w:highlight w:val="none"/>
        </w:rPr>
        <w:t>（报价文件）</w:t>
      </w:r>
      <w:bookmarkEnd w:id="662"/>
      <w:bookmarkEnd w:id="663"/>
    </w:p>
    <w:p w14:paraId="36A3EE34">
      <w:pPr>
        <w:spacing w:before="7200" w:beforeLines="3000" w:line="480" w:lineRule="auto"/>
        <w:ind w:firstLine="560"/>
        <w:jc w:val="center"/>
        <w:rPr>
          <w:rFonts w:hint="eastAsia" w:eastAsia="黑体"/>
          <w:color w:val="auto"/>
          <w:sz w:val="28"/>
          <w:szCs w:val="28"/>
          <w:highlight w:val="none"/>
        </w:rPr>
      </w:pPr>
      <w:bookmarkStart w:id="664" w:name="_Toc9461"/>
      <w:bookmarkStart w:id="665" w:name="_Toc11104"/>
      <w:bookmarkStart w:id="666" w:name="_Toc19468"/>
      <w:bookmarkStart w:id="667" w:name="_Toc28590"/>
      <w:r>
        <w:rPr>
          <w:rFonts w:hint="eastAsia" w:eastAsia="黑体"/>
          <w:color w:val="auto"/>
          <w:sz w:val="28"/>
          <w:szCs w:val="28"/>
          <w:highlight w:val="none"/>
        </w:rPr>
        <w:t>投标人：</w:t>
      </w:r>
      <w:r>
        <w:rPr>
          <w:rFonts w:hint="eastAsia" w:eastAsia="黑体"/>
          <w:color w:val="auto"/>
          <w:sz w:val="28"/>
          <w:szCs w:val="28"/>
          <w:highlight w:val="none"/>
          <w:u w:val="single"/>
        </w:rPr>
        <w:t xml:space="preserve">                               </w:t>
      </w:r>
      <w:r>
        <w:rPr>
          <w:rFonts w:hint="eastAsia" w:eastAsia="黑体"/>
          <w:color w:val="auto"/>
          <w:sz w:val="28"/>
          <w:szCs w:val="28"/>
          <w:highlight w:val="none"/>
        </w:rPr>
        <w:t>（盖单位章）</w:t>
      </w:r>
      <w:bookmarkEnd w:id="664"/>
      <w:bookmarkEnd w:id="665"/>
      <w:bookmarkEnd w:id="666"/>
      <w:bookmarkEnd w:id="667"/>
    </w:p>
    <w:p w14:paraId="09C82327">
      <w:pPr>
        <w:tabs>
          <w:tab w:val="left" w:pos="3280"/>
          <w:tab w:val="left" w:pos="4680"/>
          <w:tab w:val="left" w:pos="6080"/>
        </w:tabs>
        <w:autoSpaceDE w:val="0"/>
        <w:autoSpaceDN w:val="0"/>
        <w:adjustRightInd w:val="0"/>
        <w:snapToGrid w:val="0"/>
        <w:spacing w:line="480" w:lineRule="auto"/>
        <w:ind w:firstLine="560"/>
        <w:jc w:val="center"/>
        <w:rPr>
          <w:rFonts w:hint="eastAsia"/>
          <w:b/>
          <w:bCs/>
          <w:color w:val="auto"/>
          <w:sz w:val="28"/>
          <w:highlight w:val="none"/>
        </w:rPr>
      </w:pPr>
      <w:r>
        <w:rPr>
          <w:rFonts w:hint="eastAsia" w:eastAsia="黑体"/>
          <w:color w:val="auto"/>
          <w:sz w:val="28"/>
          <w:szCs w:val="28"/>
          <w:highlight w:val="none"/>
          <w:u w:val="single"/>
        </w:rPr>
        <w:t xml:space="preserve">         </w:t>
      </w:r>
      <w:bookmarkStart w:id="668" w:name="_Toc30859"/>
      <w:bookmarkStart w:id="669" w:name="_Toc2813"/>
      <w:bookmarkStart w:id="670" w:name="_Toc27697"/>
      <w:bookmarkStart w:id="671" w:name="_Toc9542"/>
      <w:r>
        <w:rPr>
          <w:rFonts w:hint="eastAsia" w:eastAsia="黑体"/>
          <w:color w:val="auto"/>
          <w:sz w:val="28"/>
          <w:szCs w:val="28"/>
          <w:highlight w:val="none"/>
        </w:rPr>
        <w:t>年</w:t>
      </w:r>
      <w:r>
        <w:rPr>
          <w:rFonts w:hint="eastAsia" w:eastAsia="黑体"/>
          <w:color w:val="auto"/>
          <w:sz w:val="28"/>
          <w:szCs w:val="28"/>
          <w:highlight w:val="none"/>
          <w:u w:val="single"/>
        </w:rPr>
        <w:t xml:space="preserve">         </w:t>
      </w:r>
      <w:r>
        <w:rPr>
          <w:rFonts w:hint="eastAsia" w:eastAsia="黑体"/>
          <w:color w:val="auto"/>
          <w:sz w:val="28"/>
          <w:szCs w:val="28"/>
          <w:highlight w:val="none"/>
        </w:rPr>
        <w:t>月</w:t>
      </w:r>
      <w:r>
        <w:rPr>
          <w:rFonts w:hint="eastAsia" w:eastAsia="黑体"/>
          <w:color w:val="auto"/>
          <w:sz w:val="28"/>
          <w:szCs w:val="28"/>
          <w:highlight w:val="none"/>
          <w:u w:val="single"/>
        </w:rPr>
        <w:t xml:space="preserve">         </w:t>
      </w:r>
      <w:r>
        <w:rPr>
          <w:rFonts w:hint="eastAsia" w:eastAsia="黑体"/>
          <w:color w:val="auto"/>
          <w:sz w:val="28"/>
          <w:szCs w:val="28"/>
          <w:highlight w:val="none"/>
        </w:rPr>
        <w:t>日</w:t>
      </w:r>
      <w:bookmarkEnd w:id="668"/>
      <w:bookmarkEnd w:id="669"/>
      <w:bookmarkEnd w:id="670"/>
      <w:bookmarkEnd w:id="671"/>
    </w:p>
    <w:p w14:paraId="06839059">
      <w:pPr>
        <w:autoSpaceDE w:val="0"/>
        <w:autoSpaceDN w:val="0"/>
        <w:adjustRightInd w:val="0"/>
        <w:snapToGrid w:val="0"/>
        <w:ind w:firstLine="480"/>
        <w:jc w:val="center"/>
        <w:rPr>
          <w:rFonts w:ascii="宋体" w:hAnsi="宋体"/>
          <w:color w:val="auto"/>
          <w:spacing w:val="-6"/>
          <w:szCs w:val="21"/>
          <w:highlight w:val="none"/>
        </w:rPr>
      </w:pPr>
      <w:r>
        <w:rPr>
          <w:rFonts w:hint="eastAsia"/>
          <w:color w:val="auto"/>
          <w:highlight w:val="none"/>
        </w:rPr>
        <w:br w:type="page"/>
      </w:r>
      <w:r>
        <w:rPr>
          <w:rFonts w:hint="eastAsia"/>
          <w:b/>
          <w:color w:val="auto"/>
          <w:kern w:val="0"/>
          <w:sz w:val="28"/>
          <w:szCs w:val="21"/>
          <w:highlight w:val="none"/>
        </w:rPr>
        <w:t>目  录</w:t>
      </w:r>
    </w:p>
    <w:p w14:paraId="12FDA4D1">
      <w:pPr>
        <w:ind w:firstLine="480"/>
        <w:rPr>
          <w:color w:val="auto"/>
          <w:highlight w:val="none"/>
        </w:rPr>
      </w:pPr>
      <w:bookmarkStart w:id="672" w:name="_Toc19065"/>
      <w:bookmarkStart w:id="673" w:name="_Toc31107"/>
      <w:r>
        <w:rPr>
          <w:rFonts w:hint="eastAsia"/>
          <w:color w:val="auto"/>
          <w:highlight w:val="none"/>
        </w:rPr>
        <w:t>一、投标函</w:t>
      </w:r>
      <w:bookmarkEnd w:id="672"/>
      <w:bookmarkEnd w:id="673"/>
    </w:p>
    <w:p w14:paraId="0DD2A12A">
      <w:pPr>
        <w:ind w:firstLine="480"/>
        <w:rPr>
          <w:color w:val="auto"/>
          <w:highlight w:val="none"/>
        </w:rPr>
      </w:pPr>
      <w:bookmarkStart w:id="674" w:name="_Toc12858"/>
      <w:bookmarkStart w:id="675" w:name="_Toc11568"/>
      <w:r>
        <w:rPr>
          <w:rFonts w:hint="eastAsia"/>
          <w:color w:val="auto"/>
          <w:highlight w:val="none"/>
        </w:rPr>
        <w:t>二、监理报酬清单</w:t>
      </w:r>
      <w:bookmarkEnd w:id="674"/>
      <w:bookmarkEnd w:id="675"/>
    </w:p>
    <w:p w14:paraId="285516FE">
      <w:pPr>
        <w:ind w:firstLine="480"/>
        <w:rPr>
          <w:rFonts w:eastAsia="黑体"/>
          <w:b/>
          <w:color w:val="auto"/>
          <w:sz w:val="32"/>
          <w:szCs w:val="20"/>
          <w:highlight w:val="none"/>
        </w:rPr>
      </w:pPr>
      <w:bookmarkStart w:id="676" w:name="_Toc12578"/>
      <w:bookmarkStart w:id="677" w:name="_Toc6810"/>
      <w:r>
        <w:rPr>
          <w:rFonts w:hint="eastAsia"/>
          <w:color w:val="auto"/>
          <w:highlight w:val="none"/>
        </w:rPr>
        <w:t>三、其他资料</w:t>
      </w:r>
      <w:bookmarkEnd w:id="676"/>
      <w:bookmarkEnd w:id="677"/>
    </w:p>
    <w:p w14:paraId="5B36FEB8">
      <w:pPr>
        <w:pStyle w:val="7"/>
        <w:spacing w:before="240" w:after="240" w:line="360" w:lineRule="auto"/>
        <w:ind w:firstLine="118"/>
        <w:jc w:val="center"/>
        <w:rPr>
          <w:rFonts w:hint="eastAsia"/>
          <w:color w:val="auto"/>
          <w:szCs w:val="24"/>
          <w:highlight w:val="none"/>
        </w:rPr>
      </w:pPr>
      <w:r>
        <w:rPr>
          <w:color w:val="auto"/>
          <w:highlight w:val="none"/>
        </w:rPr>
        <w:br w:type="page"/>
      </w:r>
      <w:bookmarkStart w:id="678" w:name="_Toc16428"/>
      <w:bookmarkStart w:id="679" w:name="_Toc18298"/>
      <w:bookmarkStart w:id="680" w:name="_Toc20276"/>
      <w:bookmarkStart w:id="681" w:name="_Toc460227120"/>
      <w:bookmarkStart w:id="682" w:name="_Toc390411631"/>
      <w:bookmarkStart w:id="683" w:name="_Toc6175"/>
      <w:bookmarkStart w:id="684" w:name="_Toc421917012"/>
      <w:bookmarkStart w:id="685" w:name="_Toc460660235"/>
      <w:r>
        <w:rPr>
          <w:rFonts w:hint="eastAsia"/>
          <w:color w:val="auto"/>
          <w:szCs w:val="24"/>
          <w:highlight w:val="none"/>
        </w:rPr>
        <w:t>一、投标函</w:t>
      </w:r>
      <w:bookmarkEnd w:id="678"/>
      <w:bookmarkEnd w:id="679"/>
      <w:bookmarkEnd w:id="680"/>
      <w:bookmarkEnd w:id="681"/>
      <w:bookmarkEnd w:id="682"/>
      <w:bookmarkEnd w:id="683"/>
      <w:bookmarkEnd w:id="684"/>
      <w:bookmarkEnd w:id="685"/>
    </w:p>
    <w:p w14:paraId="5D96204A">
      <w:pPr>
        <w:adjustRightInd w:val="0"/>
        <w:snapToGrid w:val="0"/>
        <w:ind w:firstLine="480"/>
        <w:rPr>
          <w:rFonts w:ascii="宋体" w:hAnsi="宋体"/>
          <w:color w:val="auto"/>
          <w:highlight w:val="none"/>
          <w:u w:val="single"/>
        </w:rPr>
      </w:pPr>
      <w:r>
        <w:rPr>
          <w:rFonts w:hint="eastAsia" w:ascii="宋体" w:hAnsi="宋体" w:cs="宋体"/>
          <w:color w:val="auto"/>
          <w:szCs w:val="24"/>
          <w:highlight w:val="none"/>
          <w:u w:val="single"/>
        </w:rPr>
        <w:t>致：(招标人)</w:t>
      </w:r>
      <w:r>
        <w:rPr>
          <w:rFonts w:hint="eastAsia"/>
          <w:snapToGrid w:val="0"/>
          <w:color w:val="auto"/>
          <w:kern w:val="0"/>
          <w:szCs w:val="21"/>
          <w:highlight w:val="none"/>
        </w:rPr>
        <w:t>：</w:t>
      </w:r>
    </w:p>
    <w:p w14:paraId="0AEBBF03">
      <w:pPr>
        <w:tabs>
          <w:tab w:val="left" w:pos="7560"/>
        </w:tabs>
        <w:adjustRightInd w:val="0"/>
        <w:snapToGrid w:val="0"/>
        <w:spacing w:before="48" w:beforeLines="20" w:after="48" w:afterLines="20"/>
        <w:ind w:left="960" w:leftChars="200" w:hanging="480" w:hangingChars="200"/>
        <w:jc w:val="left"/>
        <w:rPr>
          <w:rFonts w:ascii="宋体" w:hAnsi="宋体"/>
          <w:color w:val="auto"/>
          <w:highlight w:val="none"/>
        </w:rPr>
      </w:pPr>
      <w:r>
        <w:rPr>
          <w:color w:val="auto"/>
          <w:szCs w:val="21"/>
          <w:highlight w:val="none"/>
        </w:rPr>
        <w:t>1</w:t>
      </w:r>
      <w:r>
        <w:rPr>
          <w:rFonts w:hint="eastAsia"/>
          <w:color w:val="auto"/>
          <w:szCs w:val="21"/>
          <w:highlight w:val="none"/>
        </w:rPr>
        <w:t>．</w:t>
      </w:r>
      <w:r>
        <w:rPr>
          <w:rFonts w:hint="eastAsia" w:ascii="宋体" w:hAnsi="宋体"/>
          <w:color w:val="auto"/>
          <w:highlight w:val="none"/>
        </w:rPr>
        <w:t>我方已仔细研究</w:t>
      </w:r>
      <w:r>
        <w:rPr>
          <w:rFonts w:hint="eastAsia" w:ascii="宋体" w:hAnsi="宋体"/>
          <w:color w:val="auto"/>
          <w:highlight w:val="none"/>
          <w:u w:val="single"/>
        </w:rPr>
        <w:t>（招标项目名称）</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r>
        <w:rPr>
          <w:rFonts w:hint="eastAsia" w:ascii="宋体" w:hAnsi="宋体"/>
          <w:color w:val="auto"/>
          <w:highlight w:val="none"/>
          <w:u w:val="none"/>
        </w:rPr>
        <w:t>标段</w:t>
      </w:r>
      <w:r>
        <w:rPr>
          <w:rFonts w:hint="eastAsia" w:ascii="宋体" w:hAnsi="宋体"/>
          <w:color w:val="auto"/>
          <w:highlight w:val="none"/>
        </w:rPr>
        <w:t>招标文件，在考察工程现场后，</w:t>
      </w:r>
    </w:p>
    <w:p w14:paraId="084202AF">
      <w:pPr>
        <w:tabs>
          <w:tab w:val="left" w:pos="7560"/>
        </w:tabs>
        <w:adjustRightInd w:val="0"/>
        <w:snapToGrid w:val="0"/>
        <w:spacing w:before="48" w:beforeLines="20" w:after="48" w:afterLines="20"/>
        <w:ind w:left="960" w:leftChars="200" w:hanging="480" w:hangingChars="200"/>
        <w:jc w:val="left"/>
        <w:rPr>
          <w:color w:val="auto"/>
          <w:szCs w:val="21"/>
          <w:highlight w:val="none"/>
        </w:rPr>
      </w:pPr>
      <w:r>
        <w:rPr>
          <w:rFonts w:hint="eastAsia"/>
          <w:color w:val="auto"/>
          <w:szCs w:val="21"/>
          <w:highlight w:val="none"/>
          <w:lang w:val="en-US" w:eastAsia="zh-CN"/>
        </w:rPr>
        <w:t>☑</w:t>
      </w:r>
      <w:r>
        <w:rPr>
          <w:color w:val="auto"/>
          <w:szCs w:val="21"/>
          <w:highlight w:val="none"/>
        </w:rPr>
        <w:t>愿意以人民币（大写）</w:t>
      </w:r>
      <w:r>
        <w:rPr>
          <w:rFonts w:hint="eastAsia" w:ascii="宋体" w:hAnsi="宋体"/>
          <w:color w:val="auto"/>
          <w:szCs w:val="21"/>
          <w:highlight w:val="none"/>
          <w:u w:val="single"/>
        </w:rPr>
        <w:t xml:space="preserve">      </w:t>
      </w:r>
      <w:r>
        <w:rPr>
          <w:color w:val="auto"/>
          <w:szCs w:val="21"/>
          <w:highlight w:val="none"/>
        </w:rPr>
        <w:t>（¥</w:t>
      </w:r>
      <w:r>
        <w:rPr>
          <w:rFonts w:hint="eastAsia" w:ascii="宋体" w:hAnsi="宋体"/>
          <w:color w:val="auto"/>
          <w:szCs w:val="21"/>
          <w:highlight w:val="none"/>
          <w:u w:val="single"/>
        </w:rPr>
        <w:t xml:space="preserve">      </w:t>
      </w:r>
      <w:r>
        <w:rPr>
          <w:color w:val="auto"/>
          <w:szCs w:val="21"/>
          <w:highlight w:val="none"/>
        </w:rPr>
        <w:t>）的投标总报价（</w:t>
      </w:r>
      <w:r>
        <w:rPr>
          <w:rFonts w:hint="eastAsia"/>
          <w:color w:val="auto"/>
          <w:highlight w:val="none"/>
        </w:rPr>
        <w:t>含税</w:t>
      </w:r>
      <w:r>
        <w:rPr>
          <w:rFonts w:hint="eastAsia"/>
          <w:color w:val="auto"/>
          <w:szCs w:val="21"/>
          <w:highlight w:val="none"/>
        </w:rPr>
        <w:t>），</w:t>
      </w:r>
    </w:p>
    <w:p w14:paraId="72C601DA">
      <w:pPr>
        <w:tabs>
          <w:tab w:val="left" w:pos="7560"/>
        </w:tabs>
        <w:adjustRightInd w:val="0"/>
        <w:snapToGrid w:val="0"/>
        <w:spacing w:before="48" w:beforeLines="20" w:after="48" w:afterLines="20"/>
        <w:ind w:left="960" w:leftChars="200" w:hanging="480" w:hangingChars="200"/>
        <w:jc w:val="left"/>
        <w:rPr>
          <w:color w:val="auto"/>
          <w:szCs w:val="21"/>
          <w:highlight w:val="none"/>
        </w:rPr>
      </w:pPr>
      <w:r>
        <w:rPr>
          <w:rFonts w:hint="eastAsia"/>
          <w:color w:val="auto"/>
          <w:szCs w:val="21"/>
          <w:highlight w:val="none"/>
        </w:rPr>
        <w:t>□愿意以人民币（大写）</w:t>
      </w:r>
      <w:r>
        <w:rPr>
          <w:rFonts w:hint="eastAsia" w:ascii="宋体" w:hAnsi="宋体"/>
          <w:color w:val="auto"/>
          <w:szCs w:val="21"/>
          <w:highlight w:val="none"/>
          <w:u w:val="single"/>
        </w:rPr>
        <w:t xml:space="preserve">      </w:t>
      </w:r>
      <w:r>
        <w:rPr>
          <w:rFonts w:hint="eastAsia"/>
          <w:color w:val="auto"/>
          <w:szCs w:val="21"/>
          <w:highlight w:val="none"/>
        </w:rPr>
        <w:t>（</w:t>
      </w:r>
      <w:r>
        <w:rPr>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）的投标单价（</w:t>
      </w:r>
      <w:r>
        <w:rPr>
          <w:rFonts w:hint="eastAsia"/>
          <w:color w:val="auto"/>
          <w:highlight w:val="none"/>
        </w:rPr>
        <w:t>含税</w:t>
      </w:r>
      <w:r>
        <w:rPr>
          <w:rFonts w:hint="eastAsia"/>
          <w:color w:val="auto"/>
          <w:szCs w:val="21"/>
          <w:highlight w:val="none"/>
        </w:rPr>
        <w:t>），</w:t>
      </w:r>
    </w:p>
    <w:p w14:paraId="5D477075">
      <w:pPr>
        <w:tabs>
          <w:tab w:val="left" w:pos="7560"/>
        </w:tabs>
        <w:adjustRightInd w:val="0"/>
        <w:snapToGrid w:val="0"/>
        <w:spacing w:before="48" w:beforeLines="20" w:after="48" w:afterLines="20"/>
        <w:ind w:left="960" w:leftChars="200" w:hanging="480" w:hangingChars="200"/>
        <w:jc w:val="left"/>
        <w:rPr>
          <w:color w:val="auto"/>
          <w:szCs w:val="21"/>
          <w:highlight w:val="none"/>
        </w:rPr>
      </w:pPr>
      <w:r>
        <w:rPr>
          <w:rFonts w:hint="eastAsia"/>
          <w:color w:val="auto"/>
          <w:szCs w:val="21"/>
          <w:highlight w:val="none"/>
          <w:lang w:eastAsia="zh-CN"/>
        </w:rPr>
        <w:t>□</w:t>
      </w:r>
      <w:r>
        <w:rPr>
          <w:rFonts w:hint="eastAsia"/>
          <w:color w:val="auto"/>
          <w:szCs w:val="21"/>
          <w:highlight w:val="none"/>
        </w:rPr>
        <w:t>愿意以</w:t>
      </w:r>
      <w:r>
        <w:rPr>
          <w:rFonts w:hint="eastAsia" w:ascii="宋体" w:hAnsi="宋体"/>
          <w:color w:val="auto"/>
          <w:szCs w:val="21"/>
          <w:highlight w:val="none"/>
          <w:u w:val="single"/>
        </w:rPr>
        <w:t xml:space="preserve">      </w:t>
      </w:r>
      <w:r>
        <w:rPr>
          <w:color w:val="auto"/>
          <w:szCs w:val="21"/>
          <w:highlight w:val="none"/>
        </w:rPr>
        <w:t>%</w:t>
      </w:r>
      <w:r>
        <w:rPr>
          <w:rFonts w:hint="eastAsia"/>
          <w:color w:val="auto"/>
          <w:szCs w:val="21"/>
          <w:highlight w:val="none"/>
        </w:rPr>
        <w:t>的投标费率（</w:t>
      </w:r>
      <w:r>
        <w:rPr>
          <w:rFonts w:hint="eastAsia"/>
          <w:color w:val="auto"/>
          <w:highlight w:val="none"/>
        </w:rPr>
        <w:t>含税</w:t>
      </w:r>
      <w:r>
        <w:rPr>
          <w:rFonts w:hint="eastAsia"/>
          <w:color w:val="auto"/>
          <w:szCs w:val="21"/>
          <w:highlight w:val="none"/>
        </w:rPr>
        <w:t>），</w:t>
      </w:r>
    </w:p>
    <w:p w14:paraId="3A558F59">
      <w:pPr>
        <w:tabs>
          <w:tab w:val="left" w:pos="7560"/>
        </w:tabs>
        <w:adjustRightInd w:val="0"/>
        <w:snapToGrid w:val="0"/>
        <w:spacing w:before="48" w:beforeLines="20" w:after="48" w:afterLines="20"/>
        <w:ind w:left="960" w:leftChars="200" w:hanging="480" w:hangingChars="200"/>
        <w:jc w:val="left"/>
        <w:rPr>
          <w:color w:val="auto"/>
          <w:szCs w:val="21"/>
          <w:highlight w:val="none"/>
        </w:rPr>
      </w:pPr>
      <w:r>
        <w:rPr>
          <w:rFonts w:hint="eastAsia"/>
          <w:color w:val="auto"/>
          <w:szCs w:val="21"/>
          <w:highlight w:val="none"/>
        </w:rPr>
        <w:t>□愿意以招标文件规定的投标总价/费率（定价，含税），</w:t>
      </w:r>
    </w:p>
    <w:p w14:paraId="1BB2B6F7">
      <w:pPr>
        <w:tabs>
          <w:tab w:val="left" w:pos="7560"/>
        </w:tabs>
        <w:adjustRightInd w:val="0"/>
        <w:snapToGrid w:val="0"/>
        <w:spacing w:before="48" w:beforeLines="20" w:after="48" w:afterLines="20"/>
        <w:ind w:left="960" w:leftChars="200" w:hanging="480" w:hangingChars="200"/>
        <w:jc w:val="left"/>
        <w:rPr>
          <w:color w:val="auto"/>
          <w:szCs w:val="21"/>
          <w:highlight w:val="none"/>
        </w:rPr>
      </w:pPr>
      <w:r>
        <w:rPr>
          <w:rFonts w:hint="eastAsia"/>
          <w:color w:val="auto"/>
          <w:szCs w:val="21"/>
          <w:highlight w:val="none"/>
        </w:rPr>
        <w:t>并承诺按本招标文件、合同条款的条件、承担上述工程的监理。</w:t>
      </w:r>
    </w:p>
    <w:p w14:paraId="4144657E">
      <w:pPr>
        <w:adjustRightInd w:val="0"/>
        <w:snapToGrid w:val="0"/>
        <w:spacing w:before="48" w:beforeLines="20" w:after="48" w:afterLines="20"/>
        <w:ind w:firstLineChars="175"/>
        <w:rPr>
          <w:rFonts w:ascii="宋体" w:hAnsi="宋体"/>
          <w:bCs/>
          <w:color w:val="auto"/>
          <w:szCs w:val="32"/>
          <w:highlight w:val="none"/>
        </w:rPr>
      </w:pPr>
      <w:r>
        <w:rPr>
          <w:rFonts w:ascii="宋体" w:hAnsi="宋体"/>
          <w:bCs/>
          <w:color w:val="auto"/>
          <w:szCs w:val="32"/>
          <w:highlight w:val="none"/>
        </w:rPr>
        <w:t xml:space="preserve">2. </w:t>
      </w:r>
      <w:r>
        <w:rPr>
          <w:rFonts w:hint="eastAsia" w:ascii="宋体" w:hAnsi="宋体"/>
          <w:bCs/>
          <w:color w:val="auto"/>
          <w:szCs w:val="32"/>
          <w:highlight w:val="none"/>
        </w:rPr>
        <w:t>我方已按招标文件要求详细审核并确认全部招标文件及有关附件，充分理解投标价格不得低于企业个别成本有关规定。我方经成本核算，所填报的投标报价不低于企业个别成本。</w:t>
      </w:r>
    </w:p>
    <w:p w14:paraId="451A9543">
      <w:pPr>
        <w:adjustRightInd w:val="0"/>
        <w:snapToGrid w:val="0"/>
        <w:spacing w:before="48" w:beforeLines="20" w:after="48" w:afterLines="20"/>
        <w:ind w:firstLineChars="175"/>
        <w:rPr>
          <w:rFonts w:ascii="宋体" w:hAnsi="宋体"/>
          <w:bCs/>
          <w:color w:val="auto"/>
          <w:szCs w:val="32"/>
          <w:highlight w:val="none"/>
        </w:rPr>
      </w:pPr>
      <w:r>
        <w:rPr>
          <w:rFonts w:ascii="宋体" w:hAnsi="宋体"/>
          <w:bCs/>
          <w:color w:val="auto"/>
          <w:szCs w:val="32"/>
          <w:highlight w:val="none"/>
        </w:rPr>
        <w:t>3.</w:t>
      </w:r>
      <w:r>
        <w:rPr>
          <w:rFonts w:hint="eastAsia" w:ascii="宋体" w:hAnsi="宋体"/>
          <w:bCs/>
          <w:color w:val="auto"/>
          <w:szCs w:val="32"/>
          <w:highlight w:val="none"/>
        </w:rPr>
        <w:t xml:space="preserve"> </w:t>
      </w:r>
      <w:r>
        <w:rPr>
          <w:rFonts w:hint="eastAsia" w:eastAsia="黑体"/>
          <w:snapToGrid w:val="0"/>
          <w:color w:val="auto"/>
          <w:kern w:val="0"/>
          <w:szCs w:val="21"/>
          <w:highlight w:val="none"/>
          <w:u w:val="single"/>
        </w:rPr>
        <w:t xml:space="preserve">            </w:t>
      </w:r>
      <w:r>
        <w:rPr>
          <w:rFonts w:eastAsia="黑体"/>
          <w:snapToGrid w:val="0"/>
          <w:color w:val="auto"/>
          <w:kern w:val="0"/>
          <w:szCs w:val="21"/>
          <w:highlight w:val="none"/>
          <w:u w:val="single"/>
        </w:rPr>
        <w:t xml:space="preserve">   </w:t>
      </w:r>
      <w:r>
        <w:rPr>
          <w:rFonts w:hint="eastAsia"/>
          <w:snapToGrid w:val="0"/>
          <w:color w:val="auto"/>
          <w:kern w:val="0"/>
          <w:szCs w:val="21"/>
          <w:highlight w:val="none"/>
        </w:rPr>
        <w:t>（其他补充说明）。</w:t>
      </w:r>
    </w:p>
    <w:p w14:paraId="77065FC9">
      <w:pPr>
        <w:adjustRightInd w:val="0"/>
        <w:snapToGrid w:val="0"/>
        <w:spacing w:before="48" w:beforeLines="20" w:after="48" w:afterLines="20"/>
        <w:ind w:left="0" w:leftChars="0" w:firstLine="0" w:firstLineChars="0"/>
        <w:jc w:val="center"/>
        <w:rPr>
          <w:rFonts w:ascii="宋体" w:hAnsi="宋体"/>
          <w:bCs/>
          <w:color w:val="auto"/>
          <w:szCs w:val="21"/>
          <w:highlight w:val="none"/>
        </w:rPr>
      </w:pPr>
    </w:p>
    <w:p w14:paraId="5F233B9F">
      <w:pPr>
        <w:adjustRightInd w:val="0"/>
        <w:snapToGrid w:val="0"/>
        <w:spacing w:before="48" w:beforeLines="20" w:after="48" w:afterLines="20"/>
        <w:ind w:left="0" w:leftChars="0" w:firstLine="0" w:firstLineChars="0"/>
        <w:jc w:val="center"/>
        <w:rPr>
          <w:rFonts w:ascii="宋体" w:hAnsi="宋体"/>
          <w:bCs/>
          <w:color w:val="auto"/>
          <w:szCs w:val="21"/>
          <w:highlight w:val="none"/>
        </w:rPr>
      </w:pPr>
    </w:p>
    <w:p w14:paraId="7481490A">
      <w:pPr>
        <w:adjustRightInd w:val="0"/>
        <w:snapToGrid w:val="0"/>
        <w:spacing w:before="48" w:beforeLines="20" w:after="48" w:afterLines="20"/>
        <w:ind w:left="0" w:leftChars="0" w:firstLine="0" w:firstLineChars="0"/>
        <w:jc w:val="center"/>
        <w:rPr>
          <w:rFonts w:ascii="宋体" w:hAnsi="宋体"/>
          <w:bCs/>
          <w:color w:val="auto"/>
          <w:szCs w:val="21"/>
          <w:highlight w:val="none"/>
        </w:rPr>
      </w:pPr>
    </w:p>
    <w:p w14:paraId="4DC992AB">
      <w:pPr>
        <w:adjustRightInd w:val="0"/>
        <w:snapToGrid w:val="0"/>
        <w:ind w:firstLine="960"/>
        <w:jc w:val="right"/>
        <w:rPr>
          <w:rFonts w:hint="eastAsia"/>
          <w:bCs/>
          <w:color w:val="auto"/>
          <w:kern w:val="0"/>
          <w:szCs w:val="21"/>
          <w:highlight w:val="none"/>
          <w:u w:val="single"/>
        </w:rPr>
      </w:pPr>
      <w:r>
        <w:rPr>
          <w:rFonts w:hint="eastAsia"/>
          <w:bCs/>
          <w:color w:val="auto"/>
          <w:spacing w:val="120"/>
          <w:kern w:val="0"/>
          <w:szCs w:val="21"/>
          <w:highlight w:val="none"/>
          <w:fitText w:val="1200" w:id="449524723"/>
        </w:rPr>
        <w:t>投标</w:t>
      </w:r>
      <w:r>
        <w:rPr>
          <w:rFonts w:hint="eastAsia"/>
          <w:bCs/>
          <w:color w:val="auto"/>
          <w:spacing w:val="0"/>
          <w:kern w:val="0"/>
          <w:szCs w:val="21"/>
          <w:highlight w:val="none"/>
          <w:fitText w:val="1200" w:id="449524723"/>
        </w:rPr>
        <w:t>人</w:t>
      </w:r>
      <w:r>
        <w:rPr>
          <w:rFonts w:hint="eastAsia"/>
          <w:bCs/>
          <w:color w:val="auto"/>
          <w:kern w:val="0"/>
          <w:szCs w:val="21"/>
          <w:highlight w:val="none"/>
        </w:rPr>
        <w:t>：</w:t>
      </w:r>
      <w:r>
        <w:rPr>
          <w:rFonts w:hint="eastAsia"/>
          <w:bCs/>
          <w:color w:val="auto"/>
          <w:kern w:val="0"/>
          <w:szCs w:val="21"/>
          <w:highlight w:val="none"/>
          <w:u w:val="single"/>
        </w:rPr>
        <w:t xml:space="preserve">            </w:t>
      </w:r>
      <w:r>
        <w:rPr>
          <w:rFonts w:hint="eastAsia"/>
          <w:bCs/>
          <w:color w:val="auto"/>
          <w:kern w:val="0"/>
          <w:szCs w:val="21"/>
          <w:highlight w:val="none"/>
        </w:rPr>
        <w:t>（盖单位章）</w:t>
      </w:r>
    </w:p>
    <w:p w14:paraId="2A28335D">
      <w:pPr>
        <w:adjustRightInd w:val="0"/>
        <w:snapToGrid w:val="0"/>
        <w:ind w:firstLine="480"/>
        <w:jc w:val="right"/>
        <w:rPr>
          <w:rFonts w:hint="eastAsia"/>
          <w:color w:val="auto"/>
          <w:kern w:val="0"/>
          <w:szCs w:val="21"/>
          <w:highlight w:val="none"/>
          <w:u w:val="single"/>
        </w:rPr>
      </w:pPr>
      <w:r>
        <w:rPr>
          <w:rFonts w:hint="eastAsia"/>
          <w:color w:val="auto"/>
          <w:spacing w:val="0"/>
          <w:kern w:val="0"/>
          <w:szCs w:val="21"/>
          <w:highlight w:val="none"/>
          <w:fitText w:val="1200" w:id="401111280"/>
        </w:rPr>
        <w:t>法定代表人</w:t>
      </w:r>
      <w:r>
        <w:rPr>
          <w:rFonts w:hint="eastAsia"/>
          <w:color w:val="auto"/>
          <w:kern w:val="0"/>
          <w:szCs w:val="21"/>
          <w:highlight w:val="none"/>
        </w:rPr>
        <w:t>：</w:t>
      </w:r>
      <w:r>
        <w:rPr>
          <w:rFonts w:hint="eastAsia"/>
          <w:bCs/>
          <w:color w:val="auto"/>
          <w:kern w:val="0"/>
          <w:szCs w:val="21"/>
          <w:highlight w:val="none"/>
          <w:u w:val="single"/>
        </w:rPr>
        <w:t xml:space="preserve">          </w:t>
      </w:r>
      <w:r>
        <w:rPr>
          <w:rFonts w:hint="eastAsia"/>
          <w:color w:val="auto"/>
          <w:kern w:val="0"/>
          <w:szCs w:val="21"/>
          <w:highlight w:val="none"/>
        </w:rPr>
        <w:t>（签字或盖章）</w:t>
      </w:r>
    </w:p>
    <w:p w14:paraId="17D5D011">
      <w:pPr>
        <w:adjustRightInd w:val="0"/>
        <w:snapToGrid w:val="0"/>
        <w:spacing w:before="48" w:beforeLines="20" w:after="48" w:afterLines="20"/>
        <w:ind w:firstLine="1920"/>
        <w:jc w:val="right"/>
        <w:rPr>
          <w:rFonts w:eastAsia="黑体"/>
          <w:color w:val="auto"/>
          <w:szCs w:val="24"/>
          <w:highlight w:val="none"/>
        </w:rPr>
      </w:pPr>
      <w:r>
        <w:rPr>
          <w:rFonts w:hint="eastAsia"/>
          <w:bCs/>
          <w:color w:val="auto"/>
          <w:spacing w:val="360"/>
          <w:kern w:val="0"/>
          <w:szCs w:val="21"/>
          <w:highlight w:val="none"/>
          <w:fitText w:val="1200" w:id="289766010"/>
        </w:rPr>
        <w:t>日</w:t>
      </w:r>
      <w:r>
        <w:rPr>
          <w:rFonts w:hint="eastAsia"/>
          <w:bCs/>
          <w:color w:val="auto"/>
          <w:spacing w:val="0"/>
          <w:kern w:val="0"/>
          <w:szCs w:val="21"/>
          <w:highlight w:val="none"/>
          <w:fitText w:val="1200" w:id="289766010"/>
        </w:rPr>
        <w:t>期</w:t>
      </w:r>
      <w:r>
        <w:rPr>
          <w:rFonts w:hint="eastAsia"/>
          <w:color w:val="auto"/>
          <w:kern w:val="0"/>
          <w:szCs w:val="21"/>
          <w:highlight w:val="none"/>
        </w:rPr>
        <w:t>：</w:t>
      </w:r>
      <w:r>
        <w:rPr>
          <w:rFonts w:hint="eastAsia"/>
          <w:color w:val="auto"/>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5DF87F5B">
      <w:pPr>
        <w:pStyle w:val="7"/>
        <w:spacing w:before="240" w:after="240" w:line="360" w:lineRule="auto"/>
        <w:ind w:firstLine="118"/>
        <w:jc w:val="center"/>
        <w:rPr>
          <w:rFonts w:hint="eastAsia"/>
          <w:color w:val="auto"/>
          <w:szCs w:val="24"/>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686" w:name="_Toc31476"/>
      <w:bookmarkStart w:id="687" w:name="_Toc7137"/>
      <w:bookmarkStart w:id="688" w:name="_Toc8911"/>
      <w:bookmarkStart w:id="689" w:name="_Toc26096"/>
    </w:p>
    <w:p w14:paraId="3EF05BFE">
      <w:pPr>
        <w:pStyle w:val="7"/>
        <w:spacing w:before="240" w:after="240" w:line="360" w:lineRule="auto"/>
        <w:ind w:firstLine="118"/>
        <w:jc w:val="center"/>
        <w:rPr>
          <w:rFonts w:hint="eastAsia" w:eastAsia="黑体"/>
          <w:color w:val="auto"/>
          <w:szCs w:val="24"/>
          <w:highlight w:val="none"/>
          <w:lang w:eastAsia="zh-CN"/>
        </w:rPr>
      </w:pPr>
      <w:r>
        <w:rPr>
          <w:rFonts w:hint="eastAsia"/>
          <w:color w:val="auto"/>
          <w:szCs w:val="24"/>
          <w:highlight w:val="none"/>
        </w:rPr>
        <w:t>二、监理报酬清单</w:t>
      </w:r>
      <w:bookmarkEnd w:id="686"/>
      <w:bookmarkEnd w:id="687"/>
      <w:bookmarkEnd w:id="688"/>
      <w:bookmarkEnd w:id="689"/>
      <w:r>
        <w:rPr>
          <w:rFonts w:hint="eastAsia"/>
          <w:color w:val="auto"/>
          <w:szCs w:val="24"/>
          <w:highlight w:val="none"/>
          <w:lang w:eastAsia="zh-CN"/>
        </w:rPr>
        <w:t>（</w:t>
      </w:r>
      <w:r>
        <w:rPr>
          <w:rFonts w:hint="eastAsia"/>
          <w:color w:val="auto"/>
          <w:szCs w:val="24"/>
          <w:highlight w:val="none"/>
          <w:lang w:val="en-US" w:eastAsia="zh-CN"/>
        </w:rPr>
        <w:t>不采用</w:t>
      </w:r>
      <w:r>
        <w:rPr>
          <w:rFonts w:hint="eastAsia"/>
          <w:color w:val="auto"/>
          <w:szCs w:val="24"/>
          <w:highlight w:val="none"/>
          <w:lang w:eastAsia="zh-CN"/>
        </w:rPr>
        <w:t>）</w:t>
      </w:r>
    </w:p>
    <w:p w14:paraId="2EA0BE00">
      <w:pPr>
        <w:ind w:firstLine="480"/>
        <w:rPr>
          <w:color w:val="auto"/>
          <w:highlight w:val="none"/>
        </w:rPr>
      </w:pPr>
      <w:r>
        <w:rPr>
          <w:color w:val="auto"/>
          <w:highlight w:val="none"/>
        </w:rPr>
        <w:t>1.监理报酬清单说明</w:t>
      </w:r>
    </w:p>
    <w:p w14:paraId="0D0085E5">
      <w:pPr>
        <w:ind w:firstLine="480"/>
        <w:rPr>
          <w:color w:val="auto"/>
          <w:szCs w:val="21"/>
          <w:highlight w:val="none"/>
        </w:rPr>
      </w:pPr>
      <w:r>
        <w:rPr>
          <w:color w:val="auto"/>
          <w:highlight w:val="none"/>
        </w:rPr>
        <w:t>2.监理报酬清单</w:t>
      </w:r>
    </w:p>
    <w:p w14:paraId="3BA69C46">
      <w:pPr>
        <w:spacing w:line="240" w:lineRule="auto"/>
        <w:ind w:firstLine="0" w:firstLineChars="0"/>
        <w:jc w:val="left"/>
        <w:rPr>
          <w:color w:val="auto"/>
          <w:highlight w:val="none"/>
        </w:rPr>
      </w:pPr>
      <w:r>
        <w:rPr>
          <w:rFonts w:hint="eastAsia"/>
          <w:color w:val="auto"/>
          <w:highlight w:val="none"/>
        </w:rPr>
        <w:t>单位：</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2268"/>
        <w:gridCol w:w="992"/>
      </w:tblGrid>
      <w:tr w14:paraId="7F99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0"/>
            <w:vAlign w:val="center"/>
          </w:tcPr>
          <w:p w14:paraId="29F64CEC">
            <w:pPr>
              <w:widowControl/>
              <w:ind w:firstLine="0" w:firstLineChars="0"/>
              <w:jc w:val="center"/>
              <w:rPr>
                <w:b/>
                <w:color w:val="auto"/>
                <w:kern w:val="0"/>
                <w:szCs w:val="21"/>
                <w:highlight w:val="none"/>
              </w:rPr>
            </w:pPr>
            <w:bookmarkStart w:id="690" w:name="_Toc361508760"/>
            <w:r>
              <w:rPr>
                <w:rFonts w:hint="eastAsia"/>
                <w:b/>
                <w:color w:val="auto"/>
                <w:kern w:val="0"/>
                <w:szCs w:val="21"/>
                <w:highlight w:val="none"/>
              </w:rPr>
              <w:t>序号</w:t>
            </w:r>
          </w:p>
        </w:tc>
        <w:tc>
          <w:tcPr>
            <w:tcW w:w="2410" w:type="dxa"/>
            <w:noWrap w:val="0"/>
            <w:vAlign w:val="center"/>
          </w:tcPr>
          <w:p w14:paraId="5CC182EB">
            <w:pPr>
              <w:widowControl/>
              <w:ind w:firstLine="0" w:firstLineChars="0"/>
              <w:jc w:val="center"/>
              <w:rPr>
                <w:b/>
                <w:color w:val="auto"/>
                <w:kern w:val="0"/>
                <w:szCs w:val="21"/>
                <w:highlight w:val="none"/>
              </w:rPr>
            </w:pPr>
            <w:r>
              <w:rPr>
                <w:rFonts w:hint="eastAsia"/>
                <w:b/>
                <w:color w:val="auto"/>
                <w:kern w:val="0"/>
                <w:szCs w:val="21"/>
                <w:highlight w:val="none"/>
              </w:rPr>
              <w:t>监理报酬分项名称</w:t>
            </w:r>
          </w:p>
        </w:tc>
        <w:tc>
          <w:tcPr>
            <w:tcW w:w="2268" w:type="dxa"/>
            <w:noWrap w:val="0"/>
            <w:vAlign w:val="center"/>
          </w:tcPr>
          <w:p w14:paraId="5681B745">
            <w:pPr>
              <w:widowControl/>
              <w:ind w:firstLine="0" w:firstLineChars="0"/>
              <w:jc w:val="center"/>
              <w:rPr>
                <w:b/>
                <w:color w:val="auto"/>
                <w:kern w:val="0"/>
                <w:szCs w:val="21"/>
                <w:highlight w:val="none"/>
              </w:rPr>
            </w:pPr>
            <w:r>
              <w:rPr>
                <w:rFonts w:hint="eastAsia"/>
                <w:b/>
                <w:color w:val="auto"/>
                <w:kern w:val="0"/>
                <w:szCs w:val="21"/>
                <w:highlight w:val="none"/>
              </w:rPr>
              <w:t>计算依据、过程和公式</w:t>
            </w:r>
          </w:p>
        </w:tc>
        <w:tc>
          <w:tcPr>
            <w:tcW w:w="2268" w:type="dxa"/>
            <w:noWrap w:val="0"/>
            <w:vAlign w:val="center"/>
          </w:tcPr>
          <w:p w14:paraId="46FA0ECB">
            <w:pPr>
              <w:widowControl/>
              <w:ind w:firstLine="0" w:firstLineChars="0"/>
              <w:rPr>
                <w:color w:val="auto"/>
                <w:highlight w:val="none"/>
              </w:rPr>
            </w:pPr>
            <w:r>
              <w:rPr>
                <w:rFonts w:hint="eastAsia"/>
                <w:color w:val="auto"/>
                <w:highlight w:val="none"/>
              </w:rPr>
              <w:t>□分项报价：</w:t>
            </w:r>
          </w:p>
          <w:p w14:paraId="5CF6DCC2">
            <w:pPr>
              <w:widowControl/>
              <w:ind w:firstLine="0" w:firstLineChars="0"/>
              <w:rPr>
                <w:color w:val="auto"/>
                <w:highlight w:val="none"/>
              </w:rPr>
            </w:pPr>
            <w:r>
              <w:rPr>
                <w:rFonts w:hint="eastAsia"/>
                <w:color w:val="auto"/>
                <w:highlight w:val="none"/>
              </w:rPr>
              <w:t>□单价：</w:t>
            </w:r>
          </w:p>
          <w:p w14:paraId="20BF46F1">
            <w:pPr>
              <w:widowControl/>
              <w:ind w:firstLine="0" w:firstLineChars="0"/>
              <w:rPr>
                <w:rFonts w:ascii="楷体" w:hAnsi="楷体" w:eastAsia="楷体"/>
                <w:b/>
                <w:color w:val="auto"/>
                <w:kern w:val="0"/>
                <w:szCs w:val="21"/>
                <w:highlight w:val="none"/>
              </w:rPr>
            </w:pPr>
            <w:r>
              <w:rPr>
                <w:rFonts w:hint="eastAsia"/>
                <w:color w:val="auto"/>
                <w:highlight w:val="none"/>
              </w:rPr>
              <w:t>□费率</w:t>
            </w:r>
          </w:p>
        </w:tc>
        <w:tc>
          <w:tcPr>
            <w:tcW w:w="992" w:type="dxa"/>
            <w:noWrap w:val="0"/>
            <w:vAlign w:val="center"/>
          </w:tcPr>
          <w:p w14:paraId="5381E41E">
            <w:pPr>
              <w:widowControl/>
              <w:ind w:firstLine="0" w:firstLineChars="0"/>
              <w:jc w:val="center"/>
              <w:rPr>
                <w:b/>
                <w:color w:val="auto"/>
                <w:kern w:val="0"/>
                <w:szCs w:val="21"/>
                <w:highlight w:val="none"/>
              </w:rPr>
            </w:pPr>
            <w:r>
              <w:rPr>
                <w:rFonts w:hint="eastAsia"/>
                <w:b/>
                <w:color w:val="auto"/>
                <w:kern w:val="0"/>
                <w:szCs w:val="21"/>
                <w:highlight w:val="none"/>
              </w:rPr>
              <w:t>备注</w:t>
            </w:r>
          </w:p>
        </w:tc>
      </w:tr>
      <w:tr w14:paraId="2D12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FDFFB16">
            <w:pPr>
              <w:ind w:left="0" w:leftChars="0" w:firstLine="0" w:firstLineChars="0"/>
              <w:jc w:val="center"/>
              <w:rPr>
                <w:color w:val="auto"/>
                <w:highlight w:val="none"/>
              </w:rPr>
            </w:pPr>
            <w:r>
              <w:rPr>
                <w:color w:val="auto"/>
                <w:highlight w:val="none"/>
              </w:rPr>
              <w:t>1</w:t>
            </w:r>
          </w:p>
        </w:tc>
        <w:tc>
          <w:tcPr>
            <w:tcW w:w="2410" w:type="dxa"/>
            <w:noWrap w:val="0"/>
            <w:vAlign w:val="center"/>
          </w:tcPr>
          <w:p w14:paraId="5D4E4D88">
            <w:pPr>
              <w:ind w:left="0" w:leftChars="0" w:firstLine="0" w:firstLineChars="0"/>
              <w:jc w:val="center"/>
              <w:rPr>
                <w:color w:val="auto"/>
                <w:highlight w:val="none"/>
              </w:rPr>
            </w:pPr>
          </w:p>
        </w:tc>
        <w:tc>
          <w:tcPr>
            <w:tcW w:w="2268" w:type="dxa"/>
            <w:noWrap w:val="0"/>
            <w:vAlign w:val="center"/>
          </w:tcPr>
          <w:p w14:paraId="4994D4B4">
            <w:pPr>
              <w:ind w:left="0" w:leftChars="0" w:firstLine="0" w:firstLineChars="0"/>
              <w:jc w:val="center"/>
              <w:rPr>
                <w:color w:val="auto"/>
                <w:highlight w:val="none"/>
              </w:rPr>
            </w:pPr>
          </w:p>
        </w:tc>
        <w:tc>
          <w:tcPr>
            <w:tcW w:w="2268" w:type="dxa"/>
            <w:noWrap w:val="0"/>
            <w:vAlign w:val="center"/>
          </w:tcPr>
          <w:p w14:paraId="018EDFCE">
            <w:pPr>
              <w:ind w:left="0" w:leftChars="0" w:firstLine="0" w:firstLineChars="0"/>
              <w:jc w:val="center"/>
              <w:rPr>
                <w:color w:val="auto"/>
                <w:highlight w:val="none"/>
              </w:rPr>
            </w:pPr>
          </w:p>
        </w:tc>
        <w:tc>
          <w:tcPr>
            <w:tcW w:w="992" w:type="dxa"/>
            <w:noWrap w:val="0"/>
            <w:vAlign w:val="center"/>
          </w:tcPr>
          <w:p w14:paraId="0F1858A3">
            <w:pPr>
              <w:ind w:left="0" w:leftChars="0" w:firstLine="0" w:firstLineChars="0"/>
              <w:jc w:val="center"/>
              <w:rPr>
                <w:color w:val="auto"/>
                <w:highlight w:val="none"/>
              </w:rPr>
            </w:pPr>
          </w:p>
        </w:tc>
      </w:tr>
      <w:tr w14:paraId="72E1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32A241D">
            <w:pPr>
              <w:ind w:left="0" w:leftChars="0" w:firstLine="0" w:firstLine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2</w:t>
            </w:r>
          </w:p>
        </w:tc>
        <w:tc>
          <w:tcPr>
            <w:tcW w:w="2410" w:type="dxa"/>
            <w:noWrap w:val="0"/>
            <w:vAlign w:val="center"/>
          </w:tcPr>
          <w:p w14:paraId="0DA9458E">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11C4F947">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3524D0F0">
            <w:pPr>
              <w:ind w:left="0" w:leftChars="0" w:firstLine="0" w:firstLineChars="0"/>
              <w:jc w:val="center"/>
              <w:rPr>
                <w:rFonts w:ascii="Times New Roman" w:hAnsi="Times New Roman" w:eastAsia="宋体" w:cs="Times New Roman"/>
                <w:color w:val="auto"/>
                <w:highlight w:val="none"/>
              </w:rPr>
            </w:pPr>
          </w:p>
        </w:tc>
        <w:tc>
          <w:tcPr>
            <w:tcW w:w="992" w:type="dxa"/>
            <w:noWrap w:val="0"/>
            <w:vAlign w:val="center"/>
          </w:tcPr>
          <w:p w14:paraId="4232329A">
            <w:pPr>
              <w:ind w:left="0" w:leftChars="0" w:firstLine="0" w:firstLineChars="0"/>
              <w:jc w:val="center"/>
              <w:rPr>
                <w:rFonts w:ascii="Times New Roman" w:hAnsi="Times New Roman" w:eastAsia="宋体" w:cs="Times New Roman"/>
                <w:color w:val="auto"/>
                <w:highlight w:val="none"/>
              </w:rPr>
            </w:pPr>
          </w:p>
        </w:tc>
      </w:tr>
      <w:tr w14:paraId="3FE8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6358F09">
            <w:pPr>
              <w:ind w:left="0" w:leftChars="0" w:firstLine="0" w:firstLine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3</w:t>
            </w:r>
          </w:p>
        </w:tc>
        <w:tc>
          <w:tcPr>
            <w:tcW w:w="2410" w:type="dxa"/>
            <w:noWrap w:val="0"/>
            <w:vAlign w:val="center"/>
          </w:tcPr>
          <w:p w14:paraId="1FD1F818">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33D7EA57">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3997D512">
            <w:pPr>
              <w:ind w:left="0" w:leftChars="0" w:firstLine="0" w:firstLineChars="0"/>
              <w:jc w:val="center"/>
              <w:rPr>
                <w:rFonts w:ascii="Times New Roman" w:hAnsi="Times New Roman" w:eastAsia="宋体" w:cs="Times New Roman"/>
                <w:color w:val="auto"/>
                <w:highlight w:val="none"/>
              </w:rPr>
            </w:pPr>
          </w:p>
        </w:tc>
        <w:tc>
          <w:tcPr>
            <w:tcW w:w="992" w:type="dxa"/>
            <w:noWrap w:val="0"/>
            <w:vAlign w:val="center"/>
          </w:tcPr>
          <w:p w14:paraId="4E681E82">
            <w:pPr>
              <w:ind w:left="0" w:leftChars="0" w:firstLine="0" w:firstLineChars="0"/>
              <w:jc w:val="center"/>
              <w:rPr>
                <w:rFonts w:ascii="Times New Roman" w:hAnsi="Times New Roman" w:eastAsia="宋体" w:cs="Times New Roman"/>
                <w:color w:val="auto"/>
                <w:highlight w:val="none"/>
              </w:rPr>
            </w:pPr>
          </w:p>
        </w:tc>
      </w:tr>
      <w:tr w14:paraId="0DC6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DE56945">
            <w:pPr>
              <w:ind w:left="0" w:leftChars="0" w:firstLine="0" w:firstLine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p>
        </w:tc>
        <w:tc>
          <w:tcPr>
            <w:tcW w:w="2410" w:type="dxa"/>
            <w:noWrap w:val="0"/>
            <w:vAlign w:val="center"/>
          </w:tcPr>
          <w:p w14:paraId="40EF2A25">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39ADA75F">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2C3665BA">
            <w:pPr>
              <w:ind w:left="0" w:leftChars="0" w:firstLine="0" w:firstLineChars="0"/>
              <w:jc w:val="center"/>
              <w:rPr>
                <w:rFonts w:ascii="Times New Roman" w:hAnsi="Times New Roman" w:eastAsia="宋体" w:cs="Times New Roman"/>
                <w:color w:val="auto"/>
                <w:highlight w:val="none"/>
              </w:rPr>
            </w:pPr>
          </w:p>
        </w:tc>
        <w:tc>
          <w:tcPr>
            <w:tcW w:w="992" w:type="dxa"/>
            <w:noWrap w:val="0"/>
            <w:vAlign w:val="center"/>
          </w:tcPr>
          <w:p w14:paraId="0D4AD0AE">
            <w:pPr>
              <w:ind w:left="0" w:leftChars="0" w:firstLine="0" w:firstLineChars="0"/>
              <w:jc w:val="center"/>
              <w:rPr>
                <w:rFonts w:ascii="Times New Roman" w:hAnsi="Times New Roman" w:eastAsia="宋体" w:cs="Times New Roman"/>
                <w:color w:val="auto"/>
                <w:highlight w:val="none"/>
              </w:rPr>
            </w:pPr>
          </w:p>
        </w:tc>
      </w:tr>
      <w:tr w14:paraId="7438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CA9169">
            <w:pPr>
              <w:ind w:left="0" w:leftChars="0" w:firstLine="0" w:firstLine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c>
          <w:tcPr>
            <w:tcW w:w="2410" w:type="dxa"/>
            <w:noWrap w:val="0"/>
            <w:vAlign w:val="center"/>
          </w:tcPr>
          <w:p w14:paraId="288AC83C">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18C49823">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2C7CD1C9">
            <w:pPr>
              <w:ind w:left="0" w:leftChars="0" w:firstLine="0" w:firstLineChars="0"/>
              <w:jc w:val="center"/>
              <w:rPr>
                <w:rFonts w:ascii="Times New Roman" w:hAnsi="Times New Roman" w:eastAsia="宋体" w:cs="Times New Roman"/>
                <w:color w:val="auto"/>
                <w:highlight w:val="none"/>
              </w:rPr>
            </w:pPr>
          </w:p>
        </w:tc>
        <w:tc>
          <w:tcPr>
            <w:tcW w:w="992" w:type="dxa"/>
            <w:noWrap w:val="0"/>
            <w:vAlign w:val="center"/>
          </w:tcPr>
          <w:p w14:paraId="37B31CB3">
            <w:pPr>
              <w:ind w:left="0" w:leftChars="0" w:firstLine="0" w:firstLineChars="0"/>
              <w:jc w:val="center"/>
              <w:rPr>
                <w:rFonts w:ascii="Times New Roman" w:hAnsi="Times New Roman" w:eastAsia="宋体" w:cs="Times New Roman"/>
                <w:color w:val="auto"/>
                <w:highlight w:val="none"/>
              </w:rPr>
            </w:pPr>
          </w:p>
        </w:tc>
      </w:tr>
      <w:tr w14:paraId="3B7D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5925D6D">
            <w:pPr>
              <w:ind w:left="0" w:leftChars="0" w:firstLine="0" w:firstLine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tc>
        <w:tc>
          <w:tcPr>
            <w:tcW w:w="2410" w:type="dxa"/>
            <w:noWrap w:val="0"/>
            <w:vAlign w:val="center"/>
          </w:tcPr>
          <w:p w14:paraId="1D26A625">
            <w:pPr>
              <w:ind w:left="0" w:leftChars="0" w:firstLine="0" w:firstLineChars="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tc>
        <w:tc>
          <w:tcPr>
            <w:tcW w:w="2268" w:type="dxa"/>
            <w:noWrap w:val="0"/>
            <w:vAlign w:val="center"/>
          </w:tcPr>
          <w:p w14:paraId="4CA1A545">
            <w:pPr>
              <w:ind w:left="0" w:leftChars="0" w:firstLine="0" w:firstLineChars="0"/>
              <w:jc w:val="center"/>
              <w:rPr>
                <w:rFonts w:ascii="Times New Roman" w:hAnsi="Times New Roman" w:eastAsia="宋体" w:cs="Times New Roman"/>
                <w:color w:val="auto"/>
                <w:highlight w:val="none"/>
              </w:rPr>
            </w:pPr>
          </w:p>
        </w:tc>
        <w:tc>
          <w:tcPr>
            <w:tcW w:w="2268" w:type="dxa"/>
            <w:noWrap w:val="0"/>
            <w:vAlign w:val="center"/>
          </w:tcPr>
          <w:p w14:paraId="4DCCACA8">
            <w:pPr>
              <w:ind w:left="0" w:leftChars="0" w:firstLine="0" w:firstLineChars="0"/>
              <w:jc w:val="center"/>
              <w:rPr>
                <w:rFonts w:ascii="Times New Roman" w:hAnsi="Times New Roman" w:eastAsia="宋体" w:cs="Times New Roman"/>
                <w:color w:val="auto"/>
                <w:highlight w:val="none"/>
              </w:rPr>
            </w:pPr>
          </w:p>
        </w:tc>
        <w:tc>
          <w:tcPr>
            <w:tcW w:w="992" w:type="dxa"/>
            <w:noWrap w:val="0"/>
            <w:vAlign w:val="center"/>
          </w:tcPr>
          <w:p w14:paraId="40AECA24">
            <w:pPr>
              <w:ind w:left="0" w:leftChars="0" w:firstLine="0" w:firstLineChars="0"/>
              <w:jc w:val="center"/>
              <w:rPr>
                <w:rFonts w:ascii="Times New Roman" w:hAnsi="Times New Roman" w:eastAsia="宋体" w:cs="Times New Roman"/>
                <w:color w:val="auto"/>
                <w:highlight w:val="none"/>
              </w:rPr>
            </w:pPr>
          </w:p>
        </w:tc>
      </w:tr>
      <w:tr w14:paraId="1004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0"/>
            <w:vAlign w:val="center"/>
          </w:tcPr>
          <w:p w14:paraId="3897F307">
            <w:pPr>
              <w:widowControl/>
              <w:ind w:left="0" w:leftChars="0" w:firstLine="0" w:firstLineChars="0"/>
              <w:rPr>
                <w:color w:val="auto"/>
                <w:highlight w:val="none"/>
              </w:rPr>
            </w:pPr>
            <w:r>
              <w:rPr>
                <w:rFonts w:hint="eastAsia"/>
                <w:color w:val="auto"/>
                <w:highlight w:val="none"/>
              </w:rPr>
              <w:t>□投标总报价：大写</w:t>
            </w:r>
            <w:r>
              <w:rPr>
                <w:rFonts w:hint="eastAsia"/>
                <w:color w:val="auto"/>
                <w:highlight w:val="none"/>
                <w:u w:val="single"/>
              </w:rPr>
              <w:t xml:space="preserve">      </w:t>
            </w:r>
            <w:r>
              <w:rPr>
                <w:rFonts w:hint="eastAsia"/>
                <w:color w:val="auto"/>
                <w:highlight w:val="none"/>
              </w:rPr>
              <w:t>；小写</w:t>
            </w:r>
            <w:r>
              <w:rPr>
                <w:rFonts w:hint="eastAsia"/>
                <w:color w:val="auto"/>
                <w:highlight w:val="none"/>
                <w:u w:val="single"/>
              </w:rPr>
              <w:t xml:space="preserve">      </w:t>
            </w:r>
            <w:r>
              <w:rPr>
                <w:rFonts w:hint="eastAsia"/>
                <w:color w:val="auto"/>
                <w:highlight w:val="none"/>
              </w:rPr>
              <w:t>；</w:t>
            </w:r>
          </w:p>
          <w:p w14:paraId="6BD57061">
            <w:pPr>
              <w:widowControl/>
              <w:ind w:left="0" w:leftChars="0" w:firstLine="0" w:firstLineChars="0"/>
              <w:rPr>
                <w:color w:val="auto"/>
                <w:highlight w:val="none"/>
              </w:rPr>
            </w:pPr>
            <w:r>
              <w:rPr>
                <w:rFonts w:hint="eastAsia"/>
                <w:color w:val="auto"/>
                <w:highlight w:val="none"/>
              </w:rPr>
              <w:t>□投标单价：大写</w:t>
            </w:r>
            <w:r>
              <w:rPr>
                <w:rFonts w:hint="eastAsia"/>
                <w:color w:val="auto"/>
                <w:highlight w:val="none"/>
                <w:u w:val="single"/>
              </w:rPr>
              <w:t xml:space="preserve">      </w:t>
            </w:r>
            <w:r>
              <w:rPr>
                <w:rFonts w:hint="eastAsia"/>
                <w:color w:val="auto"/>
                <w:highlight w:val="none"/>
              </w:rPr>
              <w:t>；小写</w:t>
            </w:r>
            <w:r>
              <w:rPr>
                <w:rFonts w:hint="eastAsia"/>
                <w:color w:val="auto"/>
                <w:highlight w:val="none"/>
                <w:u w:val="single"/>
              </w:rPr>
              <w:t xml:space="preserve">      </w:t>
            </w:r>
            <w:r>
              <w:rPr>
                <w:rFonts w:hint="eastAsia"/>
                <w:color w:val="auto"/>
                <w:highlight w:val="none"/>
              </w:rPr>
              <w:t>；</w:t>
            </w:r>
          </w:p>
          <w:p w14:paraId="1AD754BB">
            <w:pPr>
              <w:widowControl/>
              <w:ind w:left="0" w:leftChars="0" w:firstLine="0" w:firstLineChars="0"/>
              <w:jc w:val="left"/>
              <w:rPr>
                <w:b/>
                <w:color w:val="auto"/>
                <w:kern w:val="0"/>
                <w:szCs w:val="21"/>
                <w:highlight w:val="none"/>
              </w:rPr>
            </w:pPr>
            <w:r>
              <w:rPr>
                <w:rFonts w:hint="eastAsia"/>
                <w:color w:val="auto"/>
                <w:highlight w:val="none"/>
              </w:rPr>
              <w:t>□投标费率：大写</w:t>
            </w:r>
            <w:r>
              <w:rPr>
                <w:rFonts w:hint="eastAsia"/>
                <w:color w:val="auto"/>
                <w:highlight w:val="none"/>
                <w:u w:val="single"/>
              </w:rPr>
              <w:t xml:space="preserve">      </w:t>
            </w:r>
            <w:r>
              <w:rPr>
                <w:rFonts w:hint="eastAsia"/>
                <w:color w:val="auto"/>
                <w:highlight w:val="none"/>
              </w:rPr>
              <w:t>；小写</w:t>
            </w:r>
            <w:r>
              <w:rPr>
                <w:rFonts w:hint="eastAsia"/>
                <w:color w:val="auto"/>
                <w:highlight w:val="none"/>
                <w:u w:val="single"/>
              </w:rPr>
              <w:t xml:space="preserve">      </w:t>
            </w:r>
            <w:r>
              <w:rPr>
                <w:rFonts w:hint="eastAsia"/>
                <w:color w:val="auto"/>
                <w:highlight w:val="none"/>
              </w:rPr>
              <w:t>。</w:t>
            </w:r>
          </w:p>
        </w:tc>
        <w:tc>
          <w:tcPr>
            <w:tcW w:w="2268" w:type="dxa"/>
            <w:noWrap w:val="0"/>
            <w:vAlign w:val="center"/>
          </w:tcPr>
          <w:p w14:paraId="6B878499">
            <w:pPr>
              <w:ind w:left="0" w:leftChars="0" w:firstLine="0" w:firstLineChars="0"/>
              <w:jc w:val="center"/>
              <w:rPr>
                <w:color w:val="auto"/>
                <w:highlight w:val="none"/>
              </w:rPr>
            </w:pPr>
          </w:p>
        </w:tc>
        <w:tc>
          <w:tcPr>
            <w:tcW w:w="992" w:type="dxa"/>
            <w:noWrap w:val="0"/>
            <w:vAlign w:val="center"/>
          </w:tcPr>
          <w:p w14:paraId="6CC01870">
            <w:pPr>
              <w:ind w:left="0" w:leftChars="0" w:firstLine="0" w:firstLineChars="0"/>
              <w:jc w:val="center"/>
              <w:rPr>
                <w:color w:val="auto"/>
                <w:highlight w:val="none"/>
              </w:rPr>
            </w:pPr>
          </w:p>
        </w:tc>
      </w:tr>
    </w:tbl>
    <w:p w14:paraId="09803F77">
      <w:pPr>
        <w:widowControl/>
        <w:ind w:right="105" w:firstLine="480"/>
        <w:jc w:val="right"/>
        <w:rPr>
          <w:color w:val="auto"/>
          <w:kern w:val="0"/>
          <w:highlight w:val="none"/>
        </w:rPr>
      </w:pPr>
    </w:p>
    <w:p w14:paraId="2ADC55EF">
      <w:pPr>
        <w:widowControl/>
        <w:ind w:right="105" w:firstLine="480"/>
        <w:jc w:val="right"/>
        <w:rPr>
          <w:color w:val="auto"/>
          <w:kern w:val="0"/>
          <w:highlight w:val="none"/>
        </w:rPr>
      </w:pPr>
    </w:p>
    <w:p w14:paraId="1C3804FD">
      <w:pPr>
        <w:adjustRightInd w:val="0"/>
        <w:snapToGrid w:val="0"/>
        <w:spacing w:before="48" w:beforeLines="20" w:after="48" w:afterLines="20" w:line="400" w:lineRule="exact"/>
        <w:ind w:left="0" w:leftChars="0" w:firstLine="4320" w:firstLineChars="1800"/>
        <w:jc w:val="both"/>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23AA51F7">
      <w:pPr>
        <w:adjustRightInd w:val="0"/>
        <w:snapToGrid w:val="0"/>
        <w:spacing w:before="48" w:beforeLines="20" w:after="48" w:afterLines="20" w:line="400" w:lineRule="exact"/>
        <w:ind w:left="0" w:leftChars="0" w:firstLine="4320" w:firstLineChars="1800"/>
        <w:jc w:val="both"/>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437305F">
      <w:pPr>
        <w:adjustRightInd w:val="0"/>
        <w:snapToGrid w:val="0"/>
        <w:spacing w:before="48" w:beforeLines="20" w:after="48" w:afterLines="20" w:line="400" w:lineRule="exact"/>
        <w:ind w:left="0" w:leftChars="0" w:firstLine="4320" w:firstLineChars="1800"/>
        <w:jc w:val="both"/>
        <w:rPr>
          <w:rFonts w:hint="eastAsia" w:ascii="宋体" w:hAns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6FF815AF">
      <w:pPr>
        <w:pStyle w:val="7"/>
        <w:spacing w:before="240" w:after="240" w:line="360" w:lineRule="auto"/>
        <w:ind w:firstLine="118"/>
        <w:jc w:val="center"/>
        <w:rPr>
          <w:rFonts w:hint="eastAsia"/>
          <w:color w:val="auto"/>
          <w:szCs w:val="24"/>
          <w:highlight w:val="none"/>
        </w:rPr>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pPr>
      <w:bookmarkStart w:id="691" w:name="_Toc11988"/>
      <w:bookmarkStart w:id="692" w:name="_Toc31285"/>
      <w:bookmarkStart w:id="693" w:name="_Toc25592"/>
      <w:bookmarkStart w:id="694" w:name="_Toc22841"/>
    </w:p>
    <w:p w14:paraId="6DDD394C">
      <w:pPr>
        <w:pStyle w:val="7"/>
        <w:spacing w:before="240" w:after="240" w:line="360" w:lineRule="auto"/>
        <w:ind w:firstLine="118"/>
        <w:jc w:val="center"/>
        <w:rPr>
          <w:rFonts w:hint="eastAsia"/>
          <w:color w:val="auto"/>
          <w:szCs w:val="24"/>
          <w:highlight w:val="none"/>
        </w:rPr>
      </w:pPr>
      <w:r>
        <w:rPr>
          <w:rFonts w:hint="eastAsia"/>
          <w:color w:val="auto"/>
          <w:szCs w:val="24"/>
          <w:highlight w:val="none"/>
        </w:rPr>
        <w:t>三、其他资料</w:t>
      </w:r>
      <w:bookmarkEnd w:id="691"/>
      <w:bookmarkEnd w:id="692"/>
      <w:bookmarkEnd w:id="693"/>
      <w:bookmarkEnd w:id="694"/>
    </w:p>
    <w:p w14:paraId="0E8AA1A6">
      <w:pPr>
        <w:ind w:firstLine="480"/>
        <w:rPr>
          <w:color w:val="auto"/>
          <w:highlight w:val="none"/>
        </w:rPr>
      </w:pPr>
      <w:r>
        <w:rPr>
          <w:rFonts w:hint="eastAsia"/>
          <w:color w:val="auto"/>
          <w:highlight w:val="none"/>
        </w:rPr>
        <w:t>投标人根据自身情况可以自行增加相关内容，如无，本节可以不附。</w:t>
      </w:r>
      <w:bookmarkEnd w:id="690"/>
    </w:p>
    <w:sectPr>
      <w:footnotePr>
        <w:numFmt w:val="decimalEnclosedCircleChinese"/>
        <w:numRestart w:val="eachPage"/>
      </w:footnotePr>
      <w:pgSz w:w="12240" w:h="15840"/>
      <w:pgMar w:top="1440" w:right="1803" w:bottom="1440" w:left="1803" w:header="850" w:footer="850"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6AE127-00F1-4E59-8610-C5ECFE5333BF}"/>
  </w:font>
  <w:font w:name="黑体">
    <w:panose1 w:val="02010609060101010101"/>
    <w:charset w:val="86"/>
    <w:family w:val="auto"/>
    <w:pitch w:val="default"/>
    <w:sig w:usb0="800002BF" w:usb1="38CF7CFA" w:usb2="00000016" w:usb3="00000000" w:csb0="00040001" w:csb1="00000000"/>
    <w:embedRegular r:id="rId2" w:fontKey="{6C1C0606-8CB5-4BD2-AEE6-DF7975678660}"/>
  </w:font>
  <w:font w:name="Courier New">
    <w:panose1 w:val="02070309020205020404"/>
    <w:charset w:val="01"/>
    <w:family w:val="modern"/>
    <w:pitch w:val="default"/>
    <w:sig w:usb0="E0002EFF" w:usb1="C0007843" w:usb2="00000009" w:usb3="00000000" w:csb0="400001FF" w:csb1="FFFF0000"/>
    <w:embedRegular r:id="rId3" w:fontKey="{58064E04-473C-4900-A296-513893D37EE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EC8D9BF-C08C-4515-B0E9-7DAEB0921897}"/>
  </w:font>
  <w:font w:name="仿宋_GB2312">
    <w:panose1 w:val="02010609030101010101"/>
    <w:charset w:val="86"/>
    <w:family w:val="modern"/>
    <w:pitch w:val="default"/>
    <w:sig w:usb0="00000001" w:usb1="080E0000" w:usb2="00000000" w:usb3="00000000" w:csb0="00040000" w:csb1="00000000"/>
    <w:embedRegular r:id="rId5" w:fontKey="{3CF9BF2E-D255-4B4D-B1BA-105973C80C57}"/>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6" w:fontKey="{5525DDF2-B36E-4E42-8E9B-EFD286807814}"/>
  </w:font>
  <w:font w:name="Wingdings 2">
    <w:panose1 w:val="05020102010507070707"/>
    <w:charset w:val="02"/>
    <w:family w:val="roman"/>
    <w:pitch w:val="default"/>
    <w:sig w:usb0="00000000" w:usb1="00000000" w:usb2="00000000" w:usb3="00000000" w:csb0="80000000" w:csb1="00000000"/>
    <w:embedRegular r:id="rId7" w:fontKey="{9825AFFD-CDD4-47EB-AC4C-4EC2F4496715}"/>
  </w:font>
  <w:font w:name="楷体">
    <w:panose1 w:val="02010609060101010101"/>
    <w:charset w:val="86"/>
    <w:family w:val="modern"/>
    <w:pitch w:val="default"/>
    <w:sig w:usb0="800002BF" w:usb1="38CF7CFA" w:usb2="00000016" w:usb3="00000000" w:csb0="00040001" w:csb1="00000000"/>
    <w:embedRegular r:id="rId8" w:fontKey="{BB5F1AEA-CF5A-4DFA-A191-00A65B9D844E}"/>
  </w:font>
  <w:font w:name="Arial Unicode MS">
    <w:panose1 w:val="020B0604020202020204"/>
    <w:charset w:val="86"/>
    <w:family w:val="roman"/>
    <w:pitch w:val="default"/>
    <w:sig w:usb0="FFFFFFFF" w:usb1="E9FFFFFF" w:usb2="0000003F" w:usb3="00000000" w:csb0="603F01FF" w:csb1="FFFF0000"/>
    <w:embedRegular r:id="rId9" w:fontKey="{F55B84D7-2B2C-4D16-996E-BFA1FB48D988}"/>
  </w:font>
  <w:font w:name="WPSEMBED55">
    <w:panose1 w:val="020B0604020202020204"/>
    <w:charset w:val="86"/>
    <w:family w:val="auto"/>
    <w:pitch w:val="default"/>
    <w:sig w:usb0="FFFFFFFF" w:usb1="E9FFFFFF" w:usb2="0000003F" w:usb3="00000000" w:csb0="603F01FF" w:csb1="FFFF0000"/>
  </w:font>
  <w:font w:name="WPSEMBED5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5922">
    <w:pPr>
      <w:pStyle w:val="27"/>
      <w:ind w:left="0" w:leftChars="0" w:firstLine="0" w:firstLineChars="0"/>
      <w:jc w:val="center"/>
    </w:pPr>
    <w:r>
      <mc:AlternateContent>
        <mc:Choice Requires="wps">
          <w:drawing>
            <wp:anchor distT="0" distB="0" distL="114300" distR="114300" simplePos="0" relativeHeight="251660288" behindDoc="0" locked="0" layoutInCell="1" allowOverlap="1">
              <wp:simplePos x="0" y="0"/>
              <wp:positionH relativeFrom="margin">
                <wp:posOffset>2334895</wp:posOffset>
              </wp:positionH>
              <wp:positionV relativeFrom="paragraph">
                <wp:posOffset>0</wp:posOffset>
              </wp:positionV>
              <wp:extent cx="254000" cy="1828800"/>
              <wp:effectExtent l="0" t="0" r="0" b="0"/>
              <wp:wrapNone/>
              <wp:docPr id="2" name="文本框 17"/>
              <wp:cNvGraphicFramePr/>
              <a:graphic xmlns:a="http://schemas.openxmlformats.org/drawingml/2006/main">
                <a:graphicData uri="http://schemas.microsoft.com/office/word/2010/wordprocessingShape">
                  <wps:wsp>
                    <wps:cNvSpPr txBox="1"/>
                    <wps:spPr>
                      <a:xfrm flipH="1">
                        <a:off x="0" y="0"/>
                        <a:ext cx="254000" cy="1828800"/>
                      </a:xfrm>
                      <a:prstGeom prst="rect">
                        <a:avLst/>
                      </a:prstGeom>
                      <a:noFill/>
                      <a:ln>
                        <a:noFill/>
                      </a:ln>
                    </wps:spPr>
                    <wps:txbx>
                      <w:txbxContent>
                        <w:p w14:paraId="165A1CD2">
                          <w:pPr>
                            <w:ind w:firstLine="480"/>
                          </w:pPr>
                        </w:p>
                      </w:txbxContent>
                    </wps:txbx>
                    <wps:bodyPr wrap="square" lIns="0" tIns="0" rIns="0" bIns="0" upright="0">
                      <a:spAutoFit/>
                    </wps:bodyPr>
                  </wps:wsp>
                </a:graphicData>
              </a:graphic>
            </wp:anchor>
          </w:drawing>
        </mc:Choice>
        <mc:Fallback>
          <w:pict>
            <v:shape id="文本框 17" o:spid="_x0000_s1026" o:spt="202" type="#_x0000_t202" style="position:absolute;left:0pt;flip:x;margin-left:183.85pt;margin-top:0pt;height:144pt;width:20pt;mso-position-horizontal-relative:margin;z-index:251660288;mso-width-relative:page;mso-height-relative:page;" filled="f" stroked="f" coordsize="21600,21600" o:gfxdata="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Wyecj1gAAAAgBAAAPAAAAAAAAAAEAIAAA&#10;ACIAAABkcnMvZG93bnJldi54bWxQSwECFAAUAAAACACHTuJAgwK5xdUBAAClAwAADgAAAAAAAAAB&#10;ACAAAAAlAQAAZHJzL2Uyb0RvYy54bWxQSwUGAAAAAAYABgBZAQAAbAUAAAAA&#10;">
              <v:fill on="f" focussize="0,0"/>
              <v:stroke on="f"/>
              <v:imagedata o:title=""/>
              <o:lock v:ext="edit" aspectratio="f"/>
              <v:textbox inset="0mm,0mm,0mm,0mm" style="mso-fit-shape-to-text:t;">
                <w:txbxContent>
                  <w:p w14:paraId="165A1CD2">
                    <w:pPr>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A947">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2ADB">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098C">
    <w:pPr>
      <w:pStyle w:val="27"/>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99DF7">
                          <w:pPr>
                            <w:pStyle w:val="2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98BAAC/AwAADgAAAGRycy9lMm9Eb2MueG1srVPBjtMwEL0j8Q+W&#10;7zTZCkEV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Q98BAAC/AwAADgAAAAAA&#10;AAABACAAAAAeAQAAZHJzL2Uyb0RvYy54bWxQSwUGAAAAAAYABgBZAQAAbwUAAAAA&#10;">
              <v:fill on="f" focussize="0,0"/>
              <v:stroke on="f"/>
              <v:imagedata o:title=""/>
              <o:lock v:ext="edit" aspectratio="f"/>
              <v:textbox inset="0mm,0mm,0mm,0mm" style="mso-fit-shape-to-text:t;">
                <w:txbxContent>
                  <w:p w14:paraId="22699DF7">
                    <w:pPr>
                      <w:pStyle w:val="2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2334895</wp:posOffset>
              </wp:positionH>
              <wp:positionV relativeFrom="paragraph">
                <wp:posOffset>0</wp:posOffset>
              </wp:positionV>
              <wp:extent cx="254000" cy="1828800"/>
              <wp:effectExtent l="0" t="0" r="0" b="0"/>
              <wp:wrapNone/>
              <wp:docPr id="3" name="文本框 23"/>
              <wp:cNvGraphicFramePr/>
              <a:graphic xmlns:a="http://schemas.openxmlformats.org/drawingml/2006/main">
                <a:graphicData uri="http://schemas.microsoft.com/office/word/2010/wordprocessingShape">
                  <wps:wsp>
                    <wps:cNvSpPr txBox="1"/>
                    <wps:spPr>
                      <a:xfrm flipH="1">
                        <a:off x="0" y="0"/>
                        <a:ext cx="254000" cy="1828800"/>
                      </a:xfrm>
                      <a:prstGeom prst="rect">
                        <a:avLst/>
                      </a:prstGeom>
                      <a:noFill/>
                      <a:ln>
                        <a:noFill/>
                      </a:ln>
                    </wps:spPr>
                    <wps:txbx>
                      <w:txbxContent>
                        <w:p w14:paraId="1FAC9D31">
                          <w:pPr>
                            <w:ind w:firstLine="480"/>
                          </w:pPr>
                        </w:p>
                      </w:txbxContent>
                    </wps:txbx>
                    <wps:bodyPr wrap="square" lIns="0" tIns="0" rIns="0" bIns="0" upright="0">
                      <a:spAutoFit/>
                    </wps:bodyPr>
                  </wps:wsp>
                </a:graphicData>
              </a:graphic>
            </wp:anchor>
          </w:drawing>
        </mc:Choice>
        <mc:Fallback>
          <w:pict>
            <v:shape id="文本框 23" o:spid="_x0000_s1026" o:spt="202" type="#_x0000_t202" style="position:absolute;left:0pt;flip:x;margin-left:183.85pt;margin-top:0pt;height:144pt;width:20pt;mso-position-horizontal-relative:margin;z-index:251661312;mso-width-relative:page;mso-height-relative:page;" filled="f" stroked="f" coordsize="21600,21600" o:gfxdata="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Wyecj1gAAAAgBAAAPAAAAAAAAAAEAIAAA&#10;ACIAAABkcnMvZG93bnJldi54bWxQSwECFAAUAAAACACHTuJA176YZdUBAAClAwAADgAAAAAAAAAB&#10;ACAAAAAlAQAAZHJzL2Uyb0RvYy54bWxQSwUGAAAAAAYABgBZAQAAbAUAAAAA&#10;">
              <v:fill on="f" focussize="0,0"/>
              <v:stroke on="f"/>
              <v:imagedata o:title=""/>
              <o:lock v:ext="edit" aspectratio="f"/>
              <v:textbox inset="0mm,0mm,0mm,0mm" style="mso-fit-shape-to-text:t;">
                <w:txbxContent>
                  <w:p w14:paraId="1FAC9D31">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2A73E">
    <w:pPr>
      <w:pBdr>
        <w:bottom w:val="single" w:color="auto" w:sz="6" w:space="1"/>
      </w:pBdr>
      <w:tabs>
        <w:tab w:val="center" w:pos="4153"/>
        <w:tab w:val="right" w:pos="8306"/>
      </w:tabs>
      <w:snapToGrid w:val="0"/>
      <w:spacing w:line="240" w:lineRule="auto"/>
      <w:ind w:firstLine="0" w:firstLineChars="0"/>
      <w:jc w:val="left"/>
      <w:rPr>
        <w:rFonts w:hint="eastAsia"/>
        <w:sz w:val="18"/>
        <w:szCs w:val="20"/>
      </w:rPr>
    </w:pPr>
    <w:r>
      <w:rPr>
        <w:rFonts w:hint="eastAsia"/>
        <w:sz w:val="18"/>
        <w:szCs w:val="18"/>
      </w:rPr>
      <w:t>房建市政监理招标示范文本（2023年版）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5512">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F8D6">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9F23"/>
    <w:multiLevelType w:val="singleLevel"/>
    <w:tmpl w:val="8B189F23"/>
    <w:lvl w:ilvl="0" w:tentative="0">
      <w:start w:val="1"/>
      <w:numFmt w:val="decimal"/>
      <w:suff w:val="nothing"/>
      <w:lvlText w:val="%1、"/>
      <w:lvlJc w:val="left"/>
    </w:lvl>
  </w:abstractNum>
  <w:abstractNum w:abstractNumId="1">
    <w:nsid w:val="404DA739"/>
    <w:multiLevelType w:val="singleLevel"/>
    <w:tmpl w:val="404DA739"/>
    <w:lvl w:ilvl="0" w:tentative="0">
      <w:start w:val="2"/>
      <w:numFmt w:val="decimal"/>
      <w:lvlText w:val="%1."/>
      <w:lvlJc w:val="left"/>
      <w:pPr>
        <w:tabs>
          <w:tab w:val="left" w:pos="312"/>
        </w:tabs>
      </w:pPr>
    </w:lvl>
  </w:abstractNum>
  <w:abstractNum w:abstractNumId="2">
    <w:nsid w:val="4E66DE04"/>
    <w:multiLevelType w:val="singleLevel"/>
    <w:tmpl w:val="4E66DE0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MDM1MzMzMDI2YTFhZjJjMWE3MjZhYWVlYjFlNTMifQ=="/>
  </w:docVars>
  <w:rsids>
    <w:rsidRoot w:val="00172A27"/>
    <w:rsid w:val="000019FC"/>
    <w:rsid w:val="00002A60"/>
    <w:rsid w:val="00004603"/>
    <w:rsid w:val="0000507C"/>
    <w:rsid w:val="00007319"/>
    <w:rsid w:val="000106AE"/>
    <w:rsid w:val="000109BA"/>
    <w:rsid w:val="00011335"/>
    <w:rsid w:val="000113EC"/>
    <w:rsid w:val="00011684"/>
    <w:rsid w:val="00012703"/>
    <w:rsid w:val="0001485E"/>
    <w:rsid w:val="000154E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370E8"/>
    <w:rsid w:val="00041EC1"/>
    <w:rsid w:val="00043778"/>
    <w:rsid w:val="00045007"/>
    <w:rsid w:val="00046C42"/>
    <w:rsid w:val="000511CA"/>
    <w:rsid w:val="00051CF8"/>
    <w:rsid w:val="0005357F"/>
    <w:rsid w:val="00053E05"/>
    <w:rsid w:val="0005607C"/>
    <w:rsid w:val="00057436"/>
    <w:rsid w:val="00062AC6"/>
    <w:rsid w:val="00062E4D"/>
    <w:rsid w:val="00065A9E"/>
    <w:rsid w:val="000667F4"/>
    <w:rsid w:val="000668F1"/>
    <w:rsid w:val="00067035"/>
    <w:rsid w:val="00070145"/>
    <w:rsid w:val="000712CC"/>
    <w:rsid w:val="00072976"/>
    <w:rsid w:val="0007298C"/>
    <w:rsid w:val="00075247"/>
    <w:rsid w:val="000766B2"/>
    <w:rsid w:val="0008132B"/>
    <w:rsid w:val="00081360"/>
    <w:rsid w:val="0008253E"/>
    <w:rsid w:val="000829D5"/>
    <w:rsid w:val="00082FCF"/>
    <w:rsid w:val="000857E2"/>
    <w:rsid w:val="00087558"/>
    <w:rsid w:val="00090427"/>
    <w:rsid w:val="0009240C"/>
    <w:rsid w:val="00093FF8"/>
    <w:rsid w:val="000943B0"/>
    <w:rsid w:val="00094ACD"/>
    <w:rsid w:val="00094C66"/>
    <w:rsid w:val="0009505F"/>
    <w:rsid w:val="00097FC4"/>
    <w:rsid w:val="000A118B"/>
    <w:rsid w:val="000A287B"/>
    <w:rsid w:val="000A321F"/>
    <w:rsid w:val="000A3C49"/>
    <w:rsid w:val="000A5C81"/>
    <w:rsid w:val="000A76B3"/>
    <w:rsid w:val="000B2147"/>
    <w:rsid w:val="000B3CAE"/>
    <w:rsid w:val="000B574C"/>
    <w:rsid w:val="000B62FB"/>
    <w:rsid w:val="000B6549"/>
    <w:rsid w:val="000B65E2"/>
    <w:rsid w:val="000B676B"/>
    <w:rsid w:val="000B78C1"/>
    <w:rsid w:val="000C0018"/>
    <w:rsid w:val="000C0AF1"/>
    <w:rsid w:val="000C1A9B"/>
    <w:rsid w:val="000C2AB5"/>
    <w:rsid w:val="000C4246"/>
    <w:rsid w:val="000C4406"/>
    <w:rsid w:val="000C4710"/>
    <w:rsid w:val="000C4924"/>
    <w:rsid w:val="000C6FFB"/>
    <w:rsid w:val="000C7A13"/>
    <w:rsid w:val="000C7A74"/>
    <w:rsid w:val="000D204D"/>
    <w:rsid w:val="000D3177"/>
    <w:rsid w:val="000D4336"/>
    <w:rsid w:val="000D49B4"/>
    <w:rsid w:val="000D5BEB"/>
    <w:rsid w:val="000E08CB"/>
    <w:rsid w:val="000E100D"/>
    <w:rsid w:val="000E2914"/>
    <w:rsid w:val="000E2EFB"/>
    <w:rsid w:val="000E2FAE"/>
    <w:rsid w:val="000E37FB"/>
    <w:rsid w:val="000E4284"/>
    <w:rsid w:val="000E5673"/>
    <w:rsid w:val="000E6654"/>
    <w:rsid w:val="000E7256"/>
    <w:rsid w:val="000E7A15"/>
    <w:rsid w:val="000E7FB2"/>
    <w:rsid w:val="000F053D"/>
    <w:rsid w:val="000F0D8E"/>
    <w:rsid w:val="000F2186"/>
    <w:rsid w:val="000F2A12"/>
    <w:rsid w:val="000F2ECC"/>
    <w:rsid w:val="000F44D2"/>
    <w:rsid w:val="000F59FD"/>
    <w:rsid w:val="000F726F"/>
    <w:rsid w:val="00100EE5"/>
    <w:rsid w:val="001011FC"/>
    <w:rsid w:val="00102618"/>
    <w:rsid w:val="00102F0B"/>
    <w:rsid w:val="001039D9"/>
    <w:rsid w:val="00105244"/>
    <w:rsid w:val="00105423"/>
    <w:rsid w:val="00106F95"/>
    <w:rsid w:val="001079C5"/>
    <w:rsid w:val="00107C1A"/>
    <w:rsid w:val="001119B6"/>
    <w:rsid w:val="00111EB5"/>
    <w:rsid w:val="0011230B"/>
    <w:rsid w:val="0011365C"/>
    <w:rsid w:val="00113D0A"/>
    <w:rsid w:val="001146FA"/>
    <w:rsid w:val="00115124"/>
    <w:rsid w:val="00116B1A"/>
    <w:rsid w:val="00117241"/>
    <w:rsid w:val="00117F0F"/>
    <w:rsid w:val="00122B03"/>
    <w:rsid w:val="00123706"/>
    <w:rsid w:val="0012660F"/>
    <w:rsid w:val="001270CD"/>
    <w:rsid w:val="00131E3E"/>
    <w:rsid w:val="00131FEB"/>
    <w:rsid w:val="0014098E"/>
    <w:rsid w:val="001409BC"/>
    <w:rsid w:val="00141A8F"/>
    <w:rsid w:val="00145049"/>
    <w:rsid w:val="001469DC"/>
    <w:rsid w:val="00151F09"/>
    <w:rsid w:val="0015225D"/>
    <w:rsid w:val="001530C6"/>
    <w:rsid w:val="00153229"/>
    <w:rsid w:val="00153415"/>
    <w:rsid w:val="00157CF2"/>
    <w:rsid w:val="0016012D"/>
    <w:rsid w:val="00163470"/>
    <w:rsid w:val="001637D7"/>
    <w:rsid w:val="00170389"/>
    <w:rsid w:val="00171699"/>
    <w:rsid w:val="00172A27"/>
    <w:rsid w:val="001735B4"/>
    <w:rsid w:val="001748A3"/>
    <w:rsid w:val="0017646A"/>
    <w:rsid w:val="00180077"/>
    <w:rsid w:val="00182B11"/>
    <w:rsid w:val="00183748"/>
    <w:rsid w:val="00183B4A"/>
    <w:rsid w:val="00186361"/>
    <w:rsid w:val="00186C85"/>
    <w:rsid w:val="001916FB"/>
    <w:rsid w:val="00192E19"/>
    <w:rsid w:val="00193C1D"/>
    <w:rsid w:val="001942C3"/>
    <w:rsid w:val="00195C6B"/>
    <w:rsid w:val="00197A3B"/>
    <w:rsid w:val="001A013A"/>
    <w:rsid w:val="001A067F"/>
    <w:rsid w:val="001A093D"/>
    <w:rsid w:val="001A0CCF"/>
    <w:rsid w:val="001A0D01"/>
    <w:rsid w:val="001A2E05"/>
    <w:rsid w:val="001A304A"/>
    <w:rsid w:val="001A4491"/>
    <w:rsid w:val="001A4684"/>
    <w:rsid w:val="001A6C0E"/>
    <w:rsid w:val="001B014D"/>
    <w:rsid w:val="001B1289"/>
    <w:rsid w:val="001B174D"/>
    <w:rsid w:val="001B4065"/>
    <w:rsid w:val="001B4B62"/>
    <w:rsid w:val="001B5478"/>
    <w:rsid w:val="001B7FEF"/>
    <w:rsid w:val="001C08ED"/>
    <w:rsid w:val="001C0D66"/>
    <w:rsid w:val="001C11D7"/>
    <w:rsid w:val="001C122A"/>
    <w:rsid w:val="001C2DC0"/>
    <w:rsid w:val="001C30C7"/>
    <w:rsid w:val="001C3B74"/>
    <w:rsid w:val="001C3DF5"/>
    <w:rsid w:val="001C3E27"/>
    <w:rsid w:val="001C41E1"/>
    <w:rsid w:val="001C4420"/>
    <w:rsid w:val="001D0371"/>
    <w:rsid w:val="001D1336"/>
    <w:rsid w:val="001D1E43"/>
    <w:rsid w:val="001D414D"/>
    <w:rsid w:val="001D5278"/>
    <w:rsid w:val="001D52B0"/>
    <w:rsid w:val="001D7619"/>
    <w:rsid w:val="001E093F"/>
    <w:rsid w:val="001E1433"/>
    <w:rsid w:val="001E5D85"/>
    <w:rsid w:val="001E6140"/>
    <w:rsid w:val="001E6E01"/>
    <w:rsid w:val="001E72A6"/>
    <w:rsid w:val="001E7957"/>
    <w:rsid w:val="001F2208"/>
    <w:rsid w:val="001F2734"/>
    <w:rsid w:val="001F285E"/>
    <w:rsid w:val="001F2D37"/>
    <w:rsid w:val="001F4134"/>
    <w:rsid w:val="001F41DB"/>
    <w:rsid w:val="001F45EE"/>
    <w:rsid w:val="001F4850"/>
    <w:rsid w:val="001F4A75"/>
    <w:rsid w:val="001F619D"/>
    <w:rsid w:val="001F7EBC"/>
    <w:rsid w:val="0020300D"/>
    <w:rsid w:val="0020311E"/>
    <w:rsid w:val="00204A5C"/>
    <w:rsid w:val="00204F97"/>
    <w:rsid w:val="00207A0B"/>
    <w:rsid w:val="002106E8"/>
    <w:rsid w:val="0021226E"/>
    <w:rsid w:val="00212A53"/>
    <w:rsid w:val="0021322F"/>
    <w:rsid w:val="00213B90"/>
    <w:rsid w:val="00215AF0"/>
    <w:rsid w:val="00215B68"/>
    <w:rsid w:val="00216837"/>
    <w:rsid w:val="00217E14"/>
    <w:rsid w:val="00221FAC"/>
    <w:rsid w:val="002229E2"/>
    <w:rsid w:val="0022434B"/>
    <w:rsid w:val="002245E3"/>
    <w:rsid w:val="00225879"/>
    <w:rsid w:val="0023039F"/>
    <w:rsid w:val="00230836"/>
    <w:rsid w:val="00232867"/>
    <w:rsid w:val="0023296E"/>
    <w:rsid w:val="00232CC8"/>
    <w:rsid w:val="0023423F"/>
    <w:rsid w:val="002342C1"/>
    <w:rsid w:val="00236760"/>
    <w:rsid w:val="00237B0E"/>
    <w:rsid w:val="002430C2"/>
    <w:rsid w:val="00243A37"/>
    <w:rsid w:val="00246A0E"/>
    <w:rsid w:val="00247719"/>
    <w:rsid w:val="00250CB7"/>
    <w:rsid w:val="00251A49"/>
    <w:rsid w:val="002521B3"/>
    <w:rsid w:val="0025316D"/>
    <w:rsid w:val="0025460A"/>
    <w:rsid w:val="00255D0D"/>
    <w:rsid w:val="002606C8"/>
    <w:rsid w:val="00260C77"/>
    <w:rsid w:val="00261352"/>
    <w:rsid w:val="002620CB"/>
    <w:rsid w:val="00263F0B"/>
    <w:rsid w:val="00264EB1"/>
    <w:rsid w:val="002658FD"/>
    <w:rsid w:val="0026790A"/>
    <w:rsid w:val="00267F60"/>
    <w:rsid w:val="0027188D"/>
    <w:rsid w:val="00271923"/>
    <w:rsid w:val="0027292C"/>
    <w:rsid w:val="00272A39"/>
    <w:rsid w:val="00276C71"/>
    <w:rsid w:val="0028128E"/>
    <w:rsid w:val="00281526"/>
    <w:rsid w:val="00281A51"/>
    <w:rsid w:val="0028327C"/>
    <w:rsid w:val="0028346F"/>
    <w:rsid w:val="00285406"/>
    <w:rsid w:val="00287AAF"/>
    <w:rsid w:val="00290828"/>
    <w:rsid w:val="00290852"/>
    <w:rsid w:val="00292A65"/>
    <w:rsid w:val="00292F9F"/>
    <w:rsid w:val="00294445"/>
    <w:rsid w:val="00294A20"/>
    <w:rsid w:val="002951E8"/>
    <w:rsid w:val="002A05B1"/>
    <w:rsid w:val="002A1947"/>
    <w:rsid w:val="002A20A0"/>
    <w:rsid w:val="002A2A19"/>
    <w:rsid w:val="002A354A"/>
    <w:rsid w:val="002A4926"/>
    <w:rsid w:val="002A552C"/>
    <w:rsid w:val="002A65ED"/>
    <w:rsid w:val="002A66C9"/>
    <w:rsid w:val="002B0822"/>
    <w:rsid w:val="002B43B4"/>
    <w:rsid w:val="002B5823"/>
    <w:rsid w:val="002B76D2"/>
    <w:rsid w:val="002C0C29"/>
    <w:rsid w:val="002C14EC"/>
    <w:rsid w:val="002C31DD"/>
    <w:rsid w:val="002C3CD8"/>
    <w:rsid w:val="002C636F"/>
    <w:rsid w:val="002C7B9B"/>
    <w:rsid w:val="002D1035"/>
    <w:rsid w:val="002D2B90"/>
    <w:rsid w:val="002D4559"/>
    <w:rsid w:val="002D6292"/>
    <w:rsid w:val="002D6F32"/>
    <w:rsid w:val="002D6FD5"/>
    <w:rsid w:val="002D7B78"/>
    <w:rsid w:val="002E01CA"/>
    <w:rsid w:val="002E0D88"/>
    <w:rsid w:val="002E1DAC"/>
    <w:rsid w:val="002E528D"/>
    <w:rsid w:val="002E6D05"/>
    <w:rsid w:val="002F2E8D"/>
    <w:rsid w:val="002F38D3"/>
    <w:rsid w:val="002F5C17"/>
    <w:rsid w:val="002F6968"/>
    <w:rsid w:val="002F6E09"/>
    <w:rsid w:val="002F711D"/>
    <w:rsid w:val="002F72A0"/>
    <w:rsid w:val="002F7F2B"/>
    <w:rsid w:val="00301C38"/>
    <w:rsid w:val="00301EBE"/>
    <w:rsid w:val="00303602"/>
    <w:rsid w:val="00307864"/>
    <w:rsid w:val="003103F4"/>
    <w:rsid w:val="00311324"/>
    <w:rsid w:val="00311BD5"/>
    <w:rsid w:val="003122C4"/>
    <w:rsid w:val="00312833"/>
    <w:rsid w:val="00314419"/>
    <w:rsid w:val="00314AF6"/>
    <w:rsid w:val="003167EF"/>
    <w:rsid w:val="0031789C"/>
    <w:rsid w:val="0032031D"/>
    <w:rsid w:val="00321231"/>
    <w:rsid w:val="003214BA"/>
    <w:rsid w:val="00321647"/>
    <w:rsid w:val="00321989"/>
    <w:rsid w:val="00323A74"/>
    <w:rsid w:val="003243EC"/>
    <w:rsid w:val="003247CD"/>
    <w:rsid w:val="00326AB5"/>
    <w:rsid w:val="00330D54"/>
    <w:rsid w:val="00332962"/>
    <w:rsid w:val="00334029"/>
    <w:rsid w:val="003341D1"/>
    <w:rsid w:val="003362AD"/>
    <w:rsid w:val="00336DF8"/>
    <w:rsid w:val="00342688"/>
    <w:rsid w:val="003443AF"/>
    <w:rsid w:val="0034440E"/>
    <w:rsid w:val="003455FB"/>
    <w:rsid w:val="00347641"/>
    <w:rsid w:val="00347899"/>
    <w:rsid w:val="00350F3E"/>
    <w:rsid w:val="0035125A"/>
    <w:rsid w:val="003517B4"/>
    <w:rsid w:val="003518D6"/>
    <w:rsid w:val="00354B7A"/>
    <w:rsid w:val="003550A9"/>
    <w:rsid w:val="003574D9"/>
    <w:rsid w:val="00360202"/>
    <w:rsid w:val="003624C5"/>
    <w:rsid w:val="0036267B"/>
    <w:rsid w:val="00363966"/>
    <w:rsid w:val="00367DB3"/>
    <w:rsid w:val="0037208D"/>
    <w:rsid w:val="003741B0"/>
    <w:rsid w:val="00375481"/>
    <w:rsid w:val="00375745"/>
    <w:rsid w:val="003772AE"/>
    <w:rsid w:val="003777DD"/>
    <w:rsid w:val="0038240C"/>
    <w:rsid w:val="0038359A"/>
    <w:rsid w:val="003865F8"/>
    <w:rsid w:val="00386AA0"/>
    <w:rsid w:val="00386C39"/>
    <w:rsid w:val="00387832"/>
    <w:rsid w:val="00387996"/>
    <w:rsid w:val="00387ED5"/>
    <w:rsid w:val="00391F03"/>
    <w:rsid w:val="003937D8"/>
    <w:rsid w:val="00393D89"/>
    <w:rsid w:val="0039407B"/>
    <w:rsid w:val="00394255"/>
    <w:rsid w:val="00395E10"/>
    <w:rsid w:val="00397531"/>
    <w:rsid w:val="003A184D"/>
    <w:rsid w:val="003A2368"/>
    <w:rsid w:val="003A3386"/>
    <w:rsid w:val="003A38B6"/>
    <w:rsid w:val="003A481E"/>
    <w:rsid w:val="003A593E"/>
    <w:rsid w:val="003A6775"/>
    <w:rsid w:val="003B1B15"/>
    <w:rsid w:val="003B377F"/>
    <w:rsid w:val="003B3FDA"/>
    <w:rsid w:val="003B57C0"/>
    <w:rsid w:val="003C0D7D"/>
    <w:rsid w:val="003C2BAB"/>
    <w:rsid w:val="003C2FA8"/>
    <w:rsid w:val="003C4858"/>
    <w:rsid w:val="003C4F70"/>
    <w:rsid w:val="003C4FF4"/>
    <w:rsid w:val="003C507E"/>
    <w:rsid w:val="003C584A"/>
    <w:rsid w:val="003C5BB3"/>
    <w:rsid w:val="003C5CB7"/>
    <w:rsid w:val="003D0286"/>
    <w:rsid w:val="003D1170"/>
    <w:rsid w:val="003D1B8E"/>
    <w:rsid w:val="003D2A2F"/>
    <w:rsid w:val="003D2D72"/>
    <w:rsid w:val="003D36EE"/>
    <w:rsid w:val="003D4394"/>
    <w:rsid w:val="003D68E6"/>
    <w:rsid w:val="003D6E0A"/>
    <w:rsid w:val="003E0F1F"/>
    <w:rsid w:val="003E166B"/>
    <w:rsid w:val="003E32F6"/>
    <w:rsid w:val="003F1396"/>
    <w:rsid w:val="003F1E65"/>
    <w:rsid w:val="003F3518"/>
    <w:rsid w:val="003F504F"/>
    <w:rsid w:val="003F5B69"/>
    <w:rsid w:val="003F5BFB"/>
    <w:rsid w:val="00400DA7"/>
    <w:rsid w:val="00400F0A"/>
    <w:rsid w:val="00404741"/>
    <w:rsid w:val="00405156"/>
    <w:rsid w:val="00407637"/>
    <w:rsid w:val="00407EB5"/>
    <w:rsid w:val="004105EF"/>
    <w:rsid w:val="004110A8"/>
    <w:rsid w:val="00412E6B"/>
    <w:rsid w:val="00413087"/>
    <w:rsid w:val="00415A1A"/>
    <w:rsid w:val="00422762"/>
    <w:rsid w:val="0042326A"/>
    <w:rsid w:val="00423F96"/>
    <w:rsid w:val="004249F9"/>
    <w:rsid w:val="00426B5C"/>
    <w:rsid w:val="00430114"/>
    <w:rsid w:val="00431653"/>
    <w:rsid w:val="00431F4F"/>
    <w:rsid w:val="00432C35"/>
    <w:rsid w:val="0043351E"/>
    <w:rsid w:val="00433676"/>
    <w:rsid w:val="00433712"/>
    <w:rsid w:val="0043420D"/>
    <w:rsid w:val="0043445F"/>
    <w:rsid w:val="00434F26"/>
    <w:rsid w:val="00436504"/>
    <w:rsid w:val="00437F47"/>
    <w:rsid w:val="004405C7"/>
    <w:rsid w:val="00440814"/>
    <w:rsid w:val="00441D39"/>
    <w:rsid w:val="00442AF8"/>
    <w:rsid w:val="0044514A"/>
    <w:rsid w:val="00446E7A"/>
    <w:rsid w:val="004475BF"/>
    <w:rsid w:val="00447E59"/>
    <w:rsid w:val="00447E62"/>
    <w:rsid w:val="00450D3C"/>
    <w:rsid w:val="00452BF7"/>
    <w:rsid w:val="0045388F"/>
    <w:rsid w:val="00457A06"/>
    <w:rsid w:val="00457DC2"/>
    <w:rsid w:val="00460EF3"/>
    <w:rsid w:val="00461F10"/>
    <w:rsid w:val="004656ED"/>
    <w:rsid w:val="00465E37"/>
    <w:rsid w:val="00466339"/>
    <w:rsid w:val="0046780A"/>
    <w:rsid w:val="004706A7"/>
    <w:rsid w:val="004709E4"/>
    <w:rsid w:val="00471BE4"/>
    <w:rsid w:val="00473134"/>
    <w:rsid w:val="004733D3"/>
    <w:rsid w:val="0047369B"/>
    <w:rsid w:val="0047429E"/>
    <w:rsid w:val="00475492"/>
    <w:rsid w:val="004809EB"/>
    <w:rsid w:val="00480D1B"/>
    <w:rsid w:val="0048178E"/>
    <w:rsid w:val="004819DE"/>
    <w:rsid w:val="0048344D"/>
    <w:rsid w:val="00487315"/>
    <w:rsid w:val="004906E1"/>
    <w:rsid w:val="004921D9"/>
    <w:rsid w:val="00492E79"/>
    <w:rsid w:val="00493754"/>
    <w:rsid w:val="00493C05"/>
    <w:rsid w:val="00494530"/>
    <w:rsid w:val="00494624"/>
    <w:rsid w:val="00494719"/>
    <w:rsid w:val="00495001"/>
    <w:rsid w:val="00496549"/>
    <w:rsid w:val="004977CA"/>
    <w:rsid w:val="00497B79"/>
    <w:rsid w:val="004A0C18"/>
    <w:rsid w:val="004A0F6C"/>
    <w:rsid w:val="004A112E"/>
    <w:rsid w:val="004A2E49"/>
    <w:rsid w:val="004A66C4"/>
    <w:rsid w:val="004A76F2"/>
    <w:rsid w:val="004A7A55"/>
    <w:rsid w:val="004B173F"/>
    <w:rsid w:val="004B1892"/>
    <w:rsid w:val="004B1C0F"/>
    <w:rsid w:val="004B3C1F"/>
    <w:rsid w:val="004B4C84"/>
    <w:rsid w:val="004B51E3"/>
    <w:rsid w:val="004B5467"/>
    <w:rsid w:val="004B6ED7"/>
    <w:rsid w:val="004B7662"/>
    <w:rsid w:val="004C541E"/>
    <w:rsid w:val="004C6D69"/>
    <w:rsid w:val="004C76DC"/>
    <w:rsid w:val="004D0866"/>
    <w:rsid w:val="004D0DD7"/>
    <w:rsid w:val="004D1209"/>
    <w:rsid w:val="004D2ABE"/>
    <w:rsid w:val="004D34EB"/>
    <w:rsid w:val="004D4247"/>
    <w:rsid w:val="004D4818"/>
    <w:rsid w:val="004D7237"/>
    <w:rsid w:val="004D73DC"/>
    <w:rsid w:val="004D794D"/>
    <w:rsid w:val="004D7FCB"/>
    <w:rsid w:val="004E0C05"/>
    <w:rsid w:val="004E2137"/>
    <w:rsid w:val="004E2C48"/>
    <w:rsid w:val="004E2CB1"/>
    <w:rsid w:val="004E3473"/>
    <w:rsid w:val="004E4A6C"/>
    <w:rsid w:val="004E7022"/>
    <w:rsid w:val="004F0052"/>
    <w:rsid w:val="004F1425"/>
    <w:rsid w:val="004F1E50"/>
    <w:rsid w:val="004F2BD3"/>
    <w:rsid w:val="004F3309"/>
    <w:rsid w:val="004F530F"/>
    <w:rsid w:val="004F6E80"/>
    <w:rsid w:val="00500CF3"/>
    <w:rsid w:val="00501ABA"/>
    <w:rsid w:val="00501AEF"/>
    <w:rsid w:val="005034E3"/>
    <w:rsid w:val="00504CF3"/>
    <w:rsid w:val="00505EA7"/>
    <w:rsid w:val="00506A2D"/>
    <w:rsid w:val="0050739A"/>
    <w:rsid w:val="0050760D"/>
    <w:rsid w:val="005100DC"/>
    <w:rsid w:val="00510FCB"/>
    <w:rsid w:val="00511660"/>
    <w:rsid w:val="00512A0D"/>
    <w:rsid w:val="00517CCE"/>
    <w:rsid w:val="00517D83"/>
    <w:rsid w:val="005229A0"/>
    <w:rsid w:val="00522D50"/>
    <w:rsid w:val="005237BD"/>
    <w:rsid w:val="005240C6"/>
    <w:rsid w:val="005247EB"/>
    <w:rsid w:val="00525789"/>
    <w:rsid w:val="00527D92"/>
    <w:rsid w:val="00531B84"/>
    <w:rsid w:val="00531BAF"/>
    <w:rsid w:val="0053498A"/>
    <w:rsid w:val="00536DBC"/>
    <w:rsid w:val="00537781"/>
    <w:rsid w:val="00537B99"/>
    <w:rsid w:val="00537C89"/>
    <w:rsid w:val="00540155"/>
    <w:rsid w:val="005409DB"/>
    <w:rsid w:val="00542C62"/>
    <w:rsid w:val="00543F5F"/>
    <w:rsid w:val="00545274"/>
    <w:rsid w:val="005453D3"/>
    <w:rsid w:val="0054568C"/>
    <w:rsid w:val="00545698"/>
    <w:rsid w:val="00546149"/>
    <w:rsid w:val="005462B6"/>
    <w:rsid w:val="00546DC0"/>
    <w:rsid w:val="00551A83"/>
    <w:rsid w:val="005530DC"/>
    <w:rsid w:val="00555089"/>
    <w:rsid w:val="005557A2"/>
    <w:rsid w:val="005565F1"/>
    <w:rsid w:val="00556ABB"/>
    <w:rsid w:val="00556FD0"/>
    <w:rsid w:val="005574FC"/>
    <w:rsid w:val="00562259"/>
    <w:rsid w:val="00564184"/>
    <w:rsid w:val="005654BC"/>
    <w:rsid w:val="00565549"/>
    <w:rsid w:val="005655BD"/>
    <w:rsid w:val="00573ADA"/>
    <w:rsid w:val="00573B46"/>
    <w:rsid w:val="00573C8F"/>
    <w:rsid w:val="00575607"/>
    <w:rsid w:val="005759AC"/>
    <w:rsid w:val="00576C5E"/>
    <w:rsid w:val="00577C17"/>
    <w:rsid w:val="0058065B"/>
    <w:rsid w:val="00580957"/>
    <w:rsid w:val="00581BCB"/>
    <w:rsid w:val="0058248B"/>
    <w:rsid w:val="005824FB"/>
    <w:rsid w:val="005827A7"/>
    <w:rsid w:val="00582FA7"/>
    <w:rsid w:val="00584176"/>
    <w:rsid w:val="0058468F"/>
    <w:rsid w:val="00585785"/>
    <w:rsid w:val="00585B39"/>
    <w:rsid w:val="00586041"/>
    <w:rsid w:val="00586955"/>
    <w:rsid w:val="00590284"/>
    <w:rsid w:val="005913DC"/>
    <w:rsid w:val="00591620"/>
    <w:rsid w:val="00591B1C"/>
    <w:rsid w:val="005955BA"/>
    <w:rsid w:val="005963AA"/>
    <w:rsid w:val="00596B7A"/>
    <w:rsid w:val="005A0B59"/>
    <w:rsid w:val="005A245A"/>
    <w:rsid w:val="005A297F"/>
    <w:rsid w:val="005A2C7B"/>
    <w:rsid w:val="005A2CC7"/>
    <w:rsid w:val="005A328C"/>
    <w:rsid w:val="005A420F"/>
    <w:rsid w:val="005A4F3E"/>
    <w:rsid w:val="005A5DB7"/>
    <w:rsid w:val="005A689F"/>
    <w:rsid w:val="005A7987"/>
    <w:rsid w:val="005B0F1A"/>
    <w:rsid w:val="005B0F9A"/>
    <w:rsid w:val="005B1A42"/>
    <w:rsid w:val="005B1D03"/>
    <w:rsid w:val="005B3555"/>
    <w:rsid w:val="005B36A8"/>
    <w:rsid w:val="005B46BD"/>
    <w:rsid w:val="005B4BDD"/>
    <w:rsid w:val="005B4DB1"/>
    <w:rsid w:val="005B6D33"/>
    <w:rsid w:val="005B70E5"/>
    <w:rsid w:val="005C0934"/>
    <w:rsid w:val="005C0D70"/>
    <w:rsid w:val="005C162E"/>
    <w:rsid w:val="005C1B19"/>
    <w:rsid w:val="005C25C7"/>
    <w:rsid w:val="005C417A"/>
    <w:rsid w:val="005C578A"/>
    <w:rsid w:val="005C6319"/>
    <w:rsid w:val="005C682A"/>
    <w:rsid w:val="005C6CE9"/>
    <w:rsid w:val="005C7A08"/>
    <w:rsid w:val="005D22FC"/>
    <w:rsid w:val="005D3D41"/>
    <w:rsid w:val="005D736F"/>
    <w:rsid w:val="005E2303"/>
    <w:rsid w:val="005E3719"/>
    <w:rsid w:val="005E4F70"/>
    <w:rsid w:val="005E7CE8"/>
    <w:rsid w:val="005F162E"/>
    <w:rsid w:val="005F16C3"/>
    <w:rsid w:val="005F328B"/>
    <w:rsid w:val="005F4D70"/>
    <w:rsid w:val="005F5145"/>
    <w:rsid w:val="005F6547"/>
    <w:rsid w:val="005F74F3"/>
    <w:rsid w:val="00600CDF"/>
    <w:rsid w:val="0060161F"/>
    <w:rsid w:val="00601E1E"/>
    <w:rsid w:val="00604BBE"/>
    <w:rsid w:val="00605811"/>
    <w:rsid w:val="00605A28"/>
    <w:rsid w:val="00610DD1"/>
    <w:rsid w:val="00613604"/>
    <w:rsid w:val="00613839"/>
    <w:rsid w:val="00614E98"/>
    <w:rsid w:val="0062071A"/>
    <w:rsid w:val="00621AD0"/>
    <w:rsid w:val="0062295C"/>
    <w:rsid w:val="00623AD2"/>
    <w:rsid w:val="006259BD"/>
    <w:rsid w:val="006273C4"/>
    <w:rsid w:val="00627B16"/>
    <w:rsid w:val="00632B51"/>
    <w:rsid w:val="00633021"/>
    <w:rsid w:val="00633159"/>
    <w:rsid w:val="00633CD9"/>
    <w:rsid w:val="00636681"/>
    <w:rsid w:val="00636962"/>
    <w:rsid w:val="006410D9"/>
    <w:rsid w:val="0064201E"/>
    <w:rsid w:val="0064474B"/>
    <w:rsid w:val="00644C71"/>
    <w:rsid w:val="006462FA"/>
    <w:rsid w:val="00646733"/>
    <w:rsid w:val="00647B81"/>
    <w:rsid w:val="00650AD6"/>
    <w:rsid w:val="0065533B"/>
    <w:rsid w:val="00655C47"/>
    <w:rsid w:val="00656C19"/>
    <w:rsid w:val="00660744"/>
    <w:rsid w:val="00660AEB"/>
    <w:rsid w:val="00660EBB"/>
    <w:rsid w:val="00661021"/>
    <w:rsid w:val="00661982"/>
    <w:rsid w:val="00663CC5"/>
    <w:rsid w:val="006654DE"/>
    <w:rsid w:val="00666A14"/>
    <w:rsid w:val="00670660"/>
    <w:rsid w:val="00670A44"/>
    <w:rsid w:val="00670A83"/>
    <w:rsid w:val="00672E2F"/>
    <w:rsid w:val="006802A0"/>
    <w:rsid w:val="006804CC"/>
    <w:rsid w:val="00682227"/>
    <w:rsid w:val="006825E7"/>
    <w:rsid w:val="00683604"/>
    <w:rsid w:val="00683C1B"/>
    <w:rsid w:val="00684001"/>
    <w:rsid w:val="00684D69"/>
    <w:rsid w:val="00684E55"/>
    <w:rsid w:val="00686AF3"/>
    <w:rsid w:val="00687D80"/>
    <w:rsid w:val="006928F3"/>
    <w:rsid w:val="006930AC"/>
    <w:rsid w:val="00693B0E"/>
    <w:rsid w:val="00694734"/>
    <w:rsid w:val="00694F98"/>
    <w:rsid w:val="006952F5"/>
    <w:rsid w:val="006A1614"/>
    <w:rsid w:val="006A2572"/>
    <w:rsid w:val="006A350C"/>
    <w:rsid w:val="006A4E97"/>
    <w:rsid w:val="006A5596"/>
    <w:rsid w:val="006A6279"/>
    <w:rsid w:val="006A6715"/>
    <w:rsid w:val="006A73FD"/>
    <w:rsid w:val="006B44AA"/>
    <w:rsid w:val="006B4615"/>
    <w:rsid w:val="006B4620"/>
    <w:rsid w:val="006B4787"/>
    <w:rsid w:val="006B4ED2"/>
    <w:rsid w:val="006B566B"/>
    <w:rsid w:val="006B5A94"/>
    <w:rsid w:val="006B6E3B"/>
    <w:rsid w:val="006C15BC"/>
    <w:rsid w:val="006C1B42"/>
    <w:rsid w:val="006C285C"/>
    <w:rsid w:val="006C56C9"/>
    <w:rsid w:val="006C5F9D"/>
    <w:rsid w:val="006C67D7"/>
    <w:rsid w:val="006D144F"/>
    <w:rsid w:val="006D567B"/>
    <w:rsid w:val="006D671A"/>
    <w:rsid w:val="006D6EE7"/>
    <w:rsid w:val="006D72C7"/>
    <w:rsid w:val="006E0B76"/>
    <w:rsid w:val="006E1B7C"/>
    <w:rsid w:val="006E1CF0"/>
    <w:rsid w:val="006E2CBE"/>
    <w:rsid w:val="006E2EB3"/>
    <w:rsid w:val="006E3EAB"/>
    <w:rsid w:val="006E521B"/>
    <w:rsid w:val="006E798E"/>
    <w:rsid w:val="006F30B4"/>
    <w:rsid w:val="006F3F8C"/>
    <w:rsid w:val="006F46C3"/>
    <w:rsid w:val="006F4BD8"/>
    <w:rsid w:val="006F6E12"/>
    <w:rsid w:val="006F6FE1"/>
    <w:rsid w:val="006F7D5F"/>
    <w:rsid w:val="007009AA"/>
    <w:rsid w:val="00701A84"/>
    <w:rsid w:val="007026E3"/>
    <w:rsid w:val="007036C3"/>
    <w:rsid w:val="00705859"/>
    <w:rsid w:val="00706041"/>
    <w:rsid w:val="0070604F"/>
    <w:rsid w:val="007070C0"/>
    <w:rsid w:val="00707591"/>
    <w:rsid w:val="007076E7"/>
    <w:rsid w:val="007105B3"/>
    <w:rsid w:val="00711999"/>
    <w:rsid w:val="00711AF7"/>
    <w:rsid w:val="007123AF"/>
    <w:rsid w:val="00712A96"/>
    <w:rsid w:val="007145D7"/>
    <w:rsid w:val="00716734"/>
    <w:rsid w:val="00720848"/>
    <w:rsid w:val="00721056"/>
    <w:rsid w:val="00721B4A"/>
    <w:rsid w:val="00723856"/>
    <w:rsid w:val="00723914"/>
    <w:rsid w:val="00723918"/>
    <w:rsid w:val="00724628"/>
    <w:rsid w:val="00725C65"/>
    <w:rsid w:val="00725C94"/>
    <w:rsid w:val="00726A6C"/>
    <w:rsid w:val="00726A9B"/>
    <w:rsid w:val="00726B23"/>
    <w:rsid w:val="00726DB7"/>
    <w:rsid w:val="00727E29"/>
    <w:rsid w:val="00731195"/>
    <w:rsid w:val="0073129B"/>
    <w:rsid w:val="00732922"/>
    <w:rsid w:val="00733083"/>
    <w:rsid w:val="00733E26"/>
    <w:rsid w:val="007342E5"/>
    <w:rsid w:val="0073556A"/>
    <w:rsid w:val="0074266D"/>
    <w:rsid w:val="0074283E"/>
    <w:rsid w:val="00742A5E"/>
    <w:rsid w:val="00742B21"/>
    <w:rsid w:val="0074430A"/>
    <w:rsid w:val="00744517"/>
    <w:rsid w:val="00746647"/>
    <w:rsid w:val="00746A3F"/>
    <w:rsid w:val="007474D1"/>
    <w:rsid w:val="0074765E"/>
    <w:rsid w:val="00747AE3"/>
    <w:rsid w:val="00750137"/>
    <w:rsid w:val="0075115C"/>
    <w:rsid w:val="007525B7"/>
    <w:rsid w:val="00752BB4"/>
    <w:rsid w:val="00754699"/>
    <w:rsid w:val="00755157"/>
    <w:rsid w:val="00755674"/>
    <w:rsid w:val="0075605F"/>
    <w:rsid w:val="00757355"/>
    <w:rsid w:val="00757CC2"/>
    <w:rsid w:val="007649CB"/>
    <w:rsid w:val="007657DD"/>
    <w:rsid w:val="00766147"/>
    <w:rsid w:val="00766DD4"/>
    <w:rsid w:val="00766DF7"/>
    <w:rsid w:val="00767246"/>
    <w:rsid w:val="00767280"/>
    <w:rsid w:val="00770518"/>
    <w:rsid w:val="0077154A"/>
    <w:rsid w:val="00771F84"/>
    <w:rsid w:val="007724D2"/>
    <w:rsid w:val="00772E30"/>
    <w:rsid w:val="007753BC"/>
    <w:rsid w:val="007769FC"/>
    <w:rsid w:val="00780470"/>
    <w:rsid w:val="00784ABB"/>
    <w:rsid w:val="00784C42"/>
    <w:rsid w:val="00787CB8"/>
    <w:rsid w:val="00787FE3"/>
    <w:rsid w:val="00790A2E"/>
    <w:rsid w:val="00790A94"/>
    <w:rsid w:val="00790EA4"/>
    <w:rsid w:val="007911B2"/>
    <w:rsid w:val="00792E21"/>
    <w:rsid w:val="007951BA"/>
    <w:rsid w:val="00796093"/>
    <w:rsid w:val="007972F1"/>
    <w:rsid w:val="00797775"/>
    <w:rsid w:val="00797ACE"/>
    <w:rsid w:val="00797BC1"/>
    <w:rsid w:val="007A08F7"/>
    <w:rsid w:val="007A0FA8"/>
    <w:rsid w:val="007A1E5B"/>
    <w:rsid w:val="007A36C9"/>
    <w:rsid w:val="007A46FC"/>
    <w:rsid w:val="007A5188"/>
    <w:rsid w:val="007A613C"/>
    <w:rsid w:val="007A6507"/>
    <w:rsid w:val="007A6512"/>
    <w:rsid w:val="007A67FD"/>
    <w:rsid w:val="007A683A"/>
    <w:rsid w:val="007B0216"/>
    <w:rsid w:val="007B1E0B"/>
    <w:rsid w:val="007B3C70"/>
    <w:rsid w:val="007B3D71"/>
    <w:rsid w:val="007B5213"/>
    <w:rsid w:val="007B7DDF"/>
    <w:rsid w:val="007C17E8"/>
    <w:rsid w:val="007C292F"/>
    <w:rsid w:val="007C2C70"/>
    <w:rsid w:val="007C3055"/>
    <w:rsid w:val="007C3DC6"/>
    <w:rsid w:val="007C4090"/>
    <w:rsid w:val="007C41C8"/>
    <w:rsid w:val="007C45C1"/>
    <w:rsid w:val="007C5377"/>
    <w:rsid w:val="007D05CA"/>
    <w:rsid w:val="007D07A2"/>
    <w:rsid w:val="007D0960"/>
    <w:rsid w:val="007D1005"/>
    <w:rsid w:val="007D11DC"/>
    <w:rsid w:val="007D16DC"/>
    <w:rsid w:val="007D1746"/>
    <w:rsid w:val="007D4C26"/>
    <w:rsid w:val="007D5CBB"/>
    <w:rsid w:val="007D6572"/>
    <w:rsid w:val="007E0563"/>
    <w:rsid w:val="007E1073"/>
    <w:rsid w:val="007E16D0"/>
    <w:rsid w:val="007E4FE6"/>
    <w:rsid w:val="007E6590"/>
    <w:rsid w:val="007E713B"/>
    <w:rsid w:val="007E78FD"/>
    <w:rsid w:val="007F01A0"/>
    <w:rsid w:val="007F0715"/>
    <w:rsid w:val="007F33A5"/>
    <w:rsid w:val="007F3F5A"/>
    <w:rsid w:val="007F6346"/>
    <w:rsid w:val="007F6A96"/>
    <w:rsid w:val="008016DA"/>
    <w:rsid w:val="00803D1B"/>
    <w:rsid w:val="00804854"/>
    <w:rsid w:val="00805D01"/>
    <w:rsid w:val="00813928"/>
    <w:rsid w:val="008147E0"/>
    <w:rsid w:val="00814ACE"/>
    <w:rsid w:val="00816182"/>
    <w:rsid w:val="00822B05"/>
    <w:rsid w:val="00822C3A"/>
    <w:rsid w:val="00823971"/>
    <w:rsid w:val="00824343"/>
    <w:rsid w:val="00826534"/>
    <w:rsid w:val="00826C28"/>
    <w:rsid w:val="00827A95"/>
    <w:rsid w:val="00830D14"/>
    <w:rsid w:val="00831D53"/>
    <w:rsid w:val="00831F2C"/>
    <w:rsid w:val="008331F8"/>
    <w:rsid w:val="00833E5B"/>
    <w:rsid w:val="00837F24"/>
    <w:rsid w:val="008409AB"/>
    <w:rsid w:val="00842D0A"/>
    <w:rsid w:val="00845E6B"/>
    <w:rsid w:val="0084602F"/>
    <w:rsid w:val="008461D3"/>
    <w:rsid w:val="00846565"/>
    <w:rsid w:val="0084664C"/>
    <w:rsid w:val="00846D9F"/>
    <w:rsid w:val="008475BA"/>
    <w:rsid w:val="00847755"/>
    <w:rsid w:val="008508EA"/>
    <w:rsid w:val="00851FB3"/>
    <w:rsid w:val="0085267C"/>
    <w:rsid w:val="00853360"/>
    <w:rsid w:val="00853959"/>
    <w:rsid w:val="00855A04"/>
    <w:rsid w:val="00855DA8"/>
    <w:rsid w:val="008567AE"/>
    <w:rsid w:val="008569C0"/>
    <w:rsid w:val="008602E0"/>
    <w:rsid w:val="008608BE"/>
    <w:rsid w:val="008609D0"/>
    <w:rsid w:val="008625DD"/>
    <w:rsid w:val="008631FE"/>
    <w:rsid w:val="0086397B"/>
    <w:rsid w:val="00863B71"/>
    <w:rsid w:val="00865A18"/>
    <w:rsid w:val="00873B5D"/>
    <w:rsid w:val="00873D24"/>
    <w:rsid w:val="00876750"/>
    <w:rsid w:val="008767C4"/>
    <w:rsid w:val="00877B50"/>
    <w:rsid w:val="00880C4E"/>
    <w:rsid w:val="00881FBD"/>
    <w:rsid w:val="00884568"/>
    <w:rsid w:val="00886D39"/>
    <w:rsid w:val="0089158F"/>
    <w:rsid w:val="00891882"/>
    <w:rsid w:val="00891E1E"/>
    <w:rsid w:val="0089273E"/>
    <w:rsid w:val="00892E00"/>
    <w:rsid w:val="008936E5"/>
    <w:rsid w:val="00893EB2"/>
    <w:rsid w:val="008946EA"/>
    <w:rsid w:val="00895CDC"/>
    <w:rsid w:val="008977EF"/>
    <w:rsid w:val="00897EB9"/>
    <w:rsid w:val="00897EF3"/>
    <w:rsid w:val="008A0266"/>
    <w:rsid w:val="008A0C4A"/>
    <w:rsid w:val="008A2A23"/>
    <w:rsid w:val="008A3781"/>
    <w:rsid w:val="008A3D32"/>
    <w:rsid w:val="008A4F8A"/>
    <w:rsid w:val="008A5A87"/>
    <w:rsid w:val="008A5BF1"/>
    <w:rsid w:val="008A6265"/>
    <w:rsid w:val="008B1CB4"/>
    <w:rsid w:val="008B24C0"/>
    <w:rsid w:val="008B2979"/>
    <w:rsid w:val="008B4958"/>
    <w:rsid w:val="008B4978"/>
    <w:rsid w:val="008B69E7"/>
    <w:rsid w:val="008C1E82"/>
    <w:rsid w:val="008C3C06"/>
    <w:rsid w:val="008C3EA4"/>
    <w:rsid w:val="008C4D93"/>
    <w:rsid w:val="008C59B3"/>
    <w:rsid w:val="008C5DE5"/>
    <w:rsid w:val="008C7EA7"/>
    <w:rsid w:val="008D0EA5"/>
    <w:rsid w:val="008D1879"/>
    <w:rsid w:val="008D2B4F"/>
    <w:rsid w:val="008D34FD"/>
    <w:rsid w:val="008D43B6"/>
    <w:rsid w:val="008E0C18"/>
    <w:rsid w:val="008E1123"/>
    <w:rsid w:val="008E1387"/>
    <w:rsid w:val="008E6766"/>
    <w:rsid w:val="008E7EA7"/>
    <w:rsid w:val="008F1157"/>
    <w:rsid w:val="008F2862"/>
    <w:rsid w:val="008F2DB6"/>
    <w:rsid w:val="008F4CA6"/>
    <w:rsid w:val="008F54DE"/>
    <w:rsid w:val="008F6AF6"/>
    <w:rsid w:val="008F6BFE"/>
    <w:rsid w:val="008F78BF"/>
    <w:rsid w:val="00900FFC"/>
    <w:rsid w:val="0090152F"/>
    <w:rsid w:val="009038DF"/>
    <w:rsid w:val="00905AE6"/>
    <w:rsid w:val="00905BC0"/>
    <w:rsid w:val="009102B1"/>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189"/>
    <w:rsid w:val="009256BF"/>
    <w:rsid w:val="0092577B"/>
    <w:rsid w:val="00926831"/>
    <w:rsid w:val="0093104D"/>
    <w:rsid w:val="00931126"/>
    <w:rsid w:val="00932762"/>
    <w:rsid w:val="0093365F"/>
    <w:rsid w:val="009336D5"/>
    <w:rsid w:val="0093465B"/>
    <w:rsid w:val="0093530A"/>
    <w:rsid w:val="009358E2"/>
    <w:rsid w:val="0093630E"/>
    <w:rsid w:val="00936965"/>
    <w:rsid w:val="00936FC8"/>
    <w:rsid w:val="00937163"/>
    <w:rsid w:val="00937FC8"/>
    <w:rsid w:val="009403D4"/>
    <w:rsid w:val="00940FBB"/>
    <w:rsid w:val="00942FF5"/>
    <w:rsid w:val="00943150"/>
    <w:rsid w:val="00943B39"/>
    <w:rsid w:val="00943F58"/>
    <w:rsid w:val="0094443B"/>
    <w:rsid w:val="0094469F"/>
    <w:rsid w:val="00946E62"/>
    <w:rsid w:val="0094784E"/>
    <w:rsid w:val="009478B6"/>
    <w:rsid w:val="0094793B"/>
    <w:rsid w:val="009522E0"/>
    <w:rsid w:val="009524AF"/>
    <w:rsid w:val="009531C6"/>
    <w:rsid w:val="00953CC4"/>
    <w:rsid w:val="00953D09"/>
    <w:rsid w:val="00955DC7"/>
    <w:rsid w:val="00955FB4"/>
    <w:rsid w:val="00956336"/>
    <w:rsid w:val="00956B7E"/>
    <w:rsid w:val="00956DBA"/>
    <w:rsid w:val="00956DCC"/>
    <w:rsid w:val="00957383"/>
    <w:rsid w:val="009573ED"/>
    <w:rsid w:val="00960133"/>
    <w:rsid w:val="0096197F"/>
    <w:rsid w:val="00962F4C"/>
    <w:rsid w:val="00964882"/>
    <w:rsid w:val="00964BFB"/>
    <w:rsid w:val="009678EF"/>
    <w:rsid w:val="00972547"/>
    <w:rsid w:val="00972737"/>
    <w:rsid w:val="00972764"/>
    <w:rsid w:val="009727B4"/>
    <w:rsid w:val="00972D10"/>
    <w:rsid w:val="009763A1"/>
    <w:rsid w:val="009763A6"/>
    <w:rsid w:val="00976894"/>
    <w:rsid w:val="0098095B"/>
    <w:rsid w:val="00980ACF"/>
    <w:rsid w:val="00981293"/>
    <w:rsid w:val="009816BB"/>
    <w:rsid w:val="0098278D"/>
    <w:rsid w:val="00984168"/>
    <w:rsid w:val="009841D2"/>
    <w:rsid w:val="0098473F"/>
    <w:rsid w:val="00984DC3"/>
    <w:rsid w:val="00984E29"/>
    <w:rsid w:val="0098548A"/>
    <w:rsid w:val="009857A5"/>
    <w:rsid w:val="00987946"/>
    <w:rsid w:val="00990B65"/>
    <w:rsid w:val="00990EE1"/>
    <w:rsid w:val="00990EF9"/>
    <w:rsid w:val="009914DB"/>
    <w:rsid w:val="009924EE"/>
    <w:rsid w:val="00992EB8"/>
    <w:rsid w:val="00993DD3"/>
    <w:rsid w:val="009953B3"/>
    <w:rsid w:val="00996420"/>
    <w:rsid w:val="0099765D"/>
    <w:rsid w:val="009A21F7"/>
    <w:rsid w:val="009A5B85"/>
    <w:rsid w:val="009A6828"/>
    <w:rsid w:val="009A682E"/>
    <w:rsid w:val="009A74A7"/>
    <w:rsid w:val="009A7C3F"/>
    <w:rsid w:val="009B05E9"/>
    <w:rsid w:val="009B115E"/>
    <w:rsid w:val="009B1508"/>
    <w:rsid w:val="009B15DC"/>
    <w:rsid w:val="009B312E"/>
    <w:rsid w:val="009B363F"/>
    <w:rsid w:val="009B46E3"/>
    <w:rsid w:val="009B54E6"/>
    <w:rsid w:val="009B5929"/>
    <w:rsid w:val="009C04EA"/>
    <w:rsid w:val="009C0579"/>
    <w:rsid w:val="009C0FAB"/>
    <w:rsid w:val="009C13F6"/>
    <w:rsid w:val="009C1AAD"/>
    <w:rsid w:val="009C2B99"/>
    <w:rsid w:val="009C390B"/>
    <w:rsid w:val="009C42F0"/>
    <w:rsid w:val="009C45C5"/>
    <w:rsid w:val="009C5D2B"/>
    <w:rsid w:val="009C6D4E"/>
    <w:rsid w:val="009C7594"/>
    <w:rsid w:val="009D0A2F"/>
    <w:rsid w:val="009D0A6C"/>
    <w:rsid w:val="009D0E76"/>
    <w:rsid w:val="009D369A"/>
    <w:rsid w:val="009D38D1"/>
    <w:rsid w:val="009E280D"/>
    <w:rsid w:val="009E31DA"/>
    <w:rsid w:val="009E5E5E"/>
    <w:rsid w:val="009E735D"/>
    <w:rsid w:val="009E77CE"/>
    <w:rsid w:val="009E7C61"/>
    <w:rsid w:val="009F079C"/>
    <w:rsid w:val="009F1125"/>
    <w:rsid w:val="009F1AC6"/>
    <w:rsid w:val="009F211C"/>
    <w:rsid w:val="009F292D"/>
    <w:rsid w:val="009F2AE3"/>
    <w:rsid w:val="009F3D52"/>
    <w:rsid w:val="009F46DE"/>
    <w:rsid w:val="009F4C3D"/>
    <w:rsid w:val="009F5A7A"/>
    <w:rsid w:val="009F7053"/>
    <w:rsid w:val="00A00091"/>
    <w:rsid w:val="00A00218"/>
    <w:rsid w:val="00A01041"/>
    <w:rsid w:val="00A013E6"/>
    <w:rsid w:val="00A03139"/>
    <w:rsid w:val="00A04658"/>
    <w:rsid w:val="00A04F5D"/>
    <w:rsid w:val="00A05978"/>
    <w:rsid w:val="00A059CF"/>
    <w:rsid w:val="00A05C35"/>
    <w:rsid w:val="00A0759E"/>
    <w:rsid w:val="00A1079F"/>
    <w:rsid w:val="00A138C1"/>
    <w:rsid w:val="00A14161"/>
    <w:rsid w:val="00A147A0"/>
    <w:rsid w:val="00A14AE6"/>
    <w:rsid w:val="00A15B98"/>
    <w:rsid w:val="00A161A9"/>
    <w:rsid w:val="00A162A2"/>
    <w:rsid w:val="00A20B4A"/>
    <w:rsid w:val="00A20C87"/>
    <w:rsid w:val="00A214E6"/>
    <w:rsid w:val="00A21F26"/>
    <w:rsid w:val="00A22B9D"/>
    <w:rsid w:val="00A236AA"/>
    <w:rsid w:val="00A239C4"/>
    <w:rsid w:val="00A2469B"/>
    <w:rsid w:val="00A24731"/>
    <w:rsid w:val="00A24AE5"/>
    <w:rsid w:val="00A26089"/>
    <w:rsid w:val="00A27544"/>
    <w:rsid w:val="00A27AD2"/>
    <w:rsid w:val="00A27AE6"/>
    <w:rsid w:val="00A30172"/>
    <w:rsid w:val="00A304E6"/>
    <w:rsid w:val="00A31FBE"/>
    <w:rsid w:val="00A3231B"/>
    <w:rsid w:val="00A36DE7"/>
    <w:rsid w:val="00A40359"/>
    <w:rsid w:val="00A40975"/>
    <w:rsid w:val="00A41483"/>
    <w:rsid w:val="00A41804"/>
    <w:rsid w:val="00A41C43"/>
    <w:rsid w:val="00A43D67"/>
    <w:rsid w:val="00A443E0"/>
    <w:rsid w:val="00A445F5"/>
    <w:rsid w:val="00A51D94"/>
    <w:rsid w:val="00A549E2"/>
    <w:rsid w:val="00A577CC"/>
    <w:rsid w:val="00A57A63"/>
    <w:rsid w:val="00A605C4"/>
    <w:rsid w:val="00A60641"/>
    <w:rsid w:val="00A61A19"/>
    <w:rsid w:val="00A61F85"/>
    <w:rsid w:val="00A62D74"/>
    <w:rsid w:val="00A64621"/>
    <w:rsid w:val="00A64CFB"/>
    <w:rsid w:val="00A652B7"/>
    <w:rsid w:val="00A660F9"/>
    <w:rsid w:val="00A66FDD"/>
    <w:rsid w:val="00A67AA1"/>
    <w:rsid w:val="00A7108D"/>
    <w:rsid w:val="00A71467"/>
    <w:rsid w:val="00A71821"/>
    <w:rsid w:val="00A724FF"/>
    <w:rsid w:val="00A74B5E"/>
    <w:rsid w:val="00A75140"/>
    <w:rsid w:val="00A75A0E"/>
    <w:rsid w:val="00A75AAB"/>
    <w:rsid w:val="00A77C2A"/>
    <w:rsid w:val="00A8150A"/>
    <w:rsid w:val="00A8366F"/>
    <w:rsid w:val="00A83DE4"/>
    <w:rsid w:val="00A83FBD"/>
    <w:rsid w:val="00A8455C"/>
    <w:rsid w:val="00A84C2F"/>
    <w:rsid w:val="00A86BC1"/>
    <w:rsid w:val="00A909F4"/>
    <w:rsid w:val="00A90FFC"/>
    <w:rsid w:val="00A91B9B"/>
    <w:rsid w:val="00A93806"/>
    <w:rsid w:val="00A93CEE"/>
    <w:rsid w:val="00A95DA5"/>
    <w:rsid w:val="00A95DBF"/>
    <w:rsid w:val="00A966C5"/>
    <w:rsid w:val="00A97265"/>
    <w:rsid w:val="00A97ECB"/>
    <w:rsid w:val="00AA0483"/>
    <w:rsid w:val="00AA123C"/>
    <w:rsid w:val="00AA77E6"/>
    <w:rsid w:val="00AB134A"/>
    <w:rsid w:val="00AB2223"/>
    <w:rsid w:val="00AB22FD"/>
    <w:rsid w:val="00AB249C"/>
    <w:rsid w:val="00AB2E17"/>
    <w:rsid w:val="00AB3141"/>
    <w:rsid w:val="00AB5EF7"/>
    <w:rsid w:val="00AB609D"/>
    <w:rsid w:val="00AB66B8"/>
    <w:rsid w:val="00AB6EDE"/>
    <w:rsid w:val="00AB74F6"/>
    <w:rsid w:val="00AC0153"/>
    <w:rsid w:val="00AC12CA"/>
    <w:rsid w:val="00AC2268"/>
    <w:rsid w:val="00AC3193"/>
    <w:rsid w:val="00AC3506"/>
    <w:rsid w:val="00AC3E69"/>
    <w:rsid w:val="00AC40AB"/>
    <w:rsid w:val="00AC59DA"/>
    <w:rsid w:val="00AC6253"/>
    <w:rsid w:val="00AD0E44"/>
    <w:rsid w:val="00AD155A"/>
    <w:rsid w:val="00AD3EE6"/>
    <w:rsid w:val="00AD598A"/>
    <w:rsid w:val="00AD6D3C"/>
    <w:rsid w:val="00AD6F75"/>
    <w:rsid w:val="00AD75D8"/>
    <w:rsid w:val="00AD7CAC"/>
    <w:rsid w:val="00AD7DE4"/>
    <w:rsid w:val="00AE0352"/>
    <w:rsid w:val="00AE2008"/>
    <w:rsid w:val="00AE3D01"/>
    <w:rsid w:val="00AE4FC4"/>
    <w:rsid w:val="00AE5260"/>
    <w:rsid w:val="00AE5CF7"/>
    <w:rsid w:val="00AE67B6"/>
    <w:rsid w:val="00AE72C5"/>
    <w:rsid w:val="00AF08A4"/>
    <w:rsid w:val="00AF0D29"/>
    <w:rsid w:val="00AF1D9D"/>
    <w:rsid w:val="00AF3442"/>
    <w:rsid w:val="00AF3762"/>
    <w:rsid w:val="00AF383E"/>
    <w:rsid w:val="00AF49A0"/>
    <w:rsid w:val="00AF595D"/>
    <w:rsid w:val="00AF5D13"/>
    <w:rsid w:val="00AF6137"/>
    <w:rsid w:val="00AF67B7"/>
    <w:rsid w:val="00AF7CFA"/>
    <w:rsid w:val="00B0082B"/>
    <w:rsid w:val="00B00F0A"/>
    <w:rsid w:val="00B01C0A"/>
    <w:rsid w:val="00B031A6"/>
    <w:rsid w:val="00B05EB7"/>
    <w:rsid w:val="00B0641E"/>
    <w:rsid w:val="00B07249"/>
    <w:rsid w:val="00B10A9D"/>
    <w:rsid w:val="00B11AF8"/>
    <w:rsid w:val="00B14A65"/>
    <w:rsid w:val="00B14CCF"/>
    <w:rsid w:val="00B14F0A"/>
    <w:rsid w:val="00B17226"/>
    <w:rsid w:val="00B1739F"/>
    <w:rsid w:val="00B2037B"/>
    <w:rsid w:val="00B20435"/>
    <w:rsid w:val="00B216AE"/>
    <w:rsid w:val="00B2193F"/>
    <w:rsid w:val="00B22D70"/>
    <w:rsid w:val="00B2398A"/>
    <w:rsid w:val="00B255BB"/>
    <w:rsid w:val="00B27922"/>
    <w:rsid w:val="00B32474"/>
    <w:rsid w:val="00B33BC9"/>
    <w:rsid w:val="00B34081"/>
    <w:rsid w:val="00B34169"/>
    <w:rsid w:val="00B34E8F"/>
    <w:rsid w:val="00B379E6"/>
    <w:rsid w:val="00B40AC5"/>
    <w:rsid w:val="00B40DB4"/>
    <w:rsid w:val="00B42D7A"/>
    <w:rsid w:val="00B43529"/>
    <w:rsid w:val="00B45828"/>
    <w:rsid w:val="00B45CAD"/>
    <w:rsid w:val="00B50992"/>
    <w:rsid w:val="00B51807"/>
    <w:rsid w:val="00B51D11"/>
    <w:rsid w:val="00B52304"/>
    <w:rsid w:val="00B53724"/>
    <w:rsid w:val="00B568D1"/>
    <w:rsid w:val="00B56F9E"/>
    <w:rsid w:val="00B6040F"/>
    <w:rsid w:val="00B60D18"/>
    <w:rsid w:val="00B612C5"/>
    <w:rsid w:val="00B62589"/>
    <w:rsid w:val="00B6264C"/>
    <w:rsid w:val="00B655C7"/>
    <w:rsid w:val="00B70AB4"/>
    <w:rsid w:val="00B71D8C"/>
    <w:rsid w:val="00B756FD"/>
    <w:rsid w:val="00B75BFA"/>
    <w:rsid w:val="00B76326"/>
    <w:rsid w:val="00B77B29"/>
    <w:rsid w:val="00B82CF7"/>
    <w:rsid w:val="00B82E6C"/>
    <w:rsid w:val="00B835AC"/>
    <w:rsid w:val="00B83E5B"/>
    <w:rsid w:val="00B840FF"/>
    <w:rsid w:val="00B84643"/>
    <w:rsid w:val="00B84A8B"/>
    <w:rsid w:val="00B850F5"/>
    <w:rsid w:val="00B85952"/>
    <w:rsid w:val="00B8792A"/>
    <w:rsid w:val="00B87E24"/>
    <w:rsid w:val="00B91C97"/>
    <w:rsid w:val="00B923D8"/>
    <w:rsid w:val="00B924CB"/>
    <w:rsid w:val="00B93035"/>
    <w:rsid w:val="00B9654B"/>
    <w:rsid w:val="00B972C8"/>
    <w:rsid w:val="00BA0E0F"/>
    <w:rsid w:val="00BA0E28"/>
    <w:rsid w:val="00BA1742"/>
    <w:rsid w:val="00BA4783"/>
    <w:rsid w:val="00BA4A15"/>
    <w:rsid w:val="00BA5B3E"/>
    <w:rsid w:val="00BA6A1E"/>
    <w:rsid w:val="00BA779B"/>
    <w:rsid w:val="00BB14E3"/>
    <w:rsid w:val="00BB236F"/>
    <w:rsid w:val="00BB405B"/>
    <w:rsid w:val="00BB6955"/>
    <w:rsid w:val="00BB789F"/>
    <w:rsid w:val="00BB7ED0"/>
    <w:rsid w:val="00BC2FA5"/>
    <w:rsid w:val="00BC31D7"/>
    <w:rsid w:val="00BC3CE9"/>
    <w:rsid w:val="00BC62DD"/>
    <w:rsid w:val="00BC6991"/>
    <w:rsid w:val="00BC7954"/>
    <w:rsid w:val="00BC7BDB"/>
    <w:rsid w:val="00BC7FC7"/>
    <w:rsid w:val="00BD0888"/>
    <w:rsid w:val="00BD0E92"/>
    <w:rsid w:val="00BD16CC"/>
    <w:rsid w:val="00BD2382"/>
    <w:rsid w:val="00BD2A71"/>
    <w:rsid w:val="00BD38A7"/>
    <w:rsid w:val="00BD4CB1"/>
    <w:rsid w:val="00BD4D58"/>
    <w:rsid w:val="00BD5685"/>
    <w:rsid w:val="00BD58EC"/>
    <w:rsid w:val="00BD6AE4"/>
    <w:rsid w:val="00BD6C5E"/>
    <w:rsid w:val="00BD7122"/>
    <w:rsid w:val="00BD7952"/>
    <w:rsid w:val="00BD7C1C"/>
    <w:rsid w:val="00BE0628"/>
    <w:rsid w:val="00BE0AAD"/>
    <w:rsid w:val="00BE11E1"/>
    <w:rsid w:val="00BE1545"/>
    <w:rsid w:val="00BE1F7A"/>
    <w:rsid w:val="00BE32F3"/>
    <w:rsid w:val="00BE3A6B"/>
    <w:rsid w:val="00BE40A3"/>
    <w:rsid w:val="00BE52C6"/>
    <w:rsid w:val="00BE5D62"/>
    <w:rsid w:val="00BE60A5"/>
    <w:rsid w:val="00BE6BA9"/>
    <w:rsid w:val="00BE6DC9"/>
    <w:rsid w:val="00BF16FD"/>
    <w:rsid w:val="00BF1EA6"/>
    <w:rsid w:val="00BF1F32"/>
    <w:rsid w:val="00BF2201"/>
    <w:rsid w:val="00BF3313"/>
    <w:rsid w:val="00BF47A7"/>
    <w:rsid w:val="00BF4EBD"/>
    <w:rsid w:val="00BF6509"/>
    <w:rsid w:val="00BF76ED"/>
    <w:rsid w:val="00BF7CA8"/>
    <w:rsid w:val="00C000E6"/>
    <w:rsid w:val="00C004F6"/>
    <w:rsid w:val="00C04D6B"/>
    <w:rsid w:val="00C0732C"/>
    <w:rsid w:val="00C10A53"/>
    <w:rsid w:val="00C1103E"/>
    <w:rsid w:val="00C1195D"/>
    <w:rsid w:val="00C11B1A"/>
    <w:rsid w:val="00C12C21"/>
    <w:rsid w:val="00C136A3"/>
    <w:rsid w:val="00C14627"/>
    <w:rsid w:val="00C15196"/>
    <w:rsid w:val="00C1558A"/>
    <w:rsid w:val="00C16E65"/>
    <w:rsid w:val="00C16EC8"/>
    <w:rsid w:val="00C176D2"/>
    <w:rsid w:val="00C20690"/>
    <w:rsid w:val="00C207EE"/>
    <w:rsid w:val="00C2451E"/>
    <w:rsid w:val="00C270ED"/>
    <w:rsid w:val="00C27890"/>
    <w:rsid w:val="00C30D10"/>
    <w:rsid w:val="00C3170A"/>
    <w:rsid w:val="00C33549"/>
    <w:rsid w:val="00C338AF"/>
    <w:rsid w:val="00C33A43"/>
    <w:rsid w:val="00C33ADF"/>
    <w:rsid w:val="00C349F2"/>
    <w:rsid w:val="00C358F5"/>
    <w:rsid w:val="00C35F45"/>
    <w:rsid w:val="00C37EB8"/>
    <w:rsid w:val="00C409F2"/>
    <w:rsid w:val="00C40EFF"/>
    <w:rsid w:val="00C426BD"/>
    <w:rsid w:val="00C473A5"/>
    <w:rsid w:val="00C503BD"/>
    <w:rsid w:val="00C50F27"/>
    <w:rsid w:val="00C513EC"/>
    <w:rsid w:val="00C51630"/>
    <w:rsid w:val="00C51868"/>
    <w:rsid w:val="00C51943"/>
    <w:rsid w:val="00C51F0B"/>
    <w:rsid w:val="00C5214B"/>
    <w:rsid w:val="00C53DCB"/>
    <w:rsid w:val="00C553B4"/>
    <w:rsid w:val="00C55FDC"/>
    <w:rsid w:val="00C561A1"/>
    <w:rsid w:val="00C57185"/>
    <w:rsid w:val="00C60374"/>
    <w:rsid w:val="00C6197D"/>
    <w:rsid w:val="00C641CF"/>
    <w:rsid w:val="00C6453D"/>
    <w:rsid w:val="00C64A1B"/>
    <w:rsid w:val="00C65F10"/>
    <w:rsid w:val="00C65F60"/>
    <w:rsid w:val="00C66CD5"/>
    <w:rsid w:val="00C679AC"/>
    <w:rsid w:val="00C70DAE"/>
    <w:rsid w:val="00C734CB"/>
    <w:rsid w:val="00C74CE6"/>
    <w:rsid w:val="00C750F1"/>
    <w:rsid w:val="00C75CB4"/>
    <w:rsid w:val="00C75D0D"/>
    <w:rsid w:val="00C763A1"/>
    <w:rsid w:val="00C77D07"/>
    <w:rsid w:val="00C8014F"/>
    <w:rsid w:val="00C807B9"/>
    <w:rsid w:val="00C81657"/>
    <w:rsid w:val="00C81AE8"/>
    <w:rsid w:val="00C8459E"/>
    <w:rsid w:val="00C84B32"/>
    <w:rsid w:val="00C857C9"/>
    <w:rsid w:val="00C86E6A"/>
    <w:rsid w:val="00C87499"/>
    <w:rsid w:val="00C87D83"/>
    <w:rsid w:val="00C900F4"/>
    <w:rsid w:val="00C909BD"/>
    <w:rsid w:val="00C913DA"/>
    <w:rsid w:val="00C9312C"/>
    <w:rsid w:val="00C9382F"/>
    <w:rsid w:val="00C95C1F"/>
    <w:rsid w:val="00C979CA"/>
    <w:rsid w:val="00C97B27"/>
    <w:rsid w:val="00CA039A"/>
    <w:rsid w:val="00CA0A07"/>
    <w:rsid w:val="00CA12BA"/>
    <w:rsid w:val="00CA3388"/>
    <w:rsid w:val="00CA34A1"/>
    <w:rsid w:val="00CA375A"/>
    <w:rsid w:val="00CA54D2"/>
    <w:rsid w:val="00CA5B4A"/>
    <w:rsid w:val="00CA6029"/>
    <w:rsid w:val="00CA62FB"/>
    <w:rsid w:val="00CA74B5"/>
    <w:rsid w:val="00CB2000"/>
    <w:rsid w:val="00CB48A6"/>
    <w:rsid w:val="00CB58C9"/>
    <w:rsid w:val="00CB621C"/>
    <w:rsid w:val="00CB643C"/>
    <w:rsid w:val="00CB684E"/>
    <w:rsid w:val="00CB7254"/>
    <w:rsid w:val="00CC02F2"/>
    <w:rsid w:val="00CC11D7"/>
    <w:rsid w:val="00CC188C"/>
    <w:rsid w:val="00CC4D57"/>
    <w:rsid w:val="00CC548A"/>
    <w:rsid w:val="00CC69FA"/>
    <w:rsid w:val="00CC6B34"/>
    <w:rsid w:val="00CC7C07"/>
    <w:rsid w:val="00CD0533"/>
    <w:rsid w:val="00CD09B4"/>
    <w:rsid w:val="00CD0C06"/>
    <w:rsid w:val="00CD0E2D"/>
    <w:rsid w:val="00CD1E94"/>
    <w:rsid w:val="00CD30E3"/>
    <w:rsid w:val="00CD4B28"/>
    <w:rsid w:val="00CD6430"/>
    <w:rsid w:val="00CD680A"/>
    <w:rsid w:val="00CD6EE8"/>
    <w:rsid w:val="00CD737F"/>
    <w:rsid w:val="00CD7773"/>
    <w:rsid w:val="00CE1482"/>
    <w:rsid w:val="00CE26C9"/>
    <w:rsid w:val="00CE28B7"/>
    <w:rsid w:val="00CE2CBF"/>
    <w:rsid w:val="00CE2DA6"/>
    <w:rsid w:val="00CE5B51"/>
    <w:rsid w:val="00CE5FB9"/>
    <w:rsid w:val="00CE691B"/>
    <w:rsid w:val="00CE78B9"/>
    <w:rsid w:val="00CF0FFC"/>
    <w:rsid w:val="00CF1A27"/>
    <w:rsid w:val="00CF1C91"/>
    <w:rsid w:val="00CF48A1"/>
    <w:rsid w:val="00CF5CD9"/>
    <w:rsid w:val="00CF5DD7"/>
    <w:rsid w:val="00CF67F1"/>
    <w:rsid w:val="00CF73F2"/>
    <w:rsid w:val="00D01565"/>
    <w:rsid w:val="00D01B55"/>
    <w:rsid w:val="00D01C0D"/>
    <w:rsid w:val="00D01E73"/>
    <w:rsid w:val="00D02267"/>
    <w:rsid w:val="00D02EC1"/>
    <w:rsid w:val="00D0314D"/>
    <w:rsid w:val="00D04387"/>
    <w:rsid w:val="00D05D5C"/>
    <w:rsid w:val="00D05F0E"/>
    <w:rsid w:val="00D05F52"/>
    <w:rsid w:val="00D1028B"/>
    <w:rsid w:val="00D138C5"/>
    <w:rsid w:val="00D13BA5"/>
    <w:rsid w:val="00D13DA8"/>
    <w:rsid w:val="00D142ED"/>
    <w:rsid w:val="00D14C32"/>
    <w:rsid w:val="00D14EA2"/>
    <w:rsid w:val="00D163DB"/>
    <w:rsid w:val="00D17F26"/>
    <w:rsid w:val="00D2120A"/>
    <w:rsid w:val="00D21571"/>
    <w:rsid w:val="00D2665C"/>
    <w:rsid w:val="00D26D26"/>
    <w:rsid w:val="00D30F3D"/>
    <w:rsid w:val="00D31A22"/>
    <w:rsid w:val="00D322D2"/>
    <w:rsid w:val="00D32CD6"/>
    <w:rsid w:val="00D355AF"/>
    <w:rsid w:val="00D359A9"/>
    <w:rsid w:val="00D361DD"/>
    <w:rsid w:val="00D361FD"/>
    <w:rsid w:val="00D3673D"/>
    <w:rsid w:val="00D412D1"/>
    <w:rsid w:val="00D4185E"/>
    <w:rsid w:val="00D424F4"/>
    <w:rsid w:val="00D430A2"/>
    <w:rsid w:val="00D437AB"/>
    <w:rsid w:val="00D45355"/>
    <w:rsid w:val="00D45CAE"/>
    <w:rsid w:val="00D50BC2"/>
    <w:rsid w:val="00D516D1"/>
    <w:rsid w:val="00D5261B"/>
    <w:rsid w:val="00D529FE"/>
    <w:rsid w:val="00D53670"/>
    <w:rsid w:val="00D57E63"/>
    <w:rsid w:val="00D57F85"/>
    <w:rsid w:val="00D61146"/>
    <w:rsid w:val="00D61E00"/>
    <w:rsid w:val="00D62CFE"/>
    <w:rsid w:val="00D63B31"/>
    <w:rsid w:val="00D64538"/>
    <w:rsid w:val="00D66F5E"/>
    <w:rsid w:val="00D70B9C"/>
    <w:rsid w:val="00D71664"/>
    <w:rsid w:val="00D71AF2"/>
    <w:rsid w:val="00D73671"/>
    <w:rsid w:val="00D742AE"/>
    <w:rsid w:val="00D7436E"/>
    <w:rsid w:val="00D74914"/>
    <w:rsid w:val="00D75F01"/>
    <w:rsid w:val="00D763A3"/>
    <w:rsid w:val="00D7651E"/>
    <w:rsid w:val="00D765FC"/>
    <w:rsid w:val="00D76BA7"/>
    <w:rsid w:val="00D77DDB"/>
    <w:rsid w:val="00D80CDC"/>
    <w:rsid w:val="00D822BE"/>
    <w:rsid w:val="00D8264B"/>
    <w:rsid w:val="00D82AA0"/>
    <w:rsid w:val="00D879E6"/>
    <w:rsid w:val="00D87EE8"/>
    <w:rsid w:val="00D9028D"/>
    <w:rsid w:val="00D90E2B"/>
    <w:rsid w:val="00D91F21"/>
    <w:rsid w:val="00D935CD"/>
    <w:rsid w:val="00D94273"/>
    <w:rsid w:val="00D944A0"/>
    <w:rsid w:val="00D946E9"/>
    <w:rsid w:val="00D9480A"/>
    <w:rsid w:val="00D969B9"/>
    <w:rsid w:val="00D97B3B"/>
    <w:rsid w:val="00DA0D2E"/>
    <w:rsid w:val="00DA1D6D"/>
    <w:rsid w:val="00DA42C6"/>
    <w:rsid w:val="00DA47F3"/>
    <w:rsid w:val="00DA4D8B"/>
    <w:rsid w:val="00DA7EB6"/>
    <w:rsid w:val="00DB2502"/>
    <w:rsid w:val="00DB45CC"/>
    <w:rsid w:val="00DB5617"/>
    <w:rsid w:val="00DB5B44"/>
    <w:rsid w:val="00DB659A"/>
    <w:rsid w:val="00DB6A65"/>
    <w:rsid w:val="00DB7E05"/>
    <w:rsid w:val="00DB7E41"/>
    <w:rsid w:val="00DC1BF6"/>
    <w:rsid w:val="00DC3A4D"/>
    <w:rsid w:val="00DC487E"/>
    <w:rsid w:val="00DC4FA6"/>
    <w:rsid w:val="00DC500F"/>
    <w:rsid w:val="00DC5CD3"/>
    <w:rsid w:val="00DC61B6"/>
    <w:rsid w:val="00DC76AE"/>
    <w:rsid w:val="00DC7F2D"/>
    <w:rsid w:val="00DD0743"/>
    <w:rsid w:val="00DD0D99"/>
    <w:rsid w:val="00DD1043"/>
    <w:rsid w:val="00DD230C"/>
    <w:rsid w:val="00DD2358"/>
    <w:rsid w:val="00DD24ED"/>
    <w:rsid w:val="00DD538F"/>
    <w:rsid w:val="00DD66D8"/>
    <w:rsid w:val="00DE0C34"/>
    <w:rsid w:val="00DE2824"/>
    <w:rsid w:val="00DE2DF3"/>
    <w:rsid w:val="00DE341D"/>
    <w:rsid w:val="00DE3B31"/>
    <w:rsid w:val="00DE3E3C"/>
    <w:rsid w:val="00DE55B4"/>
    <w:rsid w:val="00DE5785"/>
    <w:rsid w:val="00DE685C"/>
    <w:rsid w:val="00DE7014"/>
    <w:rsid w:val="00DE740F"/>
    <w:rsid w:val="00DE74C8"/>
    <w:rsid w:val="00DF0C07"/>
    <w:rsid w:val="00DF3B09"/>
    <w:rsid w:val="00DF5AD3"/>
    <w:rsid w:val="00DF5E09"/>
    <w:rsid w:val="00DF76EB"/>
    <w:rsid w:val="00E00B48"/>
    <w:rsid w:val="00E02DBA"/>
    <w:rsid w:val="00E03081"/>
    <w:rsid w:val="00E030EE"/>
    <w:rsid w:val="00E03560"/>
    <w:rsid w:val="00E0723B"/>
    <w:rsid w:val="00E073DC"/>
    <w:rsid w:val="00E108C3"/>
    <w:rsid w:val="00E11F03"/>
    <w:rsid w:val="00E120B9"/>
    <w:rsid w:val="00E125DE"/>
    <w:rsid w:val="00E12705"/>
    <w:rsid w:val="00E12A19"/>
    <w:rsid w:val="00E13758"/>
    <w:rsid w:val="00E148F3"/>
    <w:rsid w:val="00E151DA"/>
    <w:rsid w:val="00E15382"/>
    <w:rsid w:val="00E15651"/>
    <w:rsid w:val="00E16EB2"/>
    <w:rsid w:val="00E20944"/>
    <w:rsid w:val="00E20F9C"/>
    <w:rsid w:val="00E21BC2"/>
    <w:rsid w:val="00E21CBF"/>
    <w:rsid w:val="00E224DE"/>
    <w:rsid w:val="00E238A2"/>
    <w:rsid w:val="00E2730E"/>
    <w:rsid w:val="00E2750F"/>
    <w:rsid w:val="00E27DF5"/>
    <w:rsid w:val="00E30263"/>
    <w:rsid w:val="00E3243B"/>
    <w:rsid w:val="00E325A3"/>
    <w:rsid w:val="00E335D8"/>
    <w:rsid w:val="00E33707"/>
    <w:rsid w:val="00E34005"/>
    <w:rsid w:val="00E37812"/>
    <w:rsid w:val="00E37B56"/>
    <w:rsid w:val="00E413AB"/>
    <w:rsid w:val="00E41492"/>
    <w:rsid w:val="00E43274"/>
    <w:rsid w:val="00E4665E"/>
    <w:rsid w:val="00E475A4"/>
    <w:rsid w:val="00E53A19"/>
    <w:rsid w:val="00E53F38"/>
    <w:rsid w:val="00E606CC"/>
    <w:rsid w:val="00E6144D"/>
    <w:rsid w:val="00E6394D"/>
    <w:rsid w:val="00E64E71"/>
    <w:rsid w:val="00E65074"/>
    <w:rsid w:val="00E65F29"/>
    <w:rsid w:val="00E67251"/>
    <w:rsid w:val="00E72482"/>
    <w:rsid w:val="00E72CCF"/>
    <w:rsid w:val="00E73E35"/>
    <w:rsid w:val="00E740D3"/>
    <w:rsid w:val="00E7414F"/>
    <w:rsid w:val="00E7492D"/>
    <w:rsid w:val="00E761CD"/>
    <w:rsid w:val="00E807BA"/>
    <w:rsid w:val="00E80F7E"/>
    <w:rsid w:val="00E8164C"/>
    <w:rsid w:val="00E82B5F"/>
    <w:rsid w:val="00E848D5"/>
    <w:rsid w:val="00E854D1"/>
    <w:rsid w:val="00E857A0"/>
    <w:rsid w:val="00E86C37"/>
    <w:rsid w:val="00E90D94"/>
    <w:rsid w:val="00E91219"/>
    <w:rsid w:val="00E912EE"/>
    <w:rsid w:val="00E91D02"/>
    <w:rsid w:val="00E92705"/>
    <w:rsid w:val="00E94077"/>
    <w:rsid w:val="00E95194"/>
    <w:rsid w:val="00E956E9"/>
    <w:rsid w:val="00E96F65"/>
    <w:rsid w:val="00E9735B"/>
    <w:rsid w:val="00E97C94"/>
    <w:rsid w:val="00EA1FDA"/>
    <w:rsid w:val="00EA2D44"/>
    <w:rsid w:val="00EA5BBB"/>
    <w:rsid w:val="00EA5EB2"/>
    <w:rsid w:val="00EA63B6"/>
    <w:rsid w:val="00EB10A7"/>
    <w:rsid w:val="00EB1C0E"/>
    <w:rsid w:val="00EB2328"/>
    <w:rsid w:val="00EB2DEB"/>
    <w:rsid w:val="00EB48A2"/>
    <w:rsid w:val="00EB5AE4"/>
    <w:rsid w:val="00EB6C3F"/>
    <w:rsid w:val="00EB6DE7"/>
    <w:rsid w:val="00EB71F5"/>
    <w:rsid w:val="00EC1772"/>
    <w:rsid w:val="00EC66BD"/>
    <w:rsid w:val="00EC6890"/>
    <w:rsid w:val="00EC72A4"/>
    <w:rsid w:val="00EC74F5"/>
    <w:rsid w:val="00ED0676"/>
    <w:rsid w:val="00ED1CB0"/>
    <w:rsid w:val="00ED44C2"/>
    <w:rsid w:val="00ED4810"/>
    <w:rsid w:val="00ED52CB"/>
    <w:rsid w:val="00ED694A"/>
    <w:rsid w:val="00ED6E49"/>
    <w:rsid w:val="00ED76D9"/>
    <w:rsid w:val="00EE1A17"/>
    <w:rsid w:val="00EE3523"/>
    <w:rsid w:val="00EE413F"/>
    <w:rsid w:val="00EE4722"/>
    <w:rsid w:val="00EE52DE"/>
    <w:rsid w:val="00EE55A7"/>
    <w:rsid w:val="00EE59F4"/>
    <w:rsid w:val="00EE61A3"/>
    <w:rsid w:val="00EE7253"/>
    <w:rsid w:val="00EE7F09"/>
    <w:rsid w:val="00EF4BA3"/>
    <w:rsid w:val="00F0041E"/>
    <w:rsid w:val="00F009C2"/>
    <w:rsid w:val="00F016B4"/>
    <w:rsid w:val="00F0201E"/>
    <w:rsid w:val="00F02295"/>
    <w:rsid w:val="00F046BE"/>
    <w:rsid w:val="00F05B01"/>
    <w:rsid w:val="00F060A4"/>
    <w:rsid w:val="00F06124"/>
    <w:rsid w:val="00F07034"/>
    <w:rsid w:val="00F072FF"/>
    <w:rsid w:val="00F07523"/>
    <w:rsid w:val="00F07A75"/>
    <w:rsid w:val="00F10710"/>
    <w:rsid w:val="00F121AB"/>
    <w:rsid w:val="00F127F3"/>
    <w:rsid w:val="00F1326E"/>
    <w:rsid w:val="00F1336C"/>
    <w:rsid w:val="00F13B19"/>
    <w:rsid w:val="00F15346"/>
    <w:rsid w:val="00F155B4"/>
    <w:rsid w:val="00F15D39"/>
    <w:rsid w:val="00F16B10"/>
    <w:rsid w:val="00F20EF4"/>
    <w:rsid w:val="00F22598"/>
    <w:rsid w:val="00F231AB"/>
    <w:rsid w:val="00F24BB1"/>
    <w:rsid w:val="00F24FA8"/>
    <w:rsid w:val="00F25573"/>
    <w:rsid w:val="00F257BF"/>
    <w:rsid w:val="00F27347"/>
    <w:rsid w:val="00F27C51"/>
    <w:rsid w:val="00F304EE"/>
    <w:rsid w:val="00F3148E"/>
    <w:rsid w:val="00F31887"/>
    <w:rsid w:val="00F341AE"/>
    <w:rsid w:val="00F347BC"/>
    <w:rsid w:val="00F35671"/>
    <w:rsid w:val="00F36B5A"/>
    <w:rsid w:val="00F36FAB"/>
    <w:rsid w:val="00F400C4"/>
    <w:rsid w:val="00F405D8"/>
    <w:rsid w:val="00F41E90"/>
    <w:rsid w:val="00F43A2B"/>
    <w:rsid w:val="00F44E23"/>
    <w:rsid w:val="00F456C4"/>
    <w:rsid w:val="00F4710F"/>
    <w:rsid w:val="00F47D96"/>
    <w:rsid w:val="00F53A81"/>
    <w:rsid w:val="00F540B9"/>
    <w:rsid w:val="00F544A4"/>
    <w:rsid w:val="00F5662B"/>
    <w:rsid w:val="00F57D8D"/>
    <w:rsid w:val="00F60E88"/>
    <w:rsid w:val="00F615B1"/>
    <w:rsid w:val="00F63A68"/>
    <w:rsid w:val="00F66FD5"/>
    <w:rsid w:val="00F70DA6"/>
    <w:rsid w:val="00F725CC"/>
    <w:rsid w:val="00F72FB4"/>
    <w:rsid w:val="00F73B29"/>
    <w:rsid w:val="00F757F6"/>
    <w:rsid w:val="00F75978"/>
    <w:rsid w:val="00F760A3"/>
    <w:rsid w:val="00F823B7"/>
    <w:rsid w:val="00F826E1"/>
    <w:rsid w:val="00F82B69"/>
    <w:rsid w:val="00F8463B"/>
    <w:rsid w:val="00F86321"/>
    <w:rsid w:val="00F86FB0"/>
    <w:rsid w:val="00F91188"/>
    <w:rsid w:val="00F91819"/>
    <w:rsid w:val="00F936B9"/>
    <w:rsid w:val="00F93D23"/>
    <w:rsid w:val="00F94B57"/>
    <w:rsid w:val="00F94D5D"/>
    <w:rsid w:val="00F952A8"/>
    <w:rsid w:val="00F953E1"/>
    <w:rsid w:val="00F9546C"/>
    <w:rsid w:val="00F96CF9"/>
    <w:rsid w:val="00F974A1"/>
    <w:rsid w:val="00F97B72"/>
    <w:rsid w:val="00FA0C6D"/>
    <w:rsid w:val="00FA0CA0"/>
    <w:rsid w:val="00FA10A8"/>
    <w:rsid w:val="00FA1427"/>
    <w:rsid w:val="00FA145F"/>
    <w:rsid w:val="00FA352A"/>
    <w:rsid w:val="00FA45BA"/>
    <w:rsid w:val="00FA5296"/>
    <w:rsid w:val="00FA5B0A"/>
    <w:rsid w:val="00FA5E65"/>
    <w:rsid w:val="00FA6C76"/>
    <w:rsid w:val="00FB09B2"/>
    <w:rsid w:val="00FB1F93"/>
    <w:rsid w:val="00FB3019"/>
    <w:rsid w:val="00FB30AA"/>
    <w:rsid w:val="00FB48DF"/>
    <w:rsid w:val="00FB5972"/>
    <w:rsid w:val="00FB632F"/>
    <w:rsid w:val="00FB662B"/>
    <w:rsid w:val="00FB6781"/>
    <w:rsid w:val="00FB6EAF"/>
    <w:rsid w:val="00FB7376"/>
    <w:rsid w:val="00FC1E52"/>
    <w:rsid w:val="00FC258A"/>
    <w:rsid w:val="00FC2E93"/>
    <w:rsid w:val="00FC3BAF"/>
    <w:rsid w:val="00FC5824"/>
    <w:rsid w:val="00FC5AFE"/>
    <w:rsid w:val="00FC5D22"/>
    <w:rsid w:val="00FC6C11"/>
    <w:rsid w:val="00FC7D1A"/>
    <w:rsid w:val="00FC7D38"/>
    <w:rsid w:val="00FD01BA"/>
    <w:rsid w:val="00FD0CA5"/>
    <w:rsid w:val="00FD262A"/>
    <w:rsid w:val="00FD4012"/>
    <w:rsid w:val="00FD5A0C"/>
    <w:rsid w:val="00FE20F3"/>
    <w:rsid w:val="00FE2917"/>
    <w:rsid w:val="00FE3FA8"/>
    <w:rsid w:val="00FE4733"/>
    <w:rsid w:val="00FE487F"/>
    <w:rsid w:val="00FE4D45"/>
    <w:rsid w:val="00FE5279"/>
    <w:rsid w:val="00FE5412"/>
    <w:rsid w:val="00FE6874"/>
    <w:rsid w:val="00FE71EC"/>
    <w:rsid w:val="00FF0084"/>
    <w:rsid w:val="00FF05FE"/>
    <w:rsid w:val="00FF094D"/>
    <w:rsid w:val="00FF1C3F"/>
    <w:rsid w:val="00FF1F4C"/>
    <w:rsid w:val="00FF3C9B"/>
    <w:rsid w:val="00FF3FCC"/>
    <w:rsid w:val="00FF4C67"/>
    <w:rsid w:val="00FF4F25"/>
    <w:rsid w:val="00FF5471"/>
    <w:rsid w:val="00FF5587"/>
    <w:rsid w:val="00FF5A7C"/>
    <w:rsid w:val="00FF6B57"/>
    <w:rsid w:val="00FF70FD"/>
    <w:rsid w:val="011375A8"/>
    <w:rsid w:val="01284C10"/>
    <w:rsid w:val="013B4D07"/>
    <w:rsid w:val="015956FE"/>
    <w:rsid w:val="015C4E83"/>
    <w:rsid w:val="0164476D"/>
    <w:rsid w:val="017716F4"/>
    <w:rsid w:val="01791910"/>
    <w:rsid w:val="01802769"/>
    <w:rsid w:val="0182618B"/>
    <w:rsid w:val="01A249C3"/>
    <w:rsid w:val="01AE3368"/>
    <w:rsid w:val="01B56C27"/>
    <w:rsid w:val="01C5478B"/>
    <w:rsid w:val="01DB7ED5"/>
    <w:rsid w:val="01E274B5"/>
    <w:rsid w:val="01E3718B"/>
    <w:rsid w:val="01E50D53"/>
    <w:rsid w:val="01F45014"/>
    <w:rsid w:val="01F50C60"/>
    <w:rsid w:val="01FB2325"/>
    <w:rsid w:val="01FE0923"/>
    <w:rsid w:val="020F6097"/>
    <w:rsid w:val="020F7B7E"/>
    <w:rsid w:val="022E0064"/>
    <w:rsid w:val="0238077D"/>
    <w:rsid w:val="02741433"/>
    <w:rsid w:val="02BE09E1"/>
    <w:rsid w:val="02C941D1"/>
    <w:rsid w:val="02D74B40"/>
    <w:rsid w:val="02E27EFF"/>
    <w:rsid w:val="02FA438B"/>
    <w:rsid w:val="02FE3E7B"/>
    <w:rsid w:val="031F2043"/>
    <w:rsid w:val="03327FC8"/>
    <w:rsid w:val="03383F22"/>
    <w:rsid w:val="033966C0"/>
    <w:rsid w:val="03444979"/>
    <w:rsid w:val="03561F09"/>
    <w:rsid w:val="035E4919"/>
    <w:rsid w:val="035F0A8F"/>
    <w:rsid w:val="036068E4"/>
    <w:rsid w:val="03791753"/>
    <w:rsid w:val="037B00CE"/>
    <w:rsid w:val="038725D9"/>
    <w:rsid w:val="03AF62E9"/>
    <w:rsid w:val="03B55B32"/>
    <w:rsid w:val="03C07382"/>
    <w:rsid w:val="03D66BA6"/>
    <w:rsid w:val="03D96696"/>
    <w:rsid w:val="03E07A24"/>
    <w:rsid w:val="03E7037A"/>
    <w:rsid w:val="03EC3764"/>
    <w:rsid w:val="041341B1"/>
    <w:rsid w:val="04137DFA"/>
    <w:rsid w:val="04274F2B"/>
    <w:rsid w:val="04432012"/>
    <w:rsid w:val="04586E81"/>
    <w:rsid w:val="04673D3D"/>
    <w:rsid w:val="04723742"/>
    <w:rsid w:val="04745ADF"/>
    <w:rsid w:val="04763EE5"/>
    <w:rsid w:val="04877EA0"/>
    <w:rsid w:val="04927776"/>
    <w:rsid w:val="04B14F1D"/>
    <w:rsid w:val="04E13A54"/>
    <w:rsid w:val="04EE7F1F"/>
    <w:rsid w:val="05032908"/>
    <w:rsid w:val="0517294F"/>
    <w:rsid w:val="05283431"/>
    <w:rsid w:val="053738EB"/>
    <w:rsid w:val="053F7B1A"/>
    <w:rsid w:val="054016A6"/>
    <w:rsid w:val="05445D91"/>
    <w:rsid w:val="054D10EA"/>
    <w:rsid w:val="05504736"/>
    <w:rsid w:val="055A3514"/>
    <w:rsid w:val="0575419C"/>
    <w:rsid w:val="05796A49"/>
    <w:rsid w:val="05810E2F"/>
    <w:rsid w:val="058B147D"/>
    <w:rsid w:val="058B6DA0"/>
    <w:rsid w:val="059705B7"/>
    <w:rsid w:val="0599159B"/>
    <w:rsid w:val="05B178CA"/>
    <w:rsid w:val="05BC1DCB"/>
    <w:rsid w:val="05D7304D"/>
    <w:rsid w:val="05DF03FE"/>
    <w:rsid w:val="06043E9E"/>
    <w:rsid w:val="06163BD1"/>
    <w:rsid w:val="062F74C1"/>
    <w:rsid w:val="06304C93"/>
    <w:rsid w:val="063E5280"/>
    <w:rsid w:val="065344DE"/>
    <w:rsid w:val="065D535C"/>
    <w:rsid w:val="065E2E82"/>
    <w:rsid w:val="068723D9"/>
    <w:rsid w:val="0687687D"/>
    <w:rsid w:val="06A42BDD"/>
    <w:rsid w:val="06A97B18"/>
    <w:rsid w:val="06BF1F04"/>
    <w:rsid w:val="06D135B1"/>
    <w:rsid w:val="06DD649D"/>
    <w:rsid w:val="06DF0D75"/>
    <w:rsid w:val="06E3363B"/>
    <w:rsid w:val="070E2AFA"/>
    <w:rsid w:val="071F5510"/>
    <w:rsid w:val="072E0AA7"/>
    <w:rsid w:val="074828FC"/>
    <w:rsid w:val="07561EDF"/>
    <w:rsid w:val="07580C70"/>
    <w:rsid w:val="075C0948"/>
    <w:rsid w:val="075E2E99"/>
    <w:rsid w:val="07667F1A"/>
    <w:rsid w:val="07741065"/>
    <w:rsid w:val="07756C6B"/>
    <w:rsid w:val="07794418"/>
    <w:rsid w:val="07923773"/>
    <w:rsid w:val="07A5520D"/>
    <w:rsid w:val="07A82DA7"/>
    <w:rsid w:val="07B9252F"/>
    <w:rsid w:val="07CA7156"/>
    <w:rsid w:val="07E13D6B"/>
    <w:rsid w:val="0834033F"/>
    <w:rsid w:val="08450C24"/>
    <w:rsid w:val="08597DA5"/>
    <w:rsid w:val="08687FE8"/>
    <w:rsid w:val="086A0535"/>
    <w:rsid w:val="08836BD0"/>
    <w:rsid w:val="08867F43"/>
    <w:rsid w:val="088722FA"/>
    <w:rsid w:val="089F1C5C"/>
    <w:rsid w:val="08A32E04"/>
    <w:rsid w:val="08A70163"/>
    <w:rsid w:val="08CC0B9D"/>
    <w:rsid w:val="08D96F67"/>
    <w:rsid w:val="0902626A"/>
    <w:rsid w:val="09130AF3"/>
    <w:rsid w:val="09151F1E"/>
    <w:rsid w:val="09173EE8"/>
    <w:rsid w:val="092B34F0"/>
    <w:rsid w:val="092D370C"/>
    <w:rsid w:val="092E2FE0"/>
    <w:rsid w:val="095A2027"/>
    <w:rsid w:val="098837B8"/>
    <w:rsid w:val="09930631"/>
    <w:rsid w:val="0995305F"/>
    <w:rsid w:val="09973D35"/>
    <w:rsid w:val="09A44708"/>
    <w:rsid w:val="09B4164F"/>
    <w:rsid w:val="09C16A2C"/>
    <w:rsid w:val="09D32E23"/>
    <w:rsid w:val="09E638BB"/>
    <w:rsid w:val="09EA5C94"/>
    <w:rsid w:val="0A0C3321"/>
    <w:rsid w:val="0A2B07EF"/>
    <w:rsid w:val="0A432ABB"/>
    <w:rsid w:val="0A4C7BC2"/>
    <w:rsid w:val="0A68365E"/>
    <w:rsid w:val="0A71587A"/>
    <w:rsid w:val="0A74170E"/>
    <w:rsid w:val="0A7B04A7"/>
    <w:rsid w:val="0A876D65"/>
    <w:rsid w:val="0A886D12"/>
    <w:rsid w:val="0A8F3F52"/>
    <w:rsid w:val="0A9D7A6A"/>
    <w:rsid w:val="0A9F4195"/>
    <w:rsid w:val="0AA7304A"/>
    <w:rsid w:val="0AB45341"/>
    <w:rsid w:val="0ABD286D"/>
    <w:rsid w:val="0ACC2AB1"/>
    <w:rsid w:val="0AD5676B"/>
    <w:rsid w:val="0ADD081A"/>
    <w:rsid w:val="0ADD6A6C"/>
    <w:rsid w:val="0AEC4F01"/>
    <w:rsid w:val="0B050AFA"/>
    <w:rsid w:val="0B2428ED"/>
    <w:rsid w:val="0B3238A8"/>
    <w:rsid w:val="0B424B21"/>
    <w:rsid w:val="0B50788A"/>
    <w:rsid w:val="0B6727D9"/>
    <w:rsid w:val="0B6B22C9"/>
    <w:rsid w:val="0B8C258E"/>
    <w:rsid w:val="0B94281C"/>
    <w:rsid w:val="0B946FB5"/>
    <w:rsid w:val="0BB04180"/>
    <w:rsid w:val="0BCD6AE0"/>
    <w:rsid w:val="0BEA0EA3"/>
    <w:rsid w:val="0BEF2EFA"/>
    <w:rsid w:val="0C0311BC"/>
    <w:rsid w:val="0C2E4E97"/>
    <w:rsid w:val="0C3B29A4"/>
    <w:rsid w:val="0C454D37"/>
    <w:rsid w:val="0C6D0470"/>
    <w:rsid w:val="0C7F308D"/>
    <w:rsid w:val="0C8A2C23"/>
    <w:rsid w:val="0C905841"/>
    <w:rsid w:val="0C965124"/>
    <w:rsid w:val="0CA84D0E"/>
    <w:rsid w:val="0CBA455E"/>
    <w:rsid w:val="0CC0773E"/>
    <w:rsid w:val="0CC71781"/>
    <w:rsid w:val="0CC73E81"/>
    <w:rsid w:val="0CD731E6"/>
    <w:rsid w:val="0CE045F1"/>
    <w:rsid w:val="0CE45C9A"/>
    <w:rsid w:val="0CF743E2"/>
    <w:rsid w:val="0CF80BDB"/>
    <w:rsid w:val="0D044784"/>
    <w:rsid w:val="0D0705CC"/>
    <w:rsid w:val="0D103128"/>
    <w:rsid w:val="0D1D75F3"/>
    <w:rsid w:val="0D293F6C"/>
    <w:rsid w:val="0D385421"/>
    <w:rsid w:val="0D437156"/>
    <w:rsid w:val="0D466182"/>
    <w:rsid w:val="0D4903E8"/>
    <w:rsid w:val="0D9378B6"/>
    <w:rsid w:val="0DA27AF9"/>
    <w:rsid w:val="0DB461AA"/>
    <w:rsid w:val="0DEB54A2"/>
    <w:rsid w:val="0DEC2452"/>
    <w:rsid w:val="0DF742E8"/>
    <w:rsid w:val="0E0B7D94"/>
    <w:rsid w:val="0E5B3786"/>
    <w:rsid w:val="0E6A0B80"/>
    <w:rsid w:val="0E6D5D02"/>
    <w:rsid w:val="0E8D2E0D"/>
    <w:rsid w:val="0E953E6A"/>
    <w:rsid w:val="0EE70625"/>
    <w:rsid w:val="0EEA5BFB"/>
    <w:rsid w:val="0F07055B"/>
    <w:rsid w:val="0F4968A4"/>
    <w:rsid w:val="0F517A28"/>
    <w:rsid w:val="0F6B7072"/>
    <w:rsid w:val="0F6D69BB"/>
    <w:rsid w:val="0F707EAE"/>
    <w:rsid w:val="0F7E130F"/>
    <w:rsid w:val="0F903B0F"/>
    <w:rsid w:val="0FB04FF9"/>
    <w:rsid w:val="0FC338D3"/>
    <w:rsid w:val="0FD97D81"/>
    <w:rsid w:val="0FE8038D"/>
    <w:rsid w:val="0FEB5874"/>
    <w:rsid w:val="10142F30"/>
    <w:rsid w:val="101E3DAE"/>
    <w:rsid w:val="103D586B"/>
    <w:rsid w:val="104F01DC"/>
    <w:rsid w:val="104F3F68"/>
    <w:rsid w:val="10506F37"/>
    <w:rsid w:val="10612453"/>
    <w:rsid w:val="106A2B50"/>
    <w:rsid w:val="107F195B"/>
    <w:rsid w:val="108929A5"/>
    <w:rsid w:val="10B22749"/>
    <w:rsid w:val="10B9231B"/>
    <w:rsid w:val="10E84E7D"/>
    <w:rsid w:val="111050A1"/>
    <w:rsid w:val="112E0732"/>
    <w:rsid w:val="113849FC"/>
    <w:rsid w:val="114E2471"/>
    <w:rsid w:val="117D6CED"/>
    <w:rsid w:val="11895257"/>
    <w:rsid w:val="11943F45"/>
    <w:rsid w:val="11A028C6"/>
    <w:rsid w:val="11B61DC5"/>
    <w:rsid w:val="11BB6EE1"/>
    <w:rsid w:val="11C756E4"/>
    <w:rsid w:val="11DB3B3F"/>
    <w:rsid w:val="11E40691"/>
    <w:rsid w:val="121511E1"/>
    <w:rsid w:val="123565AF"/>
    <w:rsid w:val="12505D75"/>
    <w:rsid w:val="12582E7C"/>
    <w:rsid w:val="12597320"/>
    <w:rsid w:val="126D3321"/>
    <w:rsid w:val="1292638E"/>
    <w:rsid w:val="12B10F0A"/>
    <w:rsid w:val="12BA1309"/>
    <w:rsid w:val="12BC165D"/>
    <w:rsid w:val="12CA1FCB"/>
    <w:rsid w:val="12D15108"/>
    <w:rsid w:val="12D40754"/>
    <w:rsid w:val="12E26FF8"/>
    <w:rsid w:val="12E95B92"/>
    <w:rsid w:val="12EA4DBC"/>
    <w:rsid w:val="13117FC0"/>
    <w:rsid w:val="13165988"/>
    <w:rsid w:val="131D659F"/>
    <w:rsid w:val="131E7C21"/>
    <w:rsid w:val="13262636"/>
    <w:rsid w:val="13533D6F"/>
    <w:rsid w:val="13582EDE"/>
    <w:rsid w:val="13593BA4"/>
    <w:rsid w:val="135F0966"/>
    <w:rsid w:val="13826402"/>
    <w:rsid w:val="13994AF8"/>
    <w:rsid w:val="13A520F1"/>
    <w:rsid w:val="13A740BB"/>
    <w:rsid w:val="13C26E3B"/>
    <w:rsid w:val="13C8382D"/>
    <w:rsid w:val="13E53CAF"/>
    <w:rsid w:val="13F72496"/>
    <w:rsid w:val="140C2328"/>
    <w:rsid w:val="141334FE"/>
    <w:rsid w:val="14353CEA"/>
    <w:rsid w:val="14524026"/>
    <w:rsid w:val="1457788F"/>
    <w:rsid w:val="14773A8D"/>
    <w:rsid w:val="14863CD0"/>
    <w:rsid w:val="149F2FE4"/>
    <w:rsid w:val="14A46E3A"/>
    <w:rsid w:val="14A8633C"/>
    <w:rsid w:val="14AD2E06"/>
    <w:rsid w:val="14B545B5"/>
    <w:rsid w:val="14D40E8A"/>
    <w:rsid w:val="14E135FC"/>
    <w:rsid w:val="14E37E77"/>
    <w:rsid w:val="14EF1875"/>
    <w:rsid w:val="14F7697C"/>
    <w:rsid w:val="150771D6"/>
    <w:rsid w:val="150C0679"/>
    <w:rsid w:val="151141CF"/>
    <w:rsid w:val="15237771"/>
    <w:rsid w:val="153F071E"/>
    <w:rsid w:val="15602773"/>
    <w:rsid w:val="1573694A"/>
    <w:rsid w:val="157F07D4"/>
    <w:rsid w:val="158318F2"/>
    <w:rsid w:val="15917442"/>
    <w:rsid w:val="15931551"/>
    <w:rsid w:val="15A3305A"/>
    <w:rsid w:val="15D05B4B"/>
    <w:rsid w:val="15D6385D"/>
    <w:rsid w:val="15DF7B3C"/>
    <w:rsid w:val="15FA2BC8"/>
    <w:rsid w:val="1606156C"/>
    <w:rsid w:val="161D78C1"/>
    <w:rsid w:val="165A5414"/>
    <w:rsid w:val="16614BA8"/>
    <w:rsid w:val="166F6D46"/>
    <w:rsid w:val="16891906"/>
    <w:rsid w:val="16A7300E"/>
    <w:rsid w:val="16C46D32"/>
    <w:rsid w:val="16D824B0"/>
    <w:rsid w:val="16E037E2"/>
    <w:rsid w:val="16E805C4"/>
    <w:rsid w:val="16E82A20"/>
    <w:rsid w:val="16F33E34"/>
    <w:rsid w:val="1706279B"/>
    <w:rsid w:val="17094D19"/>
    <w:rsid w:val="170A64BB"/>
    <w:rsid w:val="170E1780"/>
    <w:rsid w:val="17255A22"/>
    <w:rsid w:val="1729265A"/>
    <w:rsid w:val="17345C65"/>
    <w:rsid w:val="17451C21"/>
    <w:rsid w:val="17476986"/>
    <w:rsid w:val="174F1A40"/>
    <w:rsid w:val="176E4E3E"/>
    <w:rsid w:val="1772678E"/>
    <w:rsid w:val="177A5ECF"/>
    <w:rsid w:val="1797009A"/>
    <w:rsid w:val="17AE6431"/>
    <w:rsid w:val="17B03C83"/>
    <w:rsid w:val="17BC0000"/>
    <w:rsid w:val="17C3523B"/>
    <w:rsid w:val="17C36FE9"/>
    <w:rsid w:val="17D17958"/>
    <w:rsid w:val="17D77DFA"/>
    <w:rsid w:val="18064EC0"/>
    <w:rsid w:val="1808472F"/>
    <w:rsid w:val="180C0BF7"/>
    <w:rsid w:val="180C6BE2"/>
    <w:rsid w:val="182F467F"/>
    <w:rsid w:val="184F0509"/>
    <w:rsid w:val="185A794E"/>
    <w:rsid w:val="185C19AF"/>
    <w:rsid w:val="186E51A7"/>
    <w:rsid w:val="186F7AE7"/>
    <w:rsid w:val="18772289"/>
    <w:rsid w:val="189E38CB"/>
    <w:rsid w:val="18CD4E3E"/>
    <w:rsid w:val="18DB244F"/>
    <w:rsid w:val="19045B0B"/>
    <w:rsid w:val="191306DF"/>
    <w:rsid w:val="1917583F"/>
    <w:rsid w:val="194B3DCC"/>
    <w:rsid w:val="194C69FB"/>
    <w:rsid w:val="195E0D30"/>
    <w:rsid w:val="19606E97"/>
    <w:rsid w:val="19670574"/>
    <w:rsid w:val="19894A81"/>
    <w:rsid w:val="198B0CFD"/>
    <w:rsid w:val="19AA3C63"/>
    <w:rsid w:val="19B412DF"/>
    <w:rsid w:val="19EA4C66"/>
    <w:rsid w:val="19F04A9F"/>
    <w:rsid w:val="1A3411EE"/>
    <w:rsid w:val="1A3B555D"/>
    <w:rsid w:val="1A4E5290"/>
    <w:rsid w:val="1A9C424D"/>
    <w:rsid w:val="1ABF7F3C"/>
    <w:rsid w:val="1ACB6883"/>
    <w:rsid w:val="1AD50DB8"/>
    <w:rsid w:val="1AEB710E"/>
    <w:rsid w:val="1AFA71C6"/>
    <w:rsid w:val="1B0167A6"/>
    <w:rsid w:val="1B0D537E"/>
    <w:rsid w:val="1B1464DA"/>
    <w:rsid w:val="1B2B40AB"/>
    <w:rsid w:val="1B6268C2"/>
    <w:rsid w:val="1B6E5143"/>
    <w:rsid w:val="1B926228"/>
    <w:rsid w:val="1B9403E7"/>
    <w:rsid w:val="1BAD6969"/>
    <w:rsid w:val="1BD7481E"/>
    <w:rsid w:val="1BF24C7D"/>
    <w:rsid w:val="1BFB31F6"/>
    <w:rsid w:val="1C3B7A96"/>
    <w:rsid w:val="1C427076"/>
    <w:rsid w:val="1C535AB3"/>
    <w:rsid w:val="1C5F5C8D"/>
    <w:rsid w:val="1C6963B1"/>
    <w:rsid w:val="1C71170A"/>
    <w:rsid w:val="1C8B27CB"/>
    <w:rsid w:val="1CAE4A84"/>
    <w:rsid w:val="1CB05D8E"/>
    <w:rsid w:val="1CC25AC1"/>
    <w:rsid w:val="1CE974F2"/>
    <w:rsid w:val="1CF540E9"/>
    <w:rsid w:val="1CFC7225"/>
    <w:rsid w:val="1D022362"/>
    <w:rsid w:val="1D1758BA"/>
    <w:rsid w:val="1D220702"/>
    <w:rsid w:val="1D291034"/>
    <w:rsid w:val="1D4330A6"/>
    <w:rsid w:val="1D4F54BB"/>
    <w:rsid w:val="1D623AB5"/>
    <w:rsid w:val="1D73195B"/>
    <w:rsid w:val="1D747BE4"/>
    <w:rsid w:val="1D83629B"/>
    <w:rsid w:val="1DB16262"/>
    <w:rsid w:val="1DC165B1"/>
    <w:rsid w:val="1DC35F95"/>
    <w:rsid w:val="1DC67C89"/>
    <w:rsid w:val="1DE1641B"/>
    <w:rsid w:val="1DEE476B"/>
    <w:rsid w:val="1DF22BD8"/>
    <w:rsid w:val="1DFB74DD"/>
    <w:rsid w:val="1E081BFA"/>
    <w:rsid w:val="1E116D00"/>
    <w:rsid w:val="1E7614D9"/>
    <w:rsid w:val="1E90231B"/>
    <w:rsid w:val="1E98382F"/>
    <w:rsid w:val="1EA95696"/>
    <w:rsid w:val="1EAC5FEE"/>
    <w:rsid w:val="1EB66E5E"/>
    <w:rsid w:val="1EB860E1"/>
    <w:rsid w:val="1EBD4792"/>
    <w:rsid w:val="1EDE032D"/>
    <w:rsid w:val="1EF02E20"/>
    <w:rsid w:val="1EF156DA"/>
    <w:rsid w:val="1EFA3C38"/>
    <w:rsid w:val="1EFB77B0"/>
    <w:rsid w:val="1F1A6889"/>
    <w:rsid w:val="1F38092F"/>
    <w:rsid w:val="1F3A2287"/>
    <w:rsid w:val="1F3F3802"/>
    <w:rsid w:val="1F457B25"/>
    <w:rsid w:val="1F662936"/>
    <w:rsid w:val="1F9966D3"/>
    <w:rsid w:val="1F9A3887"/>
    <w:rsid w:val="1FA0658E"/>
    <w:rsid w:val="1FB47B59"/>
    <w:rsid w:val="1FC66AB7"/>
    <w:rsid w:val="1FCB3992"/>
    <w:rsid w:val="1FD06747"/>
    <w:rsid w:val="1FDA1374"/>
    <w:rsid w:val="1FE50445"/>
    <w:rsid w:val="1FEF4E1F"/>
    <w:rsid w:val="1FF72BB6"/>
    <w:rsid w:val="1FFB2068"/>
    <w:rsid w:val="20000DDB"/>
    <w:rsid w:val="20283992"/>
    <w:rsid w:val="20565039"/>
    <w:rsid w:val="206427F7"/>
    <w:rsid w:val="20760E33"/>
    <w:rsid w:val="20796DDF"/>
    <w:rsid w:val="208422E0"/>
    <w:rsid w:val="20992FDD"/>
    <w:rsid w:val="20F25525"/>
    <w:rsid w:val="20F546B7"/>
    <w:rsid w:val="20FF1092"/>
    <w:rsid w:val="211B07CF"/>
    <w:rsid w:val="216175EB"/>
    <w:rsid w:val="2167209C"/>
    <w:rsid w:val="21706984"/>
    <w:rsid w:val="21786FC8"/>
    <w:rsid w:val="21C1459A"/>
    <w:rsid w:val="21C87D22"/>
    <w:rsid w:val="21CD1190"/>
    <w:rsid w:val="21CE369D"/>
    <w:rsid w:val="21D342CD"/>
    <w:rsid w:val="21DB01ED"/>
    <w:rsid w:val="21EA7F94"/>
    <w:rsid w:val="21F30C68"/>
    <w:rsid w:val="22130DB3"/>
    <w:rsid w:val="22140B6D"/>
    <w:rsid w:val="222A0391"/>
    <w:rsid w:val="222B4109"/>
    <w:rsid w:val="222D60D3"/>
    <w:rsid w:val="22401962"/>
    <w:rsid w:val="225278E7"/>
    <w:rsid w:val="226F024E"/>
    <w:rsid w:val="226F2263"/>
    <w:rsid w:val="22A42B6B"/>
    <w:rsid w:val="22B74F8F"/>
    <w:rsid w:val="22C34341"/>
    <w:rsid w:val="22CB5162"/>
    <w:rsid w:val="22D67CA4"/>
    <w:rsid w:val="22F87F51"/>
    <w:rsid w:val="22FB3ADB"/>
    <w:rsid w:val="23024E6A"/>
    <w:rsid w:val="231828DF"/>
    <w:rsid w:val="231921B3"/>
    <w:rsid w:val="231E4F54"/>
    <w:rsid w:val="232F19D7"/>
    <w:rsid w:val="233C4D09"/>
    <w:rsid w:val="233F60BE"/>
    <w:rsid w:val="235F0A29"/>
    <w:rsid w:val="23671171"/>
    <w:rsid w:val="236E6BA7"/>
    <w:rsid w:val="237A0723"/>
    <w:rsid w:val="23A221A9"/>
    <w:rsid w:val="23AE0B4E"/>
    <w:rsid w:val="23D37D75"/>
    <w:rsid w:val="23E66539"/>
    <w:rsid w:val="24030E99"/>
    <w:rsid w:val="24294678"/>
    <w:rsid w:val="243905C5"/>
    <w:rsid w:val="243D7409"/>
    <w:rsid w:val="24600A59"/>
    <w:rsid w:val="24821E8A"/>
    <w:rsid w:val="24826F70"/>
    <w:rsid w:val="24885842"/>
    <w:rsid w:val="24887831"/>
    <w:rsid w:val="249D1557"/>
    <w:rsid w:val="24BA11B9"/>
    <w:rsid w:val="250E3CE4"/>
    <w:rsid w:val="25214496"/>
    <w:rsid w:val="252268A0"/>
    <w:rsid w:val="25266E56"/>
    <w:rsid w:val="2534437D"/>
    <w:rsid w:val="253D03DB"/>
    <w:rsid w:val="25711474"/>
    <w:rsid w:val="25725D6E"/>
    <w:rsid w:val="257F09F3"/>
    <w:rsid w:val="25CF5603"/>
    <w:rsid w:val="25E35426"/>
    <w:rsid w:val="25FF0D44"/>
    <w:rsid w:val="25FF74F7"/>
    <w:rsid w:val="261F3F85"/>
    <w:rsid w:val="2626462D"/>
    <w:rsid w:val="265F41D6"/>
    <w:rsid w:val="26755531"/>
    <w:rsid w:val="26A61FB0"/>
    <w:rsid w:val="26B75F6B"/>
    <w:rsid w:val="26CB01F0"/>
    <w:rsid w:val="26EA6341"/>
    <w:rsid w:val="26F64CE5"/>
    <w:rsid w:val="26F96584"/>
    <w:rsid w:val="27135D4E"/>
    <w:rsid w:val="271371DA"/>
    <w:rsid w:val="275B2D9A"/>
    <w:rsid w:val="27683650"/>
    <w:rsid w:val="27764F15"/>
    <w:rsid w:val="27814EF7"/>
    <w:rsid w:val="27852853"/>
    <w:rsid w:val="27914A0E"/>
    <w:rsid w:val="27A26C1B"/>
    <w:rsid w:val="27A54F66"/>
    <w:rsid w:val="27B476E1"/>
    <w:rsid w:val="27B859FB"/>
    <w:rsid w:val="27BB7CDD"/>
    <w:rsid w:val="27C464EE"/>
    <w:rsid w:val="27D74F0C"/>
    <w:rsid w:val="27D766BE"/>
    <w:rsid w:val="27DE622F"/>
    <w:rsid w:val="27E14F05"/>
    <w:rsid w:val="281222F4"/>
    <w:rsid w:val="283A50A6"/>
    <w:rsid w:val="28421C85"/>
    <w:rsid w:val="28433F5A"/>
    <w:rsid w:val="284877C3"/>
    <w:rsid w:val="285223EF"/>
    <w:rsid w:val="28555F4E"/>
    <w:rsid w:val="285B34BA"/>
    <w:rsid w:val="286A598B"/>
    <w:rsid w:val="28781ECD"/>
    <w:rsid w:val="287C121A"/>
    <w:rsid w:val="28984878"/>
    <w:rsid w:val="28A32C4B"/>
    <w:rsid w:val="28A62614"/>
    <w:rsid w:val="28AE7F2C"/>
    <w:rsid w:val="28BE7072"/>
    <w:rsid w:val="28CE5BC0"/>
    <w:rsid w:val="28DB58E2"/>
    <w:rsid w:val="2912392D"/>
    <w:rsid w:val="291976B8"/>
    <w:rsid w:val="291C0946"/>
    <w:rsid w:val="29301BAB"/>
    <w:rsid w:val="2939535D"/>
    <w:rsid w:val="29693E94"/>
    <w:rsid w:val="297445E7"/>
    <w:rsid w:val="297B3BC8"/>
    <w:rsid w:val="29827E50"/>
    <w:rsid w:val="298365D8"/>
    <w:rsid w:val="298433DD"/>
    <w:rsid w:val="2987256D"/>
    <w:rsid w:val="299E0408"/>
    <w:rsid w:val="29A50C45"/>
    <w:rsid w:val="29AE0FEF"/>
    <w:rsid w:val="29C42E79"/>
    <w:rsid w:val="29D11A3A"/>
    <w:rsid w:val="29D67109"/>
    <w:rsid w:val="29DF0902"/>
    <w:rsid w:val="29F342D4"/>
    <w:rsid w:val="29F81779"/>
    <w:rsid w:val="2A164385"/>
    <w:rsid w:val="2A18267C"/>
    <w:rsid w:val="2A1A56E3"/>
    <w:rsid w:val="2A2E0C3A"/>
    <w:rsid w:val="2A325CCD"/>
    <w:rsid w:val="2A392A0A"/>
    <w:rsid w:val="2A8940C2"/>
    <w:rsid w:val="2A9211C9"/>
    <w:rsid w:val="2AA71B14"/>
    <w:rsid w:val="2AA75496"/>
    <w:rsid w:val="2ACB0237"/>
    <w:rsid w:val="2ACB6489"/>
    <w:rsid w:val="2ACD2201"/>
    <w:rsid w:val="2AE673F2"/>
    <w:rsid w:val="2AF5107C"/>
    <w:rsid w:val="2B084FE7"/>
    <w:rsid w:val="2B0B2D29"/>
    <w:rsid w:val="2B1A4D1A"/>
    <w:rsid w:val="2B24481B"/>
    <w:rsid w:val="2B3D345D"/>
    <w:rsid w:val="2B5041D5"/>
    <w:rsid w:val="2B566698"/>
    <w:rsid w:val="2B632B65"/>
    <w:rsid w:val="2B83439F"/>
    <w:rsid w:val="2B9845BD"/>
    <w:rsid w:val="2BA56CDA"/>
    <w:rsid w:val="2BC73597"/>
    <w:rsid w:val="2BCE5EF9"/>
    <w:rsid w:val="2BEB76E9"/>
    <w:rsid w:val="2C1A1476"/>
    <w:rsid w:val="2C1D60A6"/>
    <w:rsid w:val="2C2C2F57"/>
    <w:rsid w:val="2C5C383D"/>
    <w:rsid w:val="2C6426F1"/>
    <w:rsid w:val="2C647AFC"/>
    <w:rsid w:val="2C7E4275"/>
    <w:rsid w:val="2C82701B"/>
    <w:rsid w:val="2C8A2247"/>
    <w:rsid w:val="2CB32842"/>
    <w:rsid w:val="2CC209FF"/>
    <w:rsid w:val="2CC402EF"/>
    <w:rsid w:val="2CC633AC"/>
    <w:rsid w:val="2CF20571"/>
    <w:rsid w:val="2CF717B7"/>
    <w:rsid w:val="2D2D4261"/>
    <w:rsid w:val="2D452523"/>
    <w:rsid w:val="2D5D666D"/>
    <w:rsid w:val="2D6F75A0"/>
    <w:rsid w:val="2D7921CC"/>
    <w:rsid w:val="2D7B7CF2"/>
    <w:rsid w:val="2DA913FE"/>
    <w:rsid w:val="2DAC3027"/>
    <w:rsid w:val="2DB84BA2"/>
    <w:rsid w:val="2DBB0DA0"/>
    <w:rsid w:val="2DC1098A"/>
    <w:rsid w:val="2DCA0C7A"/>
    <w:rsid w:val="2DCF0EAE"/>
    <w:rsid w:val="2DDA3C01"/>
    <w:rsid w:val="2E15669B"/>
    <w:rsid w:val="2E234BD3"/>
    <w:rsid w:val="2E3214EB"/>
    <w:rsid w:val="2E36630F"/>
    <w:rsid w:val="2E3B3FB2"/>
    <w:rsid w:val="2E59418C"/>
    <w:rsid w:val="2E5D389C"/>
    <w:rsid w:val="2E787B43"/>
    <w:rsid w:val="2E7A444E"/>
    <w:rsid w:val="2E8B665B"/>
    <w:rsid w:val="2E90471D"/>
    <w:rsid w:val="2E932CFE"/>
    <w:rsid w:val="2E94527E"/>
    <w:rsid w:val="2E957A5C"/>
    <w:rsid w:val="2EB477D8"/>
    <w:rsid w:val="2EEE0998"/>
    <w:rsid w:val="2EFD4D4E"/>
    <w:rsid w:val="2F501BB8"/>
    <w:rsid w:val="2F5E40B2"/>
    <w:rsid w:val="2F866E22"/>
    <w:rsid w:val="2FAE299B"/>
    <w:rsid w:val="2FBF086D"/>
    <w:rsid w:val="2FC42266"/>
    <w:rsid w:val="2FC55B9D"/>
    <w:rsid w:val="2FD00348"/>
    <w:rsid w:val="2FD8767E"/>
    <w:rsid w:val="2FD933F6"/>
    <w:rsid w:val="2FDB716E"/>
    <w:rsid w:val="2FE73D65"/>
    <w:rsid w:val="30030473"/>
    <w:rsid w:val="30135180"/>
    <w:rsid w:val="302A3C52"/>
    <w:rsid w:val="30467F2A"/>
    <w:rsid w:val="304A287B"/>
    <w:rsid w:val="304B709D"/>
    <w:rsid w:val="30551FFF"/>
    <w:rsid w:val="307C6DDC"/>
    <w:rsid w:val="30863856"/>
    <w:rsid w:val="308A1EA7"/>
    <w:rsid w:val="30AA3DBF"/>
    <w:rsid w:val="30BC6FA0"/>
    <w:rsid w:val="30ED7D89"/>
    <w:rsid w:val="30FB364B"/>
    <w:rsid w:val="30FC45CB"/>
    <w:rsid w:val="30FF6E8C"/>
    <w:rsid w:val="311007B0"/>
    <w:rsid w:val="31275649"/>
    <w:rsid w:val="313034EA"/>
    <w:rsid w:val="31472444"/>
    <w:rsid w:val="315C788F"/>
    <w:rsid w:val="316118F5"/>
    <w:rsid w:val="3172765E"/>
    <w:rsid w:val="31774C16"/>
    <w:rsid w:val="31814373"/>
    <w:rsid w:val="318360DC"/>
    <w:rsid w:val="31966686"/>
    <w:rsid w:val="31F42769"/>
    <w:rsid w:val="320F0ED6"/>
    <w:rsid w:val="324D156A"/>
    <w:rsid w:val="3294550E"/>
    <w:rsid w:val="329C31F7"/>
    <w:rsid w:val="32D103B5"/>
    <w:rsid w:val="32D2637A"/>
    <w:rsid w:val="32F11EF3"/>
    <w:rsid w:val="32F80037"/>
    <w:rsid w:val="32F823AA"/>
    <w:rsid w:val="32F9638D"/>
    <w:rsid w:val="33023538"/>
    <w:rsid w:val="33042538"/>
    <w:rsid w:val="33174961"/>
    <w:rsid w:val="3330332D"/>
    <w:rsid w:val="333A0650"/>
    <w:rsid w:val="334B63B9"/>
    <w:rsid w:val="33651D05"/>
    <w:rsid w:val="336851BD"/>
    <w:rsid w:val="33811DDB"/>
    <w:rsid w:val="339A37F4"/>
    <w:rsid w:val="33AF6948"/>
    <w:rsid w:val="33C536E3"/>
    <w:rsid w:val="33E32A95"/>
    <w:rsid w:val="33E959B3"/>
    <w:rsid w:val="33F46A50"/>
    <w:rsid w:val="34265A9E"/>
    <w:rsid w:val="34296463"/>
    <w:rsid w:val="343D2C81"/>
    <w:rsid w:val="34592D57"/>
    <w:rsid w:val="34655313"/>
    <w:rsid w:val="347D68CC"/>
    <w:rsid w:val="34807F46"/>
    <w:rsid w:val="348171AD"/>
    <w:rsid w:val="34871673"/>
    <w:rsid w:val="34874814"/>
    <w:rsid w:val="348A1163"/>
    <w:rsid w:val="34977C01"/>
    <w:rsid w:val="34AA710F"/>
    <w:rsid w:val="34BD05FD"/>
    <w:rsid w:val="34E27D93"/>
    <w:rsid w:val="34EC7728"/>
    <w:rsid w:val="34FF53FE"/>
    <w:rsid w:val="35106F6D"/>
    <w:rsid w:val="352275ED"/>
    <w:rsid w:val="352832A3"/>
    <w:rsid w:val="35494B7A"/>
    <w:rsid w:val="35496928"/>
    <w:rsid w:val="356E11C0"/>
    <w:rsid w:val="357D4824"/>
    <w:rsid w:val="3593481E"/>
    <w:rsid w:val="35A16764"/>
    <w:rsid w:val="35B446E9"/>
    <w:rsid w:val="35C168EB"/>
    <w:rsid w:val="35E4184E"/>
    <w:rsid w:val="35F70954"/>
    <w:rsid w:val="35FF036D"/>
    <w:rsid w:val="360B1E2F"/>
    <w:rsid w:val="361D4382"/>
    <w:rsid w:val="363475D8"/>
    <w:rsid w:val="365372C4"/>
    <w:rsid w:val="36673031"/>
    <w:rsid w:val="366C4FC4"/>
    <w:rsid w:val="367E0D78"/>
    <w:rsid w:val="369D72D1"/>
    <w:rsid w:val="36A06A1C"/>
    <w:rsid w:val="36A24542"/>
    <w:rsid w:val="36B3674F"/>
    <w:rsid w:val="36C26B80"/>
    <w:rsid w:val="36CC57C2"/>
    <w:rsid w:val="36FF58E9"/>
    <w:rsid w:val="37023232"/>
    <w:rsid w:val="370920E5"/>
    <w:rsid w:val="370B658B"/>
    <w:rsid w:val="370F559B"/>
    <w:rsid w:val="371B60A2"/>
    <w:rsid w:val="372066CC"/>
    <w:rsid w:val="372B09DB"/>
    <w:rsid w:val="372D49D7"/>
    <w:rsid w:val="3736112E"/>
    <w:rsid w:val="37384EA6"/>
    <w:rsid w:val="375872F6"/>
    <w:rsid w:val="37611669"/>
    <w:rsid w:val="37676577"/>
    <w:rsid w:val="376E08C8"/>
    <w:rsid w:val="37781ECE"/>
    <w:rsid w:val="378404AE"/>
    <w:rsid w:val="37903BCE"/>
    <w:rsid w:val="379335CC"/>
    <w:rsid w:val="37A367C3"/>
    <w:rsid w:val="37AA650C"/>
    <w:rsid w:val="37AB38CA"/>
    <w:rsid w:val="37BC7885"/>
    <w:rsid w:val="37C8622A"/>
    <w:rsid w:val="37CB1876"/>
    <w:rsid w:val="37FE1C4C"/>
    <w:rsid w:val="3811655F"/>
    <w:rsid w:val="38163439"/>
    <w:rsid w:val="38166895"/>
    <w:rsid w:val="381750B3"/>
    <w:rsid w:val="381758B5"/>
    <w:rsid w:val="38205B1A"/>
    <w:rsid w:val="382F62A9"/>
    <w:rsid w:val="384E57B7"/>
    <w:rsid w:val="385E28B8"/>
    <w:rsid w:val="386A5533"/>
    <w:rsid w:val="387371E8"/>
    <w:rsid w:val="38863E83"/>
    <w:rsid w:val="388859B9"/>
    <w:rsid w:val="38897C33"/>
    <w:rsid w:val="388A2266"/>
    <w:rsid w:val="38961762"/>
    <w:rsid w:val="38D46E50"/>
    <w:rsid w:val="38D96401"/>
    <w:rsid w:val="38F526E0"/>
    <w:rsid w:val="390A2872"/>
    <w:rsid w:val="390E2362"/>
    <w:rsid w:val="39116CAA"/>
    <w:rsid w:val="392069FA"/>
    <w:rsid w:val="392308A1"/>
    <w:rsid w:val="39317DFF"/>
    <w:rsid w:val="394144E6"/>
    <w:rsid w:val="394445BA"/>
    <w:rsid w:val="3951224F"/>
    <w:rsid w:val="39520C44"/>
    <w:rsid w:val="396C52DB"/>
    <w:rsid w:val="397404F2"/>
    <w:rsid w:val="39817B47"/>
    <w:rsid w:val="3998008B"/>
    <w:rsid w:val="39E210F9"/>
    <w:rsid w:val="39F03816"/>
    <w:rsid w:val="39F50E2C"/>
    <w:rsid w:val="39FC2422"/>
    <w:rsid w:val="39FE6173"/>
    <w:rsid w:val="3A0A2296"/>
    <w:rsid w:val="3A15327D"/>
    <w:rsid w:val="3A28432B"/>
    <w:rsid w:val="3A2D6823"/>
    <w:rsid w:val="3A2F4CAD"/>
    <w:rsid w:val="3A3F6B21"/>
    <w:rsid w:val="3A4E7A20"/>
    <w:rsid w:val="3A59585F"/>
    <w:rsid w:val="3A5B3385"/>
    <w:rsid w:val="3A922B1F"/>
    <w:rsid w:val="3A990E0A"/>
    <w:rsid w:val="3AAC5C66"/>
    <w:rsid w:val="3AD86034"/>
    <w:rsid w:val="3ADC781E"/>
    <w:rsid w:val="3ADD023E"/>
    <w:rsid w:val="3AE13193"/>
    <w:rsid w:val="3AE8273F"/>
    <w:rsid w:val="3AE96BE3"/>
    <w:rsid w:val="3AEA20BC"/>
    <w:rsid w:val="3AF10205"/>
    <w:rsid w:val="3AFB2473"/>
    <w:rsid w:val="3AFD1179"/>
    <w:rsid w:val="3B0357CB"/>
    <w:rsid w:val="3B0761DB"/>
    <w:rsid w:val="3B223EA3"/>
    <w:rsid w:val="3B245E6D"/>
    <w:rsid w:val="3B377BC2"/>
    <w:rsid w:val="3B472373"/>
    <w:rsid w:val="3B480C8A"/>
    <w:rsid w:val="3B503CF3"/>
    <w:rsid w:val="3B750477"/>
    <w:rsid w:val="3B876593"/>
    <w:rsid w:val="3B8F3FA7"/>
    <w:rsid w:val="3BB32D4D"/>
    <w:rsid w:val="3BB645EB"/>
    <w:rsid w:val="3BBA232E"/>
    <w:rsid w:val="3BD13AAF"/>
    <w:rsid w:val="3BD50F16"/>
    <w:rsid w:val="3C065573"/>
    <w:rsid w:val="3C115C77"/>
    <w:rsid w:val="3C2F057D"/>
    <w:rsid w:val="3C3814A4"/>
    <w:rsid w:val="3C487939"/>
    <w:rsid w:val="3C495460"/>
    <w:rsid w:val="3C5462DE"/>
    <w:rsid w:val="3C5A766D"/>
    <w:rsid w:val="3C7C5835"/>
    <w:rsid w:val="3C97266F"/>
    <w:rsid w:val="3CA64660"/>
    <w:rsid w:val="3CAC60DD"/>
    <w:rsid w:val="3CAD1E92"/>
    <w:rsid w:val="3CC52D38"/>
    <w:rsid w:val="3CED04E1"/>
    <w:rsid w:val="3D070F13"/>
    <w:rsid w:val="3D271C45"/>
    <w:rsid w:val="3D2A703F"/>
    <w:rsid w:val="3D557970"/>
    <w:rsid w:val="3D6E288F"/>
    <w:rsid w:val="3D9F5C7F"/>
    <w:rsid w:val="3DB1150E"/>
    <w:rsid w:val="3DB42DAD"/>
    <w:rsid w:val="3DBF1031"/>
    <w:rsid w:val="3DD435F6"/>
    <w:rsid w:val="3DDF607B"/>
    <w:rsid w:val="3DEC0BCE"/>
    <w:rsid w:val="3DED721F"/>
    <w:rsid w:val="3DFF2D16"/>
    <w:rsid w:val="3E04629B"/>
    <w:rsid w:val="3E0975B6"/>
    <w:rsid w:val="3E192547"/>
    <w:rsid w:val="3E1A410D"/>
    <w:rsid w:val="3E220526"/>
    <w:rsid w:val="3E350391"/>
    <w:rsid w:val="3E385FDF"/>
    <w:rsid w:val="3E4202FE"/>
    <w:rsid w:val="3E5E3444"/>
    <w:rsid w:val="3E9E096D"/>
    <w:rsid w:val="3EBE2023"/>
    <w:rsid w:val="3EC314F9"/>
    <w:rsid w:val="3ED100BA"/>
    <w:rsid w:val="3EF618CF"/>
    <w:rsid w:val="3EFD0EAF"/>
    <w:rsid w:val="3EFE651F"/>
    <w:rsid w:val="3F291911"/>
    <w:rsid w:val="3F32667F"/>
    <w:rsid w:val="3F3B53F7"/>
    <w:rsid w:val="3F4451E8"/>
    <w:rsid w:val="3F4D34B9"/>
    <w:rsid w:val="3F8C2233"/>
    <w:rsid w:val="3F9F1F66"/>
    <w:rsid w:val="3FA4132B"/>
    <w:rsid w:val="3FB00F40"/>
    <w:rsid w:val="3FB5178A"/>
    <w:rsid w:val="3FBD419A"/>
    <w:rsid w:val="3FC71FC7"/>
    <w:rsid w:val="3FC76845"/>
    <w:rsid w:val="3FD50E8E"/>
    <w:rsid w:val="3FEE4DA0"/>
    <w:rsid w:val="3FF4681C"/>
    <w:rsid w:val="3FF51B41"/>
    <w:rsid w:val="4002230D"/>
    <w:rsid w:val="40025D51"/>
    <w:rsid w:val="4010076E"/>
    <w:rsid w:val="40153FD6"/>
    <w:rsid w:val="40310721"/>
    <w:rsid w:val="40555F36"/>
    <w:rsid w:val="4058598C"/>
    <w:rsid w:val="405C1C05"/>
    <w:rsid w:val="40722808"/>
    <w:rsid w:val="407F0AC3"/>
    <w:rsid w:val="408546D8"/>
    <w:rsid w:val="408D6263"/>
    <w:rsid w:val="40AC655D"/>
    <w:rsid w:val="40B8538E"/>
    <w:rsid w:val="40BF3F42"/>
    <w:rsid w:val="40C1160B"/>
    <w:rsid w:val="40D0614F"/>
    <w:rsid w:val="40D50859"/>
    <w:rsid w:val="40F66D88"/>
    <w:rsid w:val="410858E9"/>
    <w:rsid w:val="412067A0"/>
    <w:rsid w:val="412A1D04"/>
    <w:rsid w:val="4162324B"/>
    <w:rsid w:val="41654AEA"/>
    <w:rsid w:val="41686388"/>
    <w:rsid w:val="41744D2D"/>
    <w:rsid w:val="417B255F"/>
    <w:rsid w:val="418A05E6"/>
    <w:rsid w:val="419D24D5"/>
    <w:rsid w:val="41A25D3E"/>
    <w:rsid w:val="41B53688"/>
    <w:rsid w:val="42002B7B"/>
    <w:rsid w:val="420A626B"/>
    <w:rsid w:val="420F0B18"/>
    <w:rsid w:val="421A3B26"/>
    <w:rsid w:val="421E7BDA"/>
    <w:rsid w:val="42240501"/>
    <w:rsid w:val="424622E4"/>
    <w:rsid w:val="4249396B"/>
    <w:rsid w:val="42554B5E"/>
    <w:rsid w:val="42560557"/>
    <w:rsid w:val="42622B53"/>
    <w:rsid w:val="427E128D"/>
    <w:rsid w:val="4298367B"/>
    <w:rsid w:val="429E4757"/>
    <w:rsid w:val="42A253E4"/>
    <w:rsid w:val="42C45E7E"/>
    <w:rsid w:val="42D77C69"/>
    <w:rsid w:val="42EE3E34"/>
    <w:rsid w:val="42F84F87"/>
    <w:rsid w:val="430420E0"/>
    <w:rsid w:val="43120CA1"/>
    <w:rsid w:val="431978D8"/>
    <w:rsid w:val="43494E9F"/>
    <w:rsid w:val="43601A0D"/>
    <w:rsid w:val="43654CB3"/>
    <w:rsid w:val="43911BC6"/>
    <w:rsid w:val="43A0005B"/>
    <w:rsid w:val="43B82779"/>
    <w:rsid w:val="43BB4E95"/>
    <w:rsid w:val="43C91171"/>
    <w:rsid w:val="43F3462F"/>
    <w:rsid w:val="43F43821"/>
    <w:rsid w:val="43FD20E2"/>
    <w:rsid w:val="44152867"/>
    <w:rsid w:val="44267CA5"/>
    <w:rsid w:val="442B201A"/>
    <w:rsid w:val="442D03F0"/>
    <w:rsid w:val="44323595"/>
    <w:rsid w:val="444F0B46"/>
    <w:rsid w:val="4488028B"/>
    <w:rsid w:val="4489398F"/>
    <w:rsid w:val="4497785C"/>
    <w:rsid w:val="44A74AC8"/>
    <w:rsid w:val="44AA0E80"/>
    <w:rsid w:val="44BE2E8F"/>
    <w:rsid w:val="44D47EB8"/>
    <w:rsid w:val="44EB79FC"/>
    <w:rsid w:val="450629A5"/>
    <w:rsid w:val="452105C8"/>
    <w:rsid w:val="452F4FBA"/>
    <w:rsid w:val="453C6991"/>
    <w:rsid w:val="45502DC3"/>
    <w:rsid w:val="45557FD1"/>
    <w:rsid w:val="455C6563"/>
    <w:rsid w:val="457671A2"/>
    <w:rsid w:val="45794C39"/>
    <w:rsid w:val="457A2230"/>
    <w:rsid w:val="457E2020"/>
    <w:rsid w:val="45937106"/>
    <w:rsid w:val="45B06FA1"/>
    <w:rsid w:val="45B23E4C"/>
    <w:rsid w:val="45BD3146"/>
    <w:rsid w:val="45C5466D"/>
    <w:rsid w:val="45E561F9"/>
    <w:rsid w:val="45F76D9E"/>
    <w:rsid w:val="460305F3"/>
    <w:rsid w:val="460E39A2"/>
    <w:rsid w:val="46160AA8"/>
    <w:rsid w:val="462C5BD6"/>
    <w:rsid w:val="46341091"/>
    <w:rsid w:val="465B470D"/>
    <w:rsid w:val="465D2233"/>
    <w:rsid w:val="467001B9"/>
    <w:rsid w:val="467E3F53"/>
    <w:rsid w:val="467F5A35"/>
    <w:rsid w:val="46843C64"/>
    <w:rsid w:val="46B61CFF"/>
    <w:rsid w:val="46BA1434"/>
    <w:rsid w:val="46BA7686"/>
    <w:rsid w:val="46C676A0"/>
    <w:rsid w:val="46CB53EF"/>
    <w:rsid w:val="46E127DA"/>
    <w:rsid w:val="46E6047B"/>
    <w:rsid w:val="46F5246C"/>
    <w:rsid w:val="46F54B62"/>
    <w:rsid w:val="47031625"/>
    <w:rsid w:val="47217705"/>
    <w:rsid w:val="472A7D48"/>
    <w:rsid w:val="472E7F4D"/>
    <w:rsid w:val="47393DE0"/>
    <w:rsid w:val="473E2065"/>
    <w:rsid w:val="475E0126"/>
    <w:rsid w:val="477A0BC3"/>
    <w:rsid w:val="47A50B7E"/>
    <w:rsid w:val="47AD0F98"/>
    <w:rsid w:val="47B642F1"/>
    <w:rsid w:val="47C762B9"/>
    <w:rsid w:val="47C86E80"/>
    <w:rsid w:val="47D42C80"/>
    <w:rsid w:val="47E32888"/>
    <w:rsid w:val="47E56984"/>
    <w:rsid w:val="47EA21FE"/>
    <w:rsid w:val="47F15329"/>
    <w:rsid w:val="47F24BFD"/>
    <w:rsid w:val="47FC782A"/>
    <w:rsid w:val="48036E0A"/>
    <w:rsid w:val="4818186B"/>
    <w:rsid w:val="482B73A4"/>
    <w:rsid w:val="483B47F6"/>
    <w:rsid w:val="48454D5E"/>
    <w:rsid w:val="4847319B"/>
    <w:rsid w:val="486D5216"/>
    <w:rsid w:val="487E1BE3"/>
    <w:rsid w:val="489C3C76"/>
    <w:rsid w:val="48AA328D"/>
    <w:rsid w:val="48B87BF5"/>
    <w:rsid w:val="48C5247C"/>
    <w:rsid w:val="48D16F09"/>
    <w:rsid w:val="48D34A2F"/>
    <w:rsid w:val="48DC7D87"/>
    <w:rsid w:val="48E50A71"/>
    <w:rsid w:val="49035500"/>
    <w:rsid w:val="49080B7C"/>
    <w:rsid w:val="491D0802"/>
    <w:rsid w:val="492139EC"/>
    <w:rsid w:val="49441489"/>
    <w:rsid w:val="49595E62"/>
    <w:rsid w:val="49913168"/>
    <w:rsid w:val="499A554C"/>
    <w:rsid w:val="499D0938"/>
    <w:rsid w:val="49CC2D15"/>
    <w:rsid w:val="49CC7451"/>
    <w:rsid w:val="49E16D86"/>
    <w:rsid w:val="4A05330E"/>
    <w:rsid w:val="4A1477D4"/>
    <w:rsid w:val="4A2A4EBD"/>
    <w:rsid w:val="4A59470D"/>
    <w:rsid w:val="4A5B1180"/>
    <w:rsid w:val="4A906C35"/>
    <w:rsid w:val="4A9567E7"/>
    <w:rsid w:val="4AA03036"/>
    <w:rsid w:val="4AB8212E"/>
    <w:rsid w:val="4AC87C91"/>
    <w:rsid w:val="4ACE4B27"/>
    <w:rsid w:val="4AF34EA9"/>
    <w:rsid w:val="4AF40152"/>
    <w:rsid w:val="4AFF5FAF"/>
    <w:rsid w:val="4B090BDC"/>
    <w:rsid w:val="4B18668A"/>
    <w:rsid w:val="4B2652EA"/>
    <w:rsid w:val="4B29302C"/>
    <w:rsid w:val="4B306168"/>
    <w:rsid w:val="4B307F16"/>
    <w:rsid w:val="4B3519D1"/>
    <w:rsid w:val="4B4536BB"/>
    <w:rsid w:val="4B69167A"/>
    <w:rsid w:val="4B692C1A"/>
    <w:rsid w:val="4B72175D"/>
    <w:rsid w:val="4B736055"/>
    <w:rsid w:val="4B9A7A86"/>
    <w:rsid w:val="4B9F32EE"/>
    <w:rsid w:val="4BBA3AB7"/>
    <w:rsid w:val="4BBD74CB"/>
    <w:rsid w:val="4BBE3774"/>
    <w:rsid w:val="4BD905AE"/>
    <w:rsid w:val="4BD96800"/>
    <w:rsid w:val="4BFC1E65"/>
    <w:rsid w:val="4C0575F5"/>
    <w:rsid w:val="4C2E72E2"/>
    <w:rsid w:val="4C3677AE"/>
    <w:rsid w:val="4C3E5B6D"/>
    <w:rsid w:val="4C43011D"/>
    <w:rsid w:val="4C547C35"/>
    <w:rsid w:val="4C782B57"/>
    <w:rsid w:val="4C842B41"/>
    <w:rsid w:val="4C855DDB"/>
    <w:rsid w:val="4CA749AC"/>
    <w:rsid w:val="4CE2768B"/>
    <w:rsid w:val="4CEF5BAF"/>
    <w:rsid w:val="4CF775C0"/>
    <w:rsid w:val="4CFE069C"/>
    <w:rsid w:val="4D0C6761"/>
    <w:rsid w:val="4D1E098D"/>
    <w:rsid w:val="4D221AE1"/>
    <w:rsid w:val="4D330192"/>
    <w:rsid w:val="4D4766CA"/>
    <w:rsid w:val="4D4938E7"/>
    <w:rsid w:val="4D4A55F2"/>
    <w:rsid w:val="4D4E0B28"/>
    <w:rsid w:val="4D682A44"/>
    <w:rsid w:val="4D6B16DA"/>
    <w:rsid w:val="4D7367E0"/>
    <w:rsid w:val="4D783DF7"/>
    <w:rsid w:val="4D810EFD"/>
    <w:rsid w:val="4D8758EA"/>
    <w:rsid w:val="4D994499"/>
    <w:rsid w:val="4DA62712"/>
    <w:rsid w:val="4DB27309"/>
    <w:rsid w:val="4DC4528E"/>
    <w:rsid w:val="4DC52E90"/>
    <w:rsid w:val="4DCD6AB9"/>
    <w:rsid w:val="4DE605A8"/>
    <w:rsid w:val="4DEB406C"/>
    <w:rsid w:val="4DF25957"/>
    <w:rsid w:val="4DFA1627"/>
    <w:rsid w:val="4DFA2753"/>
    <w:rsid w:val="4E2F6DF1"/>
    <w:rsid w:val="4E323FA5"/>
    <w:rsid w:val="4E375A60"/>
    <w:rsid w:val="4E485577"/>
    <w:rsid w:val="4E6E5A06"/>
    <w:rsid w:val="4E8307D3"/>
    <w:rsid w:val="4E8C593B"/>
    <w:rsid w:val="4EA26E85"/>
    <w:rsid w:val="4EA82C47"/>
    <w:rsid w:val="4EB1136E"/>
    <w:rsid w:val="4EB42C0C"/>
    <w:rsid w:val="4ED7515D"/>
    <w:rsid w:val="4EE4179B"/>
    <w:rsid w:val="4F0717A4"/>
    <w:rsid w:val="4F137888"/>
    <w:rsid w:val="4F164C0A"/>
    <w:rsid w:val="4F477F24"/>
    <w:rsid w:val="4F6D18C0"/>
    <w:rsid w:val="4F714FA1"/>
    <w:rsid w:val="4F7B372A"/>
    <w:rsid w:val="4F815549"/>
    <w:rsid w:val="4FA513FB"/>
    <w:rsid w:val="4FB031D0"/>
    <w:rsid w:val="4FE727F0"/>
    <w:rsid w:val="5003209D"/>
    <w:rsid w:val="50125E3D"/>
    <w:rsid w:val="5013494A"/>
    <w:rsid w:val="50155050"/>
    <w:rsid w:val="50566671"/>
    <w:rsid w:val="505E72D4"/>
    <w:rsid w:val="50703D53"/>
    <w:rsid w:val="50747C1D"/>
    <w:rsid w:val="50754B6C"/>
    <w:rsid w:val="507D47B5"/>
    <w:rsid w:val="508E64BE"/>
    <w:rsid w:val="50A32F39"/>
    <w:rsid w:val="50A632CD"/>
    <w:rsid w:val="50B33294"/>
    <w:rsid w:val="50BC0F04"/>
    <w:rsid w:val="50C335DB"/>
    <w:rsid w:val="50E7551B"/>
    <w:rsid w:val="5100482F"/>
    <w:rsid w:val="51085492"/>
    <w:rsid w:val="511701B4"/>
    <w:rsid w:val="51172209"/>
    <w:rsid w:val="51363DAD"/>
    <w:rsid w:val="5139688C"/>
    <w:rsid w:val="514E559A"/>
    <w:rsid w:val="514F27EB"/>
    <w:rsid w:val="5164091A"/>
    <w:rsid w:val="517967BA"/>
    <w:rsid w:val="51990B70"/>
    <w:rsid w:val="519C4558"/>
    <w:rsid w:val="51AF3A51"/>
    <w:rsid w:val="51AF7DB0"/>
    <w:rsid w:val="51B263F2"/>
    <w:rsid w:val="51BF1FF4"/>
    <w:rsid w:val="51CE66DB"/>
    <w:rsid w:val="51D672E8"/>
    <w:rsid w:val="51F36142"/>
    <w:rsid w:val="52065FE5"/>
    <w:rsid w:val="521E2410"/>
    <w:rsid w:val="52236728"/>
    <w:rsid w:val="525F19A5"/>
    <w:rsid w:val="52761117"/>
    <w:rsid w:val="527813B6"/>
    <w:rsid w:val="527821A3"/>
    <w:rsid w:val="528079D5"/>
    <w:rsid w:val="528A2602"/>
    <w:rsid w:val="528C7FFB"/>
    <w:rsid w:val="52901DE0"/>
    <w:rsid w:val="52A87C31"/>
    <w:rsid w:val="52AA4A52"/>
    <w:rsid w:val="52AB747E"/>
    <w:rsid w:val="52BF7DD2"/>
    <w:rsid w:val="52CB49C9"/>
    <w:rsid w:val="52E445EE"/>
    <w:rsid w:val="52FC4B82"/>
    <w:rsid w:val="53130849"/>
    <w:rsid w:val="531A11E6"/>
    <w:rsid w:val="531C3B06"/>
    <w:rsid w:val="532B497C"/>
    <w:rsid w:val="536C61AC"/>
    <w:rsid w:val="536C7C6B"/>
    <w:rsid w:val="537C2D5A"/>
    <w:rsid w:val="5383359D"/>
    <w:rsid w:val="53896B1D"/>
    <w:rsid w:val="539223C0"/>
    <w:rsid w:val="539B439B"/>
    <w:rsid w:val="53A70F92"/>
    <w:rsid w:val="53AB6CD4"/>
    <w:rsid w:val="53AE2320"/>
    <w:rsid w:val="53B373CC"/>
    <w:rsid w:val="53CC338E"/>
    <w:rsid w:val="53D55AFF"/>
    <w:rsid w:val="53D9412D"/>
    <w:rsid w:val="53DB3461"/>
    <w:rsid w:val="53DF24DA"/>
    <w:rsid w:val="54166765"/>
    <w:rsid w:val="541D223B"/>
    <w:rsid w:val="541F4FCC"/>
    <w:rsid w:val="542415EF"/>
    <w:rsid w:val="544E58B1"/>
    <w:rsid w:val="54574766"/>
    <w:rsid w:val="54752C39"/>
    <w:rsid w:val="547923B1"/>
    <w:rsid w:val="547B180B"/>
    <w:rsid w:val="54834E17"/>
    <w:rsid w:val="54963B91"/>
    <w:rsid w:val="54AC5EEB"/>
    <w:rsid w:val="54B46AAE"/>
    <w:rsid w:val="54C54B7D"/>
    <w:rsid w:val="54C64055"/>
    <w:rsid w:val="54D062C6"/>
    <w:rsid w:val="54EA7388"/>
    <w:rsid w:val="54FB45ED"/>
    <w:rsid w:val="550541C2"/>
    <w:rsid w:val="553920BD"/>
    <w:rsid w:val="5574130C"/>
    <w:rsid w:val="55A02DDD"/>
    <w:rsid w:val="55BF098C"/>
    <w:rsid w:val="55D01AD3"/>
    <w:rsid w:val="55EE4364"/>
    <w:rsid w:val="55FA2598"/>
    <w:rsid w:val="5605173E"/>
    <w:rsid w:val="56051FA0"/>
    <w:rsid w:val="56076FF5"/>
    <w:rsid w:val="560E70A6"/>
    <w:rsid w:val="56270168"/>
    <w:rsid w:val="5627460C"/>
    <w:rsid w:val="562E53E3"/>
    <w:rsid w:val="56342623"/>
    <w:rsid w:val="563669B4"/>
    <w:rsid w:val="563A60ED"/>
    <w:rsid w:val="56496330"/>
    <w:rsid w:val="566D64C3"/>
    <w:rsid w:val="56777341"/>
    <w:rsid w:val="56845933"/>
    <w:rsid w:val="568D0F69"/>
    <w:rsid w:val="56993295"/>
    <w:rsid w:val="56996E20"/>
    <w:rsid w:val="56A1616C"/>
    <w:rsid w:val="56A417B8"/>
    <w:rsid w:val="56AD2D63"/>
    <w:rsid w:val="56AE2637"/>
    <w:rsid w:val="56BE16E4"/>
    <w:rsid w:val="56BE3705"/>
    <w:rsid w:val="56D26326"/>
    <w:rsid w:val="56F049FE"/>
    <w:rsid w:val="56F35687"/>
    <w:rsid w:val="56F61590"/>
    <w:rsid w:val="570B7BF8"/>
    <w:rsid w:val="571B3010"/>
    <w:rsid w:val="572B1B77"/>
    <w:rsid w:val="5734617A"/>
    <w:rsid w:val="574067A9"/>
    <w:rsid w:val="574A0EC3"/>
    <w:rsid w:val="574A676D"/>
    <w:rsid w:val="574B60D8"/>
    <w:rsid w:val="57631674"/>
    <w:rsid w:val="57631C67"/>
    <w:rsid w:val="57650F48"/>
    <w:rsid w:val="57671164"/>
    <w:rsid w:val="576F0018"/>
    <w:rsid w:val="57727B09"/>
    <w:rsid w:val="57732EA7"/>
    <w:rsid w:val="57733982"/>
    <w:rsid w:val="57925AB5"/>
    <w:rsid w:val="5795673D"/>
    <w:rsid w:val="57A777B2"/>
    <w:rsid w:val="57AF2B0B"/>
    <w:rsid w:val="57B41ECF"/>
    <w:rsid w:val="57B51B83"/>
    <w:rsid w:val="57C739B1"/>
    <w:rsid w:val="57D545A0"/>
    <w:rsid w:val="57DC7C09"/>
    <w:rsid w:val="57F14FD4"/>
    <w:rsid w:val="580364F4"/>
    <w:rsid w:val="581710CF"/>
    <w:rsid w:val="58283AA0"/>
    <w:rsid w:val="583354EA"/>
    <w:rsid w:val="58361B9D"/>
    <w:rsid w:val="58387191"/>
    <w:rsid w:val="585111DA"/>
    <w:rsid w:val="585316E8"/>
    <w:rsid w:val="585711D8"/>
    <w:rsid w:val="585E3CD7"/>
    <w:rsid w:val="585F7F0A"/>
    <w:rsid w:val="58600DC2"/>
    <w:rsid w:val="586456A3"/>
    <w:rsid w:val="588875E4"/>
    <w:rsid w:val="589715D5"/>
    <w:rsid w:val="58BA31BA"/>
    <w:rsid w:val="58BE44D1"/>
    <w:rsid w:val="58C03462"/>
    <w:rsid w:val="58C215B8"/>
    <w:rsid w:val="58D00A6C"/>
    <w:rsid w:val="590649AC"/>
    <w:rsid w:val="590C6034"/>
    <w:rsid w:val="59101387"/>
    <w:rsid w:val="59170968"/>
    <w:rsid w:val="591A038F"/>
    <w:rsid w:val="59294CF3"/>
    <w:rsid w:val="596A0A97"/>
    <w:rsid w:val="5980557A"/>
    <w:rsid w:val="59A10231"/>
    <w:rsid w:val="59AC72D3"/>
    <w:rsid w:val="59B14FC6"/>
    <w:rsid w:val="59B30690"/>
    <w:rsid w:val="59B937CD"/>
    <w:rsid w:val="59C01F89"/>
    <w:rsid w:val="59D86349"/>
    <w:rsid w:val="59F67B0D"/>
    <w:rsid w:val="59FE5847"/>
    <w:rsid w:val="59FE7432"/>
    <w:rsid w:val="5A117165"/>
    <w:rsid w:val="5A162549"/>
    <w:rsid w:val="5A20384C"/>
    <w:rsid w:val="5A23442E"/>
    <w:rsid w:val="5A250E62"/>
    <w:rsid w:val="5A376B0B"/>
    <w:rsid w:val="5A395DC4"/>
    <w:rsid w:val="5A623E64"/>
    <w:rsid w:val="5A697C1F"/>
    <w:rsid w:val="5A7A11AE"/>
    <w:rsid w:val="5A9F5E78"/>
    <w:rsid w:val="5AA24E46"/>
    <w:rsid w:val="5AAB580B"/>
    <w:rsid w:val="5AB20948"/>
    <w:rsid w:val="5AB83156"/>
    <w:rsid w:val="5AC93B09"/>
    <w:rsid w:val="5ADF1011"/>
    <w:rsid w:val="5AEC7FD2"/>
    <w:rsid w:val="5AFC0D89"/>
    <w:rsid w:val="5AFE1DDF"/>
    <w:rsid w:val="5B044D52"/>
    <w:rsid w:val="5B0664B5"/>
    <w:rsid w:val="5B2432AE"/>
    <w:rsid w:val="5B2B6DA2"/>
    <w:rsid w:val="5B3A26EB"/>
    <w:rsid w:val="5B4B77BA"/>
    <w:rsid w:val="5B527A35"/>
    <w:rsid w:val="5B546999"/>
    <w:rsid w:val="5B590DC3"/>
    <w:rsid w:val="5B687062"/>
    <w:rsid w:val="5B690172"/>
    <w:rsid w:val="5B743803"/>
    <w:rsid w:val="5B7756EE"/>
    <w:rsid w:val="5BA61773"/>
    <w:rsid w:val="5BAB1751"/>
    <w:rsid w:val="5BC85EC2"/>
    <w:rsid w:val="5BCF1B73"/>
    <w:rsid w:val="5BD14DFE"/>
    <w:rsid w:val="5BD861F1"/>
    <w:rsid w:val="5C0541DA"/>
    <w:rsid w:val="5C0A1DD1"/>
    <w:rsid w:val="5C237623"/>
    <w:rsid w:val="5C4B051D"/>
    <w:rsid w:val="5C4D1418"/>
    <w:rsid w:val="5C564D8F"/>
    <w:rsid w:val="5C5679F9"/>
    <w:rsid w:val="5C7659A5"/>
    <w:rsid w:val="5C7F0CFE"/>
    <w:rsid w:val="5C886A79"/>
    <w:rsid w:val="5C987A6F"/>
    <w:rsid w:val="5C9E77B6"/>
    <w:rsid w:val="5C9F76F5"/>
    <w:rsid w:val="5CA41A17"/>
    <w:rsid w:val="5CBA0C04"/>
    <w:rsid w:val="5CC87008"/>
    <w:rsid w:val="5CDF59BF"/>
    <w:rsid w:val="5CFC40FC"/>
    <w:rsid w:val="5D0905C7"/>
    <w:rsid w:val="5D375134"/>
    <w:rsid w:val="5D3959B1"/>
    <w:rsid w:val="5D42314C"/>
    <w:rsid w:val="5D533CDF"/>
    <w:rsid w:val="5D566D95"/>
    <w:rsid w:val="5DAB167E"/>
    <w:rsid w:val="5DAC503F"/>
    <w:rsid w:val="5DAF116F"/>
    <w:rsid w:val="5DC24AAD"/>
    <w:rsid w:val="5DC538B1"/>
    <w:rsid w:val="5DDA393E"/>
    <w:rsid w:val="5DDD2679"/>
    <w:rsid w:val="5DE0757A"/>
    <w:rsid w:val="5DEA03F9"/>
    <w:rsid w:val="5E2A4C99"/>
    <w:rsid w:val="5E396218"/>
    <w:rsid w:val="5E3E59B5"/>
    <w:rsid w:val="5E4A609E"/>
    <w:rsid w:val="5E5F7CB1"/>
    <w:rsid w:val="5E6261E1"/>
    <w:rsid w:val="5E6957C1"/>
    <w:rsid w:val="5E7101D3"/>
    <w:rsid w:val="5E826883"/>
    <w:rsid w:val="5E8E1A85"/>
    <w:rsid w:val="5E9D36BD"/>
    <w:rsid w:val="5EA06D09"/>
    <w:rsid w:val="5EBE54A9"/>
    <w:rsid w:val="5ECD3892"/>
    <w:rsid w:val="5EDF5A84"/>
    <w:rsid w:val="5EFA0B0F"/>
    <w:rsid w:val="5F0454EA"/>
    <w:rsid w:val="5F3C2ED6"/>
    <w:rsid w:val="5F50072F"/>
    <w:rsid w:val="5F7D704B"/>
    <w:rsid w:val="5F831E2A"/>
    <w:rsid w:val="5F942D12"/>
    <w:rsid w:val="5FA80B17"/>
    <w:rsid w:val="5FB94EA3"/>
    <w:rsid w:val="5FC1162D"/>
    <w:rsid w:val="5FC15E00"/>
    <w:rsid w:val="5FE1582B"/>
    <w:rsid w:val="5FE977AF"/>
    <w:rsid w:val="5FF4730D"/>
    <w:rsid w:val="6004204C"/>
    <w:rsid w:val="601C2D9F"/>
    <w:rsid w:val="60251BBC"/>
    <w:rsid w:val="60371627"/>
    <w:rsid w:val="60434115"/>
    <w:rsid w:val="60455DBA"/>
    <w:rsid w:val="60620F3C"/>
    <w:rsid w:val="606B1AAC"/>
    <w:rsid w:val="606D5311"/>
    <w:rsid w:val="606E520D"/>
    <w:rsid w:val="60716BAF"/>
    <w:rsid w:val="609E2EB9"/>
    <w:rsid w:val="60BA67A8"/>
    <w:rsid w:val="60C0216E"/>
    <w:rsid w:val="60DD4245"/>
    <w:rsid w:val="60E53DE4"/>
    <w:rsid w:val="60E83DBD"/>
    <w:rsid w:val="60F375C4"/>
    <w:rsid w:val="6116641A"/>
    <w:rsid w:val="6124675F"/>
    <w:rsid w:val="61271964"/>
    <w:rsid w:val="61273712"/>
    <w:rsid w:val="612E30A3"/>
    <w:rsid w:val="613F0A5C"/>
    <w:rsid w:val="615462DD"/>
    <w:rsid w:val="6155027F"/>
    <w:rsid w:val="617A7CE6"/>
    <w:rsid w:val="618C17C7"/>
    <w:rsid w:val="619A3EE4"/>
    <w:rsid w:val="61B431F8"/>
    <w:rsid w:val="61D4389A"/>
    <w:rsid w:val="61DF5D9B"/>
    <w:rsid w:val="61E15FB7"/>
    <w:rsid w:val="620E1FC7"/>
    <w:rsid w:val="62155CCB"/>
    <w:rsid w:val="62353C0D"/>
    <w:rsid w:val="62627FD4"/>
    <w:rsid w:val="627117AC"/>
    <w:rsid w:val="62797F9D"/>
    <w:rsid w:val="628250A4"/>
    <w:rsid w:val="62944DD7"/>
    <w:rsid w:val="6295280E"/>
    <w:rsid w:val="62FD0BCE"/>
    <w:rsid w:val="62FD5B49"/>
    <w:rsid w:val="632569E1"/>
    <w:rsid w:val="6328654B"/>
    <w:rsid w:val="63381C06"/>
    <w:rsid w:val="633F2F95"/>
    <w:rsid w:val="63554566"/>
    <w:rsid w:val="635602DE"/>
    <w:rsid w:val="63585E05"/>
    <w:rsid w:val="63876272"/>
    <w:rsid w:val="63AB687C"/>
    <w:rsid w:val="63B14D1E"/>
    <w:rsid w:val="63BC7093"/>
    <w:rsid w:val="63DD630A"/>
    <w:rsid w:val="63DE6333"/>
    <w:rsid w:val="63EF5891"/>
    <w:rsid w:val="64114CF2"/>
    <w:rsid w:val="64214FFC"/>
    <w:rsid w:val="64356146"/>
    <w:rsid w:val="64515294"/>
    <w:rsid w:val="64541BF7"/>
    <w:rsid w:val="646421A8"/>
    <w:rsid w:val="64700097"/>
    <w:rsid w:val="647C54E3"/>
    <w:rsid w:val="64970BAF"/>
    <w:rsid w:val="649872E1"/>
    <w:rsid w:val="64A84B6A"/>
    <w:rsid w:val="64AC465A"/>
    <w:rsid w:val="64B81251"/>
    <w:rsid w:val="64DC3F47"/>
    <w:rsid w:val="64DD4813"/>
    <w:rsid w:val="64E738E4"/>
    <w:rsid w:val="64F63B65"/>
    <w:rsid w:val="64F97173"/>
    <w:rsid w:val="65066256"/>
    <w:rsid w:val="651144BD"/>
    <w:rsid w:val="65183A9D"/>
    <w:rsid w:val="65205DFE"/>
    <w:rsid w:val="656E2D6F"/>
    <w:rsid w:val="65702D9F"/>
    <w:rsid w:val="65832838"/>
    <w:rsid w:val="659550EE"/>
    <w:rsid w:val="65B8702E"/>
    <w:rsid w:val="65CD2ADA"/>
    <w:rsid w:val="65D813BD"/>
    <w:rsid w:val="65E721C2"/>
    <w:rsid w:val="65F00F14"/>
    <w:rsid w:val="66042274"/>
    <w:rsid w:val="662446C4"/>
    <w:rsid w:val="662B5AB7"/>
    <w:rsid w:val="662D5327"/>
    <w:rsid w:val="662F72F1"/>
    <w:rsid w:val="66410DD2"/>
    <w:rsid w:val="667271DD"/>
    <w:rsid w:val="667473F9"/>
    <w:rsid w:val="668B5E30"/>
    <w:rsid w:val="668D3D67"/>
    <w:rsid w:val="66AD37ED"/>
    <w:rsid w:val="66C0263F"/>
    <w:rsid w:val="66C51A03"/>
    <w:rsid w:val="66CD08B8"/>
    <w:rsid w:val="66E225B5"/>
    <w:rsid w:val="66E30641"/>
    <w:rsid w:val="66E42D65"/>
    <w:rsid w:val="66FB5425"/>
    <w:rsid w:val="67184DEA"/>
    <w:rsid w:val="671B5AC7"/>
    <w:rsid w:val="671C5B08"/>
    <w:rsid w:val="6728737E"/>
    <w:rsid w:val="672E75A8"/>
    <w:rsid w:val="673D0897"/>
    <w:rsid w:val="67446C06"/>
    <w:rsid w:val="6759039D"/>
    <w:rsid w:val="6773320D"/>
    <w:rsid w:val="6784541A"/>
    <w:rsid w:val="67AF5F87"/>
    <w:rsid w:val="67D04882"/>
    <w:rsid w:val="67DF5E5C"/>
    <w:rsid w:val="67E57677"/>
    <w:rsid w:val="67F24A7A"/>
    <w:rsid w:val="680E2F36"/>
    <w:rsid w:val="6813679E"/>
    <w:rsid w:val="68153BCE"/>
    <w:rsid w:val="681770D1"/>
    <w:rsid w:val="684F066B"/>
    <w:rsid w:val="68701E42"/>
    <w:rsid w:val="687A4A6F"/>
    <w:rsid w:val="688558EE"/>
    <w:rsid w:val="6889423F"/>
    <w:rsid w:val="68A8338A"/>
    <w:rsid w:val="68AD70A7"/>
    <w:rsid w:val="68B24209"/>
    <w:rsid w:val="68C53F3C"/>
    <w:rsid w:val="68C54BB5"/>
    <w:rsid w:val="68F928D6"/>
    <w:rsid w:val="69086D1C"/>
    <w:rsid w:val="693358A0"/>
    <w:rsid w:val="693A0CA8"/>
    <w:rsid w:val="69407A67"/>
    <w:rsid w:val="694766FF"/>
    <w:rsid w:val="695D5F23"/>
    <w:rsid w:val="69734FE3"/>
    <w:rsid w:val="697A1BEC"/>
    <w:rsid w:val="697C24D9"/>
    <w:rsid w:val="69B4784F"/>
    <w:rsid w:val="69C164C5"/>
    <w:rsid w:val="69C97EDC"/>
    <w:rsid w:val="69D5798D"/>
    <w:rsid w:val="69E10C86"/>
    <w:rsid w:val="69E4554D"/>
    <w:rsid w:val="69E77EE2"/>
    <w:rsid w:val="69F0323B"/>
    <w:rsid w:val="6A111F99"/>
    <w:rsid w:val="6A2012DF"/>
    <w:rsid w:val="6A3F7D1E"/>
    <w:rsid w:val="6A5F5CCB"/>
    <w:rsid w:val="6A7379C8"/>
    <w:rsid w:val="6A81465A"/>
    <w:rsid w:val="6A9E16DC"/>
    <w:rsid w:val="6AC12F95"/>
    <w:rsid w:val="6AC344AB"/>
    <w:rsid w:val="6ACA583A"/>
    <w:rsid w:val="6ACF3CA9"/>
    <w:rsid w:val="6AEB57B0"/>
    <w:rsid w:val="6AEF34F2"/>
    <w:rsid w:val="6AF7660F"/>
    <w:rsid w:val="6AFD4A58"/>
    <w:rsid w:val="6B0A20DA"/>
    <w:rsid w:val="6B142CAB"/>
    <w:rsid w:val="6B1E4416"/>
    <w:rsid w:val="6B2667E8"/>
    <w:rsid w:val="6B314509"/>
    <w:rsid w:val="6B3B60B4"/>
    <w:rsid w:val="6B4E5CCB"/>
    <w:rsid w:val="6B4E646B"/>
    <w:rsid w:val="6B535030"/>
    <w:rsid w:val="6B563357"/>
    <w:rsid w:val="6B5B14F6"/>
    <w:rsid w:val="6B84187C"/>
    <w:rsid w:val="6B8C6F93"/>
    <w:rsid w:val="6B8E4AB9"/>
    <w:rsid w:val="6B8F55D3"/>
    <w:rsid w:val="6B91677C"/>
    <w:rsid w:val="6B9969E4"/>
    <w:rsid w:val="6BA8544F"/>
    <w:rsid w:val="6BAA3D7B"/>
    <w:rsid w:val="6BB46A94"/>
    <w:rsid w:val="6BB64010"/>
    <w:rsid w:val="6BD10E4A"/>
    <w:rsid w:val="6BDA69C9"/>
    <w:rsid w:val="6BE02E3B"/>
    <w:rsid w:val="6BE741CA"/>
    <w:rsid w:val="6BEB1F0C"/>
    <w:rsid w:val="6BF6440D"/>
    <w:rsid w:val="6C0B435C"/>
    <w:rsid w:val="6C3513D9"/>
    <w:rsid w:val="6C4E249B"/>
    <w:rsid w:val="6C515AE7"/>
    <w:rsid w:val="6C6E6699"/>
    <w:rsid w:val="6C7D68DC"/>
    <w:rsid w:val="6C7E0814"/>
    <w:rsid w:val="6C89702F"/>
    <w:rsid w:val="6CA63B9E"/>
    <w:rsid w:val="6CA64085"/>
    <w:rsid w:val="6CBB5118"/>
    <w:rsid w:val="6CC30793"/>
    <w:rsid w:val="6CEA47A7"/>
    <w:rsid w:val="6CF21078"/>
    <w:rsid w:val="6CFC7FBF"/>
    <w:rsid w:val="6D2B0912"/>
    <w:rsid w:val="6D2C0562"/>
    <w:rsid w:val="6D2F06A3"/>
    <w:rsid w:val="6D301BA0"/>
    <w:rsid w:val="6D3448C8"/>
    <w:rsid w:val="6D47655C"/>
    <w:rsid w:val="6D4910E0"/>
    <w:rsid w:val="6D604349"/>
    <w:rsid w:val="6D69213B"/>
    <w:rsid w:val="6D8141AA"/>
    <w:rsid w:val="6D82064E"/>
    <w:rsid w:val="6D88378A"/>
    <w:rsid w:val="6DBA2539"/>
    <w:rsid w:val="6DBC6876"/>
    <w:rsid w:val="6DD16EDF"/>
    <w:rsid w:val="6DE94229"/>
    <w:rsid w:val="6E0E0133"/>
    <w:rsid w:val="6E2E7ECC"/>
    <w:rsid w:val="6E303976"/>
    <w:rsid w:val="6E4271B0"/>
    <w:rsid w:val="6E587601"/>
    <w:rsid w:val="6E5D4C17"/>
    <w:rsid w:val="6E7F4B8D"/>
    <w:rsid w:val="6E9154B8"/>
    <w:rsid w:val="6EA36D58"/>
    <w:rsid w:val="6EB011EB"/>
    <w:rsid w:val="6ECB58D1"/>
    <w:rsid w:val="6ED22F0F"/>
    <w:rsid w:val="6EDE0330"/>
    <w:rsid w:val="6EED1AF7"/>
    <w:rsid w:val="6F1411C3"/>
    <w:rsid w:val="6F2B66B4"/>
    <w:rsid w:val="6F3F60CB"/>
    <w:rsid w:val="6F40431D"/>
    <w:rsid w:val="6F5B74A9"/>
    <w:rsid w:val="6F5E29F5"/>
    <w:rsid w:val="6F865AA7"/>
    <w:rsid w:val="6FD613A2"/>
    <w:rsid w:val="6FDD0F4B"/>
    <w:rsid w:val="6FFB46E7"/>
    <w:rsid w:val="6FFC2E81"/>
    <w:rsid w:val="700272EA"/>
    <w:rsid w:val="701C1688"/>
    <w:rsid w:val="702133B8"/>
    <w:rsid w:val="70396867"/>
    <w:rsid w:val="703D244F"/>
    <w:rsid w:val="70627164"/>
    <w:rsid w:val="707D6EAA"/>
    <w:rsid w:val="70814BED"/>
    <w:rsid w:val="70850A8B"/>
    <w:rsid w:val="70951F35"/>
    <w:rsid w:val="70BC7108"/>
    <w:rsid w:val="70D932CF"/>
    <w:rsid w:val="70EE379E"/>
    <w:rsid w:val="70F51137"/>
    <w:rsid w:val="70F63CDB"/>
    <w:rsid w:val="70F85802"/>
    <w:rsid w:val="711B4046"/>
    <w:rsid w:val="712B2DAA"/>
    <w:rsid w:val="713C1C11"/>
    <w:rsid w:val="7141437C"/>
    <w:rsid w:val="715A4658"/>
    <w:rsid w:val="716065F6"/>
    <w:rsid w:val="71620B0D"/>
    <w:rsid w:val="71665B90"/>
    <w:rsid w:val="717A56C5"/>
    <w:rsid w:val="717F6C52"/>
    <w:rsid w:val="71813E9E"/>
    <w:rsid w:val="71836742"/>
    <w:rsid w:val="71A1306D"/>
    <w:rsid w:val="71A70AC1"/>
    <w:rsid w:val="71AB7A47"/>
    <w:rsid w:val="71BB40D8"/>
    <w:rsid w:val="71BE5988"/>
    <w:rsid w:val="71D01A24"/>
    <w:rsid w:val="71DC2096"/>
    <w:rsid w:val="71E227D9"/>
    <w:rsid w:val="71F154EC"/>
    <w:rsid w:val="71FD350D"/>
    <w:rsid w:val="71FD64F5"/>
    <w:rsid w:val="72161AEC"/>
    <w:rsid w:val="722A3062"/>
    <w:rsid w:val="72370CB6"/>
    <w:rsid w:val="72417DC5"/>
    <w:rsid w:val="72477770"/>
    <w:rsid w:val="724D022D"/>
    <w:rsid w:val="72534367"/>
    <w:rsid w:val="725A6FBD"/>
    <w:rsid w:val="726F3A57"/>
    <w:rsid w:val="72872262"/>
    <w:rsid w:val="72923BB4"/>
    <w:rsid w:val="729B5678"/>
    <w:rsid w:val="729C7858"/>
    <w:rsid w:val="72CE60E3"/>
    <w:rsid w:val="72E27499"/>
    <w:rsid w:val="72E94CCB"/>
    <w:rsid w:val="7306587D"/>
    <w:rsid w:val="730B6C33"/>
    <w:rsid w:val="731D42F2"/>
    <w:rsid w:val="73365D15"/>
    <w:rsid w:val="735F0AE9"/>
    <w:rsid w:val="73614861"/>
    <w:rsid w:val="736E51D0"/>
    <w:rsid w:val="737C5B3F"/>
    <w:rsid w:val="73880040"/>
    <w:rsid w:val="738E3B9D"/>
    <w:rsid w:val="73905147"/>
    <w:rsid w:val="73942E89"/>
    <w:rsid w:val="73A56E44"/>
    <w:rsid w:val="73C372CA"/>
    <w:rsid w:val="73DB6292"/>
    <w:rsid w:val="73DD62AE"/>
    <w:rsid w:val="73E01C2A"/>
    <w:rsid w:val="73F90F3E"/>
    <w:rsid w:val="73FA67C5"/>
    <w:rsid w:val="74237620"/>
    <w:rsid w:val="742E35CA"/>
    <w:rsid w:val="743401C8"/>
    <w:rsid w:val="744B043F"/>
    <w:rsid w:val="745F359F"/>
    <w:rsid w:val="74967DCE"/>
    <w:rsid w:val="74A83046"/>
    <w:rsid w:val="74CA4688"/>
    <w:rsid w:val="74D4757B"/>
    <w:rsid w:val="74DA1CEF"/>
    <w:rsid w:val="74E32708"/>
    <w:rsid w:val="74E4147A"/>
    <w:rsid w:val="74F87447"/>
    <w:rsid w:val="7506180B"/>
    <w:rsid w:val="75093403"/>
    <w:rsid w:val="7509415A"/>
    <w:rsid w:val="75192A84"/>
    <w:rsid w:val="75226272"/>
    <w:rsid w:val="75397727"/>
    <w:rsid w:val="753D30AC"/>
    <w:rsid w:val="75564BA5"/>
    <w:rsid w:val="756E1B7F"/>
    <w:rsid w:val="75771543"/>
    <w:rsid w:val="75850F9F"/>
    <w:rsid w:val="75917B29"/>
    <w:rsid w:val="75AD4614"/>
    <w:rsid w:val="75BC1359"/>
    <w:rsid w:val="75C07440"/>
    <w:rsid w:val="75C877E0"/>
    <w:rsid w:val="75ED7121"/>
    <w:rsid w:val="75F71322"/>
    <w:rsid w:val="76053BCA"/>
    <w:rsid w:val="76164029"/>
    <w:rsid w:val="762322A2"/>
    <w:rsid w:val="76285B0A"/>
    <w:rsid w:val="762F1370"/>
    <w:rsid w:val="76397D18"/>
    <w:rsid w:val="76454210"/>
    <w:rsid w:val="764718BB"/>
    <w:rsid w:val="764741E2"/>
    <w:rsid w:val="764C5FBF"/>
    <w:rsid w:val="76524935"/>
    <w:rsid w:val="765833CA"/>
    <w:rsid w:val="767D7BB3"/>
    <w:rsid w:val="76830F93"/>
    <w:rsid w:val="769136B0"/>
    <w:rsid w:val="769211D6"/>
    <w:rsid w:val="76AE3789"/>
    <w:rsid w:val="76B94B55"/>
    <w:rsid w:val="76C628F1"/>
    <w:rsid w:val="76D01EA6"/>
    <w:rsid w:val="76D45116"/>
    <w:rsid w:val="76D56AA7"/>
    <w:rsid w:val="76DB2B7D"/>
    <w:rsid w:val="76E47376"/>
    <w:rsid w:val="76E926FE"/>
    <w:rsid w:val="76EC6F1F"/>
    <w:rsid w:val="77185E42"/>
    <w:rsid w:val="77277B70"/>
    <w:rsid w:val="773C186D"/>
    <w:rsid w:val="77440722"/>
    <w:rsid w:val="77446974"/>
    <w:rsid w:val="77550B81"/>
    <w:rsid w:val="7758599A"/>
    <w:rsid w:val="775A6197"/>
    <w:rsid w:val="777F49B8"/>
    <w:rsid w:val="77813724"/>
    <w:rsid w:val="77B64FB7"/>
    <w:rsid w:val="77B96FF4"/>
    <w:rsid w:val="77DA2E34"/>
    <w:rsid w:val="77EE6736"/>
    <w:rsid w:val="77F346E2"/>
    <w:rsid w:val="77FC6ED5"/>
    <w:rsid w:val="77FF64F1"/>
    <w:rsid w:val="78034139"/>
    <w:rsid w:val="780C4D76"/>
    <w:rsid w:val="780D4FB8"/>
    <w:rsid w:val="78104CAA"/>
    <w:rsid w:val="78484242"/>
    <w:rsid w:val="784C764C"/>
    <w:rsid w:val="784F6B13"/>
    <w:rsid w:val="785C7CED"/>
    <w:rsid w:val="78695DD5"/>
    <w:rsid w:val="787011C4"/>
    <w:rsid w:val="787C4159"/>
    <w:rsid w:val="787E76C0"/>
    <w:rsid w:val="78B673FD"/>
    <w:rsid w:val="78D42D49"/>
    <w:rsid w:val="78DE0702"/>
    <w:rsid w:val="78E33220"/>
    <w:rsid w:val="78E64F4C"/>
    <w:rsid w:val="78E81581"/>
    <w:rsid w:val="78EE46B5"/>
    <w:rsid w:val="790F675F"/>
    <w:rsid w:val="791420DB"/>
    <w:rsid w:val="791D747D"/>
    <w:rsid w:val="79354FFF"/>
    <w:rsid w:val="79377117"/>
    <w:rsid w:val="793D36DF"/>
    <w:rsid w:val="7940316B"/>
    <w:rsid w:val="79425135"/>
    <w:rsid w:val="79440AEE"/>
    <w:rsid w:val="796F00A6"/>
    <w:rsid w:val="79775AEE"/>
    <w:rsid w:val="797D3786"/>
    <w:rsid w:val="79872B48"/>
    <w:rsid w:val="799B093F"/>
    <w:rsid w:val="79B7167F"/>
    <w:rsid w:val="79BD47BC"/>
    <w:rsid w:val="79CE7A18"/>
    <w:rsid w:val="79F02F2E"/>
    <w:rsid w:val="7A1563A6"/>
    <w:rsid w:val="7A230AC3"/>
    <w:rsid w:val="7A37676F"/>
    <w:rsid w:val="7A4A06A1"/>
    <w:rsid w:val="7A5213A8"/>
    <w:rsid w:val="7A5C393B"/>
    <w:rsid w:val="7A614BD3"/>
    <w:rsid w:val="7A6E2630"/>
    <w:rsid w:val="7A777060"/>
    <w:rsid w:val="7A7F2814"/>
    <w:rsid w:val="7A8B44D7"/>
    <w:rsid w:val="7AB9647F"/>
    <w:rsid w:val="7AC758F2"/>
    <w:rsid w:val="7ADB314B"/>
    <w:rsid w:val="7AFF6892"/>
    <w:rsid w:val="7B114DBF"/>
    <w:rsid w:val="7B132635"/>
    <w:rsid w:val="7B15781D"/>
    <w:rsid w:val="7B1E6D01"/>
    <w:rsid w:val="7B2368A0"/>
    <w:rsid w:val="7B2C7E4B"/>
    <w:rsid w:val="7B4056A4"/>
    <w:rsid w:val="7B566C76"/>
    <w:rsid w:val="7B63305F"/>
    <w:rsid w:val="7B737828"/>
    <w:rsid w:val="7B7739CE"/>
    <w:rsid w:val="7BBF2E4B"/>
    <w:rsid w:val="7BE956CB"/>
    <w:rsid w:val="7BF72207"/>
    <w:rsid w:val="7BFE17E7"/>
    <w:rsid w:val="7BFF10BB"/>
    <w:rsid w:val="7C10151B"/>
    <w:rsid w:val="7C155BD3"/>
    <w:rsid w:val="7C1E325F"/>
    <w:rsid w:val="7C280612"/>
    <w:rsid w:val="7C3E0E95"/>
    <w:rsid w:val="7C471E89"/>
    <w:rsid w:val="7C77104F"/>
    <w:rsid w:val="7C7C270C"/>
    <w:rsid w:val="7C9948E3"/>
    <w:rsid w:val="7C9B559F"/>
    <w:rsid w:val="7CC04CEF"/>
    <w:rsid w:val="7CC84C09"/>
    <w:rsid w:val="7CD60F5D"/>
    <w:rsid w:val="7CD808E6"/>
    <w:rsid w:val="7CE65D26"/>
    <w:rsid w:val="7D0D7808"/>
    <w:rsid w:val="7D3D1E9B"/>
    <w:rsid w:val="7D44030A"/>
    <w:rsid w:val="7D456FA2"/>
    <w:rsid w:val="7D4C729F"/>
    <w:rsid w:val="7D511BD3"/>
    <w:rsid w:val="7D567401"/>
    <w:rsid w:val="7D5C4040"/>
    <w:rsid w:val="7D666E31"/>
    <w:rsid w:val="7D840B80"/>
    <w:rsid w:val="7DA61593"/>
    <w:rsid w:val="7DAC0D79"/>
    <w:rsid w:val="7DB61355"/>
    <w:rsid w:val="7DB813EF"/>
    <w:rsid w:val="7DBA2E83"/>
    <w:rsid w:val="7DDA2EA4"/>
    <w:rsid w:val="7DF46059"/>
    <w:rsid w:val="7E2E5C88"/>
    <w:rsid w:val="7E33329E"/>
    <w:rsid w:val="7E336242"/>
    <w:rsid w:val="7E3641FA"/>
    <w:rsid w:val="7E504230"/>
    <w:rsid w:val="7E613367"/>
    <w:rsid w:val="7E885398"/>
    <w:rsid w:val="7E8B3E4C"/>
    <w:rsid w:val="7E927FC5"/>
    <w:rsid w:val="7EAB1FE5"/>
    <w:rsid w:val="7ED22AB7"/>
    <w:rsid w:val="7EDE145C"/>
    <w:rsid w:val="7EF90044"/>
    <w:rsid w:val="7EFE1AFE"/>
    <w:rsid w:val="7F1F41A0"/>
    <w:rsid w:val="7F201D32"/>
    <w:rsid w:val="7F2F26B5"/>
    <w:rsid w:val="7F574F68"/>
    <w:rsid w:val="7F64231F"/>
    <w:rsid w:val="7F7973D7"/>
    <w:rsid w:val="7F8738A2"/>
    <w:rsid w:val="7FBC3CC0"/>
    <w:rsid w:val="7FBC4580"/>
    <w:rsid w:val="7FC324AF"/>
    <w:rsid w:val="7FD0160C"/>
    <w:rsid w:val="7FE9455C"/>
    <w:rsid w:val="7FF265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2"/>
      <w:lang w:val="en-US" w:eastAsia="zh-CN" w:bidi="ar-SA"/>
    </w:rPr>
  </w:style>
  <w:style w:type="paragraph" w:styleId="5">
    <w:name w:val="heading 1"/>
    <w:basedOn w:val="1"/>
    <w:next w:val="1"/>
    <w:link w:val="55"/>
    <w:autoRedefine/>
    <w:qFormat/>
    <w:uiPriority w:val="0"/>
    <w:pPr>
      <w:keepNext/>
      <w:keepLines/>
      <w:spacing w:before="100" w:beforeLines="100" w:after="100" w:afterLines="100" w:line="240" w:lineRule="auto"/>
      <w:jc w:val="center"/>
      <w:outlineLvl w:val="0"/>
    </w:pPr>
    <w:rPr>
      <w:b/>
      <w:kern w:val="44"/>
      <w:sz w:val="32"/>
      <w:szCs w:val="20"/>
    </w:rPr>
  </w:style>
  <w:style w:type="paragraph" w:styleId="6">
    <w:name w:val="heading 2"/>
    <w:basedOn w:val="1"/>
    <w:next w:val="1"/>
    <w:link w:val="56"/>
    <w:autoRedefine/>
    <w:qFormat/>
    <w:uiPriority w:val="0"/>
    <w:pPr>
      <w:keepNext/>
      <w:keepLines/>
      <w:spacing w:before="100" w:beforeLines="100" w:after="100" w:afterLines="100" w:line="240" w:lineRule="auto"/>
      <w:jc w:val="left"/>
      <w:outlineLvl w:val="1"/>
    </w:pPr>
    <w:rPr>
      <w:rFonts w:eastAsia="黑体"/>
      <w:sz w:val="32"/>
      <w:szCs w:val="20"/>
    </w:rPr>
  </w:style>
  <w:style w:type="paragraph" w:styleId="7">
    <w:name w:val="heading 3"/>
    <w:basedOn w:val="1"/>
    <w:next w:val="1"/>
    <w:link w:val="54"/>
    <w:autoRedefine/>
    <w:qFormat/>
    <w:uiPriority w:val="0"/>
    <w:pPr>
      <w:keepNext/>
      <w:keepLines/>
      <w:spacing w:before="100" w:beforeLines="100" w:after="100" w:afterLines="100" w:line="240" w:lineRule="auto"/>
      <w:ind w:firstLine="49" w:firstLineChars="49"/>
      <w:outlineLvl w:val="2"/>
    </w:pPr>
    <w:rPr>
      <w:rFonts w:eastAsia="黑体"/>
      <w:szCs w:val="20"/>
    </w:rPr>
  </w:style>
  <w:style w:type="paragraph" w:styleId="8">
    <w:name w:val="heading 4"/>
    <w:basedOn w:val="1"/>
    <w:next w:val="1"/>
    <w:link w:val="57"/>
    <w:autoRedefine/>
    <w:qFormat/>
    <w:uiPriority w:val="0"/>
    <w:pPr>
      <w:keepNext/>
      <w:keepLines/>
      <w:spacing w:before="280" w:after="290" w:line="374" w:lineRule="auto"/>
      <w:outlineLvl w:val="3"/>
    </w:pPr>
    <w:rPr>
      <w:rFonts w:ascii="Arial" w:hAnsi="Arial" w:eastAsia="宋体"/>
      <w:b/>
      <w:bCs/>
      <w:sz w:val="24"/>
      <w:szCs w:val="28"/>
    </w:rPr>
  </w:style>
  <w:style w:type="paragraph" w:styleId="9">
    <w:name w:val="heading 5"/>
    <w:basedOn w:val="1"/>
    <w:next w:val="1"/>
    <w:link w:val="58"/>
    <w:autoRedefine/>
    <w:qFormat/>
    <w:uiPriority w:val="9"/>
    <w:pPr>
      <w:keepNext/>
      <w:keepLines/>
      <w:spacing w:before="280" w:after="290" w:line="376" w:lineRule="auto"/>
      <w:outlineLvl w:val="4"/>
    </w:pPr>
    <w:rPr>
      <w:b/>
      <w:bCs/>
      <w:sz w:val="28"/>
      <w:szCs w:val="28"/>
    </w:rPr>
  </w:style>
  <w:style w:type="paragraph" w:styleId="10">
    <w:name w:val="heading 6"/>
    <w:basedOn w:val="1"/>
    <w:next w:val="1"/>
    <w:link w:val="5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Cs w:val="20"/>
    </w:rPr>
  </w:style>
  <w:style w:type="paragraph" w:styleId="11">
    <w:name w:val="heading 7"/>
    <w:basedOn w:val="1"/>
    <w:next w:val="1"/>
    <w:link w:val="60"/>
    <w:autoRedefine/>
    <w:qFormat/>
    <w:uiPriority w:val="0"/>
    <w:pPr>
      <w:keepNext/>
      <w:keepLines/>
      <w:widowControl/>
      <w:tabs>
        <w:tab w:val="left" w:pos="2520"/>
      </w:tabs>
      <w:spacing w:before="240" w:after="64" w:line="319" w:lineRule="auto"/>
      <w:ind w:left="1296" w:hanging="1296"/>
      <w:jc w:val="left"/>
      <w:outlineLvl w:val="6"/>
    </w:pPr>
    <w:rPr>
      <w:b/>
      <w:bCs/>
      <w:kern w:val="0"/>
      <w:szCs w:val="20"/>
    </w:rPr>
  </w:style>
  <w:style w:type="paragraph" w:styleId="12">
    <w:name w:val="heading 8"/>
    <w:basedOn w:val="1"/>
    <w:next w:val="1"/>
    <w:link w:val="6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Cs w:val="20"/>
    </w:rPr>
  </w:style>
  <w:style w:type="paragraph" w:styleId="13">
    <w:name w:val="heading 9"/>
    <w:basedOn w:val="1"/>
    <w:next w:val="1"/>
    <w:link w:val="62"/>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1"/>
      <w:szCs w:val="21"/>
    </w:rPr>
  </w:style>
  <w:style w:type="character" w:default="1" w:styleId="46">
    <w:name w:val="Default Paragraph Font"/>
    <w:autoRedefine/>
    <w:unhideWhenUsed/>
    <w:qFormat/>
    <w:uiPriority w:val="1"/>
  </w:style>
  <w:style w:type="table" w:default="1" w:styleId="44">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unhideWhenUsed/>
    <w:qFormat/>
    <w:uiPriority w:val="0"/>
    <w:pPr>
      <w:ind w:left="420" w:firstLine="420" w:firstLineChars="200"/>
    </w:pPr>
    <w:rPr>
      <w:rFonts w:ascii="Calibri" w:hAnsi="Calibri"/>
      <w:sz w:val="21"/>
      <w:szCs w:val="22"/>
    </w:rPr>
  </w:style>
  <w:style w:type="paragraph" w:styleId="3">
    <w:name w:val="Body Text Indent"/>
    <w:basedOn w:val="1"/>
    <w:link w:val="68"/>
    <w:autoRedefine/>
    <w:qFormat/>
    <w:uiPriority w:val="0"/>
    <w:pPr>
      <w:spacing w:after="120"/>
      <w:ind w:left="420" w:leftChars="200"/>
    </w:pPr>
    <w:rPr>
      <w:sz w:val="21"/>
      <w:szCs w:val="20"/>
    </w:rPr>
  </w:style>
  <w:style w:type="paragraph" w:customStyle="1" w:styleId="4">
    <w:name w:val="正文格式"/>
    <w:basedOn w:val="1"/>
    <w:autoRedefine/>
    <w:qFormat/>
    <w:uiPriority w:val="0"/>
    <w:rPr>
      <w:sz w:val="28"/>
      <w:szCs w:val="24"/>
    </w:rPr>
  </w:style>
  <w:style w:type="paragraph" w:styleId="14">
    <w:name w:val="toc 7"/>
    <w:basedOn w:val="1"/>
    <w:next w:val="1"/>
    <w:autoRedefine/>
    <w:qFormat/>
    <w:uiPriority w:val="39"/>
    <w:pPr>
      <w:ind w:left="1200" w:leftChars="1200"/>
    </w:pPr>
  </w:style>
  <w:style w:type="paragraph" w:styleId="15">
    <w:name w:val="Normal Indent"/>
    <w:basedOn w:val="1"/>
    <w:autoRedefine/>
    <w:qFormat/>
    <w:uiPriority w:val="0"/>
    <w:pPr>
      <w:ind w:firstLine="420"/>
    </w:pPr>
  </w:style>
  <w:style w:type="paragraph" w:styleId="16">
    <w:name w:val="Document Map"/>
    <w:basedOn w:val="1"/>
    <w:link w:val="63"/>
    <w:autoRedefine/>
    <w:qFormat/>
    <w:uiPriority w:val="0"/>
    <w:rPr>
      <w:rFonts w:ascii="宋体" w:hAnsi="Calibri"/>
      <w:sz w:val="18"/>
      <w:szCs w:val="18"/>
    </w:rPr>
  </w:style>
  <w:style w:type="paragraph" w:styleId="17">
    <w:name w:val="annotation text"/>
    <w:basedOn w:val="1"/>
    <w:link w:val="64"/>
    <w:autoRedefine/>
    <w:qFormat/>
    <w:uiPriority w:val="0"/>
    <w:pPr>
      <w:jc w:val="left"/>
    </w:pPr>
    <w:rPr>
      <w:sz w:val="21"/>
      <w:szCs w:val="20"/>
    </w:rPr>
  </w:style>
  <w:style w:type="paragraph" w:styleId="18">
    <w:name w:val="Body Text 3"/>
    <w:basedOn w:val="1"/>
    <w:link w:val="65"/>
    <w:autoRedefine/>
    <w:qFormat/>
    <w:uiPriority w:val="0"/>
    <w:rPr>
      <w:rFonts w:ascii="宋体" w:hAnsi="Calibri"/>
      <w:szCs w:val="20"/>
    </w:rPr>
  </w:style>
  <w:style w:type="paragraph" w:styleId="19">
    <w:name w:val="Body Text"/>
    <w:basedOn w:val="1"/>
    <w:next w:val="20"/>
    <w:link w:val="66"/>
    <w:autoRedefine/>
    <w:unhideWhenUsed/>
    <w:qFormat/>
    <w:uiPriority w:val="0"/>
    <w:pPr>
      <w:spacing w:after="120"/>
    </w:pPr>
    <w:rPr>
      <w:sz w:val="21"/>
      <w:szCs w:val="20"/>
    </w:rPr>
  </w:style>
  <w:style w:type="paragraph" w:styleId="20">
    <w:name w:val="Date"/>
    <w:basedOn w:val="1"/>
    <w:next w:val="1"/>
    <w:link w:val="67"/>
    <w:autoRedefine/>
    <w:qFormat/>
    <w:uiPriority w:val="0"/>
    <w:pPr>
      <w:ind w:left="2500" w:leftChars="2500"/>
    </w:pPr>
    <w:rPr>
      <w:sz w:val="21"/>
      <w:szCs w:val="20"/>
    </w:rPr>
  </w:style>
  <w:style w:type="paragraph" w:styleId="21">
    <w:name w:val="toc 5"/>
    <w:basedOn w:val="1"/>
    <w:next w:val="1"/>
    <w:autoRedefine/>
    <w:qFormat/>
    <w:uiPriority w:val="39"/>
    <w:pPr>
      <w:ind w:left="800" w:leftChars="800"/>
    </w:pPr>
  </w:style>
  <w:style w:type="paragraph" w:styleId="22">
    <w:name w:val="toc 3"/>
    <w:basedOn w:val="1"/>
    <w:next w:val="1"/>
    <w:autoRedefine/>
    <w:qFormat/>
    <w:uiPriority w:val="39"/>
    <w:pPr>
      <w:ind w:left="400" w:leftChars="400"/>
    </w:pPr>
  </w:style>
  <w:style w:type="paragraph" w:styleId="23">
    <w:name w:val="Plain Text"/>
    <w:basedOn w:val="1"/>
    <w:autoRedefine/>
    <w:qFormat/>
    <w:uiPriority w:val="0"/>
    <w:rPr>
      <w:rFonts w:ascii="宋体"/>
    </w:rPr>
  </w:style>
  <w:style w:type="paragraph" w:styleId="24">
    <w:name w:val="toc 8"/>
    <w:basedOn w:val="1"/>
    <w:next w:val="1"/>
    <w:autoRedefine/>
    <w:qFormat/>
    <w:uiPriority w:val="39"/>
    <w:pPr>
      <w:ind w:left="1400" w:leftChars="1400"/>
    </w:pPr>
  </w:style>
  <w:style w:type="paragraph" w:styleId="25">
    <w:name w:val="endnote text"/>
    <w:basedOn w:val="1"/>
    <w:link w:val="69"/>
    <w:autoRedefine/>
    <w:unhideWhenUsed/>
    <w:qFormat/>
    <w:uiPriority w:val="0"/>
    <w:pPr>
      <w:snapToGrid w:val="0"/>
      <w:jc w:val="left"/>
    </w:pPr>
    <w:rPr>
      <w:rFonts w:ascii="Calibri" w:hAnsi="Calibri"/>
      <w:sz w:val="21"/>
    </w:rPr>
  </w:style>
  <w:style w:type="paragraph" w:styleId="26">
    <w:name w:val="Balloon Text"/>
    <w:basedOn w:val="1"/>
    <w:link w:val="70"/>
    <w:autoRedefine/>
    <w:qFormat/>
    <w:uiPriority w:val="0"/>
    <w:rPr>
      <w:sz w:val="18"/>
      <w:szCs w:val="20"/>
    </w:rPr>
  </w:style>
  <w:style w:type="paragraph" w:styleId="27">
    <w:name w:val="footer"/>
    <w:basedOn w:val="1"/>
    <w:link w:val="71"/>
    <w:autoRedefine/>
    <w:qFormat/>
    <w:uiPriority w:val="99"/>
    <w:pPr>
      <w:tabs>
        <w:tab w:val="center" w:pos="4153"/>
        <w:tab w:val="right" w:pos="8306"/>
      </w:tabs>
      <w:snapToGrid w:val="0"/>
      <w:jc w:val="left"/>
    </w:pPr>
    <w:rPr>
      <w:rFonts w:ascii="Calibri" w:hAnsi="Calibri"/>
      <w:sz w:val="18"/>
    </w:rPr>
  </w:style>
  <w:style w:type="paragraph" w:styleId="28">
    <w:name w:val="envelope return"/>
    <w:basedOn w:val="1"/>
    <w:autoRedefine/>
    <w:unhideWhenUsed/>
    <w:qFormat/>
    <w:uiPriority w:val="99"/>
    <w:pPr>
      <w:snapToGrid w:val="0"/>
    </w:pPr>
    <w:rPr>
      <w:rFonts w:ascii="Arial" w:hAnsi="Arial"/>
    </w:rPr>
  </w:style>
  <w:style w:type="paragraph" w:styleId="29">
    <w:name w:val="header"/>
    <w:basedOn w:val="1"/>
    <w:link w:val="72"/>
    <w:autoRedefine/>
    <w:qFormat/>
    <w:uiPriority w:val="0"/>
    <w:pPr>
      <w:tabs>
        <w:tab w:val="center" w:pos="4153"/>
        <w:tab w:val="right" w:pos="8306"/>
      </w:tabs>
      <w:snapToGrid w:val="0"/>
    </w:pPr>
    <w:rPr>
      <w:sz w:val="18"/>
      <w:szCs w:val="20"/>
    </w:rPr>
  </w:style>
  <w:style w:type="paragraph" w:styleId="30">
    <w:name w:val="toc 1"/>
    <w:basedOn w:val="1"/>
    <w:next w:val="1"/>
    <w:autoRedefine/>
    <w:qFormat/>
    <w:uiPriority w:val="39"/>
  </w:style>
  <w:style w:type="paragraph" w:styleId="31">
    <w:name w:val="toc 4"/>
    <w:basedOn w:val="1"/>
    <w:next w:val="1"/>
    <w:autoRedefine/>
    <w:qFormat/>
    <w:uiPriority w:val="39"/>
    <w:pPr>
      <w:ind w:left="600" w:leftChars="600"/>
    </w:pPr>
  </w:style>
  <w:style w:type="paragraph" w:styleId="32">
    <w:name w:val="index heading"/>
    <w:basedOn w:val="1"/>
    <w:next w:val="33"/>
    <w:autoRedefine/>
    <w:semiHidden/>
    <w:qFormat/>
    <w:uiPriority w:val="0"/>
    <w:rPr>
      <w:rFonts w:ascii="Times New Roman" w:hAnsi="Times New Roman"/>
      <w:szCs w:val="24"/>
    </w:rPr>
  </w:style>
  <w:style w:type="paragraph" w:styleId="33">
    <w:name w:val="index 1"/>
    <w:basedOn w:val="1"/>
    <w:next w:val="1"/>
    <w:autoRedefine/>
    <w:qFormat/>
    <w:uiPriority w:val="0"/>
    <w:pPr>
      <w:spacing w:line="220" w:lineRule="exact"/>
      <w:jc w:val="center"/>
    </w:pPr>
    <w:rPr>
      <w:rFonts w:ascii="仿宋_GB2312" w:hAnsi="Times New Roman" w:eastAsia="仿宋_GB2312"/>
      <w:szCs w:val="21"/>
    </w:rPr>
  </w:style>
  <w:style w:type="paragraph" w:styleId="34">
    <w:name w:val="footnote text"/>
    <w:basedOn w:val="1"/>
    <w:link w:val="73"/>
    <w:autoRedefine/>
    <w:unhideWhenUsed/>
    <w:qFormat/>
    <w:uiPriority w:val="0"/>
    <w:pPr>
      <w:snapToGrid w:val="0"/>
      <w:jc w:val="left"/>
    </w:pPr>
    <w:rPr>
      <w:sz w:val="18"/>
      <w:szCs w:val="18"/>
    </w:rPr>
  </w:style>
  <w:style w:type="paragraph" w:styleId="35">
    <w:name w:val="toc 6"/>
    <w:basedOn w:val="1"/>
    <w:next w:val="1"/>
    <w:autoRedefine/>
    <w:qFormat/>
    <w:uiPriority w:val="39"/>
    <w:pPr>
      <w:ind w:left="1000" w:leftChars="1000"/>
    </w:pPr>
  </w:style>
  <w:style w:type="paragraph" w:styleId="36">
    <w:name w:val="Body Text Indent 3"/>
    <w:basedOn w:val="1"/>
    <w:link w:val="74"/>
    <w:autoRedefine/>
    <w:qFormat/>
    <w:uiPriority w:val="0"/>
    <w:pPr>
      <w:spacing w:after="120"/>
      <w:ind w:left="200" w:leftChars="200"/>
    </w:pPr>
    <w:rPr>
      <w:rFonts w:ascii="Calibri" w:hAnsi="Calibri"/>
      <w:sz w:val="16"/>
      <w:szCs w:val="16"/>
    </w:rPr>
  </w:style>
  <w:style w:type="paragraph" w:styleId="37">
    <w:name w:val="index 9"/>
    <w:basedOn w:val="1"/>
    <w:next w:val="1"/>
    <w:autoRedefine/>
    <w:semiHidden/>
    <w:qFormat/>
    <w:uiPriority w:val="0"/>
    <w:pPr>
      <w:ind w:left="1600" w:leftChars="1600"/>
    </w:pPr>
    <w:rPr>
      <w:rFonts w:ascii="Times New Roman" w:hAnsi="Times New Roman"/>
      <w:szCs w:val="20"/>
    </w:rPr>
  </w:style>
  <w:style w:type="paragraph" w:styleId="38">
    <w:name w:val="toc 2"/>
    <w:basedOn w:val="1"/>
    <w:next w:val="1"/>
    <w:autoRedefine/>
    <w:qFormat/>
    <w:uiPriority w:val="39"/>
    <w:pPr>
      <w:ind w:left="200" w:leftChars="200"/>
    </w:pPr>
  </w:style>
  <w:style w:type="paragraph" w:styleId="39">
    <w:name w:val="toc 9"/>
    <w:basedOn w:val="1"/>
    <w:next w:val="1"/>
    <w:autoRedefine/>
    <w:qFormat/>
    <w:uiPriority w:val="39"/>
    <w:pPr>
      <w:ind w:left="1600" w:leftChars="1600"/>
    </w:pPr>
  </w:style>
  <w:style w:type="paragraph" w:styleId="40">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1">
    <w:name w:val="Title"/>
    <w:basedOn w:val="1"/>
    <w:link w:val="7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76"/>
    <w:autoRedefine/>
    <w:qFormat/>
    <w:uiPriority w:val="0"/>
    <w:rPr>
      <w:sz w:val="21"/>
    </w:rPr>
  </w:style>
  <w:style w:type="paragraph" w:styleId="43">
    <w:name w:val="Body Text First Indent"/>
    <w:basedOn w:val="1"/>
    <w:link w:val="77"/>
    <w:autoRedefine/>
    <w:qFormat/>
    <w:uiPriority w:val="0"/>
    <w:pPr>
      <w:spacing w:line="312" w:lineRule="auto"/>
      <w:ind w:firstLine="420"/>
    </w:pPr>
    <w:rPr>
      <w:sz w:val="21"/>
      <w:szCs w:val="24"/>
    </w:rPr>
  </w:style>
  <w:style w:type="table" w:styleId="45">
    <w:name w:val="Table Grid"/>
    <w:basedOn w:val="4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endnote reference"/>
    <w:autoRedefine/>
    <w:unhideWhenUsed/>
    <w:qFormat/>
    <w:uiPriority w:val="0"/>
    <w:rPr>
      <w:vertAlign w:val="superscript"/>
    </w:rPr>
  </w:style>
  <w:style w:type="character" w:styleId="49">
    <w:name w:val="page number"/>
    <w:autoRedefine/>
    <w:qFormat/>
    <w:uiPriority w:val="0"/>
  </w:style>
  <w:style w:type="character" w:styleId="50">
    <w:name w:val="FollowedHyperlink"/>
    <w:autoRedefine/>
    <w:unhideWhenUsed/>
    <w:qFormat/>
    <w:uiPriority w:val="99"/>
    <w:rPr>
      <w:color w:val="800080"/>
      <w:u w:val="single"/>
    </w:rPr>
  </w:style>
  <w:style w:type="character" w:styleId="51">
    <w:name w:val="Hyperlink"/>
    <w:autoRedefine/>
    <w:qFormat/>
    <w:uiPriority w:val="99"/>
    <w:rPr>
      <w:color w:val="0000FF"/>
      <w:u w:val="single"/>
    </w:rPr>
  </w:style>
  <w:style w:type="character" w:styleId="52">
    <w:name w:val="annotation reference"/>
    <w:autoRedefine/>
    <w:qFormat/>
    <w:uiPriority w:val="0"/>
    <w:rPr>
      <w:sz w:val="21"/>
    </w:rPr>
  </w:style>
  <w:style w:type="character" w:styleId="53">
    <w:name w:val="footnote reference"/>
    <w:autoRedefine/>
    <w:qFormat/>
    <w:uiPriority w:val="0"/>
    <w:rPr>
      <w:vertAlign w:val="superscript"/>
    </w:rPr>
  </w:style>
  <w:style w:type="character" w:customStyle="1" w:styleId="54">
    <w:name w:val="标题 3 字符"/>
    <w:link w:val="7"/>
    <w:autoRedefine/>
    <w:qFormat/>
    <w:uiPriority w:val="0"/>
    <w:rPr>
      <w:rFonts w:ascii="Times New Roman" w:hAnsi="Times New Roman" w:eastAsia="黑体"/>
      <w:kern w:val="2"/>
      <w:sz w:val="24"/>
    </w:rPr>
  </w:style>
  <w:style w:type="character" w:customStyle="1" w:styleId="55">
    <w:name w:val="标题 1 字符"/>
    <w:link w:val="5"/>
    <w:autoRedefine/>
    <w:qFormat/>
    <w:uiPriority w:val="0"/>
    <w:rPr>
      <w:rFonts w:eastAsia="宋体"/>
      <w:b/>
      <w:kern w:val="44"/>
      <w:sz w:val="32"/>
    </w:rPr>
  </w:style>
  <w:style w:type="character" w:customStyle="1" w:styleId="56">
    <w:name w:val="标题 2 字符"/>
    <w:link w:val="6"/>
    <w:autoRedefine/>
    <w:qFormat/>
    <w:uiPriority w:val="0"/>
    <w:rPr>
      <w:rFonts w:ascii="Times New Roman" w:hAnsi="Times New Roman" w:eastAsia="黑体"/>
      <w:kern w:val="2"/>
      <w:sz w:val="32"/>
    </w:rPr>
  </w:style>
  <w:style w:type="character" w:customStyle="1" w:styleId="57">
    <w:name w:val="标题 4 字符"/>
    <w:link w:val="8"/>
    <w:autoRedefine/>
    <w:qFormat/>
    <w:uiPriority w:val="0"/>
    <w:rPr>
      <w:rFonts w:ascii="Arial" w:hAnsi="Arial" w:eastAsia="宋体"/>
      <w:b/>
      <w:bCs/>
      <w:kern w:val="2"/>
      <w:sz w:val="24"/>
      <w:szCs w:val="28"/>
    </w:rPr>
  </w:style>
  <w:style w:type="character" w:customStyle="1" w:styleId="58">
    <w:name w:val="标题 5 字符"/>
    <w:link w:val="9"/>
    <w:autoRedefine/>
    <w:semiHidden/>
    <w:qFormat/>
    <w:uiPriority w:val="9"/>
    <w:rPr>
      <w:rFonts w:eastAsia="宋体"/>
      <w:b/>
      <w:bCs/>
      <w:kern w:val="2"/>
      <w:sz w:val="28"/>
      <w:szCs w:val="28"/>
    </w:rPr>
  </w:style>
  <w:style w:type="character" w:customStyle="1" w:styleId="59">
    <w:name w:val="标题 6 字符"/>
    <w:link w:val="10"/>
    <w:autoRedefine/>
    <w:qFormat/>
    <w:uiPriority w:val="0"/>
    <w:rPr>
      <w:rFonts w:ascii="Arial" w:hAnsi="Arial" w:eastAsia="黑体"/>
      <w:b/>
      <w:bCs/>
      <w:sz w:val="24"/>
    </w:rPr>
  </w:style>
  <w:style w:type="character" w:customStyle="1" w:styleId="60">
    <w:name w:val="标题 7 字符"/>
    <w:link w:val="11"/>
    <w:autoRedefine/>
    <w:qFormat/>
    <w:uiPriority w:val="0"/>
    <w:rPr>
      <w:rFonts w:eastAsia="宋体"/>
      <w:b/>
      <w:bCs/>
      <w:sz w:val="24"/>
    </w:rPr>
  </w:style>
  <w:style w:type="character" w:customStyle="1" w:styleId="61">
    <w:name w:val="标题 8 字符"/>
    <w:link w:val="12"/>
    <w:autoRedefine/>
    <w:qFormat/>
    <w:uiPriority w:val="0"/>
    <w:rPr>
      <w:rFonts w:ascii="Arial" w:hAnsi="Arial" w:eastAsia="黑体"/>
      <w:sz w:val="24"/>
    </w:rPr>
  </w:style>
  <w:style w:type="character" w:customStyle="1" w:styleId="62">
    <w:name w:val="标题 9 字符"/>
    <w:link w:val="13"/>
    <w:autoRedefine/>
    <w:qFormat/>
    <w:uiPriority w:val="0"/>
    <w:rPr>
      <w:rFonts w:ascii="Arial" w:hAnsi="Arial" w:eastAsia="黑体"/>
      <w:sz w:val="21"/>
      <w:szCs w:val="21"/>
    </w:rPr>
  </w:style>
  <w:style w:type="character" w:customStyle="1" w:styleId="63">
    <w:name w:val="文档结构图 字符"/>
    <w:link w:val="16"/>
    <w:autoRedefine/>
    <w:qFormat/>
    <w:uiPriority w:val="0"/>
    <w:rPr>
      <w:rFonts w:ascii="宋体" w:hAnsi="Calibri" w:eastAsia="宋体" w:cs="宋体"/>
      <w:kern w:val="2"/>
      <w:sz w:val="18"/>
      <w:szCs w:val="18"/>
    </w:rPr>
  </w:style>
  <w:style w:type="character" w:customStyle="1" w:styleId="64">
    <w:name w:val="批注文字 字符"/>
    <w:link w:val="17"/>
    <w:autoRedefine/>
    <w:qFormat/>
    <w:uiPriority w:val="0"/>
    <w:rPr>
      <w:rFonts w:eastAsia="宋体"/>
      <w:kern w:val="2"/>
      <w:sz w:val="21"/>
    </w:rPr>
  </w:style>
  <w:style w:type="character" w:customStyle="1" w:styleId="65">
    <w:name w:val="正文文本 3 字符"/>
    <w:link w:val="18"/>
    <w:autoRedefine/>
    <w:qFormat/>
    <w:uiPriority w:val="0"/>
    <w:rPr>
      <w:rFonts w:ascii="宋体" w:hAnsi="Calibri" w:eastAsia="宋体"/>
      <w:kern w:val="2"/>
      <w:sz w:val="24"/>
    </w:rPr>
  </w:style>
  <w:style w:type="character" w:customStyle="1" w:styleId="66">
    <w:name w:val="正文文本 字符"/>
    <w:link w:val="19"/>
    <w:autoRedefine/>
    <w:qFormat/>
    <w:uiPriority w:val="0"/>
    <w:rPr>
      <w:rFonts w:eastAsia="宋体"/>
      <w:kern w:val="2"/>
      <w:sz w:val="21"/>
    </w:rPr>
  </w:style>
  <w:style w:type="character" w:customStyle="1" w:styleId="67">
    <w:name w:val="日期 字符"/>
    <w:link w:val="20"/>
    <w:autoRedefine/>
    <w:qFormat/>
    <w:uiPriority w:val="0"/>
    <w:rPr>
      <w:rFonts w:eastAsia="宋体"/>
      <w:kern w:val="2"/>
      <w:sz w:val="21"/>
    </w:rPr>
  </w:style>
  <w:style w:type="character" w:customStyle="1" w:styleId="68">
    <w:name w:val="正文文本缩进 字符"/>
    <w:link w:val="3"/>
    <w:autoRedefine/>
    <w:qFormat/>
    <w:uiPriority w:val="0"/>
    <w:rPr>
      <w:rFonts w:eastAsia="宋体"/>
      <w:kern w:val="2"/>
      <w:sz w:val="21"/>
    </w:rPr>
  </w:style>
  <w:style w:type="character" w:customStyle="1" w:styleId="69">
    <w:name w:val="尾注文本 字符"/>
    <w:link w:val="25"/>
    <w:autoRedefine/>
    <w:semiHidden/>
    <w:qFormat/>
    <w:uiPriority w:val="0"/>
    <w:rPr>
      <w:rFonts w:ascii="Calibri" w:hAnsi="Calibri" w:eastAsia="宋体"/>
      <w:kern w:val="2"/>
      <w:sz w:val="21"/>
      <w:szCs w:val="22"/>
    </w:rPr>
  </w:style>
  <w:style w:type="character" w:customStyle="1" w:styleId="70">
    <w:name w:val="批注框文本 字符"/>
    <w:link w:val="26"/>
    <w:autoRedefine/>
    <w:qFormat/>
    <w:uiPriority w:val="0"/>
    <w:rPr>
      <w:rFonts w:eastAsia="宋体"/>
      <w:kern w:val="2"/>
      <w:sz w:val="18"/>
    </w:rPr>
  </w:style>
  <w:style w:type="character" w:customStyle="1" w:styleId="71">
    <w:name w:val="页脚 字符"/>
    <w:link w:val="27"/>
    <w:autoRedefine/>
    <w:qFormat/>
    <w:uiPriority w:val="99"/>
    <w:rPr>
      <w:rFonts w:ascii="Calibri" w:hAnsi="Calibri" w:eastAsia="宋体"/>
      <w:kern w:val="2"/>
      <w:sz w:val="18"/>
      <w:szCs w:val="22"/>
    </w:rPr>
  </w:style>
  <w:style w:type="character" w:customStyle="1" w:styleId="72">
    <w:name w:val="页眉 字符"/>
    <w:link w:val="29"/>
    <w:autoRedefine/>
    <w:qFormat/>
    <w:uiPriority w:val="0"/>
    <w:rPr>
      <w:rFonts w:eastAsia="宋体"/>
      <w:kern w:val="2"/>
      <w:sz w:val="18"/>
    </w:rPr>
  </w:style>
  <w:style w:type="character" w:customStyle="1" w:styleId="73">
    <w:name w:val="脚注文本 字符1"/>
    <w:link w:val="34"/>
    <w:autoRedefine/>
    <w:qFormat/>
    <w:uiPriority w:val="0"/>
    <w:rPr>
      <w:rFonts w:eastAsia="宋体"/>
      <w:kern w:val="2"/>
      <w:sz w:val="18"/>
      <w:szCs w:val="18"/>
    </w:rPr>
  </w:style>
  <w:style w:type="character" w:customStyle="1" w:styleId="74">
    <w:name w:val="正文文本缩进 3 字符"/>
    <w:link w:val="36"/>
    <w:autoRedefine/>
    <w:qFormat/>
    <w:uiPriority w:val="0"/>
    <w:rPr>
      <w:rFonts w:ascii="Calibri" w:hAnsi="Calibri" w:eastAsia="宋体"/>
      <w:kern w:val="2"/>
      <w:sz w:val="16"/>
      <w:szCs w:val="16"/>
    </w:rPr>
  </w:style>
  <w:style w:type="character" w:customStyle="1" w:styleId="75">
    <w:name w:val="标题 字符"/>
    <w:link w:val="41"/>
    <w:autoRedefine/>
    <w:qFormat/>
    <w:uiPriority w:val="0"/>
    <w:rPr>
      <w:rFonts w:ascii="Arial" w:hAnsi="Arial" w:eastAsia="宋体"/>
      <w:b/>
      <w:sz w:val="32"/>
    </w:rPr>
  </w:style>
  <w:style w:type="character" w:customStyle="1" w:styleId="76">
    <w:name w:val="批注主题 字符"/>
    <w:link w:val="42"/>
    <w:autoRedefine/>
    <w:qFormat/>
    <w:uiPriority w:val="0"/>
    <w:rPr>
      <w:rFonts w:eastAsia="宋体"/>
      <w:kern w:val="2"/>
      <w:sz w:val="21"/>
    </w:rPr>
  </w:style>
  <w:style w:type="character" w:customStyle="1" w:styleId="77">
    <w:name w:val="正文文本首行缩进 字符"/>
    <w:link w:val="43"/>
    <w:autoRedefine/>
    <w:qFormat/>
    <w:uiPriority w:val="0"/>
    <w:rPr>
      <w:rFonts w:eastAsia="宋体"/>
      <w:kern w:val="2"/>
      <w:sz w:val="21"/>
      <w:szCs w:val="24"/>
      <w:lang w:val="en-US" w:eastAsia="zh-CN" w:bidi="ar-SA"/>
    </w:rPr>
  </w:style>
  <w:style w:type="character" w:customStyle="1" w:styleId="78">
    <w:name w:val="style_kwd"/>
    <w:autoRedefine/>
    <w:qFormat/>
    <w:uiPriority w:val="0"/>
  </w:style>
  <w:style w:type="character" w:customStyle="1" w:styleId="7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0">
    <w:name w:val="批注文字 Char1"/>
    <w:autoRedefine/>
    <w:qFormat/>
    <w:uiPriority w:val="0"/>
    <w:rPr>
      <w:rFonts w:ascii="Times New Roman" w:hAnsi="Times New Roman" w:eastAsia="宋体" w:cs="Times New Roman"/>
      <w:sz w:val="20"/>
      <w:szCs w:val="20"/>
      <w:lang w:bidi="ar-SA"/>
    </w:rPr>
  </w:style>
  <w:style w:type="character" w:customStyle="1" w:styleId="81">
    <w:name w:val="标题 2 Char_0"/>
    <w:link w:val="82"/>
    <w:autoRedefine/>
    <w:qFormat/>
    <w:uiPriority w:val="0"/>
    <w:rPr>
      <w:rFonts w:ascii="黑体" w:hAnsi="宋体" w:eastAsia="黑体"/>
      <w:b/>
      <w:smallCaps/>
      <w:snapToGrid w:val="0"/>
      <w:sz w:val="36"/>
      <w:szCs w:val="24"/>
    </w:rPr>
  </w:style>
  <w:style w:type="paragraph" w:customStyle="1" w:styleId="82">
    <w:name w:val="标题 2_0"/>
    <w:basedOn w:val="1"/>
    <w:next w:val="83"/>
    <w:link w:val="81"/>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8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正文文本 Char"/>
    <w:autoRedefine/>
    <w:qFormat/>
    <w:uiPriority w:val="0"/>
    <w:rPr>
      <w:rFonts w:eastAsia="宋体"/>
      <w:kern w:val="2"/>
      <w:sz w:val="21"/>
      <w:szCs w:val="24"/>
      <w:lang w:val="en-US" w:eastAsia="zh-CN" w:bidi="ar-SA"/>
    </w:rPr>
  </w:style>
  <w:style w:type="character" w:customStyle="1" w:styleId="85">
    <w:name w:val="批注文字 Char"/>
    <w:autoRedefine/>
    <w:qFormat/>
    <w:uiPriority w:val="0"/>
    <w:rPr>
      <w:sz w:val="24"/>
    </w:rPr>
  </w:style>
  <w:style w:type="character" w:customStyle="1" w:styleId="86">
    <w:name w:val="脚注文本 Char"/>
    <w:autoRedefine/>
    <w:qFormat/>
    <w:uiPriority w:val="0"/>
    <w:rPr>
      <w:kern w:val="2"/>
      <w:sz w:val="18"/>
      <w:szCs w:val="18"/>
    </w:rPr>
  </w:style>
  <w:style w:type="character" w:customStyle="1" w:styleId="87">
    <w:name w:val="脚注文本 字符"/>
    <w:autoRedefine/>
    <w:semiHidden/>
    <w:qFormat/>
    <w:uiPriority w:val="0"/>
    <w:rPr>
      <w:rFonts w:ascii="Calibri" w:hAnsi="Calibri" w:eastAsia="宋体"/>
      <w:kern w:val="2"/>
      <w:sz w:val="18"/>
      <w:szCs w:val="18"/>
    </w:rPr>
  </w:style>
  <w:style w:type="character" w:customStyle="1" w:styleId="88">
    <w:name w:val="Comment Text Char"/>
    <w:autoRedefine/>
    <w:qFormat/>
    <w:uiPriority w:val="0"/>
  </w:style>
  <w:style w:type="character" w:customStyle="1" w:styleId="89">
    <w:name w:val="font161"/>
    <w:autoRedefine/>
    <w:qFormat/>
    <w:uiPriority w:val="0"/>
    <w:rPr>
      <w:b/>
      <w:bCs/>
      <w:sz w:val="32"/>
      <w:szCs w:val="32"/>
    </w:rPr>
  </w:style>
  <w:style w:type="character" w:customStyle="1" w:styleId="90">
    <w:name w:val="正文首行缩进 Char1"/>
    <w:autoRedefine/>
    <w:qFormat/>
    <w:uiPriority w:val="99"/>
    <w:rPr>
      <w:rFonts w:eastAsia="宋体"/>
      <w:kern w:val="2"/>
      <w:sz w:val="21"/>
    </w:rPr>
  </w:style>
  <w:style w:type="paragraph" w:customStyle="1" w:styleId="9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2">
    <w:name w:val="_Style 91"/>
    <w:basedOn w:val="5"/>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93">
    <w:name w:val="_Style 23"/>
    <w:basedOn w:val="1"/>
    <w:autoRedefine/>
    <w:qFormat/>
    <w:uiPriority w:val="0"/>
    <w:pPr>
      <w:widowControl/>
      <w:spacing w:after="160" w:line="240" w:lineRule="exact"/>
      <w:jc w:val="left"/>
    </w:pPr>
  </w:style>
  <w:style w:type="paragraph" w:customStyle="1" w:styleId="94">
    <w:name w:val="样式2"/>
    <w:basedOn w:val="7"/>
    <w:autoRedefine/>
    <w:qFormat/>
    <w:uiPriority w:val="0"/>
    <w:pPr>
      <w:spacing w:line="415" w:lineRule="auto"/>
      <w:ind w:firstLine="137"/>
    </w:pPr>
    <w:rPr>
      <w:rFonts w:hAnsi="Times New Roman"/>
      <w:bCs/>
      <w:i/>
      <w:szCs w:val="28"/>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styleId="96">
    <w:name w:val="List Paragraph"/>
    <w:basedOn w:val="1"/>
    <w:autoRedefine/>
    <w:qFormat/>
    <w:uiPriority w:val="0"/>
    <w:pPr>
      <w:ind w:firstLine="420" w:firstLineChars="200"/>
    </w:pPr>
  </w:style>
  <w:style w:type="paragraph" w:customStyle="1" w:styleId="97">
    <w:name w:val="表格"/>
    <w:basedOn w:val="1"/>
    <w:autoRedefine/>
    <w:qFormat/>
    <w:uiPriority w:val="0"/>
    <w:pPr>
      <w:jc w:val="center"/>
      <w:textAlignment w:val="center"/>
    </w:pPr>
    <w:rPr>
      <w:rFonts w:ascii="华文细黑" w:hAnsi="华文细黑"/>
      <w:kern w:val="0"/>
      <w:szCs w:val="20"/>
    </w:rPr>
  </w:style>
  <w:style w:type="paragraph" w:customStyle="1" w:styleId="98">
    <w:name w:val="样式 标题 3 + (中文) 黑体 小四 非加粗 段前: 7.8 磅 段后: 0 磅 行距: 固定值 20 磅"/>
    <w:basedOn w:val="7"/>
    <w:autoRedefine/>
    <w:qFormat/>
    <w:uiPriority w:val="0"/>
    <w:pPr>
      <w:spacing w:before="0" w:after="0" w:line="400" w:lineRule="exact"/>
      <w:ind w:firstLine="137"/>
    </w:pPr>
    <w:rPr>
      <w:rFonts w:hAnsi="Times New Roman" w:cs="宋体"/>
      <w:sz w:val="24"/>
    </w:rPr>
  </w:style>
  <w:style w:type="paragraph" w:customStyle="1" w:styleId="99">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100">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1">
    <w:name w:val="1"/>
    <w:basedOn w:val="1"/>
    <w:autoRedefine/>
    <w:qFormat/>
    <w:uiPriority w:val="0"/>
    <w:rPr>
      <w:rFonts w:ascii="Times New Roman" w:hAnsi="Times New Roman"/>
      <w:szCs w:val="20"/>
    </w:rPr>
  </w:style>
  <w:style w:type="paragraph" w:customStyle="1" w:styleId="102">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3">
    <w:name w:val="样式1"/>
    <w:basedOn w:val="1"/>
    <w:next w:val="8"/>
    <w:autoRedefine/>
    <w:qFormat/>
    <w:uiPriority w:val="0"/>
    <w:pPr>
      <w:spacing w:line="360" w:lineRule="auto"/>
      <w:ind w:firstLine="420" w:firstLineChars="200"/>
    </w:pPr>
    <w:rPr>
      <w:rFonts w:ascii="宋体" w:hAnsi="宋体"/>
      <w:szCs w:val="21"/>
    </w:rPr>
  </w:style>
  <w:style w:type="paragraph" w:customStyle="1" w:styleId="104">
    <w:name w:val="我的正文"/>
    <w:basedOn w:val="1"/>
    <w:autoRedefine/>
    <w:qFormat/>
    <w:uiPriority w:val="0"/>
    <w:rPr>
      <w:rFonts w:ascii="宋体" w:hAnsi="宋体"/>
      <w:sz w:val="24"/>
      <w:szCs w:val="24"/>
    </w:rPr>
  </w:style>
  <w:style w:type="paragraph" w:customStyle="1" w:styleId="105">
    <w:name w:val="_Style 104"/>
    <w:autoRedefine/>
    <w:qFormat/>
    <w:uiPriority w:val="0"/>
    <w:rPr>
      <w:rFonts w:ascii="Times New Roman" w:hAnsi="Times New Roman" w:eastAsia="宋体" w:cs="Times New Roman"/>
      <w:kern w:val="2"/>
      <w:sz w:val="21"/>
      <w:lang w:val="en-US" w:eastAsia="zh-CN" w:bidi="ar-SA"/>
    </w:rPr>
  </w:style>
  <w:style w:type="paragraph" w:customStyle="1" w:styleId="106">
    <w:name w:val="Default Paragraph Char Char Char Char"/>
    <w:basedOn w:val="1"/>
    <w:next w:val="1"/>
    <w:autoRedefine/>
    <w:qFormat/>
    <w:uiPriority w:val="0"/>
    <w:pPr>
      <w:widowControl/>
      <w:spacing w:line="360" w:lineRule="auto"/>
      <w:jc w:val="left"/>
    </w:pPr>
    <w:rPr>
      <w:rFonts w:ascii="Times New Roman" w:hAnsi="Times New Roman"/>
      <w:kern w:val="0"/>
      <w:szCs w:val="20"/>
      <w:lang w:eastAsia="en-US"/>
    </w:rPr>
  </w:style>
  <w:style w:type="paragraph" w:customStyle="1" w:styleId="107">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sz w:val="28"/>
    </w:rPr>
  </w:style>
  <w:style w:type="paragraph" w:customStyle="1" w:styleId="108">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9">
    <w:name w:val="Char1"/>
    <w:basedOn w:val="1"/>
    <w:autoRedefine/>
    <w:qFormat/>
    <w:uiPriority w:val="0"/>
    <w:pPr>
      <w:tabs>
        <w:tab w:val="left" w:pos="360"/>
      </w:tabs>
    </w:pPr>
    <w:rPr>
      <w:rFonts w:ascii="Times New Roman" w:hAnsi="Times New Roman"/>
      <w:sz w:val="24"/>
      <w:szCs w:val="20"/>
    </w:rPr>
  </w:style>
  <w:style w:type="paragraph" w:customStyle="1" w:styleId="110">
    <w:name w:val="样式 标题 1 + 黑体 三号 非加粗 居中 段前: 6 磅 段后: 6 磅 行距: 固定值 20 磅"/>
    <w:basedOn w:val="5"/>
    <w:autoRedefine/>
    <w:qFormat/>
    <w:uiPriority w:val="0"/>
    <w:pPr>
      <w:spacing w:before="120" w:after="120" w:line="400" w:lineRule="exact"/>
      <w:jc w:val="center"/>
    </w:pPr>
    <w:rPr>
      <w:rFonts w:ascii="黑体" w:hAnsi="黑体" w:eastAsia="黑体" w:cs="宋体"/>
      <w:b w:val="0"/>
      <w:sz w:val="32"/>
    </w:rPr>
  </w:style>
  <w:style w:type="paragraph" w:customStyle="1" w:styleId="111">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列表段落111"/>
    <w:basedOn w:val="1"/>
    <w:autoRedefine/>
    <w:qFormat/>
    <w:uiPriority w:val="34"/>
    <w:pPr>
      <w:ind w:firstLine="420" w:firstLineChars="200"/>
    </w:pPr>
  </w:style>
  <w:style w:type="paragraph" w:customStyle="1" w:styleId="113">
    <w:name w:val="列表段落11"/>
    <w:basedOn w:val="1"/>
    <w:autoRedefine/>
    <w:qFormat/>
    <w:uiPriority w:val="34"/>
    <w:pPr>
      <w:ind w:firstLine="420" w:firstLineChars="200"/>
    </w:pPr>
  </w:style>
  <w:style w:type="paragraph" w:customStyle="1" w:styleId="114">
    <w:name w:val="_Style 58"/>
    <w:basedOn w:val="5"/>
    <w:next w:val="1"/>
    <w:autoRedefine/>
    <w:qFormat/>
    <w:uiPriority w:val="39"/>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5">
    <w:name w:val="WPSOffice手动目录 1"/>
    <w:autoRedefine/>
    <w:qFormat/>
    <w:uiPriority w:val="0"/>
    <w:rPr>
      <w:rFonts w:ascii="Times New Roman" w:hAnsi="Times New Roman" w:eastAsia="宋体" w:cs="Times New Roman"/>
      <w:lang w:val="en-US" w:eastAsia="zh-CN" w:bidi="ar-SA"/>
    </w:rPr>
  </w:style>
  <w:style w:type="paragraph" w:customStyle="1" w:styleId="116">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117">
    <w:name w:val="一级标题目录样式"/>
    <w:basedOn w:val="5"/>
    <w:next w:val="1"/>
    <w:autoRedefine/>
    <w:qFormat/>
    <w:uiPriority w:val="0"/>
  </w:style>
  <w:style w:type="paragraph" w:customStyle="1" w:styleId="118">
    <w:name w:val="三级标题目录样式"/>
    <w:basedOn w:val="1"/>
    <w:next w:val="1"/>
    <w:autoRedefine/>
    <w:qFormat/>
    <w:uiPriority w:val="0"/>
    <w:pPr>
      <w:keepNext/>
      <w:keepLines/>
      <w:spacing w:before="100" w:beforeLines="100" w:after="100" w:afterLines="100"/>
      <w:jc w:val="center"/>
      <w:outlineLvl w:val="1"/>
    </w:pPr>
    <w:rPr>
      <w:rFonts w:hint="eastAsia" w:ascii="宋体" w:hAnsi="宋体" w:eastAsia="黑体" w:cs="宋体"/>
      <w:sz w:val="24"/>
      <w:szCs w:val="32"/>
    </w:rPr>
  </w:style>
  <w:style w:type="character" w:customStyle="1" w:styleId="119">
    <w:name w:val="目录样式二级标题 Char"/>
    <w:link w:val="120"/>
    <w:autoRedefine/>
    <w:qFormat/>
    <w:uiPriority w:val="0"/>
    <w:rPr>
      <w:rFonts w:hint="eastAsia" w:ascii="宋体" w:hAnsi="宋体" w:eastAsia="黑体" w:cs="宋体"/>
      <w:sz w:val="32"/>
      <w:szCs w:val="32"/>
    </w:rPr>
  </w:style>
  <w:style w:type="paragraph" w:customStyle="1" w:styleId="120">
    <w:name w:val="二级标题目录样式"/>
    <w:basedOn w:val="1"/>
    <w:next w:val="1"/>
    <w:link w:val="119"/>
    <w:autoRedefine/>
    <w:qFormat/>
    <w:uiPriority w:val="0"/>
    <w:pPr>
      <w:keepNext/>
      <w:keepLines/>
      <w:spacing w:before="100" w:beforeLines="100" w:after="100" w:afterLines="100"/>
      <w:jc w:val="center"/>
      <w:outlineLvl w:val="1"/>
    </w:pPr>
    <w:rPr>
      <w:rFonts w:hint="eastAsia" w:ascii="宋体" w:hAnsi="宋体" w:eastAsia="黑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136</Pages>
  <Words>29585</Words>
  <Characters>31106</Characters>
  <Lines>1</Lines>
  <Paragraphs>1</Paragraphs>
  <TotalTime>1</TotalTime>
  <ScaleCrop>false</ScaleCrop>
  <LinksUpToDate>false</LinksUpToDate>
  <CharactersWithSpaces>31712</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2020-06-11T13:14:00Z</dcterms:created>
  <dc:creator>袁静</dc:creator>
  <cp:lastModifiedBy>朱启杭</cp:lastModifiedBy>
  <cp:lastPrinted>2025-07-17T01:27:00Z</cp:lastPrinted>
  <dcterms:modified xsi:type="dcterms:W3CDTF">2025-11-21T09:11:50Z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08AAAC932F15477084173B8F7E6B7E9F_13</vt:lpwstr>
  </property>
  <property fmtid="{D5CDD505-2E9C-101B-9397-08002B2CF9AE}" pid="4" name="KSOTemplateDocerSaveRecord">
    <vt:lpwstr>eyJoZGlkIjoiMGM3YzA1YWJiMTUzMGIzY2Y4MDE5NGI2ZDM3NGE1ODMiLCJ1c2VySWQiOiIxNTY1NjE2ODUxIn0=</vt:lpwstr>
  </property>
</Properties>
</file>