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2FA39">
      <w:pPr>
        <w:tabs>
          <w:tab w:val="left" w:pos="315"/>
          <w:tab w:val="left" w:pos="8820"/>
        </w:tabs>
        <w:spacing w:before="240" w:beforeLines="100" w:after="120" w:afterLines="50" w:line="500" w:lineRule="exact"/>
        <w:ind w:right="305" w:rightChars="127" w:firstLine="1044"/>
        <w:jc w:val="center"/>
        <w:rPr>
          <w:rFonts w:hint="eastAsia"/>
          <w:b/>
          <w:bCs/>
          <w:sz w:val="52"/>
          <w:szCs w:val="52"/>
          <w:highlight w:val="none"/>
          <w:vertAlign w:val="superscript"/>
        </w:rPr>
      </w:pPr>
    </w:p>
    <w:p w14:paraId="521F7483">
      <w:pPr>
        <w:tabs>
          <w:tab w:val="left" w:pos="315"/>
          <w:tab w:val="left" w:pos="8820"/>
        </w:tabs>
        <w:ind w:firstLine="0" w:firstLineChars="0"/>
        <w:jc w:val="center"/>
        <w:rPr>
          <w:b/>
          <w:bCs/>
          <w:sz w:val="52"/>
          <w:szCs w:val="52"/>
          <w:highlight w:val="none"/>
        </w:rPr>
      </w:pPr>
      <w:bookmarkStart w:id="0" w:name="_Hlk9544796"/>
      <w:r>
        <w:rPr>
          <w:rFonts w:hint="eastAsia"/>
          <w:b/>
          <w:bCs/>
          <w:sz w:val="52"/>
          <w:szCs w:val="52"/>
          <w:highlight w:val="none"/>
        </w:rPr>
        <w:t>服务类项目</w:t>
      </w:r>
    </w:p>
    <w:p w14:paraId="42EAA1C6">
      <w:pPr>
        <w:tabs>
          <w:tab w:val="left" w:pos="315"/>
          <w:tab w:val="left" w:pos="8820"/>
        </w:tabs>
        <w:ind w:firstLine="0" w:firstLineChars="0"/>
        <w:jc w:val="center"/>
        <w:rPr>
          <w:sz w:val="44"/>
          <w:szCs w:val="44"/>
          <w:highlight w:val="none"/>
        </w:rPr>
      </w:pPr>
      <w:r>
        <w:rPr>
          <w:rFonts w:hint="eastAsia"/>
          <w:b/>
          <w:bCs/>
          <w:sz w:val="52"/>
          <w:szCs w:val="52"/>
          <w:highlight w:val="none"/>
        </w:rPr>
        <w:t>磋商文件</w:t>
      </w:r>
      <w:r>
        <w:rPr>
          <w:rFonts w:hint="eastAsia" w:cs="宋体"/>
          <w:highlight w:val="none"/>
        </w:rPr>
        <w:drawing>
          <wp:anchor distT="0" distB="0" distL="114300" distR="114300" simplePos="0" relativeHeight="251660288" behindDoc="0" locked="0" layoutInCell="1" allowOverlap="1">
            <wp:simplePos x="0" y="0"/>
            <wp:positionH relativeFrom="column">
              <wp:posOffset>1899285</wp:posOffset>
            </wp:positionH>
            <wp:positionV relativeFrom="paragraph">
              <wp:posOffset>1385570</wp:posOffset>
            </wp:positionV>
            <wp:extent cx="1733550" cy="1743075"/>
            <wp:effectExtent l="0" t="0" r="0" b="952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1733550" cy="1743075"/>
                    </a:xfrm>
                    <a:prstGeom prst="rect">
                      <a:avLst/>
                    </a:prstGeom>
                    <a:noFill/>
                    <a:ln>
                      <a:noFill/>
                    </a:ln>
                  </pic:spPr>
                </pic:pic>
              </a:graphicData>
            </a:graphic>
          </wp:anchor>
        </w:drawing>
      </w:r>
      <w:bookmarkEnd w:id="0"/>
    </w:p>
    <w:p w14:paraId="66D60C5C">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631FA066">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24BACA0E">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27C34A02">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07FC0BF7">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1069274E">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38C67DFE">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2307AF84">
      <w:pPr>
        <w:tabs>
          <w:tab w:val="left" w:pos="315"/>
          <w:tab w:val="left" w:pos="8820"/>
        </w:tabs>
        <w:spacing w:before="240" w:beforeLines="100" w:after="120" w:afterLines="50" w:line="500" w:lineRule="exact"/>
        <w:ind w:right="305" w:rightChars="127" w:firstLine="883"/>
        <w:jc w:val="center"/>
        <w:rPr>
          <w:b/>
          <w:bCs/>
          <w:sz w:val="44"/>
          <w:szCs w:val="44"/>
          <w:highlight w:val="none"/>
        </w:rPr>
      </w:pPr>
    </w:p>
    <w:p w14:paraId="0C5DE246">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项目名称：</w:t>
      </w:r>
      <w:r>
        <w:rPr>
          <w:rFonts w:hint="eastAsia"/>
          <w:b/>
          <w:spacing w:val="20"/>
          <w:sz w:val="32"/>
          <w:szCs w:val="32"/>
          <w:highlight w:val="none"/>
          <w:lang w:eastAsia="zh-CN"/>
        </w:rPr>
        <w:t>肥西县中医院电梯维保（2026-2027）</w:t>
      </w:r>
    </w:p>
    <w:p w14:paraId="280CB1FF">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项目编号：</w:t>
      </w:r>
      <w:r>
        <w:rPr>
          <w:rFonts w:hint="eastAsia"/>
          <w:b/>
          <w:spacing w:val="20"/>
          <w:sz w:val="32"/>
          <w:szCs w:val="32"/>
          <w:highlight w:val="none"/>
          <w:lang w:eastAsia="zh-CN"/>
        </w:rPr>
        <w:t>2026GSFN0010</w:t>
      </w:r>
    </w:p>
    <w:p w14:paraId="51F9B238">
      <w:pPr>
        <w:tabs>
          <w:tab w:val="left" w:pos="2410"/>
        </w:tabs>
        <w:autoSpaceDE w:val="0"/>
        <w:autoSpaceDN w:val="0"/>
        <w:adjustRightInd w:val="0"/>
        <w:snapToGrid w:val="0"/>
        <w:ind w:firstLine="723"/>
        <w:rPr>
          <w:rFonts w:hint="eastAsia" w:eastAsia="宋体"/>
          <w:b/>
          <w:spacing w:val="20"/>
          <w:sz w:val="32"/>
          <w:szCs w:val="32"/>
          <w:highlight w:val="none"/>
          <w:lang w:eastAsia="zh-CN"/>
        </w:rPr>
      </w:pPr>
      <w:r>
        <w:rPr>
          <w:rFonts w:hint="eastAsia"/>
          <w:b/>
          <w:spacing w:val="20"/>
          <w:sz w:val="32"/>
          <w:szCs w:val="32"/>
          <w:highlight w:val="none"/>
        </w:rPr>
        <w:t>业主单位：</w:t>
      </w:r>
      <w:r>
        <w:rPr>
          <w:rFonts w:hint="eastAsia"/>
          <w:b/>
          <w:spacing w:val="20"/>
          <w:sz w:val="32"/>
          <w:szCs w:val="32"/>
          <w:highlight w:val="none"/>
          <w:lang w:eastAsia="zh-CN"/>
        </w:rPr>
        <w:t>肥西县中医院</w:t>
      </w:r>
    </w:p>
    <w:p w14:paraId="54C2F8F9">
      <w:pPr>
        <w:tabs>
          <w:tab w:val="left" w:pos="2410"/>
        </w:tabs>
        <w:autoSpaceDE w:val="0"/>
        <w:autoSpaceDN w:val="0"/>
        <w:adjustRightInd w:val="0"/>
        <w:snapToGrid w:val="0"/>
        <w:ind w:firstLine="723"/>
        <w:rPr>
          <w:b/>
          <w:spacing w:val="20"/>
          <w:sz w:val="32"/>
          <w:szCs w:val="32"/>
          <w:highlight w:val="none"/>
        </w:rPr>
      </w:pPr>
      <w:r>
        <w:rPr>
          <w:rFonts w:hint="eastAsia"/>
          <w:b/>
          <w:spacing w:val="20"/>
          <w:sz w:val="32"/>
          <w:szCs w:val="32"/>
          <w:highlight w:val="none"/>
        </w:rPr>
        <w:t>代理机构：肥西县公共资源交易有限责任公司</w:t>
      </w:r>
    </w:p>
    <w:p w14:paraId="4358908C">
      <w:pPr>
        <w:tabs>
          <w:tab w:val="left" w:pos="2410"/>
        </w:tabs>
        <w:autoSpaceDE w:val="0"/>
        <w:autoSpaceDN w:val="0"/>
        <w:adjustRightInd w:val="0"/>
        <w:snapToGrid w:val="0"/>
        <w:ind w:firstLine="723"/>
        <w:jc w:val="center"/>
        <w:rPr>
          <w:b/>
          <w:sz w:val="36"/>
          <w:highlight w:val="none"/>
        </w:rPr>
      </w:pPr>
    </w:p>
    <w:p w14:paraId="4AFAD8B6">
      <w:pPr>
        <w:tabs>
          <w:tab w:val="left" w:pos="2410"/>
        </w:tabs>
        <w:autoSpaceDE w:val="0"/>
        <w:autoSpaceDN w:val="0"/>
        <w:adjustRightInd w:val="0"/>
        <w:snapToGrid w:val="0"/>
        <w:ind w:firstLine="3253" w:firstLineChars="900"/>
        <w:rPr>
          <w:b/>
          <w:sz w:val="36"/>
          <w:highlight w:val="none"/>
        </w:rPr>
      </w:pPr>
      <w:r>
        <w:rPr>
          <w:rFonts w:hint="eastAsia"/>
          <w:b/>
          <w:sz w:val="36"/>
          <w:highlight w:val="none"/>
        </w:rPr>
        <w:t>202</w:t>
      </w:r>
      <w:r>
        <w:rPr>
          <w:rFonts w:hint="eastAsia"/>
          <w:b/>
          <w:sz w:val="36"/>
          <w:highlight w:val="none"/>
          <w:lang w:val="en-US" w:eastAsia="zh-CN"/>
        </w:rPr>
        <w:t>6</w:t>
      </w:r>
      <w:r>
        <w:rPr>
          <w:rFonts w:hint="eastAsia"/>
          <w:b/>
          <w:sz w:val="36"/>
          <w:highlight w:val="none"/>
        </w:rPr>
        <w:t>年</w:t>
      </w:r>
      <w:r>
        <w:rPr>
          <w:rFonts w:hint="eastAsia"/>
          <w:b/>
          <w:sz w:val="36"/>
          <w:highlight w:val="none"/>
          <w:lang w:val="en-US" w:eastAsia="zh-CN"/>
        </w:rPr>
        <w:t>9</w:t>
      </w:r>
      <w:r>
        <w:rPr>
          <w:rFonts w:hint="eastAsia"/>
          <w:b/>
          <w:sz w:val="36"/>
          <w:highlight w:val="none"/>
        </w:rPr>
        <w:t>月</w:t>
      </w:r>
      <w:r>
        <w:rPr>
          <w:b/>
          <w:sz w:val="36"/>
          <w:highlight w:val="none"/>
        </w:rPr>
        <w:br w:type="page"/>
      </w:r>
    </w:p>
    <w:p w14:paraId="5EE3C63C">
      <w:pPr>
        <w:tabs>
          <w:tab w:val="left" w:pos="2410"/>
        </w:tabs>
        <w:autoSpaceDE w:val="0"/>
        <w:autoSpaceDN w:val="0"/>
        <w:adjustRightInd w:val="0"/>
        <w:snapToGrid w:val="0"/>
        <w:ind w:firstLine="562"/>
        <w:jc w:val="center"/>
        <w:rPr>
          <w:b/>
          <w:sz w:val="28"/>
          <w:highlight w:val="none"/>
        </w:rPr>
      </w:pPr>
      <w:r>
        <w:rPr>
          <w:rFonts w:hint="eastAsia"/>
          <w:b/>
          <w:sz w:val="28"/>
          <w:highlight w:val="none"/>
        </w:rPr>
        <w:t>目  录</w:t>
      </w:r>
    </w:p>
    <w:p w14:paraId="1E86878B">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TOC \o "1-2" \h \z \u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_Toc14832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rPr>
        <w:t xml:space="preserve">第一章 </w:t>
      </w:r>
      <w:r>
        <w:rPr>
          <w:rFonts w:hint="eastAsia" w:asciiTheme="minorEastAsia" w:hAnsiTheme="minorEastAsia" w:eastAsiaTheme="minorEastAsia" w:cstheme="minorEastAsia"/>
          <w:b w:val="0"/>
          <w:bCs w:val="0"/>
          <w:kern w:val="21"/>
          <w:sz w:val="24"/>
          <w:szCs w:val="24"/>
          <w:lang w:val="en-US" w:eastAsia="zh-CN"/>
        </w:rPr>
        <w:t xml:space="preserve"> </w:t>
      </w:r>
      <w:r>
        <w:rPr>
          <w:rFonts w:hint="eastAsia" w:asciiTheme="minorEastAsia" w:hAnsiTheme="minorEastAsia" w:eastAsiaTheme="minorEastAsia" w:cstheme="minorEastAsia"/>
          <w:b w:val="0"/>
          <w:bCs w:val="0"/>
          <w:kern w:val="21"/>
          <w:sz w:val="24"/>
          <w:szCs w:val="24"/>
          <w:highlight w:val="none"/>
        </w:rPr>
        <w:t>磋商公告</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_Toc14832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3</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3DEBA91A">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_Toc4515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t xml:space="preserve">第二章 </w:t>
      </w:r>
      <w:r>
        <w:rPr>
          <w:rFonts w:hint="eastAsia" w:asciiTheme="minorEastAsia" w:hAnsiTheme="minorEastAsia" w:eastAsiaTheme="minorEastAsia" w:cstheme="minorEastAsia"/>
          <w:b w:val="0"/>
          <w:bCs w:val="0"/>
          <w:kern w:val="21"/>
          <w:sz w:val="24"/>
          <w:szCs w:val="24"/>
          <w:highlight w:val="none"/>
          <w:lang w:val="en-US" w:eastAsia="zh-CN"/>
        </w:rPr>
        <w:t xml:space="preserve"> </w:t>
      </w:r>
      <w:r>
        <w:rPr>
          <w:rFonts w:hint="eastAsia" w:asciiTheme="minorEastAsia" w:hAnsiTheme="minorEastAsia" w:eastAsiaTheme="minorEastAsia" w:cstheme="minorEastAsia"/>
          <w:b w:val="0"/>
          <w:bCs w:val="0"/>
          <w:kern w:val="21"/>
          <w:sz w:val="24"/>
          <w:szCs w:val="24"/>
          <w:highlight w:val="none"/>
        </w:rPr>
        <w:t>供应商须知</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_Toc4515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6</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47D8AEE2">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_Toc14866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t xml:space="preserve">第三章 </w:t>
      </w:r>
      <w:r>
        <w:rPr>
          <w:rFonts w:hint="eastAsia" w:asciiTheme="minorEastAsia" w:hAnsiTheme="minorEastAsia" w:eastAsiaTheme="minorEastAsia" w:cstheme="minorEastAsia"/>
          <w:b w:val="0"/>
          <w:bCs w:val="0"/>
          <w:kern w:val="21"/>
          <w:sz w:val="24"/>
          <w:szCs w:val="24"/>
          <w:highlight w:val="none"/>
          <w:lang w:val="en-US" w:eastAsia="zh-CN"/>
        </w:rPr>
        <w:t xml:space="preserve"> </w:t>
      </w:r>
      <w:r>
        <w:rPr>
          <w:rFonts w:hint="eastAsia" w:asciiTheme="minorEastAsia" w:hAnsiTheme="minorEastAsia" w:eastAsiaTheme="minorEastAsia" w:cstheme="minorEastAsia"/>
          <w:b w:val="0"/>
          <w:bCs w:val="0"/>
          <w:kern w:val="21"/>
          <w:sz w:val="24"/>
          <w:szCs w:val="24"/>
          <w:highlight w:val="none"/>
        </w:rPr>
        <w:t>业主单位要求</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_Toc14866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23</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18F71D11">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_Toc8991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t xml:space="preserve">第四章 </w:t>
      </w:r>
      <w:r>
        <w:rPr>
          <w:rFonts w:hint="eastAsia" w:asciiTheme="minorEastAsia" w:hAnsiTheme="minorEastAsia" w:eastAsiaTheme="minorEastAsia" w:cstheme="minorEastAsia"/>
          <w:b w:val="0"/>
          <w:bCs w:val="0"/>
          <w:kern w:val="21"/>
          <w:sz w:val="24"/>
          <w:szCs w:val="24"/>
          <w:highlight w:val="none"/>
          <w:lang w:val="en-US" w:eastAsia="zh-CN"/>
        </w:rPr>
        <w:t xml:space="preserve"> </w:t>
      </w:r>
      <w:r>
        <w:rPr>
          <w:rFonts w:hint="eastAsia" w:asciiTheme="minorEastAsia" w:hAnsiTheme="minorEastAsia" w:eastAsiaTheme="minorEastAsia" w:cstheme="minorEastAsia"/>
          <w:b w:val="0"/>
          <w:bCs w:val="0"/>
          <w:kern w:val="21"/>
          <w:sz w:val="24"/>
          <w:szCs w:val="24"/>
          <w:highlight w:val="none"/>
        </w:rPr>
        <w:t>评审方法和标准</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_Toc8991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36</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6B3DF5DD">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_Toc11803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t xml:space="preserve">第五章 </w:t>
      </w:r>
      <w:r>
        <w:rPr>
          <w:rFonts w:hint="eastAsia" w:asciiTheme="minorEastAsia" w:hAnsiTheme="minorEastAsia" w:eastAsiaTheme="minorEastAsia" w:cstheme="minorEastAsia"/>
          <w:b w:val="0"/>
          <w:bCs w:val="0"/>
          <w:kern w:val="21"/>
          <w:sz w:val="24"/>
          <w:szCs w:val="24"/>
          <w:highlight w:val="none"/>
          <w:lang w:val="en-US" w:eastAsia="zh-CN"/>
        </w:rPr>
        <w:t xml:space="preserve"> </w:t>
      </w:r>
      <w:r>
        <w:rPr>
          <w:rFonts w:hint="eastAsia" w:asciiTheme="minorEastAsia" w:hAnsiTheme="minorEastAsia" w:eastAsiaTheme="minorEastAsia" w:cstheme="minorEastAsia"/>
          <w:b w:val="0"/>
          <w:bCs w:val="0"/>
          <w:kern w:val="21"/>
          <w:sz w:val="24"/>
          <w:szCs w:val="24"/>
          <w:highlight w:val="none"/>
        </w:rPr>
        <w:t>合同</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_Toc11803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42</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1219C26A">
      <w:pPr>
        <w:pStyle w:val="13"/>
        <w:keepNext w:val="0"/>
        <w:keepLines w:val="0"/>
        <w:pageBreakBefore w:val="0"/>
        <w:widowControl w:val="0"/>
        <w:tabs>
          <w:tab w:val="right" w:leader="dot" w:pos="8869"/>
        </w:tabs>
        <w:kinsoku/>
        <w:wordWrap/>
        <w:overflowPunct/>
        <w:topLinePunct w:val="0"/>
        <w:autoSpaceDE/>
        <w:autoSpaceDN/>
        <w:bidi w:val="0"/>
        <w:adjustRightInd/>
        <w:snapToGrid/>
        <w:spacing w:after="0" w:line="360" w:lineRule="auto"/>
        <w:ind w:left="0"/>
        <w:textAlignment w:val="auto"/>
        <w:rPr>
          <w:rFonts w:hint="eastAsia" w:asciiTheme="minorEastAsia" w:hAnsiTheme="minorEastAsia" w:eastAsiaTheme="minorEastAsia" w:cstheme="minorEastAsia"/>
          <w:b w:val="0"/>
          <w:bCs w:val="0"/>
          <w:kern w:val="21"/>
          <w:sz w:val="24"/>
          <w:szCs w:val="24"/>
        </w:rPr>
      </w:pPr>
      <w:r>
        <w:rPr>
          <w:rFonts w:hint="eastAsia" w:asciiTheme="minorEastAsia" w:hAnsiTheme="minorEastAsia" w:eastAsiaTheme="minorEastAsia" w:cstheme="minorEastAsia"/>
          <w:b w:val="0"/>
          <w:bCs w:val="0"/>
          <w:kern w:val="21"/>
          <w:sz w:val="24"/>
          <w:szCs w:val="24"/>
          <w:highlight w:val="none"/>
        </w:rPr>
        <w:fldChar w:fldCharType="begin"/>
      </w:r>
      <w:r>
        <w:rPr>
          <w:rFonts w:hint="eastAsia" w:asciiTheme="minorEastAsia" w:hAnsiTheme="minorEastAsia" w:eastAsiaTheme="minorEastAsia" w:cstheme="minorEastAsia"/>
          <w:b w:val="0"/>
          <w:bCs w:val="0"/>
          <w:kern w:val="21"/>
          <w:sz w:val="24"/>
          <w:szCs w:val="24"/>
          <w:highlight w:val="none"/>
        </w:rPr>
        <w:instrText xml:space="preserve"> HYPERLINK \l _Toc13101 </w:instrText>
      </w:r>
      <w:r>
        <w:rPr>
          <w:rFonts w:hint="eastAsia" w:asciiTheme="minorEastAsia" w:hAnsiTheme="minorEastAsia" w:eastAsiaTheme="minorEastAsia" w:cstheme="minorEastAsia"/>
          <w:b w:val="0"/>
          <w:bCs w:val="0"/>
          <w:kern w:val="21"/>
          <w:sz w:val="24"/>
          <w:szCs w:val="24"/>
          <w:highlight w:val="none"/>
        </w:rPr>
        <w:fldChar w:fldCharType="separate"/>
      </w:r>
      <w:r>
        <w:rPr>
          <w:rFonts w:hint="eastAsia" w:asciiTheme="minorEastAsia" w:hAnsiTheme="minorEastAsia" w:eastAsiaTheme="minorEastAsia" w:cstheme="minorEastAsia"/>
          <w:b w:val="0"/>
          <w:bCs w:val="0"/>
          <w:kern w:val="21"/>
          <w:sz w:val="24"/>
          <w:szCs w:val="24"/>
          <w:highlight w:val="none"/>
        </w:rPr>
        <w:t xml:space="preserve">第六章 </w:t>
      </w:r>
      <w:r>
        <w:rPr>
          <w:rFonts w:hint="eastAsia" w:asciiTheme="minorEastAsia" w:hAnsiTheme="minorEastAsia" w:eastAsiaTheme="minorEastAsia" w:cstheme="minorEastAsia"/>
          <w:b w:val="0"/>
          <w:bCs w:val="0"/>
          <w:kern w:val="21"/>
          <w:sz w:val="24"/>
          <w:szCs w:val="24"/>
          <w:highlight w:val="none"/>
          <w:lang w:val="en-US" w:eastAsia="zh-CN"/>
        </w:rPr>
        <w:t xml:space="preserve"> </w:t>
      </w:r>
      <w:r>
        <w:rPr>
          <w:rFonts w:hint="eastAsia" w:asciiTheme="minorEastAsia" w:hAnsiTheme="minorEastAsia" w:eastAsiaTheme="minorEastAsia" w:cstheme="minorEastAsia"/>
          <w:b w:val="0"/>
          <w:bCs w:val="0"/>
          <w:kern w:val="21"/>
          <w:sz w:val="24"/>
          <w:szCs w:val="24"/>
          <w:highlight w:val="none"/>
        </w:rPr>
        <w:t>响应文件格式</w:t>
      </w:r>
      <w:r>
        <w:rPr>
          <w:rFonts w:hint="eastAsia" w:asciiTheme="minorEastAsia" w:hAnsiTheme="minorEastAsia" w:eastAsiaTheme="minorEastAsia" w:cstheme="minorEastAsia"/>
          <w:b w:val="0"/>
          <w:bCs w:val="0"/>
          <w:kern w:val="21"/>
          <w:sz w:val="24"/>
          <w:szCs w:val="24"/>
        </w:rPr>
        <w:tab/>
      </w:r>
      <w:r>
        <w:rPr>
          <w:rFonts w:hint="eastAsia" w:asciiTheme="minorEastAsia" w:hAnsiTheme="minorEastAsia" w:eastAsiaTheme="minorEastAsia" w:cstheme="minorEastAsia"/>
          <w:b w:val="0"/>
          <w:bCs w:val="0"/>
          <w:kern w:val="21"/>
          <w:sz w:val="24"/>
          <w:szCs w:val="24"/>
        </w:rPr>
        <w:fldChar w:fldCharType="begin"/>
      </w:r>
      <w:r>
        <w:rPr>
          <w:rFonts w:hint="eastAsia" w:asciiTheme="minorEastAsia" w:hAnsiTheme="minorEastAsia" w:eastAsiaTheme="minorEastAsia" w:cstheme="minorEastAsia"/>
          <w:b w:val="0"/>
          <w:bCs w:val="0"/>
          <w:kern w:val="21"/>
          <w:sz w:val="24"/>
          <w:szCs w:val="24"/>
        </w:rPr>
        <w:instrText xml:space="preserve"> PAGEREF _Toc13101 \h </w:instrText>
      </w:r>
      <w:r>
        <w:rPr>
          <w:rFonts w:hint="eastAsia" w:asciiTheme="minorEastAsia" w:hAnsiTheme="minorEastAsia" w:eastAsiaTheme="minorEastAsia" w:cstheme="minorEastAsia"/>
          <w:b w:val="0"/>
          <w:bCs w:val="0"/>
          <w:kern w:val="21"/>
          <w:sz w:val="24"/>
          <w:szCs w:val="24"/>
        </w:rPr>
        <w:fldChar w:fldCharType="separate"/>
      </w:r>
      <w:r>
        <w:rPr>
          <w:rFonts w:hint="eastAsia" w:asciiTheme="minorEastAsia" w:hAnsiTheme="minorEastAsia" w:eastAsiaTheme="minorEastAsia" w:cstheme="minorEastAsia"/>
          <w:b w:val="0"/>
          <w:bCs w:val="0"/>
          <w:kern w:val="21"/>
          <w:sz w:val="24"/>
          <w:szCs w:val="24"/>
        </w:rPr>
        <w:t>43</w:t>
      </w:r>
      <w:r>
        <w:rPr>
          <w:rFonts w:hint="eastAsia" w:asciiTheme="minorEastAsia" w:hAnsiTheme="minorEastAsia" w:eastAsiaTheme="minorEastAsia" w:cstheme="minorEastAsia"/>
          <w:b w:val="0"/>
          <w:bCs w:val="0"/>
          <w:kern w:val="21"/>
          <w:sz w:val="24"/>
          <w:szCs w:val="24"/>
        </w:rPr>
        <w:fldChar w:fldCharType="end"/>
      </w:r>
      <w:r>
        <w:rPr>
          <w:rFonts w:hint="eastAsia" w:asciiTheme="minorEastAsia" w:hAnsiTheme="minorEastAsia" w:eastAsiaTheme="minorEastAsia" w:cstheme="minorEastAsia"/>
          <w:b w:val="0"/>
          <w:bCs w:val="0"/>
          <w:kern w:val="21"/>
          <w:sz w:val="24"/>
          <w:szCs w:val="24"/>
          <w:highlight w:val="none"/>
        </w:rPr>
        <w:fldChar w:fldCharType="end"/>
      </w:r>
    </w:p>
    <w:p w14:paraId="21FBFA1C">
      <w:pPr>
        <w:pStyle w:val="13"/>
        <w:keepNext w:val="0"/>
        <w:keepLines w:val="0"/>
        <w:pageBreakBefore w:val="0"/>
        <w:widowControl w:val="0"/>
        <w:tabs>
          <w:tab w:val="right" w:leader="dot" w:pos="8296"/>
        </w:tabs>
        <w:kinsoku/>
        <w:wordWrap/>
        <w:overflowPunct/>
        <w:topLinePunct w:val="0"/>
        <w:autoSpaceDE/>
        <w:autoSpaceDN/>
        <w:bidi w:val="0"/>
        <w:adjustRightInd/>
        <w:snapToGrid/>
        <w:spacing w:after="0" w:line="360" w:lineRule="auto"/>
        <w:ind w:left="0" w:firstLine="440"/>
        <w:textAlignment w:val="auto"/>
        <w:rPr>
          <w:rFonts w:asciiTheme="minorEastAsia" w:hAnsiTheme="minorEastAsia"/>
          <w:szCs w:val="24"/>
          <w:highlight w:val="none"/>
        </w:rPr>
      </w:pPr>
      <w:r>
        <w:rPr>
          <w:rFonts w:hint="eastAsia" w:asciiTheme="minorEastAsia" w:hAnsiTheme="minorEastAsia" w:eastAsiaTheme="minorEastAsia" w:cstheme="minorEastAsia"/>
          <w:b w:val="0"/>
          <w:bCs w:val="0"/>
          <w:kern w:val="21"/>
          <w:sz w:val="24"/>
          <w:szCs w:val="24"/>
          <w:highlight w:val="none"/>
        </w:rPr>
        <w:fldChar w:fldCharType="end"/>
      </w:r>
    </w:p>
    <w:p w14:paraId="581AF928">
      <w:pPr>
        <w:pStyle w:val="32"/>
        <w:ind w:left="180" w:leftChars="75" w:firstLine="480"/>
        <w:rPr>
          <w:rFonts w:asciiTheme="minorEastAsia" w:hAnsiTheme="minorEastAsia" w:eastAsiaTheme="minorEastAsia"/>
          <w:sz w:val="28"/>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1440" w:right="1519" w:bottom="1440" w:left="1519" w:header="851" w:footer="992" w:gutter="0"/>
          <w:pgBorders>
            <w:top w:val="none" w:sz="0" w:space="0"/>
            <w:left w:val="none" w:sz="0" w:space="0"/>
            <w:bottom w:val="none" w:sz="0" w:space="0"/>
            <w:right w:val="none" w:sz="0" w:space="0"/>
          </w:pgBorders>
          <w:pgNumType w:fmt="decimal"/>
          <w:cols w:space="720" w:num="1"/>
          <w:docGrid w:linePitch="462" w:charSpace="0"/>
        </w:sectPr>
      </w:pPr>
      <w:r>
        <w:rPr>
          <w:rFonts w:hint="eastAsia"/>
          <w:highlight w:val="none"/>
        </w:rPr>
        <w:br w:type="page"/>
      </w:r>
    </w:p>
    <w:p w14:paraId="78CECEA5">
      <w:pPr>
        <w:numPr>
          <w:ilvl w:val="0"/>
          <w:numId w:val="1"/>
        </w:numPr>
        <w:ind w:firstLine="562"/>
        <w:jc w:val="center"/>
        <w:outlineLvl w:val="1"/>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t xml:space="preserve"> </w:t>
      </w:r>
      <w:bookmarkStart w:id="1" w:name="_Toc14832"/>
      <w:bookmarkStart w:id="2" w:name="_Hlk193096165"/>
      <w:r>
        <w:rPr>
          <w:rFonts w:hint="eastAsia" w:asciiTheme="minorEastAsia" w:hAnsiTheme="minorEastAsia" w:eastAsiaTheme="minorEastAsia"/>
          <w:b/>
          <w:sz w:val="28"/>
          <w:highlight w:val="none"/>
        </w:rPr>
        <w:t>磋商公告</w:t>
      </w:r>
      <w:bookmarkEnd w:id="1"/>
    </w:p>
    <w:p w14:paraId="6A762C61">
      <w:pPr>
        <w:pStyle w:val="33"/>
        <w:keepNext w:val="0"/>
        <w:keepLines w:val="0"/>
        <w:pageBreakBefore w:val="0"/>
        <w:widowControl w:val="0"/>
        <w:kinsoku/>
        <w:wordWrap/>
        <w:overflowPunct/>
        <w:topLinePunct w:val="0"/>
        <w:autoSpaceDE/>
        <w:autoSpaceDN/>
        <w:bidi w:val="0"/>
        <w:adjustRightInd/>
        <w:snapToGrid/>
        <w:spacing w:before="0" w:after="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2"/>
          <w:highlight w:val="none"/>
        </w:rPr>
        <w:t>肥西县公共资源交易有限责任公司受</w:t>
      </w:r>
      <w:r>
        <w:rPr>
          <w:rFonts w:hint="eastAsia" w:asciiTheme="minorEastAsia" w:hAnsiTheme="minorEastAsia" w:eastAsiaTheme="minorEastAsia" w:cstheme="minorEastAsia"/>
          <w:color w:val="auto"/>
          <w:kern w:val="2"/>
          <w:highlight w:val="none"/>
          <w:lang w:eastAsia="zh-CN"/>
        </w:rPr>
        <w:t>肥西县中医院</w:t>
      </w:r>
      <w:r>
        <w:rPr>
          <w:rFonts w:hint="eastAsia" w:asciiTheme="minorEastAsia" w:hAnsiTheme="minorEastAsia" w:eastAsiaTheme="minorEastAsia" w:cstheme="minorEastAsia"/>
          <w:color w:val="auto"/>
          <w:kern w:val="2"/>
          <w:highlight w:val="none"/>
        </w:rPr>
        <w:t>委托，现对</w:t>
      </w:r>
      <w:r>
        <w:rPr>
          <w:rFonts w:hint="eastAsia" w:asciiTheme="minorEastAsia" w:hAnsiTheme="minorEastAsia" w:eastAsiaTheme="minorEastAsia" w:cstheme="minorEastAsia"/>
          <w:color w:val="auto"/>
          <w:kern w:val="2"/>
          <w:highlight w:val="none"/>
          <w:lang w:eastAsia="zh-CN"/>
        </w:rPr>
        <w:t>肥西县中医院电梯维保（2026-2027）</w:t>
      </w:r>
      <w:r>
        <w:rPr>
          <w:rFonts w:hint="eastAsia" w:asciiTheme="minorEastAsia" w:hAnsiTheme="minorEastAsia" w:eastAsiaTheme="minorEastAsia" w:cstheme="minorEastAsia"/>
          <w:color w:val="auto"/>
          <w:kern w:val="2"/>
          <w:highlight w:val="none"/>
        </w:rPr>
        <w:t>进行磋商，欢迎具备条件的供应商参加磋商。</w:t>
      </w:r>
    </w:p>
    <w:p w14:paraId="132A6513">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1.项目名称及内容</w:t>
      </w:r>
    </w:p>
    <w:p w14:paraId="7D3596C8">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1.1 项目编号：</w:t>
      </w:r>
      <w:r>
        <w:rPr>
          <w:rFonts w:hint="eastAsia" w:asciiTheme="minorEastAsia" w:hAnsiTheme="minorEastAsia" w:eastAsiaTheme="minorEastAsia" w:cstheme="minorEastAsia"/>
          <w:color w:val="auto"/>
          <w:szCs w:val="24"/>
          <w:highlight w:val="none"/>
          <w:lang w:eastAsia="zh-CN"/>
        </w:rPr>
        <w:t>2026GSFN0010</w:t>
      </w:r>
    </w:p>
    <w:p w14:paraId="4552C4D3">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1.2 项目名称：</w:t>
      </w:r>
      <w:r>
        <w:rPr>
          <w:rFonts w:hint="eastAsia" w:asciiTheme="minorEastAsia" w:hAnsiTheme="minorEastAsia" w:eastAsiaTheme="minorEastAsia" w:cstheme="minorEastAsia"/>
          <w:color w:val="auto"/>
          <w:szCs w:val="24"/>
          <w:highlight w:val="none"/>
          <w:lang w:eastAsia="zh-CN"/>
        </w:rPr>
        <w:t>肥西县中医院电梯维保（2026-2027）</w:t>
      </w:r>
    </w:p>
    <w:p w14:paraId="199F05BB">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1.3 项目地点：肥西县</w:t>
      </w:r>
    </w:p>
    <w:p w14:paraId="7FF3E96C">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1.4 项目单位：</w:t>
      </w:r>
      <w:r>
        <w:rPr>
          <w:rFonts w:hint="eastAsia" w:asciiTheme="minorEastAsia" w:hAnsiTheme="minorEastAsia" w:eastAsiaTheme="minorEastAsia" w:cstheme="minorEastAsia"/>
          <w:color w:val="auto"/>
          <w:szCs w:val="24"/>
          <w:highlight w:val="none"/>
          <w:lang w:eastAsia="zh-CN"/>
        </w:rPr>
        <w:t>肥西县中医院</w:t>
      </w:r>
    </w:p>
    <w:p w14:paraId="44F9193B">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1.5 项目概况：</w:t>
      </w:r>
      <w:r>
        <w:rPr>
          <w:rFonts w:hint="eastAsia" w:asciiTheme="minorEastAsia" w:hAnsiTheme="minorEastAsia" w:eastAsiaTheme="minorEastAsia" w:cstheme="minorEastAsia"/>
          <w:color w:val="auto"/>
          <w:szCs w:val="24"/>
          <w:highlight w:val="none"/>
          <w:lang w:val="en-US" w:eastAsia="zh-CN"/>
        </w:rPr>
        <w:t>肥西县中医院新区44台电梯（其中36台垂直电梯、8台扶梯）实行半包服务及派河路门诊部2台垂直电梯实行全包式维保服务，</w:t>
      </w:r>
      <w:r>
        <w:rPr>
          <w:rFonts w:hint="eastAsia" w:asciiTheme="minorEastAsia" w:hAnsiTheme="minorEastAsia" w:eastAsiaTheme="minorEastAsia" w:cstheme="minorEastAsia"/>
          <w:color w:val="auto"/>
          <w:szCs w:val="24"/>
          <w:highlight w:val="none"/>
        </w:rPr>
        <w:t>具体采购内容详见磋商文件。</w:t>
      </w:r>
    </w:p>
    <w:p w14:paraId="79D2E5BB">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1.6 资金来源：</w:t>
      </w:r>
      <w:r>
        <w:rPr>
          <w:rFonts w:hint="eastAsia" w:asciiTheme="minorEastAsia" w:hAnsiTheme="minorEastAsia" w:eastAsiaTheme="minorEastAsia" w:cstheme="minorEastAsia"/>
          <w:color w:val="auto"/>
          <w:szCs w:val="24"/>
          <w:highlight w:val="none"/>
          <w:lang w:val="en-US" w:eastAsia="zh-CN"/>
        </w:rPr>
        <w:t>财政</w:t>
      </w:r>
      <w:r>
        <w:rPr>
          <w:rFonts w:hint="eastAsia" w:asciiTheme="minorEastAsia" w:hAnsiTheme="minorEastAsia" w:eastAsiaTheme="minorEastAsia" w:cstheme="minorEastAsia"/>
          <w:color w:val="auto"/>
          <w:szCs w:val="24"/>
          <w:highlight w:val="none"/>
        </w:rPr>
        <w:t>资金</w:t>
      </w:r>
    </w:p>
    <w:p w14:paraId="1C59B08C">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rPr>
        <w:t>1.7 项目预算：</w:t>
      </w:r>
      <w:r>
        <w:rPr>
          <w:rFonts w:hint="eastAsia" w:asciiTheme="minorEastAsia" w:hAnsiTheme="minorEastAsia" w:eastAsiaTheme="minorEastAsia" w:cstheme="minorEastAsia"/>
          <w:color w:val="auto"/>
          <w:szCs w:val="24"/>
          <w:highlight w:val="none"/>
          <w:lang w:val="en-US" w:eastAsia="zh-CN"/>
        </w:rPr>
        <w:t>27.6万元/年</w:t>
      </w:r>
    </w:p>
    <w:p w14:paraId="060139D5">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 xml:space="preserve"> </w:t>
      </w:r>
      <w:r>
        <w:rPr>
          <w:rFonts w:hint="eastAsia" w:asciiTheme="minorEastAsia" w:hAnsiTheme="minorEastAsia" w:eastAsiaTheme="minorEastAsia" w:cstheme="minorEastAsia"/>
          <w:color w:val="auto"/>
          <w:szCs w:val="24"/>
          <w:highlight w:val="none"/>
          <w:lang w:val="en-US" w:eastAsia="zh-CN"/>
        </w:rPr>
        <w:t>最高限价</w:t>
      </w:r>
      <w:r>
        <w:rPr>
          <w:rFonts w:hint="eastAsia" w:asciiTheme="minorEastAsia" w:hAnsiTheme="minorEastAsia" w:eastAsiaTheme="minorEastAsia" w:cstheme="minorEastAsia"/>
          <w:color w:val="auto"/>
          <w:szCs w:val="24"/>
          <w:highlight w:val="none"/>
        </w:rPr>
        <w:t>：</w:t>
      </w:r>
      <w:r>
        <w:rPr>
          <w:rFonts w:hint="eastAsia" w:asciiTheme="minorEastAsia" w:hAnsiTheme="minorEastAsia" w:eastAsiaTheme="minorEastAsia" w:cstheme="minorEastAsia"/>
          <w:color w:val="auto"/>
          <w:szCs w:val="24"/>
          <w:highlight w:val="none"/>
          <w:lang w:val="en-US" w:eastAsia="zh-CN"/>
        </w:rPr>
        <w:t>27.6万元/年</w:t>
      </w:r>
    </w:p>
    <w:p w14:paraId="450551B4">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 xml:space="preserve"> 项目类别：服务类</w:t>
      </w:r>
    </w:p>
    <w:p w14:paraId="7A6FB6E7">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10</w:t>
      </w:r>
      <w:r>
        <w:rPr>
          <w:rFonts w:hint="eastAsia" w:asciiTheme="minorEastAsia" w:hAnsiTheme="minorEastAsia" w:eastAsiaTheme="minorEastAsia" w:cstheme="minorEastAsia"/>
          <w:color w:val="auto"/>
          <w:szCs w:val="24"/>
          <w:highlight w:val="none"/>
        </w:rPr>
        <w:t xml:space="preserve"> 包别划分：共分1个包</w:t>
      </w:r>
    </w:p>
    <w:p w14:paraId="0B091BE2">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2.供应商资格要求</w:t>
      </w:r>
    </w:p>
    <w:p w14:paraId="4A961F84">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rPr>
        <w:t>2.1 供应商具有独立承担民事责任的能力；</w:t>
      </w:r>
    </w:p>
    <w:p w14:paraId="229BF9B9">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2.2供应商须具有以下资质之一：</w:t>
      </w:r>
    </w:p>
    <w:p w14:paraId="4607CE47">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（1）有效的《中华人民共和国特种设备生产许可证》，许可项目包括电梯安装（含修理），许可子项目须同时包含以下内容：曳引驱动乘客电梯（B级及以上）、自动扶梯与自动人行道；</w:t>
      </w:r>
    </w:p>
    <w:p w14:paraId="187D347C">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（2）有效的《中华人民共和国特种设备生产许可证》，许可项目包括电梯制造（含安装、修理、改造），许可子项目须同时包含以下内容：曳引驱动乘客电梯（B级及以上）、自动扶梯与自动人行道。</w:t>
      </w:r>
    </w:p>
    <w:p w14:paraId="4EF55F13">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2.</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本项目</w:t>
      </w:r>
      <w:r>
        <w:rPr>
          <w:rFonts w:hint="eastAsia" w:asciiTheme="minorEastAsia" w:hAnsiTheme="minorEastAsia" w:eastAsiaTheme="minorEastAsia" w:cstheme="minorEastAsia"/>
          <w:color w:val="auto"/>
          <w:szCs w:val="24"/>
          <w:highlight w:val="none"/>
          <w:lang w:val="en-US" w:eastAsia="zh-CN"/>
        </w:rPr>
        <w:t>不接受</w:t>
      </w:r>
      <w:r>
        <w:rPr>
          <w:rFonts w:hint="eastAsia" w:asciiTheme="minorEastAsia" w:hAnsiTheme="minorEastAsia" w:eastAsiaTheme="minorEastAsia" w:cstheme="minorEastAsia"/>
          <w:color w:val="auto"/>
          <w:szCs w:val="24"/>
          <w:highlight w:val="none"/>
        </w:rPr>
        <w:t>联合体磋商</w:t>
      </w:r>
      <w:r>
        <w:rPr>
          <w:rFonts w:hint="eastAsia" w:asciiTheme="minorEastAsia" w:hAnsiTheme="minorEastAsia" w:eastAsiaTheme="minorEastAsia" w:cstheme="minorEastAsia"/>
          <w:color w:val="auto"/>
          <w:szCs w:val="24"/>
          <w:highlight w:val="none"/>
          <w:lang w:eastAsia="zh-CN"/>
        </w:rPr>
        <w:t>；</w:t>
      </w:r>
    </w:p>
    <w:p w14:paraId="08AC9961">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2.</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供应商存在以下不良信用记录情形之一的，不得推荐为成交候选人，不得确定为成交人</w:t>
      </w:r>
      <w:r>
        <w:rPr>
          <w:rFonts w:hint="eastAsia" w:asciiTheme="minorEastAsia" w:hAnsiTheme="minorEastAsia" w:eastAsiaTheme="minorEastAsia" w:cstheme="minorEastAsia"/>
          <w:color w:val="auto"/>
          <w:szCs w:val="24"/>
          <w:highlight w:val="none"/>
          <w:lang w:eastAsia="zh-CN"/>
        </w:rPr>
        <w:t>；</w:t>
      </w:r>
    </w:p>
    <w:p w14:paraId="363CCD5E">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（1）在“信用中国”网站（http://www.creditchina.gov.cn/）中被列入失信被执行人名单；</w:t>
      </w:r>
    </w:p>
    <w:p w14:paraId="7F24E91C">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（2）在“信用中国”网站（http://www.creditchina.gov.cn/）中被列入重大税收违法失信主体名单</w:t>
      </w:r>
      <w:r>
        <w:rPr>
          <w:rFonts w:hint="eastAsia" w:asciiTheme="minorEastAsia" w:hAnsiTheme="minorEastAsia" w:eastAsiaTheme="minorEastAsia" w:cstheme="minorEastAsia"/>
          <w:color w:val="auto"/>
          <w:szCs w:val="24"/>
          <w:highlight w:val="none"/>
          <w:lang w:eastAsia="zh-CN"/>
        </w:rPr>
        <w:t>。</w:t>
      </w:r>
    </w:p>
    <w:p w14:paraId="7F79E25B">
      <w:pPr>
        <w:keepNext w:val="0"/>
        <w:keepLines w:val="0"/>
        <w:pageBreakBefore w:val="0"/>
        <w:widowControl w:val="0"/>
        <w:tabs>
          <w:tab w:val="center" w:pos="4394"/>
        </w:tabs>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3.磋商文件的获取</w:t>
      </w:r>
    </w:p>
    <w:p w14:paraId="5E836DA6">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3.1 获取时间：202</w:t>
      </w:r>
      <w:r>
        <w:rPr>
          <w:rFonts w:hint="eastAsia" w:asciiTheme="minorEastAsia" w:hAnsiTheme="minorEastAsia" w:eastAsiaTheme="minorEastAsia" w:cstheme="minorEastAsia"/>
          <w:color w:val="auto"/>
          <w:szCs w:val="24"/>
          <w:highlight w:val="none"/>
          <w:lang w:val="en-US" w:eastAsia="zh-CN"/>
        </w:rPr>
        <w:t>6</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lang w:val="en-US" w:eastAsia="zh-CN"/>
        </w:rPr>
        <w:t>28</w:t>
      </w:r>
      <w:r>
        <w:rPr>
          <w:rFonts w:hint="eastAsia" w:asciiTheme="minorEastAsia" w:hAnsiTheme="minorEastAsia" w:eastAsiaTheme="minorEastAsia" w:cstheme="minorEastAsia"/>
          <w:color w:val="auto"/>
          <w:szCs w:val="24"/>
          <w:highlight w:val="none"/>
        </w:rPr>
        <w:t>日至磋商时间。</w:t>
      </w:r>
    </w:p>
    <w:p w14:paraId="54B2FFE3">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3.2 获取地点：优质采云采购平台（http://www.youzhicai.com/）</w:t>
      </w:r>
    </w:p>
    <w:p w14:paraId="2DB4C021">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 获取方式：在线下载</w:t>
      </w:r>
    </w:p>
    <w:p w14:paraId="3B37BAAA">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4.响应文件提交截止时间</w:t>
      </w:r>
    </w:p>
    <w:p w14:paraId="5DAF5C49">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同磋商时间。</w:t>
      </w:r>
    </w:p>
    <w:p w14:paraId="796D2C58">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5.磋商时间及地点</w:t>
      </w:r>
    </w:p>
    <w:p w14:paraId="79981470">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rPr>
        <w:t>5.1 磋商时间：202</w:t>
      </w:r>
      <w:r>
        <w:rPr>
          <w:rFonts w:hint="eastAsia" w:asciiTheme="minorEastAsia" w:hAnsiTheme="minorEastAsia" w:eastAsiaTheme="minorEastAsia" w:cstheme="minorEastAsia"/>
          <w:color w:val="auto"/>
          <w:szCs w:val="24"/>
          <w:highlight w:val="none"/>
          <w:lang w:val="en-US" w:eastAsia="zh-CN"/>
        </w:rPr>
        <w:t>6</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lang w:val="en-US" w:eastAsia="zh-CN"/>
        </w:rPr>
        <w:t>10</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lang w:val="en-US" w:eastAsia="zh-CN"/>
        </w:rPr>
        <w:t>12</w:t>
      </w:r>
      <w:r>
        <w:rPr>
          <w:rFonts w:hint="eastAsia" w:asciiTheme="minorEastAsia" w:hAnsiTheme="minorEastAsia" w:eastAsiaTheme="minorEastAsia" w:cstheme="minorEastAsia"/>
          <w:color w:val="auto"/>
          <w:szCs w:val="24"/>
          <w:highlight w:val="none"/>
        </w:rPr>
        <w:t>日</w:t>
      </w:r>
      <w:r>
        <w:rPr>
          <w:rFonts w:hint="eastAsia" w:asciiTheme="minorEastAsia" w:hAnsiTheme="minorEastAsia" w:eastAsiaTheme="minorEastAsia" w:cstheme="minorEastAsia"/>
          <w:color w:val="auto"/>
          <w:szCs w:val="24"/>
          <w:highlight w:val="none"/>
          <w:lang w:val="en-US" w:eastAsia="zh-CN"/>
        </w:rPr>
        <w:t>上午9时00分</w:t>
      </w:r>
    </w:p>
    <w:p w14:paraId="5A726F0E">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 磋商地点：优质采云采购平台（http://www.youzhicai.com/）</w:t>
      </w:r>
    </w:p>
    <w:p w14:paraId="1EB120F1">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6.发布公告的媒介</w:t>
      </w:r>
    </w:p>
    <w:p w14:paraId="43280728">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本次磋商公告同时在肥西县公共资源交易有限责任公司、优质采云采购平台、安徽省招标投标信息网、中国采购与招标网上发布。</w:t>
      </w:r>
    </w:p>
    <w:p w14:paraId="61944674">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7.联系方式</w:t>
      </w:r>
    </w:p>
    <w:p w14:paraId="772AA214">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7.1 业主单位</w:t>
      </w:r>
    </w:p>
    <w:p w14:paraId="0D8A1133">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业主单位名称：</w:t>
      </w:r>
      <w:r>
        <w:rPr>
          <w:rFonts w:hint="eastAsia" w:asciiTheme="minorEastAsia" w:hAnsiTheme="minorEastAsia" w:eastAsiaTheme="minorEastAsia" w:cstheme="minorEastAsia"/>
          <w:color w:val="auto"/>
          <w:szCs w:val="24"/>
          <w:highlight w:val="none"/>
          <w:lang w:eastAsia="zh-CN"/>
        </w:rPr>
        <w:t>肥西县中医院</w:t>
      </w:r>
    </w:p>
    <w:p w14:paraId="5E94607A">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u w:val="none"/>
          <w:lang w:val="en-US" w:eastAsia="zh-CN"/>
        </w:rPr>
      </w:pPr>
      <w:r>
        <w:rPr>
          <w:rFonts w:hint="eastAsia" w:asciiTheme="minorEastAsia" w:hAnsiTheme="minorEastAsia" w:eastAsiaTheme="minorEastAsia" w:cstheme="minorEastAsia"/>
          <w:color w:val="auto"/>
          <w:szCs w:val="24"/>
          <w:highlight w:val="none"/>
        </w:rPr>
        <w:t>地址：</w:t>
      </w:r>
      <w:r>
        <w:rPr>
          <w:rFonts w:hint="eastAsia" w:asciiTheme="minorEastAsia" w:hAnsiTheme="minorEastAsia" w:eastAsiaTheme="minorEastAsia" w:cstheme="minorEastAsia"/>
          <w:color w:val="auto"/>
          <w:szCs w:val="24"/>
          <w:highlight w:val="none"/>
          <w:lang w:eastAsia="zh-CN"/>
        </w:rPr>
        <w:t>安徽省合肥市肥西县上派镇青龙路与站下路交口</w:t>
      </w:r>
    </w:p>
    <w:p w14:paraId="139A2DD7">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u w:val="none"/>
          <w:lang w:val="en-US" w:eastAsia="zh-CN"/>
        </w:rPr>
      </w:pPr>
      <w:r>
        <w:rPr>
          <w:rFonts w:hint="eastAsia" w:asciiTheme="minorEastAsia" w:hAnsiTheme="minorEastAsia" w:eastAsiaTheme="minorEastAsia" w:cstheme="minorEastAsia"/>
          <w:color w:val="auto"/>
          <w:szCs w:val="24"/>
          <w:highlight w:val="none"/>
          <w:u w:val="none"/>
        </w:rPr>
        <w:t>联系人：</w:t>
      </w:r>
      <w:r>
        <w:rPr>
          <w:rFonts w:hint="eastAsia" w:asciiTheme="minorEastAsia" w:hAnsiTheme="minorEastAsia" w:eastAsiaTheme="minorEastAsia" w:cstheme="minorEastAsia"/>
          <w:color w:val="auto"/>
          <w:szCs w:val="24"/>
          <w:highlight w:val="none"/>
          <w:u w:val="none"/>
          <w:lang w:val="en-US" w:eastAsia="zh-CN"/>
        </w:rPr>
        <w:t>祁家胜</w:t>
      </w:r>
    </w:p>
    <w:p w14:paraId="1AD3AFBD">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u w:val="none"/>
          <w:lang w:val="en-US" w:eastAsia="zh-CN"/>
        </w:rPr>
      </w:pPr>
      <w:r>
        <w:rPr>
          <w:rFonts w:hint="eastAsia" w:asciiTheme="minorEastAsia" w:hAnsiTheme="minorEastAsia" w:eastAsiaTheme="minorEastAsia" w:cstheme="minorEastAsia"/>
          <w:color w:val="auto"/>
          <w:szCs w:val="24"/>
          <w:highlight w:val="none"/>
          <w:u w:val="none"/>
        </w:rPr>
        <w:t>电话：</w:t>
      </w:r>
      <w:r>
        <w:rPr>
          <w:rFonts w:hint="eastAsia" w:asciiTheme="minorEastAsia" w:hAnsiTheme="minorEastAsia" w:eastAsiaTheme="minorEastAsia" w:cstheme="minorEastAsia"/>
          <w:color w:val="auto"/>
          <w:szCs w:val="24"/>
          <w:highlight w:val="none"/>
          <w:u w:val="none"/>
          <w:lang w:val="en-US" w:eastAsia="zh-CN"/>
        </w:rPr>
        <w:t>0551-68836927</w:t>
      </w:r>
    </w:p>
    <w:p w14:paraId="5455598F">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color w:val="auto"/>
          <w:szCs w:val="24"/>
          <w:highlight w:val="none"/>
        </w:rPr>
        <w:t>7.2 代理机构</w:t>
      </w:r>
    </w:p>
    <w:p w14:paraId="7CCF6AFB">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代理机构名称：肥西县公共资源交易有限责任公司</w:t>
      </w:r>
    </w:p>
    <w:p w14:paraId="79F4876B">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地  址：肥西县上派镇紫石路与佛光路交叉口肥光办公区3号楼2楼</w:t>
      </w:r>
    </w:p>
    <w:p w14:paraId="3A5CA2C2">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联系人：</w:t>
      </w:r>
      <w:r>
        <w:rPr>
          <w:rFonts w:hint="eastAsia" w:asciiTheme="minorEastAsia" w:hAnsiTheme="minorEastAsia" w:eastAsiaTheme="minorEastAsia" w:cstheme="minorEastAsia"/>
          <w:color w:val="auto"/>
          <w:szCs w:val="24"/>
          <w:highlight w:val="none"/>
          <w:lang w:val="en-US" w:eastAsia="zh-CN"/>
        </w:rPr>
        <w:t>符工</w:t>
      </w:r>
    </w:p>
    <w:p w14:paraId="34E90846">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rPr>
        <w:t>电  话：0551-688</w:t>
      </w:r>
      <w:r>
        <w:rPr>
          <w:rFonts w:hint="eastAsia" w:asciiTheme="minorEastAsia" w:hAnsiTheme="minorEastAsia" w:eastAsiaTheme="minorEastAsia" w:cstheme="minorEastAsia"/>
          <w:color w:val="auto"/>
          <w:szCs w:val="24"/>
          <w:highlight w:val="none"/>
          <w:lang w:val="en-US" w:eastAsia="zh-CN"/>
        </w:rPr>
        <w:t>25072</w:t>
      </w:r>
    </w:p>
    <w:p w14:paraId="7D0F1D10">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b/>
          <w:color w:val="auto"/>
          <w:szCs w:val="24"/>
          <w:highlight w:val="none"/>
          <w:lang w:eastAsia="zh-CN"/>
        </w:rPr>
      </w:pPr>
      <w:r>
        <w:rPr>
          <w:rFonts w:hint="eastAsia" w:asciiTheme="minorEastAsia" w:hAnsiTheme="minorEastAsia" w:eastAsiaTheme="minorEastAsia" w:cstheme="minorEastAsia"/>
          <w:color w:val="auto"/>
          <w:szCs w:val="24"/>
          <w:highlight w:val="none"/>
        </w:rPr>
        <w:t>7.3 监督管理部门</w:t>
      </w:r>
    </w:p>
    <w:p w14:paraId="4BA03E8D">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b/>
          <w:color w:val="auto"/>
          <w:szCs w:val="24"/>
          <w:highlight w:val="none"/>
          <w:lang w:val="en-US" w:eastAsia="zh-CN"/>
        </w:rPr>
      </w:pPr>
      <w:r>
        <w:rPr>
          <w:rFonts w:hint="eastAsia" w:asciiTheme="minorEastAsia" w:hAnsiTheme="minorEastAsia" w:eastAsiaTheme="minorEastAsia" w:cstheme="minorEastAsia"/>
          <w:color w:val="auto"/>
          <w:szCs w:val="24"/>
          <w:highlight w:val="none"/>
        </w:rPr>
        <w:t>监督管理部门：</w:t>
      </w:r>
      <w:r>
        <w:rPr>
          <w:rFonts w:hint="eastAsia" w:asciiTheme="minorEastAsia" w:hAnsiTheme="minorEastAsia" w:eastAsiaTheme="minorEastAsia" w:cstheme="minorEastAsia"/>
          <w:color w:val="auto"/>
          <w:szCs w:val="24"/>
          <w:highlight w:val="none"/>
          <w:lang w:val="en-US" w:eastAsia="zh-CN"/>
        </w:rPr>
        <w:t>肥西县中医院监察室</w:t>
      </w:r>
    </w:p>
    <w:p w14:paraId="36B780FF">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地  址：</w:t>
      </w:r>
      <w:r>
        <w:rPr>
          <w:rFonts w:hint="eastAsia" w:asciiTheme="minorEastAsia" w:hAnsiTheme="minorEastAsia" w:eastAsiaTheme="minorEastAsia" w:cstheme="minorEastAsia"/>
          <w:color w:val="auto"/>
          <w:szCs w:val="24"/>
          <w:highlight w:val="none"/>
          <w:lang w:eastAsia="zh-CN"/>
        </w:rPr>
        <w:t>安徽省合肥市肥西县上派镇青龙路与站下路交口</w:t>
      </w:r>
    </w:p>
    <w:p w14:paraId="6F9F12F1">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rPr>
        <w:t>电  话：</w:t>
      </w:r>
      <w:r>
        <w:rPr>
          <w:rFonts w:hint="eastAsia" w:asciiTheme="minorEastAsia" w:hAnsiTheme="minorEastAsia" w:eastAsiaTheme="minorEastAsia" w:cstheme="minorEastAsia"/>
          <w:color w:val="auto"/>
          <w:szCs w:val="24"/>
          <w:highlight w:val="none"/>
          <w:lang w:val="en-US" w:eastAsia="zh-CN"/>
        </w:rPr>
        <w:t>0551-68830096</w:t>
      </w:r>
    </w:p>
    <w:p w14:paraId="737A0898">
      <w:pPr>
        <w:keepNext w:val="0"/>
        <w:keepLines w:val="0"/>
        <w:pageBreakBefore w:val="0"/>
        <w:widowControl w:val="0"/>
        <w:kinsoku/>
        <w:wordWrap/>
        <w:overflowPunct/>
        <w:topLinePunct w:val="0"/>
        <w:autoSpaceDE/>
        <w:autoSpaceDN/>
        <w:bidi w:val="0"/>
        <w:adjustRightInd/>
        <w:snapToGrid/>
        <w:ind w:firstLine="482"/>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color w:val="auto"/>
          <w:szCs w:val="24"/>
          <w:highlight w:val="none"/>
        </w:rPr>
        <w:t>8.其他事项说明</w:t>
      </w:r>
    </w:p>
    <w:p w14:paraId="1DCDC09E">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8.1 电子化交易要求：</w:t>
      </w:r>
    </w:p>
    <w:p w14:paraId="29D1E155">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潜在供应商须登录“优质采云采购平台”（网址：http://www.youzhicai.com/，以下称“优质采平台”）参与本项目磋商活动。首次登录须办理注册手续，请务必选择注册为“投标人角色”类型。注册流程见优质采平台“用户注册”栏目，咨询电话：400-0099-555。因未及时办理注册手续影响参加磋商活动的，责任自负。</w:t>
      </w:r>
    </w:p>
    <w:p w14:paraId="4A896751">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已注册的潜在供应商可登录优质采平台获取磋商文件，本项目的磋商文件及其他资料（含澄清、答疑及相关补充文件）通过优质采平台发布，业主单位/代理机构不再另行书面通知，潜在供应商应及时关注、查阅优质采平台。因未及时查看导致不利后果的，责任自负。</w:t>
      </w:r>
    </w:p>
    <w:p w14:paraId="74044186">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（3）已注册的潜在供应商若注册信息发生变更（如：与初始注册信息不一致），应及</w:t>
      </w:r>
      <w:r>
        <w:rPr>
          <w:rFonts w:hint="eastAsia" w:asciiTheme="minorEastAsia" w:hAnsiTheme="minorEastAsia" w:eastAsiaTheme="minorEastAsia" w:cstheme="minorEastAsia"/>
          <w:color w:val="auto"/>
          <w:szCs w:val="24"/>
          <w:highlight w:val="none"/>
          <w:lang w:eastAsia="zh-CN"/>
        </w:rPr>
        <w:t>时在</w:t>
      </w:r>
      <w:r>
        <w:rPr>
          <w:rFonts w:hint="eastAsia" w:asciiTheme="minorEastAsia" w:hAnsiTheme="minorEastAsia" w:eastAsiaTheme="minorEastAsia" w:cstheme="minorEastAsia"/>
          <w:color w:val="auto"/>
          <w:szCs w:val="24"/>
          <w:highlight w:val="none"/>
        </w:rPr>
        <w:t>网上提交变更申请。因未及时变更导致不利后果的，责任自负。</w:t>
      </w:r>
    </w:p>
    <w:p w14:paraId="02C262DF">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本项目采用全流程电子化交易方式，潜在供应商须办理CA数字证书（以下简称CA），CA用于响应文件的签章及上传（上传响应文件需使用CA进行加密）；CA办理详见《关于优质采平台数字证书办理的须知》（http://www.youzhicai.com/nd/a_8f80a7ec-911f-4c4d-a123-f8849880f045.html）；咨询热线：400-0099-555。CA锁线上办理地址：https://portal.youzhicai.com/ui/portal-sup/#/signature/list</w:t>
      </w:r>
    </w:p>
    <w:p w14:paraId="625BA4FA">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（5）响应文件必须使用“优质采投标文件制作工具”制作生成并上传。下载地址：http://toolcdn.youzhicai.com/tools/BidderTools.zip，使用说明书及视频教程下载地址：http://file.youzhicai.com/files/BidderHelp.rar。</w:t>
      </w:r>
    </w:p>
    <w:p w14:paraId="33CB6705">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color w:val="auto"/>
          <w:szCs w:val="24"/>
          <w:highlight w:val="none"/>
        </w:rPr>
        <w:t>8.2 供应商应合理安排磋商文件获取时间，特别是网络速度慢的地区防止在系统关闭前网络拥堵无法操作。如果因计算机及网络故障造成无法完成磋商文件获取，责任自负。</w:t>
      </w:r>
      <w:bookmarkEnd w:id="2"/>
    </w:p>
    <w:p w14:paraId="2E0AC82D">
      <w:pPr>
        <w:keepNext w:val="0"/>
        <w:keepLines w:val="0"/>
        <w:pageBreakBefore w:val="0"/>
        <w:widowControl w:val="0"/>
        <w:kinsoku/>
        <w:wordWrap/>
        <w:overflowPunct/>
        <w:topLinePunct w:val="0"/>
        <w:autoSpaceDE/>
        <w:autoSpaceDN/>
        <w:bidi w:val="0"/>
        <w:adjustRightInd/>
        <w:snapToGrid/>
        <w:ind w:firstLine="480"/>
        <w:jc w:val="left"/>
        <w:textAlignment w:val="auto"/>
        <w:rPr>
          <w:rFonts w:asciiTheme="majorEastAsia" w:hAnsiTheme="majorEastAsia" w:eastAsiaTheme="majorEastAsia" w:cstheme="majorEastAsia"/>
          <w:szCs w:val="24"/>
          <w:highlight w:val="none"/>
        </w:rPr>
      </w:pPr>
      <w:r>
        <w:rPr>
          <w:rFonts w:hint="eastAsia" w:asciiTheme="majorEastAsia" w:hAnsiTheme="majorEastAsia" w:eastAsiaTheme="majorEastAsia" w:cstheme="majorEastAsia"/>
          <w:szCs w:val="24"/>
          <w:highlight w:val="none"/>
        </w:rPr>
        <w:br w:type="page"/>
      </w:r>
    </w:p>
    <w:p w14:paraId="25E41F8F">
      <w:pPr>
        <w:ind w:firstLine="562"/>
        <w:jc w:val="center"/>
        <w:outlineLvl w:val="1"/>
        <w:rPr>
          <w:rFonts w:asciiTheme="minorEastAsia" w:hAnsiTheme="minorEastAsia" w:eastAsiaTheme="minorEastAsia"/>
          <w:b/>
          <w:sz w:val="28"/>
          <w:highlight w:val="none"/>
        </w:rPr>
      </w:pPr>
      <w:bookmarkStart w:id="3" w:name="_Toc4515"/>
      <w:r>
        <w:rPr>
          <w:rFonts w:hint="eastAsia" w:asciiTheme="minorEastAsia" w:hAnsiTheme="minorEastAsia" w:eastAsiaTheme="minorEastAsia"/>
          <w:b/>
          <w:sz w:val="28"/>
          <w:highlight w:val="none"/>
        </w:rPr>
        <w:t>第二章</w:t>
      </w:r>
      <w:r>
        <w:rPr>
          <w:rFonts w:asciiTheme="minorEastAsia" w:hAnsiTheme="minorEastAsia" w:eastAsiaTheme="minorEastAsia"/>
          <w:b/>
          <w:sz w:val="28"/>
          <w:highlight w:val="none"/>
        </w:rPr>
        <w:t xml:space="preserve"> </w:t>
      </w:r>
      <w:r>
        <w:rPr>
          <w:rFonts w:hint="eastAsia" w:asciiTheme="minorEastAsia" w:hAnsiTheme="minorEastAsia" w:eastAsiaTheme="minorEastAsia"/>
          <w:b/>
          <w:sz w:val="28"/>
          <w:highlight w:val="none"/>
        </w:rPr>
        <w:t xml:space="preserve"> 供应商</w:t>
      </w:r>
      <w:r>
        <w:rPr>
          <w:rFonts w:asciiTheme="minorEastAsia" w:hAnsiTheme="minorEastAsia" w:eastAsiaTheme="minorEastAsia"/>
          <w:b/>
          <w:sz w:val="28"/>
          <w:highlight w:val="none"/>
        </w:rPr>
        <w:t>须知</w:t>
      </w:r>
      <w:bookmarkEnd w:id="3"/>
    </w:p>
    <w:p w14:paraId="058BC701">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供应商</w:t>
      </w:r>
      <w:r>
        <w:rPr>
          <w:rFonts w:asciiTheme="minorEastAsia" w:hAnsiTheme="minorEastAsia" w:eastAsiaTheme="minorEastAsia"/>
          <w:b/>
          <w:highlight w:val="none"/>
        </w:rPr>
        <w:t>须</w:t>
      </w:r>
      <w:r>
        <w:rPr>
          <w:rFonts w:hint="eastAsia" w:asciiTheme="minorEastAsia" w:hAnsiTheme="minorEastAsia" w:eastAsiaTheme="minorEastAsia"/>
          <w:b/>
          <w:highlight w:val="none"/>
        </w:rPr>
        <w:t>知前附表</w:t>
      </w:r>
    </w:p>
    <w:tbl>
      <w:tblPr>
        <w:tblStyle w:val="16"/>
        <w:tblW w:w="53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332"/>
        <w:gridCol w:w="6741"/>
      </w:tblGrid>
      <w:tr w14:paraId="40FA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69BC9F16">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条款号</w:t>
            </w:r>
          </w:p>
        </w:tc>
        <w:tc>
          <w:tcPr>
            <w:tcW w:w="733" w:type="pct"/>
            <w:vAlign w:val="center"/>
          </w:tcPr>
          <w:p w14:paraId="13F3EA01">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条款名称</w:t>
            </w:r>
          </w:p>
        </w:tc>
        <w:tc>
          <w:tcPr>
            <w:tcW w:w="3710" w:type="pct"/>
            <w:vAlign w:val="center"/>
          </w:tcPr>
          <w:p w14:paraId="78623818">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bCs w:val="0"/>
                <w:color w:val="000000" w:themeColor="text1"/>
                <w:highlight w:val="none"/>
                <w14:textFill>
                  <w14:solidFill>
                    <w14:schemeClr w14:val="tx1"/>
                  </w14:solidFill>
                </w14:textFill>
              </w:rPr>
            </w:pPr>
            <w:r>
              <w:rPr>
                <w:rFonts w:hint="eastAsia"/>
                <w:b/>
                <w:bCs w:val="0"/>
                <w:color w:val="000000" w:themeColor="text1"/>
                <w:highlight w:val="none"/>
                <w14:textFill>
                  <w14:solidFill>
                    <w14:schemeClr w14:val="tx1"/>
                  </w14:solidFill>
                </w14:textFill>
              </w:rPr>
              <w:t>内容、说明与要求</w:t>
            </w:r>
          </w:p>
        </w:tc>
      </w:tr>
      <w:tr w14:paraId="4D25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21E7C972">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733" w:type="pct"/>
            <w:vAlign w:val="center"/>
          </w:tcPr>
          <w:p w14:paraId="5026BA85">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服务地点</w:t>
            </w:r>
          </w:p>
        </w:tc>
        <w:tc>
          <w:tcPr>
            <w:tcW w:w="3710" w:type="pct"/>
            <w:vAlign w:val="center"/>
          </w:tcPr>
          <w:p w14:paraId="5DDD1603">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招标人指定地点</w:t>
            </w:r>
          </w:p>
        </w:tc>
      </w:tr>
      <w:tr w14:paraId="60C0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281DE587">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733" w:type="pct"/>
            <w:vAlign w:val="center"/>
          </w:tcPr>
          <w:p w14:paraId="4C5F8FBF">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服务期限</w:t>
            </w:r>
          </w:p>
        </w:tc>
        <w:tc>
          <w:tcPr>
            <w:tcW w:w="3710" w:type="pct"/>
            <w:vAlign w:val="center"/>
          </w:tcPr>
          <w:p w14:paraId="44C180BF">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合同签订之日起1年</w:t>
            </w:r>
          </w:p>
        </w:tc>
      </w:tr>
      <w:tr w14:paraId="3A83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4EEF762E">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33" w:type="pct"/>
            <w:vAlign w:val="center"/>
          </w:tcPr>
          <w:p w14:paraId="2C6D1BCF">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现场踏勘</w:t>
            </w:r>
          </w:p>
        </w:tc>
        <w:tc>
          <w:tcPr>
            <w:tcW w:w="3710" w:type="pct"/>
            <w:vAlign w:val="center"/>
          </w:tcPr>
          <w:p w14:paraId="7900D63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r>
              <w:rPr>
                <w:rFonts w:hint="eastAsia" w:cs="宋体"/>
                <w:bCs/>
                <w:color w:val="000000" w:themeColor="text1"/>
                <w:kern w:val="2"/>
                <w:szCs w:val="24"/>
                <w:highlight w:val="none"/>
                <w14:textFill>
                  <w14:solidFill>
                    <w14:schemeClr w14:val="tx1"/>
                  </w14:solidFill>
                </w14:textFill>
              </w:rPr>
              <w:t>自行踏勘</w:t>
            </w:r>
          </w:p>
          <w:p w14:paraId="20604A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kern w:val="2"/>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r>
              <w:rPr>
                <w:rFonts w:hint="eastAsia" w:cs="宋体"/>
                <w:bCs/>
                <w:color w:val="000000" w:themeColor="text1"/>
                <w:kern w:val="2"/>
                <w:szCs w:val="24"/>
                <w:highlight w:val="none"/>
                <w14:textFill>
                  <w14:solidFill>
                    <w14:schemeClr w14:val="tx1"/>
                  </w14:solidFill>
                </w14:textFill>
              </w:rPr>
              <w:t>集中组织</w:t>
            </w:r>
          </w:p>
          <w:p w14:paraId="2CAA307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kern w:val="2"/>
                <w:szCs w:val="24"/>
                <w:highlight w:val="none"/>
                <w:u w:val="singl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时间：</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年</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月</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日</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时</w:t>
            </w:r>
            <w:r>
              <w:rPr>
                <w:rFonts w:hint="eastAsia" w:cs="宋体"/>
                <w:bCs/>
                <w:color w:val="000000" w:themeColor="text1"/>
                <w:kern w:val="2"/>
                <w:szCs w:val="24"/>
                <w:highlight w:val="none"/>
                <w:u w:val="single"/>
                <w14:textFill>
                  <w14:solidFill>
                    <w14:schemeClr w14:val="tx1"/>
                  </w14:solidFill>
                </w14:textFill>
              </w:rPr>
              <w:t xml:space="preserve">  </w:t>
            </w:r>
            <w:r>
              <w:rPr>
                <w:rFonts w:hint="eastAsia" w:cs="宋体"/>
                <w:bCs/>
                <w:color w:val="000000" w:themeColor="text1"/>
                <w:kern w:val="2"/>
                <w:szCs w:val="24"/>
                <w:highlight w:val="none"/>
                <w14:textFill>
                  <w14:solidFill>
                    <w14:schemeClr w14:val="tx1"/>
                  </w14:solidFill>
                </w14:textFill>
              </w:rPr>
              <w:t>分</w:t>
            </w:r>
          </w:p>
          <w:p w14:paraId="046850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kern w:val="2"/>
                <w:szCs w:val="24"/>
                <w:highlight w:val="none"/>
                <w:u w:val="singl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现场踏勘联系人及联系电话：</w:t>
            </w:r>
            <w:r>
              <w:rPr>
                <w:rFonts w:hint="eastAsia" w:cs="宋体"/>
                <w:bCs/>
                <w:color w:val="000000" w:themeColor="text1"/>
                <w:kern w:val="2"/>
                <w:szCs w:val="24"/>
                <w:highlight w:val="none"/>
                <w:u w:val="single"/>
                <w14:textFill>
                  <w14:solidFill>
                    <w14:schemeClr w14:val="tx1"/>
                  </w14:solidFill>
                </w14:textFill>
              </w:rPr>
              <w:t xml:space="preserve">           </w:t>
            </w:r>
          </w:p>
          <w:p w14:paraId="3A852D17">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备注：如供应商未参加业主单位统一组织的现场踏勘，视同放弃现场踏勘，由此引起的一切责任由供应商自行承担。</w:t>
            </w:r>
          </w:p>
        </w:tc>
      </w:tr>
      <w:tr w14:paraId="256A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185909A3">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733" w:type="pct"/>
            <w:vAlign w:val="center"/>
          </w:tcPr>
          <w:p w14:paraId="45A6C364">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关于联合体参加磋商的相关约定</w:t>
            </w:r>
            <w:r>
              <w:rPr>
                <w:rFonts w:hint="eastAsia"/>
                <w:b/>
                <w:bCs w:val="0"/>
                <w:color w:val="000000" w:themeColor="text1"/>
                <w:highlight w:val="none"/>
                <w14:textFill>
                  <w14:solidFill>
                    <w14:schemeClr w14:val="tx1"/>
                  </w14:solidFill>
                </w14:textFill>
              </w:rPr>
              <w:t>（</w:t>
            </w:r>
            <w:r>
              <w:rPr>
                <w:rFonts w:hint="eastAsia"/>
                <w:b/>
                <w:bCs w:val="0"/>
                <w:color w:val="000000" w:themeColor="text1"/>
                <w:highlight w:val="none"/>
                <w:lang w:val="en-US" w:eastAsia="zh-CN"/>
                <w14:textFill>
                  <w14:solidFill>
                    <w14:schemeClr w14:val="tx1"/>
                  </w14:solidFill>
                </w14:textFill>
              </w:rPr>
              <w:t>本项目不适用</w:t>
            </w:r>
            <w:r>
              <w:rPr>
                <w:rFonts w:hint="eastAsia"/>
                <w:b/>
                <w:bCs w:val="0"/>
                <w:color w:val="000000" w:themeColor="text1"/>
                <w:highlight w:val="none"/>
                <w14:textFill>
                  <w14:solidFill>
                    <w14:schemeClr w14:val="tx1"/>
                  </w14:solidFill>
                </w14:textFill>
              </w:rPr>
              <w:t>）</w:t>
            </w:r>
          </w:p>
        </w:tc>
        <w:tc>
          <w:tcPr>
            <w:tcW w:w="3710" w:type="pct"/>
            <w:vAlign w:val="center"/>
          </w:tcPr>
          <w:p w14:paraId="10E98A56">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（1）联合体参加磋商的，磋商文件获取信息填写，由联合体中任一成员单位完成均可。</w:t>
            </w:r>
          </w:p>
          <w:p w14:paraId="7749F9BF">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（2）联合体参加磋商的须提供联合协议（见响应文件格式），相关证明材料由供应商根据联合协议分工情况及磋商文件要求提供。</w:t>
            </w:r>
          </w:p>
        </w:tc>
      </w:tr>
      <w:tr w14:paraId="6438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30EDAF5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733" w:type="pct"/>
            <w:vAlign w:val="center"/>
          </w:tcPr>
          <w:p w14:paraId="03844AA4">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初审业绩要求</w:t>
            </w:r>
            <w:r>
              <w:rPr>
                <w:rFonts w:hint="eastAsia"/>
                <w:b/>
                <w:bCs w:val="0"/>
                <w:color w:val="000000" w:themeColor="text1"/>
                <w:highlight w:val="none"/>
                <w14:textFill>
                  <w14:solidFill>
                    <w14:schemeClr w14:val="tx1"/>
                  </w14:solidFill>
                </w14:textFill>
              </w:rPr>
              <w:t>（</w:t>
            </w:r>
            <w:r>
              <w:rPr>
                <w:rFonts w:hint="eastAsia"/>
                <w:b/>
                <w:bCs w:val="0"/>
                <w:color w:val="000000" w:themeColor="text1"/>
                <w:highlight w:val="none"/>
                <w:lang w:val="en-US" w:eastAsia="zh-CN"/>
                <w14:textFill>
                  <w14:solidFill>
                    <w14:schemeClr w14:val="tx1"/>
                  </w14:solidFill>
                </w14:textFill>
              </w:rPr>
              <w:t>本项目不适用</w:t>
            </w:r>
            <w:r>
              <w:rPr>
                <w:rFonts w:hint="eastAsia"/>
                <w:b/>
                <w:bCs w:val="0"/>
                <w:color w:val="000000" w:themeColor="text1"/>
                <w:highlight w:val="none"/>
                <w14:textFill>
                  <w14:solidFill>
                    <w14:schemeClr w14:val="tx1"/>
                  </w14:solidFill>
                </w14:textFill>
              </w:rPr>
              <w:t>）</w:t>
            </w:r>
          </w:p>
        </w:tc>
        <w:tc>
          <w:tcPr>
            <w:tcW w:w="3710" w:type="pct"/>
            <w:vAlign w:val="center"/>
          </w:tcPr>
          <w:p w14:paraId="4CC205D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供应商应按下列规定提供业绩证明资料：</w:t>
            </w:r>
          </w:p>
          <w:p w14:paraId="233040B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□已完成的业绩：响应文件中须同时提供以下业绩证明材料：</w:t>
            </w:r>
          </w:p>
          <w:p w14:paraId="67DA4E0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（1）业绩合同扫描件；</w:t>
            </w:r>
          </w:p>
          <w:p w14:paraId="375473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（2）与该业绩对应的项目已完成的证明材料（如验收报告或业主（或合同甲方）证明）。</w:t>
            </w:r>
          </w:p>
          <w:p w14:paraId="28E22CC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□正在履约或已完成的业绩：响应文件中须同时提供以下业绩证明材料：</w:t>
            </w:r>
          </w:p>
          <w:p w14:paraId="00A17C7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（1）业绩合同扫描件；</w:t>
            </w:r>
          </w:p>
          <w:p w14:paraId="18F5F81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（2）与该业绩对应的项目正在履约或已完成的证明材料（如验收报告或业主（或合同甲方）证明）。</w:t>
            </w:r>
          </w:p>
          <w:p w14:paraId="1CB323D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已签订合同但尚未实施的业绩不予认可。即截至磋商时间，项目如存在目前尚未开始履约、人员进场但尚未实质性开展、处于暂停等情况的，该业绩不予认可。</w:t>
            </w:r>
          </w:p>
          <w:p w14:paraId="0B80535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注：（1）正在履约或已完成的证明材料须加盖项目业主单位或合同甲方公章(证明材料已有项目业主单位或合同甲方公章的除外)，否则评审委员会不予认可。</w:t>
            </w:r>
          </w:p>
          <w:p w14:paraId="4700F73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（2）如果业绩合同和项目已完成（或正在履约）的证明材料中的合同金额、建筑面积等合同要素不一致的，以项目已完成（或正在履约）的证明材料为准。</w:t>
            </w:r>
          </w:p>
          <w:p w14:paraId="4EF8697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3）以上涉及到的证明资料信息应完整或能充分反映评审因素。如未能明确反映评审因素的（如合同总金额、面积等），应另附业主（或合同甲方）证明材料予以明确说明，须加盖项目业主单位或合同甲方公章，否则评审委员会不予认可。</w:t>
            </w:r>
          </w:p>
        </w:tc>
      </w:tr>
      <w:tr w14:paraId="4BEA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71A62849">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auto"/>
                <w:highlight w:val="none"/>
              </w:rPr>
            </w:pPr>
            <w:r>
              <w:rPr>
                <w:rFonts w:hint="eastAsia"/>
                <w:color w:val="auto"/>
                <w:highlight w:val="none"/>
              </w:rPr>
              <w:t>6</w:t>
            </w:r>
          </w:p>
        </w:tc>
        <w:tc>
          <w:tcPr>
            <w:tcW w:w="733" w:type="pct"/>
            <w:vAlign w:val="center"/>
          </w:tcPr>
          <w:p w14:paraId="0378C67A">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auto"/>
                <w:highlight w:val="none"/>
              </w:rPr>
            </w:pPr>
            <w:r>
              <w:rPr>
                <w:rFonts w:hint="eastAsia"/>
                <w:color w:val="auto"/>
                <w:highlight w:val="none"/>
              </w:rPr>
              <w:t>供应商提出疑问截止时间</w:t>
            </w:r>
          </w:p>
        </w:tc>
        <w:tc>
          <w:tcPr>
            <w:tcW w:w="3710" w:type="pct"/>
          </w:tcPr>
          <w:p w14:paraId="43A3B4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auto"/>
                <w:szCs w:val="24"/>
                <w:highlight w:val="none"/>
              </w:rPr>
            </w:pPr>
            <w:r>
              <w:rPr>
                <w:rFonts w:hint="eastAsia" w:cs="宋体"/>
                <w:bCs/>
                <w:color w:val="auto"/>
                <w:szCs w:val="24"/>
                <w:highlight w:val="none"/>
              </w:rPr>
              <w:t>（1）时间：</w:t>
            </w:r>
            <w:r>
              <w:rPr>
                <w:rFonts w:hint="eastAsia" w:cs="宋体"/>
                <w:b/>
                <w:color w:val="auto"/>
                <w:kern w:val="2"/>
                <w:szCs w:val="24"/>
                <w:highlight w:val="none"/>
                <w:u w:val="single"/>
              </w:rPr>
              <w:t>202</w:t>
            </w:r>
            <w:r>
              <w:rPr>
                <w:rFonts w:hint="eastAsia" w:cs="宋体"/>
                <w:b/>
                <w:color w:val="auto"/>
                <w:kern w:val="2"/>
                <w:szCs w:val="24"/>
                <w:highlight w:val="none"/>
                <w:u w:val="single"/>
                <w:lang w:val="en-US" w:eastAsia="zh-CN"/>
              </w:rPr>
              <w:t>6</w:t>
            </w:r>
            <w:r>
              <w:rPr>
                <w:rFonts w:hint="eastAsia" w:cs="宋体"/>
                <w:b/>
                <w:color w:val="auto"/>
                <w:kern w:val="2"/>
                <w:szCs w:val="24"/>
                <w:highlight w:val="none"/>
              </w:rPr>
              <w:t>年</w:t>
            </w:r>
            <w:r>
              <w:rPr>
                <w:rFonts w:hint="eastAsia" w:cs="宋体"/>
                <w:b/>
                <w:color w:val="auto"/>
                <w:kern w:val="2"/>
                <w:szCs w:val="24"/>
                <w:highlight w:val="none"/>
                <w:u w:val="single"/>
                <w:lang w:val="en-US" w:eastAsia="zh-CN"/>
              </w:rPr>
              <w:t>10</w:t>
            </w:r>
            <w:r>
              <w:rPr>
                <w:rFonts w:hint="eastAsia" w:cs="宋体"/>
                <w:b/>
                <w:color w:val="auto"/>
                <w:kern w:val="2"/>
                <w:szCs w:val="24"/>
                <w:highlight w:val="none"/>
              </w:rPr>
              <w:t>月</w:t>
            </w:r>
            <w:r>
              <w:rPr>
                <w:rFonts w:hint="eastAsia" w:cs="宋体"/>
                <w:b/>
                <w:color w:val="auto"/>
                <w:kern w:val="2"/>
                <w:szCs w:val="24"/>
                <w:highlight w:val="none"/>
                <w:u w:val="single"/>
                <w:lang w:val="en-US" w:eastAsia="zh-CN"/>
              </w:rPr>
              <w:t>10</w:t>
            </w:r>
            <w:r>
              <w:rPr>
                <w:rFonts w:hint="eastAsia" w:cs="宋体"/>
                <w:b/>
                <w:color w:val="auto"/>
                <w:kern w:val="2"/>
                <w:szCs w:val="24"/>
                <w:highlight w:val="none"/>
              </w:rPr>
              <w:t>日</w:t>
            </w:r>
            <w:r>
              <w:rPr>
                <w:rFonts w:hint="eastAsia" w:cs="宋体"/>
                <w:b/>
                <w:color w:val="auto"/>
                <w:kern w:val="2"/>
                <w:szCs w:val="24"/>
                <w:highlight w:val="none"/>
                <w:u w:val="single"/>
              </w:rPr>
              <w:t>17</w:t>
            </w:r>
            <w:r>
              <w:rPr>
                <w:rFonts w:hint="eastAsia" w:cs="宋体"/>
                <w:b/>
                <w:color w:val="auto"/>
                <w:kern w:val="2"/>
                <w:szCs w:val="24"/>
                <w:highlight w:val="none"/>
              </w:rPr>
              <w:t>时</w:t>
            </w:r>
            <w:r>
              <w:rPr>
                <w:rFonts w:hint="eastAsia" w:cs="宋体"/>
                <w:b/>
                <w:color w:val="auto"/>
                <w:kern w:val="2"/>
                <w:szCs w:val="24"/>
                <w:highlight w:val="none"/>
                <w:u w:val="single"/>
              </w:rPr>
              <w:t>30</w:t>
            </w:r>
            <w:r>
              <w:rPr>
                <w:rFonts w:hint="eastAsia" w:cs="宋体"/>
                <w:b/>
                <w:color w:val="auto"/>
                <w:kern w:val="2"/>
                <w:szCs w:val="24"/>
                <w:highlight w:val="none"/>
              </w:rPr>
              <w:t>分。</w:t>
            </w:r>
          </w:p>
          <w:p w14:paraId="105A72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auto"/>
                <w:szCs w:val="24"/>
                <w:highlight w:val="none"/>
              </w:rPr>
            </w:pPr>
            <w:r>
              <w:rPr>
                <w:rFonts w:hint="eastAsia" w:cs="宋体"/>
                <w:bCs/>
                <w:color w:val="auto"/>
                <w:szCs w:val="24"/>
                <w:highlight w:val="none"/>
              </w:rPr>
              <w:t>（2）形式：通过</w:t>
            </w:r>
            <w:r>
              <w:rPr>
                <w:rFonts w:hint="eastAsia" w:asciiTheme="majorEastAsia" w:hAnsiTheme="majorEastAsia" w:eastAsiaTheme="majorEastAsia" w:cstheme="majorEastAsia"/>
                <w:color w:val="auto"/>
                <w:szCs w:val="24"/>
                <w:highlight w:val="none"/>
              </w:rPr>
              <w:t>优质采云采购平台</w:t>
            </w:r>
            <w:r>
              <w:rPr>
                <w:rFonts w:hint="eastAsia" w:cs="宋体"/>
                <w:bCs/>
                <w:color w:val="auto"/>
                <w:szCs w:val="24"/>
                <w:highlight w:val="none"/>
              </w:rPr>
              <w:t>提交。</w:t>
            </w:r>
          </w:p>
          <w:p w14:paraId="7C5F945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auto"/>
                <w:highlight w:val="none"/>
              </w:rPr>
            </w:pPr>
            <w:r>
              <w:rPr>
                <w:rFonts w:hint="eastAsia"/>
                <w:color w:val="auto"/>
                <w:szCs w:val="24"/>
                <w:highlight w:val="none"/>
              </w:rPr>
              <w:t>（3）供应商请注意：肥西县公共资源交易有限责任公司对磋商文件进行的澄清、更正或更改，将在网站上及时发布，该公告内容为磋商文件的组成部分，对供应商具有同样约束力效力。供应商应主动上网查询。肥西县公共资源交易有限责任公司不承担供应商未及时关注相关信息引发的相关责任。</w:t>
            </w:r>
          </w:p>
        </w:tc>
      </w:tr>
      <w:tr w14:paraId="2CCA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350D845F">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733" w:type="pct"/>
            <w:vAlign w:val="center"/>
          </w:tcPr>
          <w:p w14:paraId="2B66B374">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构成磋商的其他材料</w:t>
            </w:r>
          </w:p>
        </w:tc>
        <w:tc>
          <w:tcPr>
            <w:tcW w:w="3710" w:type="pct"/>
            <w:vAlign w:val="center"/>
          </w:tcPr>
          <w:p w14:paraId="486B4A4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sym w:font="Wingdings 2" w:char="F052"/>
            </w:r>
            <w:r>
              <w:rPr>
                <w:rFonts w:hint="eastAsia" w:asciiTheme="minorEastAsia" w:hAnsiTheme="minorEastAsia" w:eastAsiaTheme="minorEastAsia"/>
                <w:color w:val="000000" w:themeColor="text1"/>
                <w:highlight w:val="none"/>
                <w14:textFill>
                  <w14:solidFill>
                    <w14:schemeClr w14:val="tx1"/>
                  </w14:solidFill>
                </w14:textFill>
              </w:rPr>
              <w:t xml:space="preserve">无  </w:t>
            </w:r>
            <w:r>
              <w:rPr>
                <w:rFonts w:hint="eastAsia" w:cs="宋体"/>
                <w:bCs/>
                <w:color w:val="000000" w:themeColor="text1"/>
                <w:szCs w:val="24"/>
                <w:highlight w:val="none"/>
                <w14:textFill>
                  <w14:solidFill>
                    <w14:schemeClr w14:val="tx1"/>
                  </w14:solidFill>
                </w14:textFill>
              </w:rPr>
              <w:t>□图纸  □其他：</w:t>
            </w:r>
            <w:r>
              <w:rPr>
                <w:rFonts w:hint="eastAsia" w:cs="宋体"/>
                <w:bCs/>
                <w:color w:val="000000" w:themeColor="text1"/>
                <w:szCs w:val="24"/>
                <w:highlight w:val="none"/>
                <w:u w:val="single"/>
                <w14:textFill>
                  <w14:solidFill>
                    <w14:schemeClr w14:val="tx1"/>
                  </w14:solidFill>
                </w14:textFill>
              </w:rPr>
              <w:t xml:space="preserve">        </w:t>
            </w:r>
          </w:p>
          <w:p w14:paraId="10727F2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获得方式：</w:t>
            </w:r>
          </w:p>
          <w:p w14:paraId="30919DDD">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上述资料请供应商在获取磋商文件后，自行登录电子交易系统下载本项目附件。</w:t>
            </w:r>
          </w:p>
        </w:tc>
      </w:tr>
      <w:tr w14:paraId="3997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76208FE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733" w:type="pct"/>
            <w:vAlign w:val="center"/>
          </w:tcPr>
          <w:p w14:paraId="07CCFBA8">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磋商保证金及电子交易服务费用</w:t>
            </w:r>
          </w:p>
        </w:tc>
        <w:tc>
          <w:tcPr>
            <w:tcW w:w="3710" w:type="pct"/>
            <w:vAlign w:val="center"/>
          </w:tcPr>
          <w:p w14:paraId="5E73CE4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是否要求</w:t>
            </w:r>
            <w:r>
              <w:rPr>
                <w:rFonts w:hint="eastAsia" w:asciiTheme="minorEastAsia" w:hAnsiTheme="minorEastAsia" w:eastAsiaTheme="minorEastAsia" w:cstheme="minorEastAsia"/>
                <w:color w:val="auto"/>
                <w:szCs w:val="18"/>
                <w:highlight w:val="none"/>
              </w:rPr>
              <w:t>供应商</w:t>
            </w:r>
            <w:r>
              <w:rPr>
                <w:rFonts w:hint="eastAsia" w:asciiTheme="minorEastAsia" w:hAnsiTheme="minorEastAsia" w:eastAsiaTheme="minorEastAsia" w:cstheme="minorEastAsia"/>
                <w:color w:val="auto"/>
                <w:highlight w:val="none"/>
              </w:rPr>
              <w:t>递交磋商保证金：</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 xml:space="preserve">不要求 </w:t>
            </w: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要求</w:t>
            </w:r>
          </w:p>
          <w:p w14:paraId="55B5034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color w:val="auto"/>
                <w:kern w:val="2"/>
                <w:szCs w:val="24"/>
                <w:highlight w:val="none"/>
              </w:rPr>
            </w:pPr>
            <w:r>
              <w:rPr>
                <w:rFonts w:hint="eastAsia" w:asciiTheme="minorEastAsia" w:hAnsiTheme="minorEastAsia" w:eastAsiaTheme="minorEastAsia" w:cstheme="minorEastAsia"/>
                <w:color w:val="auto"/>
                <w:kern w:val="2"/>
                <w:szCs w:val="24"/>
                <w:highlight w:val="none"/>
              </w:rPr>
              <w:t>是否要求供应商递交电子交易服务费用：□不要求</w:t>
            </w:r>
            <w:r>
              <w:rPr>
                <w:rFonts w:hint="eastAsia" w:asciiTheme="minorEastAsia" w:hAnsiTheme="minorEastAsia" w:eastAsiaTheme="minorEastAsia" w:cstheme="minorEastAsia"/>
                <w:b/>
                <w:bCs/>
                <w:color w:val="auto"/>
                <w:kern w:val="2"/>
                <w:szCs w:val="24"/>
                <w:highlight w:val="none"/>
              </w:rPr>
              <w:t>☑要求</w:t>
            </w:r>
          </w:p>
          <w:p w14:paraId="6DFD5D7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电子交易服务费用的形式：</w:t>
            </w:r>
            <w:r>
              <w:rPr>
                <w:rFonts w:hint="eastAsia" w:asciiTheme="minorEastAsia" w:hAnsiTheme="minorEastAsia" w:eastAsiaTheme="minorEastAsia" w:cstheme="minorEastAsia"/>
                <w:b/>
                <w:bCs/>
                <w:color w:val="auto"/>
                <w:kern w:val="2"/>
                <w:szCs w:val="24"/>
                <w:highlight w:val="none"/>
              </w:rPr>
              <w:sym w:font="Wingdings" w:char="00FE"/>
            </w:r>
            <w:r>
              <w:rPr>
                <w:rFonts w:hint="eastAsia" w:asciiTheme="minorEastAsia" w:hAnsiTheme="minorEastAsia" w:eastAsiaTheme="minorEastAsia" w:cstheme="minorEastAsia"/>
                <w:color w:val="auto"/>
                <w:kern w:val="2"/>
                <w:szCs w:val="24"/>
                <w:highlight w:val="none"/>
              </w:rPr>
              <w:t xml:space="preserve">银行转账  </w:t>
            </w:r>
            <w:r>
              <w:rPr>
                <w:rFonts w:hint="eastAsia" w:asciiTheme="minorEastAsia" w:hAnsiTheme="minorEastAsia" w:eastAsiaTheme="minorEastAsia" w:cstheme="minorEastAsia"/>
                <w:b/>
                <w:bCs/>
                <w:color w:val="auto"/>
                <w:kern w:val="2"/>
                <w:szCs w:val="24"/>
                <w:highlight w:val="none"/>
              </w:rPr>
              <w:sym w:font="Wingdings" w:char="00FE"/>
            </w:r>
            <w:r>
              <w:rPr>
                <w:rFonts w:hint="eastAsia" w:asciiTheme="minorEastAsia" w:hAnsiTheme="minorEastAsia" w:eastAsiaTheme="minorEastAsia" w:cstheme="minorEastAsia"/>
                <w:color w:val="auto"/>
                <w:kern w:val="2"/>
                <w:szCs w:val="24"/>
                <w:highlight w:val="none"/>
              </w:rPr>
              <w:t>银行电汇</w:t>
            </w:r>
          </w:p>
          <w:p w14:paraId="14E2B7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color w:val="auto"/>
                <w:kern w:val="2"/>
                <w:szCs w:val="24"/>
                <w:highlight w:val="none"/>
              </w:rPr>
            </w:pPr>
            <w:r>
              <w:rPr>
                <w:rFonts w:hint="eastAsia" w:asciiTheme="minorEastAsia" w:hAnsiTheme="minorEastAsia" w:eastAsiaTheme="minorEastAsia" w:cstheme="minorEastAsia"/>
                <w:b/>
                <w:bCs/>
                <w:color w:val="auto"/>
                <w:kern w:val="2"/>
                <w:szCs w:val="24"/>
                <w:highlight w:val="none"/>
              </w:rPr>
              <w:t>电子交易服务费用的金额：人民币200元，售后不退。</w:t>
            </w:r>
          </w:p>
          <w:p w14:paraId="549CCC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 xml:space="preserve">递交要求： </w:t>
            </w:r>
          </w:p>
          <w:p w14:paraId="4DF9D57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①电子交易服务费用的到账截止时间：同磋商时间。</w:t>
            </w:r>
          </w:p>
          <w:p w14:paraId="4487DC8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②电子交易服务费用应当从供应商账户转出。</w:t>
            </w:r>
          </w:p>
          <w:p w14:paraId="1FD0CD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③转入的开户银行及账号：</w:t>
            </w:r>
          </w:p>
          <w:p w14:paraId="76D79D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color w:val="auto"/>
                <w:kern w:val="2"/>
                <w:szCs w:val="24"/>
                <w:highlight w:val="none"/>
              </w:rPr>
            </w:pPr>
            <w:r>
              <w:rPr>
                <w:rFonts w:hint="eastAsia" w:asciiTheme="minorEastAsia" w:hAnsiTheme="minorEastAsia" w:eastAsiaTheme="minorEastAsia" w:cstheme="minorEastAsia"/>
                <w:b/>
                <w:bCs/>
                <w:color w:val="auto"/>
                <w:kern w:val="2"/>
                <w:szCs w:val="24"/>
                <w:highlight w:val="none"/>
              </w:rPr>
              <w:t>开户银行：广发银行股份有限公司合肥肥西支行</w:t>
            </w:r>
          </w:p>
          <w:p w14:paraId="12EF060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color w:val="auto"/>
                <w:kern w:val="2"/>
                <w:szCs w:val="24"/>
                <w:highlight w:val="none"/>
              </w:rPr>
            </w:pPr>
            <w:r>
              <w:rPr>
                <w:rFonts w:hint="eastAsia" w:asciiTheme="minorEastAsia" w:hAnsiTheme="minorEastAsia" w:eastAsiaTheme="minorEastAsia" w:cstheme="minorEastAsia"/>
                <w:b/>
                <w:bCs/>
                <w:color w:val="auto"/>
                <w:kern w:val="2"/>
                <w:szCs w:val="24"/>
                <w:highlight w:val="none"/>
              </w:rPr>
              <w:t>开户名：肥西县公共资源交易有限责任公司</w:t>
            </w:r>
          </w:p>
          <w:p w14:paraId="5FF0058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color w:val="auto"/>
                <w:kern w:val="2"/>
                <w:szCs w:val="24"/>
                <w:highlight w:val="none"/>
              </w:rPr>
            </w:pPr>
            <w:r>
              <w:rPr>
                <w:rFonts w:hint="eastAsia" w:asciiTheme="minorEastAsia" w:hAnsiTheme="minorEastAsia" w:eastAsiaTheme="minorEastAsia" w:cstheme="minorEastAsia"/>
                <w:b/>
                <w:bCs/>
                <w:color w:val="auto"/>
                <w:kern w:val="2"/>
                <w:szCs w:val="24"/>
                <w:highlight w:val="none"/>
              </w:rPr>
              <w:t>账号：6232594999000551042</w:t>
            </w:r>
          </w:p>
          <w:p w14:paraId="298D891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注意事项：</w:t>
            </w:r>
          </w:p>
          <w:p w14:paraId="3EA4BEC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（1）电子交易服务费用采用虚拟账号，项目磋商失败后，电子交易服务费用交纳账号将会发生变化，请供应商参与后续磋商时，注意勿将电子交易服务费用错交至其他项目账号或前次公告账号。</w:t>
            </w:r>
          </w:p>
          <w:p w14:paraId="3ACD46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Cs w:val="24"/>
                <w:highlight w:val="none"/>
              </w:rPr>
            </w:pPr>
            <w:r>
              <w:rPr>
                <w:rFonts w:hint="eastAsia" w:asciiTheme="minorEastAsia" w:hAnsiTheme="minorEastAsia" w:eastAsiaTheme="minorEastAsia" w:cstheme="minorEastAsia"/>
                <w:color w:val="auto"/>
                <w:kern w:val="2"/>
                <w:szCs w:val="24"/>
                <w:highlight w:val="none"/>
              </w:rPr>
              <w:t>（3）凡转账到其他项目账户或本项目前次公告账户的，电子交易服务费用无效。</w:t>
            </w:r>
          </w:p>
          <w:p w14:paraId="370DF41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2"/>
                <w:szCs w:val="24"/>
                <w:highlight w:val="none"/>
              </w:rPr>
              <w:t>（4）供应商参与本项目多个包别磋商的（如分多包别的），应该按包别分别递交电子交易服务费用。未递交电子交易服务费用的包别，其响应无效。</w:t>
            </w:r>
          </w:p>
        </w:tc>
      </w:tr>
      <w:tr w14:paraId="62A3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52C0A1DC">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733" w:type="pct"/>
            <w:vAlign w:val="center"/>
          </w:tcPr>
          <w:p w14:paraId="46A4E2BC">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不予退还磋商保证金的情形</w:t>
            </w:r>
          </w:p>
        </w:tc>
        <w:tc>
          <w:tcPr>
            <w:tcW w:w="3710" w:type="pct"/>
            <w:vAlign w:val="center"/>
          </w:tcPr>
          <w:p w14:paraId="11840AD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color w:val="000000" w:themeColor="text1"/>
                <w:kern w:val="2"/>
                <w:szCs w:val="24"/>
                <w:highlight w:val="none"/>
                <w14:textFill>
                  <w14:solidFill>
                    <w14:schemeClr w14:val="tx1"/>
                  </w14:solidFill>
                </w14:textFill>
              </w:rPr>
              <w:t>/</w:t>
            </w:r>
          </w:p>
        </w:tc>
      </w:tr>
      <w:tr w14:paraId="4BFB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0EBA4702">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733" w:type="pct"/>
            <w:vAlign w:val="center"/>
          </w:tcPr>
          <w:p w14:paraId="66194D87">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磋商现场提交的其他材料要求</w:t>
            </w:r>
          </w:p>
        </w:tc>
        <w:tc>
          <w:tcPr>
            <w:tcW w:w="3710" w:type="pct"/>
            <w:vAlign w:val="center"/>
          </w:tcPr>
          <w:p w14:paraId="3C7CA537">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tc>
      </w:tr>
      <w:tr w14:paraId="518E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008244E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733" w:type="pct"/>
            <w:vAlign w:val="center"/>
          </w:tcPr>
          <w:p w14:paraId="2D42D3B4">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响应文件解密时间</w:t>
            </w:r>
          </w:p>
        </w:tc>
        <w:tc>
          <w:tcPr>
            <w:tcW w:w="3710" w:type="pct"/>
            <w:vAlign w:val="center"/>
          </w:tcPr>
          <w:p w14:paraId="58F7CB88">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响应文件提交截止时间后30分钟内（以系统解密倒计时为准）</w:t>
            </w:r>
          </w:p>
        </w:tc>
      </w:tr>
      <w:tr w14:paraId="50B5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Merge w:val="restart"/>
            <w:vAlign w:val="center"/>
          </w:tcPr>
          <w:p w14:paraId="0CD6B998">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733" w:type="pct"/>
            <w:vMerge w:val="restart"/>
            <w:vAlign w:val="center"/>
          </w:tcPr>
          <w:p w14:paraId="546B044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确定成交候选人和成交人</w:t>
            </w:r>
          </w:p>
        </w:tc>
        <w:tc>
          <w:tcPr>
            <w:tcW w:w="3710" w:type="pct"/>
            <w:vAlign w:val="center"/>
          </w:tcPr>
          <w:p w14:paraId="25E15C17">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eastAsia="宋体"/>
                <w:b/>
                <w:color w:val="000000" w:themeColor="text1"/>
                <w:highlight w:val="none"/>
                <w:u w:val="single"/>
                <w:lang w:eastAsia="zh-CN"/>
                <w14:textFill>
                  <w14:solidFill>
                    <w14:schemeClr w14:val="tx1"/>
                  </w14:solidFill>
                </w14:textFill>
              </w:rPr>
            </w:pPr>
            <w:r>
              <w:rPr>
                <w:rFonts w:hint="eastAsia"/>
                <w:color w:val="auto"/>
                <w:highlight w:val="none"/>
              </w:rPr>
              <w:t>评审委员会推荐成交候选人的数量：</w:t>
            </w:r>
            <w:r>
              <w:rPr>
                <w:rFonts w:hint="eastAsia"/>
                <w:color w:val="auto"/>
                <w:highlight w:val="none"/>
                <w:u w:val="single"/>
                <w:lang w:val="en-US" w:eastAsia="zh-CN"/>
              </w:rPr>
              <w:t>1</w:t>
            </w:r>
            <w:bookmarkStart w:id="27" w:name="_GoBack"/>
            <w:bookmarkEnd w:id="27"/>
            <w:r>
              <w:rPr>
                <w:rFonts w:hint="eastAsia"/>
                <w:color w:val="auto"/>
                <w:highlight w:val="none"/>
                <w:u w:val="single"/>
              </w:rPr>
              <w:t>家</w:t>
            </w:r>
          </w:p>
        </w:tc>
      </w:tr>
      <w:tr w14:paraId="40CE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Merge w:val="continue"/>
            <w:vAlign w:val="center"/>
          </w:tcPr>
          <w:p w14:paraId="212599EF">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p>
        </w:tc>
        <w:tc>
          <w:tcPr>
            <w:tcW w:w="733" w:type="pct"/>
            <w:vMerge w:val="continue"/>
            <w:vAlign w:val="center"/>
          </w:tcPr>
          <w:p w14:paraId="5392CC8B">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p>
        </w:tc>
        <w:tc>
          <w:tcPr>
            <w:tcW w:w="3710" w:type="pct"/>
            <w:vAlign w:val="center"/>
          </w:tcPr>
          <w:p w14:paraId="5F8A4152">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确定成交人：</w:t>
            </w:r>
          </w:p>
          <w:p w14:paraId="576A7AB5">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2" w:char="0052"/>
            </w:r>
            <w:r>
              <w:rPr>
                <w:rFonts w:hint="eastAsia"/>
                <w:color w:val="000000" w:themeColor="text1"/>
                <w:highlight w:val="none"/>
                <w14:textFill>
                  <w14:solidFill>
                    <w14:schemeClr w14:val="tx1"/>
                  </w14:solidFill>
                </w14:textFill>
              </w:rPr>
              <w:t>业主单位委托评审委员会确定</w:t>
            </w:r>
          </w:p>
          <w:p w14:paraId="52FE0290">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2" w:char="00A3"/>
            </w:r>
            <w:r>
              <w:rPr>
                <w:rFonts w:hint="eastAsia"/>
                <w:color w:val="000000" w:themeColor="text1"/>
                <w:highlight w:val="none"/>
                <w14:textFill>
                  <w14:solidFill>
                    <w14:schemeClr w14:val="tx1"/>
                  </w14:solidFill>
                </w14:textFill>
              </w:rPr>
              <w:t>业主单位确定</w:t>
            </w:r>
          </w:p>
        </w:tc>
      </w:tr>
      <w:tr w14:paraId="00D2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0D777455">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733" w:type="pct"/>
            <w:vAlign w:val="center"/>
          </w:tcPr>
          <w:p w14:paraId="2429EF04">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成交通知书发出的形式</w:t>
            </w:r>
          </w:p>
        </w:tc>
        <w:tc>
          <w:tcPr>
            <w:tcW w:w="3710" w:type="pct"/>
            <w:vAlign w:val="center"/>
          </w:tcPr>
          <w:p w14:paraId="08DEA445">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ascii="Segoe UI Symbol" w:hAnsi="Segoe UI Symbol" w:cs="Segoe UI Symbol"/>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书面     </w:t>
            </w:r>
            <w:r>
              <w:rPr>
                <w:rFonts w:hint="eastAsia"/>
                <w:color w:val="000000" w:themeColor="text1"/>
                <w:highlight w:val="none"/>
                <w14:textFill>
                  <w14:solidFill>
                    <w14:schemeClr w14:val="tx1"/>
                  </w14:solidFill>
                </w14:textFill>
              </w:rPr>
              <w:sym w:font="Wingdings" w:char="00A8"/>
            </w:r>
            <w:r>
              <w:rPr>
                <w:rFonts w:hint="eastAsia"/>
                <w:color w:val="000000" w:themeColor="text1"/>
                <w:highlight w:val="none"/>
                <w14:textFill>
                  <w14:solidFill>
                    <w14:schemeClr w14:val="tx1"/>
                  </w14:solidFill>
                </w14:textFill>
              </w:rPr>
              <w:t>数据电文</w:t>
            </w:r>
          </w:p>
        </w:tc>
      </w:tr>
      <w:tr w14:paraId="7B54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3A0F7C62">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733" w:type="pct"/>
            <w:vAlign w:val="center"/>
          </w:tcPr>
          <w:p w14:paraId="59DC1D86">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告知磋商结果的形式</w:t>
            </w:r>
          </w:p>
        </w:tc>
        <w:tc>
          <w:tcPr>
            <w:tcW w:w="3710" w:type="pct"/>
            <w:vAlign w:val="center"/>
          </w:tcPr>
          <w:p w14:paraId="5F1C652B">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sym w:font="Wingdings" w:char="F0FE"/>
            </w:r>
            <w:r>
              <w:rPr>
                <w:rFonts w:hint="eastAsia"/>
                <w:color w:val="000000" w:themeColor="text1"/>
                <w:highlight w:val="none"/>
                <w14:textFill>
                  <w14:solidFill>
                    <w14:schemeClr w14:val="tx1"/>
                  </w14:solidFill>
                </w14:textFill>
              </w:rPr>
              <w:t>供应商自行登录系统查看</w:t>
            </w:r>
          </w:p>
          <w:p w14:paraId="53FD2601">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□磋商现场告知</w:t>
            </w:r>
          </w:p>
        </w:tc>
      </w:tr>
      <w:tr w14:paraId="11CA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1358FB87">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733" w:type="pct"/>
            <w:vAlign w:val="center"/>
          </w:tcPr>
          <w:p w14:paraId="78B8324B">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履约保证金</w:t>
            </w:r>
          </w:p>
        </w:tc>
        <w:tc>
          <w:tcPr>
            <w:tcW w:w="3710" w:type="pct"/>
          </w:tcPr>
          <w:p w14:paraId="097F62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snapToGrid w:val="0"/>
                <w:color w:val="000000" w:themeColor="text1"/>
                <w:szCs w:val="24"/>
                <w:highlight w:val="none"/>
                <w14:textFill>
                  <w14:solidFill>
                    <w14:schemeClr w14:val="tx1"/>
                  </w14:solidFill>
                </w14:textFill>
              </w:rPr>
            </w:pPr>
            <w:r>
              <w:rPr>
                <w:rFonts w:hint="eastAsia"/>
                <w:b w:val="0"/>
                <w:bCs w:val="0"/>
                <w:color w:val="000000" w:themeColor="text1"/>
                <w:highlight w:val="none"/>
                <w14:textFill>
                  <w14:solidFill>
                    <w14:schemeClr w14:val="tx1"/>
                  </w14:solidFill>
                </w14:textFill>
              </w:rPr>
              <w:sym w:font="Wingdings" w:char="00A8"/>
            </w:r>
            <w:r>
              <w:rPr>
                <w:rFonts w:hint="eastAsia" w:cs="宋体"/>
                <w:b w:val="0"/>
                <w:bCs w:val="0"/>
                <w:color w:val="000000" w:themeColor="text1"/>
                <w:szCs w:val="24"/>
                <w:highlight w:val="none"/>
                <w14:textFill>
                  <w14:solidFill>
                    <w14:schemeClr w14:val="tx1"/>
                  </w14:solidFill>
                </w14:textFill>
              </w:rPr>
              <w:t xml:space="preserve">收取 </w:t>
            </w:r>
            <w:r>
              <w:rPr>
                <w:rFonts w:hint="eastAsia" w:cs="宋体"/>
                <w:color w:val="000000" w:themeColor="text1"/>
                <w:szCs w:val="24"/>
                <w:highlight w:val="none"/>
                <w14:textFill>
                  <w14:solidFill>
                    <w14:schemeClr w14:val="tx1"/>
                  </w14:solidFill>
                </w14:textFill>
              </w:rPr>
              <w:t xml:space="preserve">    </w:t>
            </w:r>
            <w:r>
              <w:rPr>
                <w:rFonts w:hint="eastAsia" w:cs="宋体"/>
                <w:b/>
                <w:bCs/>
                <w:color w:val="000000" w:themeColor="text1"/>
                <w:szCs w:val="24"/>
                <w:highlight w:val="none"/>
                <w:lang w:eastAsia="zh-CN"/>
                <w14:textFill>
                  <w14:solidFill>
                    <w14:schemeClr w14:val="tx1"/>
                  </w14:solidFill>
                </w14:textFill>
              </w:rPr>
              <w:t>☑</w:t>
            </w:r>
            <w:r>
              <w:rPr>
                <w:rFonts w:hint="eastAsia" w:cs="宋体"/>
                <w:b/>
                <w:bCs/>
                <w:color w:val="000000" w:themeColor="text1"/>
                <w:szCs w:val="24"/>
                <w:highlight w:val="none"/>
                <w14:textFill>
                  <w14:solidFill>
                    <w14:schemeClr w14:val="tx1"/>
                  </w14:solidFill>
                </w14:textFill>
              </w:rPr>
              <w:t>不收取</w:t>
            </w:r>
          </w:p>
          <w:p w14:paraId="4F67FAE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snapToGrid w:val="0"/>
                <w:color w:val="000000" w:themeColor="text1"/>
                <w:szCs w:val="24"/>
                <w:highlight w:val="none"/>
                <w14:textFill>
                  <w14:solidFill>
                    <w14:schemeClr w14:val="tx1"/>
                  </w14:solidFill>
                </w14:textFill>
              </w:rPr>
            </w:pPr>
            <w:r>
              <w:rPr>
                <w:rFonts w:hint="eastAsia" w:cs="宋体"/>
                <w:snapToGrid w:val="0"/>
                <w:color w:val="000000" w:themeColor="text1"/>
                <w:szCs w:val="24"/>
                <w:highlight w:val="none"/>
                <w14:textFill>
                  <w14:solidFill>
                    <w14:schemeClr w14:val="tx1"/>
                  </w14:solidFill>
                </w14:textFill>
              </w:rPr>
              <w:t>（1）金额：</w:t>
            </w:r>
            <w:r>
              <w:rPr>
                <w:rFonts w:hint="eastAsia" w:cs="宋体"/>
                <w:color w:val="000000" w:themeColor="text1"/>
                <w:szCs w:val="24"/>
                <w:highlight w:val="none"/>
                <w14:textFill>
                  <w14:solidFill>
                    <w14:schemeClr w14:val="tx1"/>
                  </w14:solidFill>
                </w14:textFill>
              </w:rPr>
              <w:sym w:font="Wingdings" w:char="00A8"/>
            </w:r>
            <w:r>
              <w:rPr>
                <w:rFonts w:hint="eastAsia" w:cs="宋体"/>
                <w:snapToGrid w:val="0"/>
                <w:color w:val="000000" w:themeColor="text1"/>
                <w:szCs w:val="24"/>
                <w:highlight w:val="none"/>
                <w14:textFill>
                  <w14:solidFill>
                    <w14:schemeClr w14:val="tx1"/>
                  </w14:solidFill>
                </w14:textFill>
              </w:rPr>
              <w:t>成交金额的</w:t>
            </w:r>
            <w:r>
              <w:rPr>
                <w:rFonts w:hint="eastAsia" w:cs="宋体"/>
                <w:snapToGrid w:val="0"/>
                <w:color w:val="000000" w:themeColor="text1"/>
                <w:szCs w:val="24"/>
                <w:highlight w:val="none"/>
                <w:u w:val="single"/>
                <w14:textFill>
                  <w14:solidFill>
                    <w14:schemeClr w14:val="tx1"/>
                  </w14:solidFill>
                </w14:textFill>
              </w:rPr>
              <w:t xml:space="preserve">  </w:t>
            </w:r>
            <w:r>
              <w:rPr>
                <w:rFonts w:hint="eastAsia" w:cs="宋体"/>
                <w:snapToGrid w:val="0"/>
                <w:color w:val="000000" w:themeColor="text1"/>
                <w:szCs w:val="24"/>
                <w:highlight w:val="none"/>
                <w14:textFill>
                  <w14:solidFill>
                    <w14:schemeClr w14:val="tx1"/>
                  </w14:solidFill>
                </w14:textFill>
              </w:rPr>
              <w:t xml:space="preserve">%  </w:t>
            </w:r>
            <w:r>
              <w:rPr>
                <w:rFonts w:hint="eastAsia" w:cs="宋体"/>
                <w:b w:val="0"/>
                <w:bCs w:val="0"/>
                <w:snapToGrid w:val="0"/>
                <w:color w:val="000000" w:themeColor="text1"/>
                <w:szCs w:val="24"/>
                <w:highlight w:val="none"/>
                <w14:textFill>
                  <w14:solidFill>
                    <w14:schemeClr w14:val="tx1"/>
                  </w14:solidFill>
                </w14:textFill>
              </w:rPr>
              <w:t xml:space="preserve"> </w:t>
            </w:r>
            <w:r>
              <w:rPr>
                <w:rFonts w:hint="eastAsia"/>
                <w:b w:val="0"/>
                <w:bCs w:val="0"/>
                <w:color w:val="000000" w:themeColor="text1"/>
                <w:highlight w:val="none"/>
                <w14:textFill>
                  <w14:solidFill>
                    <w14:schemeClr w14:val="tx1"/>
                  </w14:solidFill>
                </w14:textFill>
              </w:rPr>
              <w:sym w:font="Wingdings" w:char="00A8"/>
            </w:r>
            <w:r>
              <w:rPr>
                <w:rFonts w:hint="eastAsia" w:cs="宋体"/>
                <w:b w:val="0"/>
                <w:bCs w:val="0"/>
                <w:color w:val="000000" w:themeColor="text1"/>
                <w:szCs w:val="24"/>
                <w:highlight w:val="none"/>
                <w14:textFill>
                  <w14:solidFill>
                    <w14:schemeClr w14:val="tx1"/>
                  </w14:solidFill>
                </w14:textFill>
              </w:rPr>
              <w:t>定额收取</w:t>
            </w:r>
            <w:r>
              <w:rPr>
                <w:rFonts w:hint="eastAsia" w:cs="宋体"/>
                <w:b w:val="0"/>
                <w:bCs w:val="0"/>
                <w:color w:val="000000" w:themeColor="text1"/>
                <w:szCs w:val="24"/>
                <w:highlight w:val="none"/>
                <w:u w:val="single"/>
                <w:lang w:val="en-US" w:eastAsia="zh-CN"/>
                <w14:textFill>
                  <w14:solidFill>
                    <w14:schemeClr w14:val="tx1"/>
                  </w14:solidFill>
                </w14:textFill>
              </w:rPr>
              <w:t xml:space="preserve">      </w:t>
            </w:r>
            <w:r>
              <w:rPr>
                <w:rFonts w:hint="eastAsia" w:cs="宋体"/>
                <w:b w:val="0"/>
                <w:bCs w:val="0"/>
                <w:color w:val="000000" w:themeColor="text1"/>
                <w:szCs w:val="24"/>
                <w:highlight w:val="none"/>
                <w14:textFill>
                  <w14:solidFill>
                    <w14:schemeClr w14:val="tx1"/>
                  </w14:solidFill>
                </w14:textFill>
              </w:rPr>
              <w:t>元</w:t>
            </w:r>
          </w:p>
          <w:p w14:paraId="64DC2EC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bCs/>
                <w:snapToGrid w:val="0"/>
                <w:color w:val="000000" w:themeColor="text1"/>
                <w:szCs w:val="24"/>
                <w:highlight w:val="none"/>
                <w14:textFill>
                  <w14:solidFill>
                    <w14:schemeClr w14:val="tx1"/>
                  </w14:solidFill>
                </w14:textFill>
              </w:rPr>
              <w:t>（2）缴纳形式</w:t>
            </w:r>
            <w:r>
              <w:rPr>
                <w:rFonts w:hint="eastAsia" w:cs="宋体"/>
                <w:color w:val="000000" w:themeColor="text1"/>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sym w:font="Wingdings" w:char="00FE"/>
            </w:r>
            <w:r>
              <w:rPr>
                <w:rFonts w:hint="eastAsia" w:cs="宋体"/>
                <w:color w:val="000000" w:themeColor="text1"/>
                <w:szCs w:val="24"/>
                <w:highlight w:val="none"/>
                <w14:textFill>
                  <w14:solidFill>
                    <w14:schemeClr w14:val="tx1"/>
                  </w14:solidFill>
                </w14:textFill>
              </w:rPr>
              <w:t xml:space="preserve">银行转账  </w:t>
            </w:r>
            <w:r>
              <w:rPr>
                <w:rFonts w:hint="eastAsia"/>
                <w:color w:val="000000" w:themeColor="text1"/>
                <w:highlight w:val="none"/>
                <w14:textFill>
                  <w14:solidFill>
                    <w14:schemeClr w14:val="tx1"/>
                  </w14:solidFill>
                </w14:textFill>
              </w:rPr>
              <w:sym w:font="Wingdings" w:char="F0FE"/>
            </w:r>
            <w:r>
              <w:rPr>
                <w:rFonts w:hint="eastAsia" w:cs="宋体"/>
                <w:color w:val="000000" w:themeColor="text1"/>
                <w:szCs w:val="24"/>
                <w:highlight w:val="none"/>
                <w14:textFill>
                  <w14:solidFill>
                    <w14:schemeClr w14:val="tx1"/>
                  </w14:solidFill>
                </w14:textFill>
              </w:rPr>
              <w:t xml:space="preserve">银行电汇 </w:t>
            </w:r>
            <w:r>
              <w:rPr>
                <w:color w:val="000000" w:themeColor="text1"/>
                <w:szCs w:val="24"/>
                <w:highlight w:val="none"/>
                <w14:textFill>
                  <w14:solidFill>
                    <w14:schemeClr w14:val="tx1"/>
                  </w14:solidFill>
                </w14:textFill>
              </w:rPr>
              <w:sym w:font="Wingdings" w:char="00FE"/>
            </w:r>
            <w:r>
              <w:rPr>
                <w:rFonts w:hint="eastAsia" w:cs="宋体"/>
                <w:color w:val="000000" w:themeColor="text1"/>
                <w:szCs w:val="24"/>
                <w:highlight w:val="none"/>
                <w14:textFill>
                  <w14:solidFill>
                    <w14:schemeClr w14:val="tx1"/>
                  </w14:solidFill>
                </w14:textFill>
              </w:rPr>
              <w:t>现金保证</w:t>
            </w:r>
          </w:p>
          <w:p w14:paraId="111591C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
                <w:bCs/>
                <w:snapToGrid w:val="0"/>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3）具体要求：合同签订前按规定提交履约保证金，若成交人在规定时限内未提交保证金的，业主单位将书面通知成交人，5日内不能办理的，业主单位将有权取消其成交资格,并没收其磋商保证金。在此情况下业主单位可将该项目授予排名第二的供应商或重新磋商。</w:t>
            </w:r>
          </w:p>
          <w:p w14:paraId="29302D40">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eastAsia="宋体"/>
                <w:b/>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（4）收取单位：</w:t>
            </w:r>
          </w:p>
          <w:p w14:paraId="72EC57BD">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（5）缴纳时间：合同签订前</w:t>
            </w:r>
          </w:p>
          <w:p w14:paraId="23419716">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（6）退还时间：</w:t>
            </w:r>
            <w:r>
              <w:rPr>
                <w:rFonts w:hint="eastAsia"/>
                <w:color w:val="000000" w:themeColor="text1"/>
                <w:highlight w:val="none"/>
                <w:lang w:val="en-US" w:eastAsia="zh-CN"/>
                <w14:textFill>
                  <w14:solidFill>
                    <w14:schemeClr w14:val="tx1"/>
                  </w14:solidFill>
                </w14:textFill>
              </w:rPr>
              <w:t>合同履约完成</w:t>
            </w:r>
            <w:r>
              <w:rPr>
                <w:rFonts w:hint="eastAsia"/>
                <w:color w:val="000000" w:themeColor="text1"/>
                <w:highlight w:val="none"/>
                <w14:textFill>
                  <w14:solidFill>
                    <w14:schemeClr w14:val="tx1"/>
                  </w14:solidFill>
                </w14:textFill>
              </w:rPr>
              <w:t>，一个月内退还。</w:t>
            </w:r>
          </w:p>
        </w:tc>
      </w:tr>
      <w:tr w14:paraId="6C2D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476931F0">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w:t>
            </w:r>
          </w:p>
        </w:tc>
        <w:tc>
          <w:tcPr>
            <w:tcW w:w="733" w:type="pct"/>
            <w:vAlign w:val="center"/>
          </w:tcPr>
          <w:p w14:paraId="623113B3">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highlight w:val="none"/>
                <w14:textFill>
                  <w14:solidFill>
                    <w14:schemeClr w14:val="tx1"/>
                  </w14:solidFill>
                </w14:textFill>
              </w:rPr>
              <w:t>代理服务费</w:t>
            </w:r>
          </w:p>
        </w:tc>
        <w:tc>
          <w:tcPr>
            <w:tcW w:w="3710" w:type="pct"/>
            <w:vAlign w:val="center"/>
          </w:tcPr>
          <w:p w14:paraId="4010E922">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（1）金额：</w:t>
            </w:r>
          </w:p>
          <w:p w14:paraId="47C7CA50">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color w:val="auto"/>
                <w:highlight w:val="none"/>
                <w:u w:val="single"/>
                <w:lang w:val="en-US"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定额收取：</w:t>
            </w:r>
            <w:r>
              <w:rPr>
                <w:rFonts w:hint="eastAsia" w:asciiTheme="minorEastAsia" w:hAnsiTheme="minorEastAsia" w:eastAsiaTheme="minorEastAsia" w:cstheme="minorEastAsia"/>
                <w:color w:val="auto"/>
                <w:highlight w:val="none"/>
                <w:u w:val="single"/>
                <w:lang w:val="en-US" w:eastAsia="zh-CN"/>
              </w:rPr>
              <w:t xml:space="preserve">         </w:t>
            </w:r>
          </w:p>
          <w:p w14:paraId="75390A4C">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按下列标准收取：详见附件1《代理服务费收费标准》，不足4000元按4000元收取。</w:t>
            </w:r>
          </w:p>
          <w:p w14:paraId="7CBA8C4A">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（2）支付方式：☑转账/电汇</w:t>
            </w:r>
          </w:p>
          <w:p w14:paraId="00B243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bCs/>
                <w:snapToGrid w:val="0"/>
                <w:color w:val="000000" w:themeColor="text1"/>
                <w:szCs w:val="24"/>
                <w:highlight w:val="none"/>
                <w14:textFill>
                  <w14:solidFill>
                    <w14:schemeClr w14:val="tx1"/>
                  </w14:solidFill>
                </w14:textFill>
              </w:rPr>
              <w:t>备注：以上相关费用，供应商在报价单中不单列，包含在报价中，业主单位不再单独计量支付。</w:t>
            </w:r>
          </w:p>
        </w:tc>
      </w:tr>
      <w:tr w14:paraId="26F0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53E18195">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733" w:type="pct"/>
            <w:vAlign w:val="center"/>
          </w:tcPr>
          <w:p w14:paraId="669E79C0">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补充约定</w:t>
            </w:r>
          </w:p>
        </w:tc>
        <w:tc>
          <w:tcPr>
            <w:tcW w:w="3710" w:type="pct"/>
            <w:vAlign w:val="center"/>
          </w:tcPr>
          <w:p w14:paraId="56FE9DFC">
            <w:pPr>
              <w:keepNext w:val="0"/>
              <w:keepLines w:val="0"/>
              <w:pageBreakBefore w:val="0"/>
              <w:widowControl w:val="0"/>
              <w:numPr>
                <w:ilvl w:val="255"/>
                <w:numId w:val="0"/>
              </w:numPr>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（1）通过初审的供应商为3家及以上的，按磋商文件约定进行评审并确定结果；</w:t>
            </w:r>
          </w:p>
          <w:p w14:paraId="7BCD05E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（2）通过初审的供应商不足3家的，项目磋商失败。</w:t>
            </w:r>
          </w:p>
        </w:tc>
      </w:tr>
      <w:tr w14:paraId="0C18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7B4F9755">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733" w:type="pct"/>
            <w:vAlign w:val="center"/>
          </w:tcPr>
          <w:p w14:paraId="0084308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报价须知</w:t>
            </w:r>
          </w:p>
        </w:tc>
        <w:tc>
          <w:tcPr>
            <w:tcW w:w="3710" w:type="pct"/>
            <w:vAlign w:val="center"/>
          </w:tcPr>
          <w:p w14:paraId="4A546B8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bCs/>
                <w:color w:val="000000" w:themeColor="text1"/>
                <w:kern w:val="2"/>
                <w:szCs w:val="24"/>
                <w:highlight w:val="none"/>
                <w14:textFill>
                  <w14:solidFill>
                    <w14:schemeClr w14:val="tx1"/>
                  </w14:solidFill>
                </w14:textFill>
              </w:rPr>
              <w:t>供应商最终报价不得高于磋商文件（公告）列明的项目预算、最高限价，否则其响应文件将被否决。</w:t>
            </w:r>
          </w:p>
        </w:tc>
      </w:tr>
      <w:tr w14:paraId="3DCB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7E5323D5">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733" w:type="pct"/>
            <w:vAlign w:val="center"/>
          </w:tcPr>
          <w:p w14:paraId="7707668D">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重要说明</w:t>
            </w:r>
          </w:p>
        </w:tc>
        <w:tc>
          <w:tcPr>
            <w:tcW w:w="3710" w:type="pct"/>
            <w:vAlign w:val="center"/>
          </w:tcPr>
          <w:p w14:paraId="2DCF24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（1）成交人应在规定期限内提交履约保证金并与业主单位签订合同，若成交人未能在规定期限内提交履约保证金或签订合同，业主单位有权取消成交人成交资格；</w:t>
            </w:r>
          </w:p>
          <w:p w14:paraId="78D1A6B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（2）合同签订后，成交人存在规定时间内不组织人员进场开工，不履行合同义务等情况，业主单位有权解除合同，并追究违约责任；</w:t>
            </w:r>
          </w:p>
          <w:p w14:paraId="3A8999D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color w:val="000000" w:themeColor="text1"/>
                <w:szCs w:val="24"/>
                <w:highlight w:val="none"/>
                <w14:textFill>
                  <w14:solidFill>
                    <w14:schemeClr w14:val="tx1"/>
                  </w14:solidFill>
                </w14:textFill>
              </w:rPr>
              <w:t>（3）成交人在成交项目发生投诉、信访举报案件、履约存在争议时，拒绝协助配合有关部门调查案件的，业主单位可以取消其成交资格或解除合同，并追究其违约责任。</w:t>
            </w:r>
          </w:p>
          <w:p w14:paraId="1BF249E9">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textAlignment w:val="auto"/>
              <w:rPr>
                <w:rFonts w:cs="宋体"/>
                <w:b w:val="0"/>
                <w:bCs w:val="0"/>
                <w:color w:val="000000" w:themeColor="text1"/>
                <w:sz w:val="24"/>
                <w:szCs w:val="24"/>
                <w:highlight w:val="none"/>
                <w14:textFill>
                  <w14:solidFill>
                    <w14:schemeClr w14:val="tx1"/>
                  </w14:solidFill>
                </w14:textFill>
              </w:rPr>
            </w:pPr>
            <w:r>
              <w:rPr>
                <w:rFonts w:hint="eastAsia" w:cs="宋体"/>
                <w:b w:val="0"/>
                <w:bCs w:val="0"/>
                <w:color w:val="000000" w:themeColor="text1"/>
                <w:sz w:val="24"/>
                <w:szCs w:val="24"/>
                <w:highlight w:val="none"/>
                <w14:textFill>
                  <w14:solidFill>
                    <w14:schemeClr w14:val="tx1"/>
                  </w14:solidFill>
                </w14:textFill>
              </w:rPr>
              <w:t>（4）供应商参与磋商，应当诚信守法、公平竞争。如有以提供虚假材料（包括但不限于虚假技术参数响应、虚假业绩、虚假证书、虚假检测报告等）、串通参与磋商、隐瞒失信信息等谋取成交的行为，一经发现，业主单位可以取消其成交资格或解除合同，并追究其违约责任。</w:t>
            </w:r>
          </w:p>
        </w:tc>
      </w:tr>
      <w:tr w14:paraId="063C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vAlign w:val="center"/>
          </w:tcPr>
          <w:p w14:paraId="4720AE3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733" w:type="pct"/>
            <w:vAlign w:val="center"/>
          </w:tcPr>
          <w:p w14:paraId="68B2F60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电子交易</w:t>
            </w:r>
          </w:p>
        </w:tc>
        <w:tc>
          <w:tcPr>
            <w:tcW w:w="3710" w:type="pct"/>
            <w:vAlign w:val="center"/>
          </w:tcPr>
          <w:p w14:paraId="130A5B7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本磋商项目实行全流程电子化交易，除磋商文件另有规定外，电子交易操作要求见附件《全流程电子招标采购具体要求》。</w:t>
            </w:r>
          </w:p>
        </w:tc>
      </w:tr>
      <w:tr w14:paraId="317C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shd w:val="clear" w:color="auto" w:fill="auto"/>
            <w:vAlign w:val="center"/>
          </w:tcPr>
          <w:p w14:paraId="0C55CB41">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21</w:t>
            </w:r>
          </w:p>
        </w:tc>
        <w:tc>
          <w:tcPr>
            <w:tcW w:w="733" w:type="pct"/>
            <w:shd w:val="clear" w:color="auto" w:fill="auto"/>
            <w:vAlign w:val="center"/>
          </w:tcPr>
          <w:p w14:paraId="7F0D0A0F">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解释权</w:t>
            </w:r>
          </w:p>
        </w:tc>
        <w:tc>
          <w:tcPr>
            <w:tcW w:w="3710" w:type="pct"/>
            <w:shd w:val="clear" w:color="auto" w:fill="auto"/>
            <w:vAlign w:val="center"/>
          </w:tcPr>
          <w:p w14:paraId="388F532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（1）构成本磋商文件的各个组成文件应互为解释，互为说明；</w:t>
            </w:r>
          </w:p>
          <w:p w14:paraId="5E1E7C6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（2）同一组成文件中就同一事项的规定或约定不一致的，以编排顺序在后者为准；</w:t>
            </w:r>
          </w:p>
          <w:p w14:paraId="454C24E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（3）如有不明确或不一致，构成合同文件组成内容的，以合同文件约定内容为准，且以专用合同条款约定的合同文件优先顺序解释；</w:t>
            </w:r>
          </w:p>
          <w:p w14:paraId="2E39602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bCs/>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（4）除磋商文件中有特别规定外，仅适用于磋商及响应文件提交阶段的规定，按磋商公告、供应商须知前附表、供应商须知正文、评审方法和标准、响应文件格式的先后顺序解释；</w:t>
            </w:r>
          </w:p>
          <w:p w14:paraId="322C8AC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cs="宋体"/>
                <w:color w:val="000000" w:themeColor="text1"/>
                <w:szCs w:val="24"/>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（5）</w:t>
            </w:r>
            <w:r>
              <w:rPr>
                <w:rFonts w:hint="eastAsia" w:cs="宋体"/>
                <w:color w:val="000000" w:themeColor="text1"/>
                <w:szCs w:val="24"/>
                <w:highlight w:val="none"/>
                <w14:textFill>
                  <w14:solidFill>
                    <w14:schemeClr w14:val="tx1"/>
                  </w14:solidFill>
                </w14:textFill>
              </w:rPr>
              <w:t>有澄清的部分以最终的澄清更正内容为准；</w:t>
            </w:r>
          </w:p>
          <w:p w14:paraId="0FED77B0">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（6）按本款前述规定仍不能形成结论的，由业主单位负责解释。</w:t>
            </w:r>
          </w:p>
        </w:tc>
      </w:tr>
      <w:tr w14:paraId="1507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shd w:val="clear" w:color="auto" w:fill="auto"/>
            <w:vAlign w:val="center"/>
          </w:tcPr>
          <w:p w14:paraId="77069759">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733" w:type="pct"/>
            <w:shd w:val="clear" w:color="auto" w:fill="auto"/>
            <w:vAlign w:val="center"/>
          </w:tcPr>
          <w:p w14:paraId="4A1DD4F3">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其他补充说明</w:t>
            </w:r>
          </w:p>
        </w:tc>
        <w:tc>
          <w:tcPr>
            <w:tcW w:w="3710" w:type="pct"/>
            <w:shd w:val="clear" w:color="auto" w:fill="auto"/>
            <w:vAlign w:val="center"/>
          </w:tcPr>
          <w:p w14:paraId="0A1F5E35">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供应商不得与</w:t>
            </w:r>
            <w:r>
              <w:rPr>
                <w:rFonts w:hint="eastAsia"/>
                <w:color w:val="000000" w:themeColor="text1"/>
                <w:highlight w:val="none"/>
                <w:lang w:val="zh-CN"/>
                <w14:textFill>
                  <w14:solidFill>
                    <w14:schemeClr w14:val="tx1"/>
                  </w14:solidFill>
                </w14:textFill>
              </w:rPr>
              <w:t>本</w:t>
            </w:r>
            <w:r>
              <w:rPr>
                <w:rFonts w:hint="eastAsia"/>
                <w:color w:val="000000" w:themeColor="text1"/>
                <w:highlight w:val="none"/>
                <w14:textFill>
                  <w14:solidFill>
                    <w14:schemeClr w14:val="tx1"/>
                  </w14:solidFill>
                </w14:textFill>
              </w:rPr>
              <w:t>包</w:t>
            </w:r>
            <w:r>
              <w:rPr>
                <w:rFonts w:hint="eastAsia"/>
                <w:color w:val="000000" w:themeColor="text1"/>
                <w:highlight w:val="none"/>
                <w:lang w:val="zh-CN"/>
                <w14:textFill>
                  <w14:solidFill>
                    <w14:schemeClr w14:val="tx1"/>
                  </w14:solidFill>
                </w14:textFill>
              </w:rPr>
              <w:t>的其他供应商存在</w:t>
            </w:r>
            <w:r>
              <w:rPr>
                <w:rFonts w:hint="eastAsia"/>
                <w:color w:val="000000" w:themeColor="text1"/>
                <w:highlight w:val="none"/>
                <w14:textFill>
                  <w14:solidFill>
                    <w14:schemeClr w14:val="tx1"/>
                  </w14:solidFill>
                </w14:textFill>
              </w:rPr>
              <w:t>单位负责人为同一人或者存在直接控股、管理关系的情形</w:t>
            </w:r>
            <w:r>
              <w:rPr>
                <w:rFonts w:hint="eastAsia"/>
                <w:color w:val="000000" w:themeColor="text1"/>
                <w:highlight w:val="none"/>
                <w:lang w:val="zh-CN"/>
                <w14:textFill>
                  <w14:solidFill>
                    <w14:schemeClr w14:val="tx1"/>
                  </w14:solidFill>
                </w14:textFill>
              </w:rPr>
              <w:t>。</w:t>
            </w:r>
          </w:p>
        </w:tc>
      </w:tr>
      <w:tr w14:paraId="75BC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shd w:val="clear" w:color="auto" w:fill="auto"/>
            <w:vAlign w:val="center"/>
          </w:tcPr>
          <w:p w14:paraId="59B132E2">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23</w:t>
            </w:r>
          </w:p>
        </w:tc>
        <w:tc>
          <w:tcPr>
            <w:tcW w:w="733" w:type="pct"/>
            <w:shd w:val="clear" w:color="auto" w:fill="auto"/>
            <w:vAlign w:val="center"/>
          </w:tcPr>
          <w:p w14:paraId="420DFF6B">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同义词语</w:t>
            </w:r>
          </w:p>
        </w:tc>
        <w:tc>
          <w:tcPr>
            <w:tcW w:w="3710" w:type="pct"/>
            <w:shd w:val="clear" w:color="auto" w:fill="auto"/>
            <w:vAlign w:val="center"/>
          </w:tcPr>
          <w:p w14:paraId="1C429C40">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构成磋商文件组成部分的“供应商须知”、“评审方法和标准”、“响应文件格式”等章节中的“供应商”，等同于磋商阶段的“供应商”。</w:t>
            </w:r>
          </w:p>
        </w:tc>
      </w:tr>
      <w:tr w14:paraId="04FC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5" w:type="pct"/>
            <w:shd w:val="clear" w:color="auto" w:fill="auto"/>
            <w:vAlign w:val="center"/>
          </w:tcPr>
          <w:p w14:paraId="065E442A">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24</w:t>
            </w:r>
          </w:p>
        </w:tc>
        <w:tc>
          <w:tcPr>
            <w:tcW w:w="733" w:type="pct"/>
            <w:shd w:val="clear" w:color="auto" w:fill="auto"/>
            <w:vAlign w:val="center"/>
          </w:tcPr>
          <w:p w14:paraId="60A7D2D3">
            <w:pPr>
              <w:pStyle w:val="3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磋商有效期</w:t>
            </w:r>
          </w:p>
        </w:tc>
        <w:tc>
          <w:tcPr>
            <w:tcW w:w="3710" w:type="pct"/>
            <w:shd w:val="clear" w:color="auto" w:fill="auto"/>
            <w:vAlign w:val="center"/>
          </w:tcPr>
          <w:p w14:paraId="654D8171">
            <w:pPr>
              <w:pStyle w:val="34"/>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bCs/>
                <w:color w:val="000000" w:themeColor="text1"/>
                <w:sz w:val="24"/>
                <w:szCs w:val="24"/>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120天</w:t>
            </w:r>
          </w:p>
        </w:tc>
      </w:tr>
    </w:tbl>
    <w:p w14:paraId="698A32A2">
      <w:pPr>
        <w:pStyle w:val="32"/>
        <w:ind w:left="360" w:firstLine="480"/>
        <w:rPr>
          <w:highlight w:val="none"/>
        </w:rPr>
      </w:pPr>
      <w:bookmarkStart w:id="4" w:name="_Toc14925"/>
      <w:bookmarkStart w:id="5" w:name="_Toc4558"/>
      <w:r>
        <w:rPr>
          <w:rFonts w:hint="eastAsia"/>
          <w:highlight w:val="none"/>
        </w:rPr>
        <w:br w:type="page"/>
      </w:r>
    </w:p>
    <w:p w14:paraId="1FC98D31">
      <w:pPr>
        <w:ind w:firstLine="482"/>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附件1 代理服务费</w:t>
      </w:r>
      <w:bookmarkEnd w:id="4"/>
      <w:r>
        <w:rPr>
          <w:rFonts w:hint="eastAsia" w:asciiTheme="minorEastAsia" w:hAnsiTheme="minorEastAsia" w:eastAsiaTheme="minorEastAsia"/>
          <w:b/>
          <w:highlight w:val="none"/>
        </w:rPr>
        <w:t xml:space="preserve">收费标准 </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F8B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129EDAF0">
            <w:pPr>
              <w:spacing w:line="460" w:lineRule="exact"/>
              <w:ind w:firstLine="480"/>
              <w:rPr>
                <w:rFonts w:asciiTheme="minorEastAsia" w:hAnsiTheme="minorEastAsia" w:eastAsiaTheme="minorEastAsia" w:cstheme="minorEastAsia"/>
                <w:color w:val="000000"/>
                <w:szCs w:val="24"/>
                <w:highlight w:val="none"/>
              </w:rPr>
            </w:pPr>
          </w:p>
          <w:tbl>
            <w:tblPr>
              <w:tblStyle w:val="16"/>
              <w:tblpPr w:leftFromText="180" w:rightFromText="180" w:vertAnchor="text" w:horzAnchor="page" w:tblpX="207" w:tblpY="62"/>
              <w:tblOverlap w:val="never"/>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0"/>
              <w:gridCol w:w="2025"/>
              <w:gridCol w:w="1888"/>
              <w:gridCol w:w="2287"/>
            </w:tblGrid>
            <w:tr w14:paraId="70CA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2A74BDCB">
                  <w:pPr>
                    <w:spacing w:line="460" w:lineRule="exact"/>
                    <w:ind w:left="0" w:leftChars="0" w:firstLine="0" w:firstLineChars="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成交金额（万元）</w:t>
                  </w:r>
                </w:p>
              </w:tc>
              <w:tc>
                <w:tcPr>
                  <w:tcW w:w="2025" w:type="dxa"/>
                  <w:vAlign w:val="center"/>
                </w:tcPr>
                <w:p w14:paraId="4466AE28">
                  <w:pPr>
                    <w:spacing w:line="460" w:lineRule="exact"/>
                    <w:ind w:left="0" w:leftChars="0" w:firstLine="0" w:firstLineChars="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货物</w:t>
                  </w:r>
                </w:p>
              </w:tc>
              <w:tc>
                <w:tcPr>
                  <w:tcW w:w="1888" w:type="dxa"/>
                  <w:vAlign w:val="center"/>
                </w:tcPr>
                <w:p w14:paraId="1143AFB8">
                  <w:pPr>
                    <w:spacing w:line="460" w:lineRule="exact"/>
                    <w:ind w:left="0" w:leftChars="0" w:firstLine="0" w:firstLineChars="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服务</w:t>
                  </w:r>
                </w:p>
              </w:tc>
              <w:tc>
                <w:tcPr>
                  <w:tcW w:w="2287" w:type="dxa"/>
                  <w:vAlign w:val="center"/>
                </w:tcPr>
                <w:p w14:paraId="6077240F">
                  <w:pPr>
                    <w:spacing w:line="460" w:lineRule="exact"/>
                    <w:ind w:left="0" w:leftChars="0" w:firstLine="0" w:firstLineChars="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工程施工/总承包</w:t>
                  </w:r>
                </w:p>
              </w:tc>
            </w:tr>
            <w:tr w14:paraId="03FC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0CF4AF8C">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100以下</w:t>
                  </w:r>
                </w:p>
              </w:tc>
              <w:tc>
                <w:tcPr>
                  <w:tcW w:w="2025" w:type="dxa"/>
                  <w:vAlign w:val="center"/>
                </w:tcPr>
                <w:p w14:paraId="552F4A72">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1.5%</w:t>
                  </w:r>
                </w:p>
              </w:tc>
              <w:tc>
                <w:tcPr>
                  <w:tcW w:w="1888" w:type="dxa"/>
                  <w:vAlign w:val="center"/>
                </w:tcPr>
                <w:p w14:paraId="38390DB8">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1.5%</w:t>
                  </w:r>
                </w:p>
              </w:tc>
              <w:tc>
                <w:tcPr>
                  <w:tcW w:w="2287" w:type="dxa"/>
                  <w:vAlign w:val="center"/>
                </w:tcPr>
                <w:p w14:paraId="58C615D1">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w:t>
                  </w:r>
                </w:p>
              </w:tc>
            </w:tr>
            <w:tr w14:paraId="6A29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2973E816">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100-500</w:t>
                  </w:r>
                </w:p>
              </w:tc>
              <w:tc>
                <w:tcPr>
                  <w:tcW w:w="2025" w:type="dxa"/>
                  <w:vAlign w:val="center"/>
                </w:tcPr>
                <w:p w14:paraId="6A486654">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1.1%</w:t>
                  </w:r>
                </w:p>
              </w:tc>
              <w:tc>
                <w:tcPr>
                  <w:tcW w:w="1888" w:type="dxa"/>
                  <w:vAlign w:val="center"/>
                </w:tcPr>
                <w:p w14:paraId="41A81CE0">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0.8%</w:t>
                  </w:r>
                </w:p>
              </w:tc>
              <w:tc>
                <w:tcPr>
                  <w:tcW w:w="2287" w:type="dxa"/>
                  <w:vAlign w:val="center"/>
                </w:tcPr>
                <w:p w14:paraId="2445D045">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0.7%</w:t>
                  </w:r>
                </w:p>
              </w:tc>
            </w:tr>
            <w:tr w14:paraId="42CA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0044C5EB">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500-1000</w:t>
                  </w:r>
                </w:p>
              </w:tc>
              <w:tc>
                <w:tcPr>
                  <w:tcW w:w="2025" w:type="dxa"/>
                  <w:vAlign w:val="center"/>
                </w:tcPr>
                <w:p w14:paraId="078CE5F3">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0.8%</w:t>
                  </w:r>
                </w:p>
              </w:tc>
              <w:tc>
                <w:tcPr>
                  <w:tcW w:w="1888" w:type="dxa"/>
                  <w:vAlign w:val="center"/>
                </w:tcPr>
                <w:p w14:paraId="192FDE8C">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0.45%</w:t>
                  </w:r>
                </w:p>
              </w:tc>
              <w:tc>
                <w:tcPr>
                  <w:tcW w:w="2287" w:type="dxa"/>
                  <w:vAlign w:val="center"/>
                </w:tcPr>
                <w:p w14:paraId="02DCE72A">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0.55%</w:t>
                  </w:r>
                </w:p>
              </w:tc>
            </w:tr>
            <w:tr w14:paraId="42E7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4F0CA411">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1000-5000</w:t>
                  </w:r>
                </w:p>
              </w:tc>
              <w:tc>
                <w:tcPr>
                  <w:tcW w:w="2025" w:type="dxa"/>
                  <w:vAlign w:val="center"/>
                </w:tcPr>
                <w:p w14:paraId="434B4302">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0.5%</w:t>
                  </w:r>
                </w:p>
              </w:tc>
              <w:tc>
                <w:tcPr>
                  <w:tcW w:w="1888" w:type="dxa"/>
                  <w:vAlign w:val="center"/>
                </w:tcPr>
                <w:p w14:paraId="2E2DCBC2">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0.25%</w:t>
                  </w:r>
                </w:p>
              </w:tc>
              <w:tc>
                <w:tcPr>
                  <w:tcW w:w="2287" w:type="dxa"/>
                  <w:vAlign w:val="center"/>
                </w:tcPr>
                <w:p w14:paraId="39021047">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0.35%</w:t>
                  </w:r>
                </w:p>
              </w:tc>
            </w:tr>
            <w:tr w14:paraId="677A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17EF9876">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5000-10000</w:t>
                  </w:r>
                </w:p>
              </w:tc>
              <w:tc>
                <w:tcPr>
                  <w:tcW w:w="2025" w:type="dxa"/>
                  <w:vAlign w:val="center"/>
                </w:tcPr>
                <w:p w14:paraId="6CAF649A">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0.25%</w:t>
                  </w:r>
                </w:p>
              </w:tc>
              <w:tc>
                <w:tcPr>
                  <w:tcW w:w="1888" w:type="dxa"/>
                  <w:vAlign w:val="center"/>
                </w:tcPr>
                <w:p w14:paraId="5F1B62A0">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0.1%</w:t>
                  </w:r>
                </w:p>
              </w:tc>
              <w:tc>
                <w:tcPr>
                  <w:tcW w:w="2287" w:type="dxa"/>
                  <w:vAlign w:val="center"/>
                </w:tcPr>
                <w:p w14:paraId="5397680E">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0.2%</w:t>
                  </w:r>
                </w:p>
              </w:tc>
            </w:tr>
            <w:tr w14:paraId="203E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239FEB80">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10000-100000</w:t>
                  </w:r>
                </w:p>
              </w:tc>
              <w:tc>
                <w:tcPr>
                  <w:tcW w:w="2025" w:type="dxa"/>
                  <w:vAlign w:val="center"/>
                </w:tcPr>
                <w:p w14:paraId="4A2252FB">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c>
                <w:tcPr>
                  <w:tcW w:w="1888" w:type="dxa"/>
                  <w:vAlign w:val="center"/>
                </w:tcPr>
                <w:p w14:paraId="7ECCA30E">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c>
                <w:tcPr>
                  <w:tcW w:w="2287" w:type="dxa"/>
                  <w:vAlign w:val="center"/>
                </w:tcPr>
                <w:p w14:paraId="6713DDF5">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0.05%</w:t>
                  </w:r>
                </w:p>
              </w:tc>
            </w:tr>
            <w:tr w14:paraId="3B52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vAlign w:val="center"/>
                </w:tcPr>
                <w:p w14:paraId="58A33A1A">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100000以上</w:t>
                  </w:r>
                </w:p>
              </w:tc>
              <w:tc>
                <w:tcPr>
                  <w:tcW w:w="2025" w:type="dxa"/>
                  <w:vAlign w:val="center"/>
                </w:tcPr>
                <w:p w14:paraId="1CAC1E82">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c>
                <w:tcPr>
                  <w:tcW w:w="1888" w:type="dxa"/>
                  <w:vAlign w:val="center"/>
                </w:tcPr>
                <w:p w14:paraId="7E89BFED">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c>
                <w:tcPr>
                  <w:tcW w:w="2287" w:type="dxa"/>
                  <w:vAlign w:val="center"/>
                </w:tcPr>
                <w:p w14:paraId="203F07AC">
                  <w:pPr>
                    <w:spacing w:line="460" w:lineRule="exact"/>
                    <w:ind w:firstLine="480"/>
                    <w:jc w:val="center"/>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0.01%</w:t>
                  </w:r>
                </w:p>
              </w:tc>
            </w:tr>
          </w:tbl>
          <w:p w14:paraId="207959D2">
            <w:pPr>
              <w:spacing w:line="460" w:lineRule="exact"/>
              <w:ind w:firstLine="480"/>
              <w:rPr>
                <w:rFonts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szCs w:val="24"/>
                <w:highlight w:val="none"/>
              </w:rPr>
              <w:t>注：代理服务收费按差额定率累进法计算，成交金额含本数。例如：某服务项目代理业务成交金额为6000万元，</w:t>
            </w:r>
            <w:r>
              <w:rPr>
                <w:rFonts w:hint="eastAsia" w:asciiTheme="minorEastAsia" w:hAnsiTheme="minorEastAsia" w:eastAsiaTheme="minorEastAsia" w:cstheme="minorEastAsia"/>
                <w:bCs/>
                <w:color w:val="000000" w:themeColor="text1"/>
                <w:szCs w:val="24"/>
                <w:highlight w:val="none"/>
                <w14:textFill>
                  <w14:solidFill>
                    <w14:schemeClr w14:val="tx1"/>
                  </w14:solidFill>
                </w14:textFill>
              </w:rPr>
              <w:t>具体收取金额为上表（代理服务费收费标准）相应项目类别收费标准*100%，</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计算代理服务费收取金额如下：</w:t>
            </w:r>
          </w:p>
          <w:p w14:paraId="0E8B5C8C">
            <w:pPr>
              <w:spacing w:line="460" w:lineRule="exact"/>
              <w:ind w:firstLine="480"/>
              <w:rPr>
                <w:rFonts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100万元×1.5％＝1.5万元</w:t>
            </w:r>
          </w:p>
          <w:p w14:paraId="55B92E55">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（500－100）万元×0.8％＝3.2万元</w:t>
            </w:r>
          </w:p>
          <w:p w14:paraId="2F60E469">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（1000－500）万元×0.45％＝2.25万元</w:t>
            </w:r>
          </w:p>
          <w:p w14:paraId="37944EC5">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（5000－1000）万元×0.25％＝10万元</w:t>
            </w:r>
          </w:p>
          <w:p w14:paraId="6F0476B8">
            <w:pPr>
              <w:spacing w:line="460" w:lineRule="exact"/>
              <w:ind w:firstLine="480"/>
              <w:rPr>
                <w:rFonts w:asciiTheme="minorEastAsia" w:hAnsiTheme="minorEastAsia" w:eastAsiaTheme="minorEastAsia" w:cstheme="minorEastAsia"/>
                <w:color w:val="000000"/>
                <w:szCs w:val="24"/>
                <w:highlight w:val="none"/>
              </w:rPr>
            </w:pPr>
            <w:r>
              <w:rPr>
                <w:rFonts w:hint="eastAsia" w:asciiTheme="minorEastAsia" w:hAnsiTheme="minorEastAsia" w:eastAsiaTheme="minorEastAsia" w:cstheme="minorEastAsia"/>
                <w:color w:val="000000"/>
                <w:szCs w:val="24"/>
                <w:highlight w:val="none"/>
              </w:rPr>
              <w:t>（6000－5000）万元×0.1％＝1万元</w:t>
            </w:r>
          </w:p>
          <w:p w14:paraId="1307497A">
            <w:pPr>
              <w:spacing w:line="460" w:lineRule="exact"/>
              <w:ind w:firstLine="48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Cs w:val="24"/>
                <w:highlight w:val="none"/>
              </w:rPr>
              <w:t>合计收费＝1.5＋3.2＋2.25＋10＋1＝17.95(万元)</w:t>
            </w:r>
          </w:p>
        </w:tc>
      </w:tr>
    </w:tbl>
    <w:p w14:paraId="7B321B1C">
      <w:pPr>
        <w:ind w:firstLine="482"/>
        <w:jc w:val="center"/>
        <w:rPr>
          <w:rFonts w:asciiTheme="minorEastAsia" w:hAnsiTheme="minorEastAsia" w:eastAsiaTheme="minorEastAsia"/>
          <w:b/>
          <w:highlight w:val="none"/>
        </w:rPr>
      </w:pPr>
      <w:r>
        <w:rPr>
          <w:rFonts w:hint="eastAsia"/>
          <w:b/>
          <w:szCs w:val="24"/>
          <w:highlight w:val="none"/>
        </w:rPr>
        <w:br w:type="page"/>
      </w:r>
      <w:bookmarkEnd w:id="5"/>
      <w:r>
        <w:rPr>
          <w:rFonts w:hint="eastAsia" w:asciiTheme="minorEastAsia" w:hAnsiTheme="minorEastAsia" w:eastAsiaTheme="minorEastAsia"/>
          <w:b/>
          <w:highlight w:val="none"/>
        </w:rPr>
        <w:t>供应商</w:t>
      </w:r>
      <w:r>
        <w:rPr>
          <w:rFonts w:asciiTheme="minorEastAsia" w:hAnsiTheme="minorEastAsia" w:eastAsiaTheme="minorEastAsia"/>
          <w:b/>
          <w:highlight w:val="none"/>
        </w:rPr>
        <w:t>须知</w:t>
      </w:r>
      <w:r>
        <w:rPr>
          <w:rFonts w:hint="eastAsia" w:asciiTheme="minorEastAsia" w:hAnsiTheme="minorEastAsia" w:eastAsiaTheme="minorEastAsia"/>
          <w:b/>
          <w:highlight w:val="none"/>
        </w:rPr>
        <w:t>正文</w:t>
      </w:r>
    </w:p>
    <w:p w14:paraId="64A0EB64">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1.有关定义</w:t>
      </w:r>
    </w:p>
    <w:p w14:paraId="5F6EEA79">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bCs/>
          <w:color w:val="000000" w:themeColor="text1"/>
          <w:szCs w:val="22"/>
          <w:highlight w:val="none"/>
          <w14:textFill>
            <w14:solidFill>
              <w14:schemeClr w14:val="tx1"/>
            </w14:solidFill>
          </w14:textFill>
        </w:rPr>
      </w:pPr>
      <w:r>
        <w:rPr>
          <w:rFonts w:hint="eastAsia" w:asciiTheme="minorEastAsia" w:hAnsiTheme="minorEastAsia" w:eastAsiaTheme="minorEastAsia" w:cstheme="minorEastAsia"/>
          <w:bCs/>
          <w:color w:val="000000" w:themeColor="text1"/>
          <w:szCs w:val="22"/>
          <w:highlight w:val="none"/>
          <w14:textFill>
            <w14:solidFill>
              <w14:schemeClr w14:val="tx1"/>
            </w14:solidFill>
          </w14:textFill>
        </w:rPr>
        <w:t>本项目的交易方式为磋商，业主单位为项目实施建设的发包人（甲方），供应商为参与磋商的主体，成交人为参与磋商，并获得项目实施的承包人（乙方）。</w:t>
      </w:r>
    </w:p>
    <w:p w14:paraId="382CF152">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2.资金来源</w:t>
      </w:r>
    </w:p>
    <w:p w14:paraId="3879BB2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本项目的业主单位已获得足以支付本次磋商后所签订的合同项下的资金。</w:t>
      </w:r>
    </w:p>
    <w:p w14:paraId="644F34CE">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3.磋商费用</w:t>
      </w:r>
    </w:p>
    <w:p w14:paraId="2E6C2FA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不论磋商的结果如何，供应商应承担其所有与准备和参加磋商有关的费用。</w:t>
      </w:r>
    </w:p>
    <w:p w14:paraId="771641D7">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4.磋商文件的澄清与修改</w:t>
      </w:r>
    </w:p>
    <w:p w14:paraId="2C7A641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4.1供应商如对磋商文件内容有疑问，按供应商须知前附表规定提出。</w:t>
      </w:r>
    </w:p>
    <w:p w14:paraId="40F2BFF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4.2业主单位可主动或在解答供应商提出的问题时对磋商文件进行澄清或者修改。代理机构将在优质采云采购平台</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（http://www.youzhicai.com/）</w:t>
      </w:r>
      <w:r>
        <w:rPr>
          <w:rFonts w:hint="eastAsia" w:asciiTheme="minorEastAsia" w:hAnsiTheme="minorEastAsia" w:eastAsiaTheme="minorEastAsia" w:cstheme="minorEastAsia"/>
          <w:color w:val="000000" w:themeColor="text1"/>
          <w:highlight w:val="none"/>
          <w14:textFill>
            <w14:solidFill>
              <w14:schemeClr w14:val="tx1"/>
            </w14:solidFill>
          </w14:textFill>
        </w:rPr>
        <w:t>澄清或修改磋商文件，供应商应主动上网查询。代理机构和业主单位不承担供应商未及时关注相关信息引发的相关责任。</w:t>
      </w:r>
    </w:p>
    <w:p w14:paraId="214B64C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4.3任何人或任何组织向供应商提供的任何书面或口头资料，未经代理机构在网上发布或书面通知，均作无效处理，不得作为磋商文件的组成部分。代理机构对供应商由此而做出的推论、理解和结论概不负责。</w:t>
      </w:r>
    </w:p>
    <w:p w14:paraId="6D4E805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i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4.4对于没有提出疑问又参与了本项目磋商的供应商将被视为完全认同本磋商文件（含澄清、修改等内容）</w:t>
      </w:r>
      <w:r>
        <w:rPr>
          <w:rFonts w:hint="eastAsia" w:asciiTheme="minorEastAsia" w:hAnsiTheme="minorEastAsia" w:eastAsiaTheme="minorEastAsia" w:cstheme="minorEastAsia"/>
          <w:iCs/>
          <w:color w:val="000000" w:themeColor="text1"/>
          <w:highlight w:val="none"/>
          <w14:textFill>
            <w14:solidFill>
              <w14:schemeClr w14:val="tx1"/>
            </w14:solidFill>
          </w14:textFill>
        </w:rPr>
        <w:t>。</w:t>
      </w:r>
    </w:p>
    <w:p w14:paraId="760B7D7B">
      <w:pPr>
        <w:keepNext w:val="0"/>
        <w:keepLines w:val="0"/>
        <w:pageBreakBefore w:val="0"/>
        <w:widowControl w:val="0"/>
        <w:numPr>
          <w:ilvl w:val="0"/>
          <w:numId w:val="2"/>
        </w:numPr>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磋商范围及响应文件中标准和计量单位的使用</w:t>
      </w:r>
    </w:p>
    <w:p w14:paraId="4EB76D0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5.1项目有分包的，供应商可参与其中某一个或多个分包的磋商，成交包数详见供应商须知前附表中规定。</w:t>
      </w:r>
    </w:p>
    <w:p w14:paraId="3A9AEA3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5.2无论磋商文件中是否要求，供应商所承担项目及伴随的货物和服务均应符合国家强制性标准。</w:t>
      </w:r>
    </w:p>
    <w:p w14:paraId="48A565A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5.3供应商与代理机构之间与磋商有关的所有往来通知、函件和响应文件均用中文表述。供应商随响应文件提供的证明文件和资料可以为其他语言，但必须附中文译文。翻译的中文资料与外文资料如果出现差异时，以中文为准。</w:t>
      </w:r>
    </w:p>
    <w:p w14:paraId="452097D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5.4除磋商文件中有特殊要求外，响应文件中所使用的计量单位，应采用中华人民共和国法定计量单位。</w:t>
      </w:r>
    </w:p>
    <w:p w14:paraId="70904342">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6.响应文件构成</w:t>
      </w:r>
    </w:p>
    <w:p w14:paraId="3F4189C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6.1供应商应完整地按磋商文件提供的响应文件格式及磋商文件评审要求编写响应文件，具体内容详见第六章响应文件格式的相关内容。</w:t>
      </w:r>
    </w:p>
    <w:p w14:paraId="720722F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6.2上述文件应按照磋商文件规定的格式填写、签署和盖章。</w:t>
      </w:r>
    </w:p>
    <w:p w14:paraId="22DCE924">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7.报价</w:t>
      </w:r>
    </w:p>
    <w:p w14:paraId="183B4F1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7.1</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的报价应当包括满足本次磋商全部内容。所有报价均应以人民币报价，</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的磋商报价应遵守《中华人民共和国价格法》。</w:t>
      </w:r>
    </w:p>
    <w:p w14:paraId="235031E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7.2</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应在分项报价表上标明磋商工程的单价（如适用）和总价，未标明的视同包含在磋商报价中。</w:t>
      </w:r>
    </w:p>
    <w:p w14:paraId="48E1D5C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7.3报价不得高于磋商文件（公告）列明的项目预算、最高限价（控制价），否则其响应文件将被认定为</w:t>
      </w:r>
      <w:r>
        <w:rPr>
          <w:rFonts w:hint="eastAsia" w:asciiTheme="minorEastAsia" w:hAnsiTheme="minorEastAsia" w:eastAsiaTheme="minorEastAsia" w:cstheme="minorEastAsia"/>
          <w:b/>
          <w:color w:val="000000" w:themeColor="text1"/>
          <w:highlight w:val="none"/>
          <w14:textFill>
            <w14:solidFill>
              <w14:schemeClr w14:val="tx1"/>
            </w14:solidFill>
          </w14:textFill>
        </w:rPr>
        <w:t>响应无效</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4263317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7.4报价在合同履行过程中是固定不变的，不得以任何理由予以变更。任何包含价格调整要求的磋商，其响应文件将被认定为</w:t>
      </w:r>
      <w:r>
        <w:rPr>
          <w:rFonts w:hint="eastAsia" w:asciiTheme="minorEastAsia" w:hAnsiTheme="minorEastAsia" w:eastAsiaTheme="minorEastAsia" w:cstheme="minorEastAsia"/>
          <w:b/>
          <w:color w:val="000000" w:themeColor="text1"/>
          <w:highlight w:val="none"/>
          <w14:textFill>
            <w14:solidFill>
              <w14:schemeClr w14:val="tx1"/>
            </w14:solidFill>
          </w14:textFill>
        </w:rPr>
        <w:t>响应无效</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3E38727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7.5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highlight w:val="none"/>
          <w14:textFill>
            <w14:solidFill>
              <w14:schemeClr w14:val="tx1"/>
            </w14:solidFill>
          </w14:textFill>
        </w:rPr>
        <w:t>不接受具有附加条件的报价。</w:t>
      </w:r>
    </w:p>
    <w:p w14:paraId="0A5795A5">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8.磋商有效期</w:t>
      </w:r>
    </w:p>
    <w:p w14:paraId="203E88C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8.1磋商有效期为从响应文件提交截止之日算起的日历天数，磋商有效期详见</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须知前附表。</w:t>
      </w:r>
    </w:p>
    <w:p w14:paraId="0126EF9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8.2在磋商有效期内，</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的磋商保持有效，</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不得要求撤销或修改其响应文件。磋商有效期不满足要求的响应，其响应文件将被认定为</w:t>
      </w:r>
      <w:r>
        <w:rPr>
          <w:rFonts w:hint="eastAsia" w:asciiTheme="minorEastAsia" w:hAnsiTheme="minorEastAsia" w:eastAsiaTheme="minorEastAsia" w:cstheme="minorEastAsia"/>
          <w:b/>
          <w:color w:val="000000" w:themeColor="text1"/>
          <w:highlight w:val="none"/>
          <w14:textFill>
            <w14:solidFill>
              <w14:schemeClr w14:val="tx1"/>
            </w14:solidFill>
          </w14:textFill>
        </w:rPr>
        <w:t>响应无效</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2DF2514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8.3为保证有充分时间签订合同，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highlight w:val="none"/>
          <w14:textFill>
            <w14:solidFill>
              <w14:schemeClr w14:val="tx1"/>
            </w14:solidFill>
          </w14:textFill>
        </w:rPr>
        <w:t>或代理机构可根据实际情况，在原磋商有效期截止之前，要求</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延长磋商有效期。接受该要求的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将不会被要求和允许修正其响应文件。</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可以拒绝延长磋商有效期的要求，且不承担任何责任。上述要求和答复都应以书面形式提交。</w:t>
      </w:r>
    </w:p>
    <w:p w14:paraId="3DE10EE7">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9.响应文件的制作</w:t>
      </w:r>
    </w:p>
    <w:p w14:paraId="7CC6523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9.1.本项目采用全流程电子化方式，</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必须递交电子响应文件，并对电子响应文件进行电子签章并使用CA锁进行加密，在磋商文件规定的响应截止时间前使用“优质采投标工具客户端”完成上传。</w:t>
      </w:r>
    </w:p>
    <w:p w14:paraId="59C78E0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9.2.全流程电磋商项目</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必须上传CA锁加密的电子响应文件，</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下载磋商文件后，如未在磋商文件规定的响应文件递交截止时间前上传电子响应文件，视为无效；</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在响应文件递交截止时间前，可以对其所递交的电子响应文件进行撤回，修改后重新上传（具体操作详见教程）；</w:t>
      </w:r>
    </w:p>
    <w:p w14:paraId="026BFF1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9.3.响应文件递交截止时间以优质采云采购平台（</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http://www.youzhicai.com/</w:t>
      </w:r>
      <w:r>
        <w:rPr>
          <w:rFonts w:hint="eastAsia" w:asciiTheme="minorEastAsia" w:hAnsiTheme="minorEastAsia" w:eastAsiaTheme="minorEastAsia" w:cstheme="minorEastAsia"/>
          <w:color w:val="000000" w:themeColor="text1"/>
          <w:highlight w:val="none"/>
          <w14:textFill>
            <w14:solidFill>
              <w14:schemeClr w14:val="tx1"/>
            </w14:solidFill>
          </w14:textFill>
        </w:rPr>
        <w:t>）系统的时间为准，逾期系统将自动关闭，电子响应文件未完成上传的，视为没有递交响应文件；</w:t>
      </w:r>
    </w:p>
    <w:p w14:paraId="6DE89BC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9.4.响应文件可远程解密，</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无需到达磋商现场。磋商文件“</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须知”中另有规定的，从其规定。</w:t>
      </w:r>
    </w:p>
    <w:p w14:paraId="7614DDF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9.5.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 xml:space="preserve"> 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在制作、上传电子响应文件过程中，若存在技术操作问题，请及时联系优质采云采购平台客服人员，客服电话：400-0099-555，0551-62220164，0551-62220012。</w:t>
      </w:r>
    </w:p>
    <w:p w14:paraId="47FFD4A7">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10.响应文件提交截止时间</w:t>
      </w:r>
    </w:p>
    <w:p w14:paraId="7C53CD98">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10.1供应商应在供应商须知前附表中规定的响应文件提交截止时间前，在网上提交加密电子响应文件。</w:t>
      </w:r>
    </w:p>
    <w:p w14:paraId="256CB6EB">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10.2供应商在磋商文件规定的响应文件提交截止时间前上传了网上加密电子响应文件，但未在规定时间内进行解密的，响应无效。</w:t>
      </w:r>
    </w:p>
    <w:p w14:paraId="0375BA26">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10.3业主单位和代理机构延迟响应文件提交截止时间的，在此情况下，业主单位、代理机构和供应商受响应文件提交截止时间制约的所有权利和义务均应延长至新的截止时间。</w:t>
      </w:r>
    </w:p>
    <w:p w14:paraId="6E18E87D">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11.响应文件的提交、修改与撤回</w:t>
      </w:r>
    </w:p>
    <w:p w14:paraId="3AA3DFBB">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11.1供应商应当在第一章“磋商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公告</w:t>
      </w:r>
      <w:r>
        <w:rPr>
          <w:rFonts w:hint="eastAsia" w:asciiTheme="minorEastAsia" w:hAnsiTheme="minorEastAsia" w:eastAsiaTheme="minorEastAsia" w:cstheme="minorEastAsia"/>
          <w:color w:val="000000" w:themeColor="text1"/>
          <w:highlight w:val="none"/>
          <w14:textFill>
            <w14:solidFill>
              <w14:schemeClr w14:val="tx1"/>
            </w14:solidFill>
          </w14:textFill>
        </w:rPr>
        <w:t>”规定的响应文件提交截止时间前，将加密的响应文件在优质采云采购平台（http://www.youzhicai.com/）上传。</w:t>
      </w:r>
    </w:p>
    <w:p w14:paraId="4E2801B6">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11.2供应商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1B7B9AD9">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11.3供应商应在供应商须知前附表规定的解密时间前（以优质采云采购平台（http://www.youzhicai.com/）系统的解密倒计时为准）对本单位的响应文件进行解密，代理机构工作人员解密所有响应文件。</w:t>
      </w:r>
    </w:p>
    <w:p w14:paraId="721ED344">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3"/>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11.4在响应文件提交截止时间之后，供应商不得对其响应文件做任何修改。但属于评审委员会在评审中发现的计算错误并进行核实的修改、按照磋商文件的变动情况和评审委员会的要求重新提交响应文件的，不在此列。</w:t>
      </w:r>
    </w:p>
    <w:p w14:paraId="1F496D18">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12.评审委员会</w:t>
      </w:r>
    </w:p>
    <w:p w14:paraId="566760D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12.1由业主单位委派或业主单位委托代理机构依法抽取经济技术专家等方式组建的评审委员会，负责本项目评审工作。评审委员会成员由3人以上单数组成，评审委员会及其成员应当依照有关规定履行相关职责和义务。</w:t>
      </w:r>
    </w:p>
    <w:p w14:paraId="4F017F1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12.2评审委员会根据磋商文件规定的评审方法和标准对供应商提交的响应文件进行评审，从质量和服务均能满足磋商文件实质性响应要求的供应商中推荐成交候选人，并编写评审报告。</w:t>
      </w:r>
    </w:p>
    <w:p w14:paraId="371F63E5">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13.响应文件的评审与磋商</w:t>
      </w:r>
    </w:p>
    <w:p w14:paraId="06186D4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13.1</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highlight w:val="none"/>
          <w14:textFill>
            <w14:solidFill>
              <w14:schemeClr w14:val="tx1"/>
            </w14:solidFill>
          </w14:textFill>
        </w:rPr>
        <w:t>和代理机构将在</w:t>
      </w:r>
      <w:r>
        <w:rPr>
          <w:rFonts w:hint="eastAsia" w:asciiTheme="minorEastAsia" w:hAnsiTheme="minorEastAsia" w:eastAsiaTheme="minorEastAsia" w:cstheme="minorEastAsia"/>
          <w:color w:val="000000" w:themeColor="text1"/>
          <w:szCs w:val="18"/>
          <w:highlight w:val="none"/>
          <w:u w:val="singl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须知前附表</w:t>
      </w:r>
      <w:r>
        <w:rPr>
          <w:rFonts w:hint="eastAsia" w:asciiTheme="minorEastAsia" w:hAnsiTheme="minorEastAsia" w:eastAsiaTheme="minorEastAsia" w:cstheme="minorEastAsia"/>
          <w:color w:val="000000" w:themeColor="text1"/>
          <w:highlight w:val="none"/>
          <w14:textFill>
            <w14:solidFill>
              <w14:schemeClr w14:val="tx1"/>
            </w14:solidFill>
          </w14:textFill>
        </w:rPr>
        <w:t>规定的时间和地点组织磋商。</w:t>
      </w:r>
    </w:p>
    <w:p w14:paraId="5C0139E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13.2磋商活动采用综合评分法评审。</w:t>
      </w:r>
    </w:p>
    <w:p w14:paraId="7D1556F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综合评分法，是指响应文件满足磋商文件全部实质性要求且按评审因素的量化指标评审得分最高的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为成交候选</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人</w:t>
      </w:r>
      <w:r>
        <w:rPr>
          <w:rFonts w:hint="eastAsia" w:asciiTheme="minorEastAsia" w:hAnsiTheme="minorEastAsia" w:eastAsiaTheme="minorEastAsia" w:cstheme="minorEastAsia"/>
          <w:color w:val="000000" w:themeColor="text1"/>
          <w:highlight w:val="none"/>
          <w14:textFill>
            <w14:solidFill>
              <w14:schemeClr w14:val="tx1"/>
            </w14:solidFill>
          </w14:textFill>
        </w:rPr>
        <w:t>的评审方法。</w:t>
      </w:r>
    </w:p>
    <w:p w14:paraId="6A4A97F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13.3磋商小组将按照磋商文件规定的评审方法和标准对</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独立进行评审。评审程序如下：</w:t>
      </w:r>
    </w:p>
    <w:p w14:paraId="7D109C5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13.3.1</w:t>
      </w:r>
      <w:r>
        <w:rPr>
          <w:rFonts w:hint="eastAsia" w:asciiTheme="minorEastAsia" w:hAnsiTheme="minorEastAsia" w:eastAsiaTheme="minorEastAsia" w:cstheme="minorEastAsia"/>
          <w:b/>
          <w:color w:val="000000" w:themeColor="text1"/>
          <w:highlight w:val="none"/>
          <w14:textFill>
            <w14:solidFill>
              <w14:schemeClr w14:val="tx1"/>
            </w14:solidFill>
          </w14:textFill>
        </w:rPr>
        <w:t>初审</w:t>
      </w:r>
      <w:r>
        <w:rPr>
          <w:rFonts w:hint="eastAsia" w:asciiTheme="minorEastAsia" w:hAnsiTheme="minorEastAsia" w:eastAsiaTheme="minorEastAsia" w:cstheme="minorEastAsia"/>
          <w:color w:val="000000" w:themeColor="text1"/>
          <w:highlight w:val="none"/>
          <w14:textFill>
            <w14:solidFill>
              <w14:schemeClr w14:val="tx1"/>
            </w14:solidFill>
          </w14:textFill>
        </w:rPr>
        <w:t>。磋商小组对</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必须满足和实质性响应的内容进行评审，</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未实质性响应磋商文件要求导致响应无效的，磋商小组将以书面询问的方式告知有关</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45D2351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存在不良信用记录的，其响应文件将被认定为</w:t>
      </w:r>
      <w:r>
        <w:rPr>
          <w:rFonts w:hint="eastAsia" w:asciiTheme="minorEastAsia" w:hAnsiTheme="minorEastAsia" w:eastAsiaTheme="minorEastAsia" w:cstheme="minorEastAsia"/>
          <w:b/>
          <w:color w:val="000000" w:themeColor="text1"/>
          <w:highlight w:val="none"/>
          <w14:textFill>
            <w14:solidFill>
              <w14:schemeClr w14:val="tx1"/>
            </w14:solidFill>
          </w14:textFill>
        </w:rPr>
        <w:t>响应无效</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115F3FE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kern w:val="2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21"/>
          <w:szCs w:val="24"/>
          <w:highlight w:val="none"/>
          <w:lang w:bidi="ar"/>
          <w14:textFill>
            <w14:solidFill>
              <w14:schemeClr w14:val="tx1"/>
            </w14:solidFill>
          </w14:textFill>
        </w:rPr>
        <w:t>13.3.1.1信用信息查询渠道：“信用中国”网站（www.creditchina.gov.cn）、国家企业信用信息公示系统（</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"http://www.gsxt.gov.cn" </w:instrText>
      </w:r>
      <w:r>
        <w:rPr>
          <w:rFonts w:hint="eastAsia" w:asciiTheme="minorEastAsia" w:hAnsiTheme="minorEastAsia" w:eastAsiaTheme="minorEastAsia" w:cstheme="minorEastAsia"/>
          <w:highlight w:val="none"/>
        </w:rPr>
        <w:fldChar w:fldCharType="separate"/>
      </w:r>
      <w:r>
        <w:rPr>
          <w:rStyle w:val="26"/>
          <w:rFonts w:hint="eastAsia" w:asciiTheme="minorEastAsia" w:hAnsiTheme="minorEastAsia" w:eastAsiaTheme="minorEastAsia" w:cstheme="minorEastAsia"/>
          <w:color w:val="000000" w:themeColor="text1"/>
          <w:kern w:val="21"/>
          <w:szCs w:val="24"/>
          <w:highlight w:val="none"/>
          <w:lang w:bidi="ar"/>
          <w14:textFill>
            <w14:solidFill>
              <w14:schemeClr w14:val="tx1"/>
            </w14:solidFill>
          </w14:textFill>
        </w:rPr>
        <w:t>www.gsxt.gov.cn</w:t>
      </w:r>
      <w:r>
        <w:rPr>
          <w:rStyle w:val="26"/>
          <w:rFonts w:hint="eastAsia" w:asciiTheme="minorEastAsia" w:hAnsiTheme="minorEastAsia" w:eastAsiaTheme="minorEastAsia" w:cstheme="minorEastAsia"/>
          <w:color w:val="000000" w:themeColor="text1"/>
          <w:kern w:val="21"/>
          <w:szCs w:val="24"/>
          <w:highlight w:val="none"/>
          <w:lang w:bidi="ar"/>
          <w14:textFill>
            <w14:solidFill>
              <w14:schemeClr w14:val="tx1"/>
            </w14:solidFill>
          </w14:textFill>
        </w:rPr>
        <w:fldChar w:fldCharType="end"/>
      </w:r>
      <w:r>
        <w:rPr>
          <w:rFonts w:hint="eastAsia" w:asciiTheme="minorEastAsia" w:hAnsiTheme="minorEastAsia" w:eastAsiaTheme="minorEastAsia" w:cstheme="minorEastAsia"/>
          <w:color w:val="000000" w:themeColor="text1"/>
          <w:kern w:val="21"/>
          <w:szCs w:val="24"/>
          <w:highlight w:val="none"/>
          <w:lang w:bidi="ar"/>
          <w14:textFill>
            <w14:solidFill>
              <w14:schemeClr w14:val="tx1"/>
            </w14:solidFill>
          </w14:textFill>
        </w:rPr>
        <w:t>）：</w:t>
      </w:r>
    </w:p>
    <w:p w14:paraId="3E737D6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bookmarkStart w:id="6" w:name="_Hlk192058264"/>
      <w:r>
        <w:rPr>
          <w:rFonts w:hint="eastAsia" w:asciiTheme="minorEastAsia" w:hAnsiTheme="minorEastAsia" w:eastAsiaTheme="minorEastAsia" w:cstheme="minorEastAsia"/>
          <w:color w:val="000000" w:themeColor="text1"/>
          <w:szCs w:val="24"/>
          <w:highlight w:val="none"/>
          <w14:textFill>
            <w14:solidFill>
              <w14:schemeClr w14:val="tx1"/>
            </w14:solidFill>
          </w14:textFill>
        </w:rPr>
        <w:t>（1）在国家企业信用信息公示系统（http://www.gsxt.gov.cn/）中被列入严重违法失信企业名单；</w:t>
      </w:r>
    </w:p>
    <w:p w14:paraId="4D97602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（2）在“信用中国”网站（http://www.creditchina.gov.cn/）中被列入失信被执行人名单；</w:t>
      </w:r>
    </w:p>
    <w:p w14:paraId="28D9AC6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（3）在“信用中国”网站（http://www.creditchina.gov.cn/）中被列入重大税收违法案件当事人名单；</w:t>
      </w:r>
    </w:p>
    <w:bookmarkEnd w:id="6"/>
    <w:p w14:paraId="33707C8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以联合体形式参加磋商的，联合体任何成员存在以上不良信用记录的，联合体磋商将被认定为</w:t>
      </w:r>
      <w:r>
        <w:rPr>
          <w:rFonts w:hint="eastAsia" w:asciiTheme="minorEastAsia" w:hAnsiTheme="minorEastAsia" w:eastAsiaTheme="minorEastAsia" w:cstheme="minorEastAsia"/>
          <w:b/>
          <w:color w:val="000000" w:themeColor="text1"/>
          <w:highlight w:val="none"/>
          <w14:textFill>
            <w14:solidFill>
              <w14:schemeClr w14:val="tx1"/>
            </w14:solidFill>
          </w14:textFill>
        </w:rPr>
        <w:t>响应无效</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3C5F54A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13.3.2</w:t>
      </w:r>
      <w:r>
        <w:rPr>
          <w:rFonts w:hint="eastAsia" w:asciiTheme="minorEastAsia" w:hAnsiTheme="minorEastAsia" w:eastAsiaTheme="minorEastAsia" w:cstheme="minorEastAsia"/>
          <w:b/>
          <w:color w:val="000000" w:themeColor="text1"/>
          <w:highlight w:val="none"/>
          <w14:textFill>
            <w14:solidFill>
              <w14:schemeClr w14:val="tx1"/>
            </w14:solidFill>
          </w14:textFill>
        </w:rPr>
        <w:t>磋商</w:t>
      </w:r>
      <w:r>
        <w:rPr>
          <w:rFonts w:hint="eastAsia" w:asciiTheme="minorEastAsia" w:hAnsiTheme="minorEastAsia" w:eastAsiaTheme="minorEastAsia" w:cstheme="minorEastAsia"/>
          <w:color w:val="000000" w:themeColor="text1"/>
          <w:highlight w:val="none"/>
          <w14:textFill>
            <w14:solidFill>
              <w14:schemeClr w14:val="tx1"/>
            </w14:solidFill>
          </w14:textFill>
        </w:rPr>
        <w:t>。初审合格后，磋商小组将按网上加密电子响应文件提交顺序集中与单一</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分别进行磋商，并给予所有参加磋商的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平等的磋商机会。</w:t>
      </w:r>
    </w:p>
    <w:p w14:paraId="4652F84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13.3.3</w:t>
      </w:r>
      <w:r>
        <w:rPr>
          <w:rFonts w:hint="eastAsia" w:asciiTheme="minorEastAsia" w:hAnsiTheme="minorEastAsia" w:eastAsiaTheme="minorEastAsia" w:cstheme="minorEastAsia"/>
          <w:b/>
          <w:color w:val="000000" w:themeColor="text1"/>
          <w:highlight w:val="none"/>
          <w14:textFill>
            <w14:solidFill>
              <w14:schemeClr w14:val="tx1"/>
            </w14:solidFill>
          </w14:textFill>
        </w:rPr>
        <w:t>报价</w:t>
      </w:r>
      <w:r>
        <w:rPr>
          <w:rFonts w:hint="eastAsia" w:asciiTheme="minorEastAsia" w:hAnsiTheme="minorEastAsia" w:eastAsiaTheme="minorEastAsia" w:cstheme="minorEastAsia"/>
          <w:color w:val="000000" w:themeColor="text1"/>
          <w:highlight w:val="none"/>
          <w14:textFill>
            <w14:solidFill>
              <w14:schemeClr w14:val="tx1"/>
            </w14:solidFill>
          </w14:textFill>
        </w:rPr>
        <w:t>。磋商结束后，磋商小组应当要求所有实质性响应的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在规定时间内提交最后报价。</w:t>
      </w:r>
      <w:r>
        <w:rPr>
          <w:rFonts w:hint="eastAsia" w:asciiTheme="minorEastAsia" w:hAnsiTheme="minorEastAsia" w:eastAsiaTheme="minorEastAsia" w:cstheme="minorEastAsia"/>
          <w:b/>
          <w:bCs/>
          <w:color w:val="000000" w:themeColor="text1"/>
          <w:szCs w:val="24"/>
          <w:highlight w:val="none"/>
          <w14:textFill>
            <w14:solidFill>
              <w14:schemeClr w14:val="tx1"/>
            </w14:solidFill>
          </w14:textFill>
        </w:rPr>
        <w:t>磋商文件中另有特殊规定的除外。</w:t>
      </w:r>
    </w:p>
    <w:p w14:paraId="5516152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13.3.4</w:t>
      </w:r>
      <w:r>
        <w:rPr>
          <w:rFonts w:hint="eastAsia" w:asciiTheme="minorEastAsia" w:hAnsiTheme="minorEastAsia" w:eastAsiaTheme="minorEastAsia" w:cstheme="minorEastAsia"/>
          <w:b/>
          <w:color w:val="000000" w:themeColor="text1"/>
          <w:highlight w:val="none"/>
          <w14:textFill>
            <w14:solidFill>
              <w14:schemeClr w14:val="tx1"/>
            </w14:solidFill>
          </w14:textFill>
        </w:rPr>
        <w:t>综合评分</w:t>
      </w:r>
      <w:r>
        <w:rPr>
          <w:rFonts w:hint="eastAsia" w:asciiTheme="minorEastAsia" w:hAnsiTheme="minorEastAsia" w:eastAsiaTheme="minorEastAsia" w:cstheme="minorEastAsia"/>
          <w:color w:val="000000" w:themeColor="text1"/>
          <w:highlight w:val="none"/>
          <w14:textFill>
            <w14:solidFill>
              <w14:schemeClr w14:val="tx1"/>
            </w14:solidFill>
          </w14:textFill>
        </w:rPr>
        <w:t>。磋商小组只对通过初审，实质上响应磋商要求的响应文件进行综合评分。经磋商确定最终项目需求和提交最后报价的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后，由磋商小组采用综合评分法对提交最后报价的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的响应文件和最后报价进行综合评分。</w:t>
      </w:r>
    </w:p>
    <w:p w14:paraId="7BC75F6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13.4相关说明。</w:t>
      </w:r>
    </w:p>
    <w:p w14:paraId="5C202C2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13.4.1为保证磋商活动顺利进行，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可派相关技术人员进行网上答疑； </w:t>
      </w:r>
    </w:p>
    <w:p w14:paraId="43B6399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13.4.2磋商小组根据与</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磋商情况可能实质性变动磋商文件的内容，包括项目需求中的技术、服务要求以及合同草案条款。磋商文件有实质性变动的，经</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highlight w:val="none"/>
          <w14:textFill>
            <w14:solidFill>
              <w14:schemeClr w14:val="tx1"/>
            </w14:solidFill>
          </w14:textFill>
        </w:rPr>
        <w:t>代表确认作为磋商文件的有效组成部分，磋商小组将以书面形式通知所有参加磋商的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3579786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13.4.3磋商小组发现</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的报价或者某些分项报价明显低于其他通过初审的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的报价，有可能影响产品质量和不能诚信履约的，应当要求其在合理的时间内提供书面说明，必要时提交相关证明材料；</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不能证明其报价合理性的，其响应文件将被认定为响应无效。</w:t>
      </w:r>
    </w:p>
    <w:p w14:paraId="1E77114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13.4.4无论何种原因，即使</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磋商时携带了证书材料的原件，但响应文件中未提供与之内容完全一致的扫描件或影印件的，磋商小组可以视同其未提供。</w:t>
      </w:r>
    </w:p>
    <w:p w14:paraId="7E3ABEA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13.4.5磋商小组决定响应文件的响应性及符合性只根据响应文件本身的内容，而不寻求其他外部证据。</w:t>
      </w:r>
    </w:p>
    <w:p w14:paraId="1DBE44D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13.5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highlight w:val="none"/>
          <w14:textFill>
            <w14:solidFill>
              <w14:schemeClr w14:val="tx1"/>
            </w14:solidFill>
          </w14:textFill>
        </w:rPr>
        <w:t>授权代表对磋商过程有疑义，以及认为</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、代理机构相关工作人员有需要回避的情形的，应当场提出询问或者回避申请，并说明理由。 </w:t>
      </w:r>
    </w:p>
    <w:p w14:paraId="1858C5F6">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14.终止磋商</w:t>
      </w:r>
    </w:p>
    <w:p w14:paraId="1342CB8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出现下列情况之一时，业主单位和代理机构有权宣布终止磋商，并将理由通知所有供应商：</w:t>
      </w:r>
    </w:p>
    <w:p w14:paraId="2089590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14.1</w:t>
      </w: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通过初审的供应商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不足规定数量，导致本次磋商缺乏竞争的；</w:t>
      </w:r>
    </w:p>
    <w:p w14:paraId="1C1507D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14.2出现影响公正的违法、违规行为的；</w:t>
      </w:r>
    </w:p>
    <w:p w14:paraId="2B27174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14.3因重大变故，交易任务取消的；</w:t>
      </w:r>
    </w:p>
    <w:p w14:paraId="5C0CFC0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14.4磋商文件有重大漏洞，导致无法继续评审的；</w:t>
      </w:r>
    </w:p>
    <w:p w14:paraId="215C5DE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14.5法律法规规定的其他情形。</w:t>
      </w:r>
    </w:p>
    <w:p w14:paraId="76F8E9E9">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15.响应文件的澄清、说明或更正</w:t>
      </w:r>
    </w:p>
    <w:p w14:paraId="1113C84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15.1评审委员会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F65354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15.2评审委员会通过优质采电子工具将需要澄清、说明或补正的内容以询问函的形式发送给供应商，供应商应登录优质采客户端并保持在线状态，以便及时接收评审委员会可能发出的询问函，并在询问函载明的时间内回复，若供应商未及时回复，视为放弃澄清。</w:t>
      </w:r>
    </w:p>
    <w:p w14:paraId="592D513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15.3如有询问，授权代表（或法定代表人）可通过远程登录的方式接受网上询问，也可凭本人有效身份证明参加询问。因授权代表联系不上、没有及时登录系统等情形而无法接受评审委员会询问的，供应商自行承担相关风险。</w:t>
      </w:r>
    </w:p>
    <w:p w14:paraId="399A6FB2">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16.最终报价</w:t>
      </w:r>
    </w:p>
    <w:p w14:paraId="4197460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16.1本次磋商一次性报价。</w:t>
      </w:r>
    </w:p>
    <w:p w14:paraId="5E7509D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16.2最终报价是供应商响应文件的有效组成部分，最终报价也是签订合同的依据。</w:t>
      </w:r>
    </w:p>
    <w:p w14:paraId="378C647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16.4本项目的服务地点为本须知前附表所述，供应商可到项目现场踏勘以充分了解项目位置、情况及任何其他足以影响磋商报价的情况，任何因忽视或误解项目场地情况而导致的索赔或服务期限延长申请将不被批准。对于受项目现场场地限制，如需要另外寻找场地解决临时住宿，由此所产生的费用应包含在磋商报价范围内，业主单位不再承担该费用。</w:t>
      </w:r>
    </w:p>
    <w:p w14:paraId="6651BC1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16.5本项目不接受恶意不平衡报价，不保证最低价成交。</w:t>
      </w:r>
    </w:p>
    <w:p w14:paraId="60072EF3">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17.成交候选人的推荐原则</w:t>
      </w:r>
    </w:p>
    <w:p w14:paraId="682AFA2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17.1评审委员会依据本项目磋商文件所约定的评审方法和标准，按照有效</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highlight w:val="none"/>
          <w14:textFill>
            <w14:solidFill>
              <w14:schemeClr w14:val="tx1"/>
            </w14:solidFill>
          </w14:textFill>
        </w:rPr>
        <w:t>综合总得分由高到低依次推荐成交候选</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人</w:t>
      </w:r>
      <w:r>
        <w:rPr>
          <w:rFonts w:hint="eastAsia" w:asciiTheme="minorEastAsia" w:hAnsiTheme="minorEastAsia" w:eastAsiaTheme="minorEastAsia" w:cstheme="minorEastAsia"/>
          <w:color w:val="000000" w:themeColor="text1"/>
          <w:highlight w:val="none"/>
          <w14:textFill>
            <w14:solidFill>
              <w14:schemeClr w14:val="tx1"/>
            </w14:solidFill>
          </w14:textFill>
        </w:rPr>
        <w:t>。综合总得分出现两家或两家以上相同者，按最后报价由低到高排序推荐成交候选</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人</w:t>
      </w:r>
      <w:r>
        <w:rPr>
          <w:rFonts w:hint="eastAsia" w:asciiTheme="minorEastAsia" w:hAnsiTheme="minorEastAsia" w:eastAsiaTheme="minorEastAsia" w:cstheme="minorEastAsia"/>
          <w:color w:val="000000" w:themeColor="text1"/>
          <w:highlight w:val="none"/>
          <w14:textFill>
            <w14:solidFill>
              <w14:schemeClr w14:val="tx1"/>
            </w14:solidFill>
          </w14:textFill>
        </w:rPr>
        <w:t>；综合总得分且最后报价均相同的，由评审委员会按照技术指标优劣顺序推荐成交候选</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人</w:t>
      </w:r>
      <w:r>
        <w:rPr>
          <w:rFonts w:hint="eastAsia" w:asciiTheme="minorEastAsia" w:hAnsiTheme="minorEastAsia" w:eastAsiaTheme="minorEastAsia" w:cstheme="minorEastAsia"/>
          <w:color w:val="000000" w:themeColor="text1"/>
          <w:highlight w:val="none"/>
          <w14:textFill>
            <w14:solidFill>
              <w14:schemeClr w14:val="tx1"/>
            </w14:solidFill>
          </w14:textFill>
        </w:rPr>
        <w:t>。</w:t>
      </w:r>
    </w:p>
    <w:p w14:paraId="16846D0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17.2凡发现成交候选人有下列行为之一的，成交无效，并移交监管部门依法处理：</w:t>
      </w:r>
    </w:p>
    <w:p w14:paraId="74A2A76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17.2.1有下列情形之一的，属于</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供应商间</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相互串通：</w:t>
      </w:r>
    </w:p>
    <w:p w14:paraId="796CC5C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17.2.1.1</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之间协商报价等响应文件的实质性内容；</w:t>
      </w:r>
    </w:p>
    <w:p w14:paraId="2225235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17.2.1.2</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之间约定成交人；</w:t>
      </w:r>
    </w:p>
    <w:p w14:paraId="458C73C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17.2.1.3</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之间约定部分</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放弃磋商或者成交；</w:t>
      </w:r>
    </w:p>
    <w:p w14:paraId="6B50B79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17.2.1.4属于同一集团、协会、商会等组织成员的</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按照该组织要求协同磋商；</w:t>
      </w:r>
    </w:p>
    <w:p w14:paraId="1B17AD4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17.2.1.5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之间为谋取成交或者排斥特定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而采取的其他联合行动。</w:t>
      </w:r>
    </w:p>
    <w:p w14:paraId="72BCC04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17.2.2有下列情形之一的，视为</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供应商间</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相互串通：</w:t>
      </w:r>
    </w:p>
    <w:p w14:paraId="62284D6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17.2.2.1不同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的响应文件由同一单位或者个人编制；</w:t>
      </w:r>
    </w:p>
    <w:p w14:paraId="194CF60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17.2.2.2不同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委托同一单位或者个人办理磋商事宜；</w:t>
      </w:r>
    </w:p>
    <w:p w14:paraId="6FA0D5E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17.2.2.3不同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的响应文件载明的项目管理成员为同一人；</w:t>
      </w:r>
    </w:p>
    <w:p w14:paraId="3CE069A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17.2.2.4不同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的响应文件异常一致或者报价呈规律性差异；</w:t>
      </w:r>
    </w:p>
    <w:p w14:paraId="1B48E0B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17.2.2.5不同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的响应文件相互混装；</w:t>
      </w:r>
    </w:p>
    <w:p w14:paraId="73E2C3C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17.2.2.6不同</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的磋商保证金从同一单位或者个人的账户转出。</w:t>
      </w:r>
    </w:p>
    <w:p w14:paraId="7BEC64D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17.2.3有下列情形之一的，属于</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与</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串通：</w:t>
      </w:r>
    </w:p>
    <w:p w14:paraId="78E20B2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17.2.3.1</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在磋商前开启响应文件并将有关信息泄露给其他</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w:t>
      </w:r>
    </w:p>
    <w:p w14:paraId="17FF64A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17.2.3.2</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直接或者间接向</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泄露标底、评审委员会成员等信息；</w:t>
      </w:r>
    </w:p>
    <w:p w14:paraId="45BE82F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17.2.3.3</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明示或者暗示</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压低或者抬高报价；</w:t>
      </w:r>
    </w:p>
    <w:p w14:paraId="6854B8A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17.2.3.4</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授意</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撤换、修改响应文件；</w:t>
      </w:r>
    </w:p>
    <w:p w14:paraId="53DC6E8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明示或者暗示</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为特定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成交提供方便；</w:t>
      </w:r>
    </w:p>
    <w:p w14:paraId="159F201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17.2.3.6</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与</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为谋求特定</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成交而采取的其他串通行为。</w:t>
      </w:r>
    </w:p>
    <w:p w14:paraId="619BAF1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17.2.4使用通过受让或者租借等方式获取的资格、资质证书参与磋商的，</w:t>
      </w:r>
    </w:p>
    <w:p w14:paraId="047ACCC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供应商</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有下列情形之一的，属于以其他方式弄虚作假的行为：</w:t>
      </w:r>
    </w:p>
    <w:p w14:paraId="1517C50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17.2.5.1使用伪造、变造的许可证件；</w:t>
      </w:r>
    </w:p>
    <w:p w14:paraId="63551CB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17.2.5.2提供虚假的财务状况或者业绩；</w:t>
      </w:r>
    </w:p>
    <w:p w14:paraId="433C00F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17.2.5.3提供虚假的项目负责人或者主要技术人员简历、劳动关系证明；</w:t>
      </w:r>
    </w:p>
    <w:p w14:paraId="6CBAEFF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17.2.5.4提供虚假的信用状况；</w:t>
      </w:r>
    </w:p>
    <w:p w14:paraId="607EDDF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17.2.5.5其他弄虚作假的行为。</w:t>
      </w:r>
    </w:p>
    <w:p w14:paraId="6FC28BC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17.2.6其他违反法规和规章强制性规定的行为。</w:t>
      </w:r>
    </w:p>
    <w:p w14:paraId="027D0B1A">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18.确定成交候选人和成交人</w:t>
      </w:r>
    </w:p>
    <w:p w14:paraId="6058C87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审委员会根据综合评分的结果和供应商须知前附表中规定确定成交候选人，并标明排列顺序。排名第一的成交候选人经业主单位或业主单位授权的评审委员会确定为成交人后，由代理机构在指定媒体上予以公告。</w:t>
      </w:r>
    </w:p>
    <w:p w14:paraId="0387EB76">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19.编写评审报告</w:t>
      </w:r>
    </w:p>
    <w:p w14:paraId="2F5791C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审报告是根据全体评审委员会成员签字的原始评审记录和评审结果编写的报告，评审报告由评审委员会全体成员签字。对评审结论持有异议的评审委员会成员可以阐述其不同意见和理由。评审委员会成员拒绝在评审报告上签字且不陈述其不同意见和理由的，视为同意评审结论。</w:t>
      </w:r>
    </w:p>
    <w:p w14:paraId="504B2B0F">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20.保密要求</w:t>
      </w:r>
    </w:p>
    <w:p w14:paraId="2E9578B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20.1评审将在严格保密的情况下进行。</w:t>
      </w:r>
    </w:p>
    <w:p w14:paraId="796E07A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20.2有关人员应当遵守评审工作纪律，不得泄露评审文件、评审情况和评审中获悉的国家秘密、商业秘密等。</w:t>
      </w:r>
    </w:p>
    <w:p w14:paraId="22E22E9C">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21.成交候选人和成交结果公示</w:t>
      </w:r>
    </w:p>
    <w:p w14:paraId="0B1B308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21.1磋商结束后，代理机构将在</w:t>
      </w:r>
      <w:r>
        <w:rPr>
          <w:rFonts w:hint="eastAsia" w:asciiTheme="minorEastAsia" w:hAnsiTheme="minorEastAsia" w:eastAsiaTheme="minorEastAsia" w:cstheme="minorEastAsia"/>
          <w:color w:val="000000" w:themeColor="text1"/>
          <w:highlight w:val="none"/>
          <w14:textFill>
            <w14:solidFill>
              <w14:schemeClr w14:val="tx1"/>
            </w14:solidFill>
          </w14:textFill>
        </w:rPr>
        <w:t>发布磋商公告的媒介上</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发布成交结果公示。</w:t>
      </w:r>
    </w:p>
    <w:p w14:paraId="180484E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21.2</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业主单位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在收到评审报告之日起3日内，依法公示成交结果。</w:t>
      </w:r>
    </w:p>
    <w:p w14:paraId="1CCCB590">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22.磋商结果的异议、投诉</w:t>
      </w:r>
    </w:p>
    <w:p w14:paraId="4568857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22.1对于磋商结果有异议的，应在成交结果公告规定的时间内向业主单位或代理机构提出。</w:t>
      </w:r>
    </w:p>
    <w:p w14:paraId="284195E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szCs w:val="24"/>
          <w:highlight w:val="none"/>
          <w14:textFill>
            <w14:solidFill>
              <w14:schemeClr w14:val="tx1"/>
            </w14:solidFill>
          </w14:textFill>
        </w:rPr>
        <w:t>22.2对于异议答复不满意的，应在收到异议答复之日起3日内向磋商公告载明的监督管理部门提出。</w:t>
      </w:r>
    </w:p>
    <w:p w14:paraId="75188AD6">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23.成交通知书</w:t>
      </w:r>
    </w:p>
    <w:p w14:paraId="38AC840D">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23.1代理机构发布成交结果公告的同时以供应商须知前附表规定的形式向成交人发出成交通知书。</w:t>
      </w:r>
    </w:p>
    <w:p w14:paraId="1937379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23.2成交通知书对业主单位和成交人具有同等法律效力。成交通知书发出以后，业主单位改变成交结果或者成交人放弃成交资格，应当承担相应的法律责任。</w:t>
      </w:r>
    </w:p>
    <w:p w14:paraId="09E8DE2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23.3成交通知书是合同的组成部分。</w:t>
      </w:r>
    </w:p>
    <w:p w14:paraId="5829E258">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24.告知磋商结果</w:t>
      </w:r>
    </w:p>
    <w:p w14:paraId="5AAB6836">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24.1成交结果公告发布后，供应商自行登录系统查询结果信息。</w:t>
      </w:r>
    </w:p>
    <w:p w14:paraId="0598914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24.2代理机构对未成交的供应商不做未成交原因的解释。</w:t>
      </w:r>
    </w:p>
    <w:p w14:paraId="05FA656E">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25.履约保证金</w:t>
      </w:r>
    </w:p>
    <w:p w14:paraId="4523BBF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25.1成交人应按照</w:t>
      </w:r>
      <w:r>
        <w:rPr>
          <w:rFonts w:hint="eastAsia" w:asciiTheme="minorEastAsia" w:hAnsiTheme="minorEastAsia" w:eastAsiaTheme="minorEastAsia" w:cstheme="minorEastAsia"/>
          <w:color w:val="000000" w:themeColor="text1"/>
          <w:szCs w:val="18"/>
          <w:highlight w:val="none"/>
          <w14:textFill>
            <w14:solidFill>
              <w14:schemeClr w14:val="tx1"/>
            </w14:solidFill>
          </w14:textFill>
        </w:rPr>
        <w:t>参审单位</w:t>
      </w: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须知前附表规定缴纳履约保证金。</w:t>
      </w:r>
    </w:p>
    <w:p w14:paraId="659F254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4"/>
          <w:highlight w:val="none"/>
          <w:lang w:bidi="ar"/>
          <w14:textFill>
            <w14:solidFill>
              <w14:schemeClr w14:val="tx1"/>
            </w14:solidFill>
          </w14:textFill>
        </w:rPr>
        <w:t>25.2</w:t>
      </w:r>
      <w:r>
        <w:rPr>
          <w:rFonts w:hint="eastAsia" w:asciiTheme="minorEastAsia" w:hAnsiTheme="minorEastAsia" w:eastAsiaTheme="minorEastAsia" w:cstheme="minorEastAsia"/>
          <w:color w:val="000000" w:themeColor="text1"/>
          <w:highlight w:val="none"/>
          <w14:textFill>
            <w14:solidFill>
              <w14:schemeClr w14:val="tx1"/>
            </w14:solidFill>
          </w14:textFill>
        </w:rPr>
        <w:t>如果成交人没有按照供应商须知前附表中履约保证金的规定执行，将视为放弃成交资格。在此情况下，业主单位可确定下一成交候选人为成交人，也可以重新开展磋商。</w:t>
      </w:r>
    </w:p>
    <w:p w14:paraId="29C68529">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26.代理费用</w:t>
      </w:r>
    </w:p>
    <w:p w14:paraId="485EE81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color w:val="000000" w:themeColor="text1"/>
          <w:kern w:val="2"/>
          <w:highlight w:val="none"/>
          <w14:textFill>
            <w14:solidFill>
              <w14:schemeClr w14:val="tx1"/>
            </w14:solidFill>
          </w14:textFill>
        </w:rPr>
        <w:t>成交人放弃成交资格的，</w:t>
      </w:r>
      <w:r>
        <w:rPr>
          <w:rFonts w:hint="eastAsia" w:asciiTheme="minorEastAsia" w:hAnsiTheme="minorEastAsia" w:eastAsiaTheme="minorEastAsia" w:cstheme="minorEastAsia"/>
          <w:color w:val="000000" w:themeColor="text1"/>
          <w:highlight w:val="none"/>
          <w14:textFill>
            <w14:solidFill>
              <w14:schemeClr w14:val="tx1"/>
            </w14:solidFill>
          </w14:textFill>
        </w:rPr>
        <w:t>本磋商项目应收取的</w:t>
      </w:r>
      <w:r>
        <w:rPr>
          <w:rFonts w:hint="eastAsia" w:asciiTheme="minorEastAsia" w:hAnsiTheme="minorEastAsia" w:eastAsiaTheme="minorEastAsia" w:cstheme="minorEastAsia"/>
          <w:color w:val="000000" w:themeColor="text1"/>
          <w:szCs w:val="24"/>
          <w:highlight w:val="none"/>
          <w14:textFill>
            <w14:solidFill>
              <w14:schemeClr w14:val="tx1"/>
            </w14:solidFill>
          </w14:textFill>
        </w:rPr>
        <w:t>代理服务费</w:t>
      </w:r>
      <w:r>
        <w:rPr>
          <w:rFonts w:hint="eastAsia" w:asciiTheme="minorEastAsia" w:hAnsiTheme="minorEastAsia" w:eastAsiaTheme="minorEastAsia" w:cstheme="minorEastAsia"/>
          <w:color w:val="000000" w:themeColor="text1"/>
          <w:kern w:val="2"/>
          <w:highlight w:val="none"/>
          <w14:textFill>
            <w14:solidFill>
              <w14:schemeClr w14:val="tx1"/>
            </w14:solidFill>
          </w14:textFill>
        </w:rPr>
        <w:t>由其承担。</w:t>
      </w:r>
    </w:p>
    <w:p w14:paraId="3C9BC583">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heme="minorEastAsia" w:hAnsiTheme="minorEastAsia" w:eastAsiaTheme="minorEastAsia" w:cstheme="minorEastAsia"/>
          <w:b/>
          <w:bCs/>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bCs/>
          <w:color w:val="000000" w:themeColor="text1"/>
          <w:kern w:val="2"/>
          <w:highlight w:val="none"/>
          <w14:textFill>
            <w14:solidFill>
              <w14:schemeClr w14:val="tx1"/>
            </w14:solidFill>
          </w14:textFill>
        </w:rPr>
        <w:t>代理费用收取账户信息如下：</w:t>
      </w:r>
    </w:p>
    <w:p w14:paraId="46D2F272">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户名：肥西县公共资源交易有限责任公司</w:t>
      </w:r>
    </w:p>
    <w:p w14:paraId="7CB27270">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账号：179746801939</w:t>
      </w:r>
    </w:p>
    <w:p w14:paraId="58EB3799">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heme="minorEastAsia" w:hAnsiTheme="minorEastAsia" w:eastAsiaTheme="minorEastAsia" w:cstheme="minorEastAsia"/>
          <w:color w:val="000000" w:themeColor="text1"/>
          <w:kern w:val="2"/>
          <w:highlight w:val="none"/>
          <w14:textFill>
            <w14:solidFill>
              <w14:schemeClr w14:val="tx1"/>
            </w14:solidFill>
          </w14:textFill>
        </w:rPr>
      </w:pPr>
      <w:r>
        <w:rPr>
          <w:rFonts w:hint="eastAsia" w:asciiTheme="minorEastAsia" w:hAnsiTheme="minorEastAsia" w:eastAsiaTheme="minorEastAsia" w:cstheme="minorEastAsia"/>
          <w:b/>
          <w:highlight w:val="none"/>
        </w:rPr>
        <w:t>开户行：中国银行股份有限公司肥西支行</w:t>
      </w:r>
    </w:p>
    <w:p w14:paraId="7E962B9B">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27.签订合同</w:t>
      </w:r>
    </w:p>
    <w:p w14:paraId="21604F7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27.1业主单位与成交人应当在成交通知书发出后及时签订合同。</w:t>
      </w:r>
    </w:p>
    <w:p w14:paraId="323CD5C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27.2磋商文件、成交人的响应文件及其澄清文件等，均为签订合同的依据。</w:t>
      </w:r>
    </w:p>
    <w:p w14:paraId="5BCE711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27.3成交人拒绝与业主单位签订合同的，业主单位可以按照评审报告推荐的成交候选人名单排序，确定下一成交候选人为成交人，也可以重新开展磋商活动。成交人拒绝签订合同的不得参加对该项目重新开展的磋商活动。</w:t>
      </w:r>
    </w:p>
    <w:p w14:paraId="647071D5">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28.廉洁自律规定</w:t>
      </w:r>
    </w:p>
    <w:p w14:paraId="49F006F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28.1代理机构工作人员不得以不正当手段获取代理业务，不得与业主单位、供应商恶意串通。</w:t>
      </w:r>
    </w:p>
    <w:p w14:paraId="1E7353C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28.2代理机构工作人员不得接受业主单位或者供应商组织的宴请、旅游、娱乐，不得收受礼品、现金、有价证券等，不得向业主单位或者供应商报销应当由个人承担的费用。</w:t>
      </w:r>
    </w:p>
    <w:p w14:paraId="1E2CEDF9">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29.异议的提出与接收</w:t>
      </w:r>
    </w:p>
    <w:p w14:paraId="7D57A25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29.1参审单位认为磋商文件、磋商过程和成交结果使自己的权益受到损害的，可以在知道或者应知其权益受到损害之日起三日内，以书面形式向业主单位或其委托的代理机构提出异议。</w:t>
      </w:r>
    </w:p>
    <w:p w14:paraId="3E20640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29.2异议应以书面形式实名提出，书面异议材料应当包括以下内容：</w:t>
      </w:r>
    </w:p>
    <w:p w14:paraId="3CBB791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29.3异议人的名称、地址、有效联系方式；</w:t>
      </w:r>
    </w:p>
    <w:p w14:paraId="73DB9B0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29.5项目名称、项目编号、包别号（如有）；</w:t>
      </w:r>
    </w:p>
    <w:p w14:paraId="741471C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29.6被异议人名称；</w:t>
      </w:r>
    </w:p>
    <w:p w14:paraId="209F4C5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29.7具体的异议事项、基本事实及必要的证明材料；</w:t>
      </w:r>
    </w:p>
    <w:p w14:paraId="00467A7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29.8明确的请求及主张；</w:t>
      </w:r>
    </w:p>
    <w:p w14:paraId="68B7B8C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29.9提起异议的日期。</w:t>
      </w:r>
    </w:p>
    <w:p w14:paraId="55D8D29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异议人为法人或者其他组织的，应当由法定代表人或其委托代理人（需有委托授权书）签字并加盖公章。异议人需要修改、补充异议材料的，应当在异议期内提交修改或补充材料。</w:t>
      </w:r>
    </w:p>
    <w:p w14:paraId="0FB9A83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29.10代理机构异议函接收部门、联系电话和通讯地址，见参审单位须知前附表。</w:t>
      </w:r>
    </w:p>
    <w:p w14:paraId="5F554D1F">
      <w:pPr>
        <w:keepNext w:val="0"/>
        <w:keepLines w:val="0"/>
        <w:pageBreakBefore w:val="0"/>
        <w:widowControl w:val="0"/>
        <w:kinsoku/>
        <w:wordWrap/>
        <w:overflowPunct/>
        <w:topLinePunct w:val="0"/>
        <w:autoSpaceDE/>
        <w:autoSpaceDN/>
        <w:bidi w:val="0"/>
        <w:adjustRightInd/>
        <w:snapToGrid/>
        <w:ind w:firstLine="482" w:firstLineChars="200"/>
        <w:jc w:val="left"/>
        <w:textAlignment w:val="auto"/>
        <w:outlineLvl w:val="3"/>
        <w:rPr>
          <w:rFonts w:hint="eastAsia" w:asciiTheme="minorEastAsia" w:hAnsiTheme="minorEastAsia" w:eastAsiaTheme="minorEastAsia" w:cstheme="minorEastAsia"/>
          <w:b/>
          <w:color w:val="000000" w:themeColor="text1"/>
          <w:highlight w:val="none"/>
          <w14:textFill>
            <w14:solidFill>
              <w14:schemeClr w14:val="tx1"/>
            </w14:solidFill>
          </w14:textFill>
        </w:rPr>
      </w:pPr>
      <w:r>
        <w:rPr>
          <w:rFonts w:hint="eastAsia" w:asciiTheme="minorEastAsia" w:hAnsiTheme="minorEastAsia" w:eastAsiaTheme="minorEastAsia" w:cstheme="minorEastAsia"/>
          <w:b/>
          <w:color w:val="000000" w:themeColor="text1"/>
          <w:highlight w:val="none"/>
          <w14:textFill>
            <w14:solidFill>
              <w14:schemeClr w14:val="tx1"/>
            </w14:solidFill>
          </w14:textFill>
        </w:rPr>
        <w:t>30.需要补充的其他内容</w:t>
      </w:r>
    </w:p>
    <w:p w14:paraId="538DC75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需要补充的其他内容，见供应商须知前附表。</w:t>
      </w:r>
    </w:p>
    <w:p w14:paraId="7E8CD354">
      <w:pPr>
        <w:ind w:firstLine="480"/>
        <w:rPr>
          <w:highlight w:val="none"/>
        </w:rPr>
      </w:pPr>
      <w:r>
        <w:rPr>
          <w:rFonts w:asciiTheme="minorEastAsia" w:hAnsiTheme="minorEastAsia" w:eastAsiaTheme="minorEastAsia"/>
          <w:highlight w:val="none"/>
        </w:rPr>
        <w:br w:type="page"/>
      </w:r>
    </w:p>
    <w:p w14:paraId="100C0F15">
      <w:pPr>
        <w:ind w:firstLine="562"/>
        <w:jc w:val="center"/>
        <w:outlineLvl w:val="1"/>
        <w:rPr>
          <w:rFonts w:hint="eastAsia" w:asciiTheme="minorEastAsia" w:hAnsiTheme="minorEastAsia" w:eastAsiaTheme="minorEastAsia"/>
          <w:b/>
          <w:sz w:val="28"/>
          <w:highlight w:val="green"/>
          <w:lang w:eastAsia="zh-CN"/>
        </w:rPr>
      </w:pPr>
      <w:bookmarkStart w:id="7" w:name="_Toc14866"/>
      <w:r>
        <w:rPr>
          <w:rFonts w:hint="eastAsia" w:asciiTheme="minorEastAsia" w:hAnsiTheme="minorEastAsia" w:eastAsiaTheme="minorEastAsia"/>
          <w:b/>
          <w:sz w:val="28"/>
          <w:highlight w:val="none"/>
        </w:rPr>
        <w:t>第三章  业主单位要求</w:t>
      </w:r>
      <w:bookmarkEnd w:id="7"/>
    </w:p>
    <w:p w14:paraId="57619E82">
      <w:pPr>
        <w:keepNext w:val="0"/>
        <w:keepLines w:val="0"/>
        <w:pageBreakBefore w:val="0"/>
        <w:widowControl w:val="0"/>
        <w:kinsoku/>
        <w:wordWrap/>
        <w:overflowPunct/>
        <w:topLinePunct w:val="0"/>
        <w:autoSpaceDE/>
        <w:autoSpaceDN/>
        <w:bidi w:val="0"/>
        <w:adjustRightInd/>
        <w:snapToGrid/>
        <w:ind w:firstLine="480"/>
        <w:textAlignment w:val="auto"/>
        <w:rPr>
          <w:rFonts w:ascii="Times New Roman" w:hAnsi="Times New Roman"/>
          <w:szCs w:val="24"/>
          <w:highlight w:val="none"/>
        </w:rPr>
      </w:pPr>
      <w:bookmarkStart w:id="8" w:name="_Toc482188637"/>
      <w:r>
        <w:rPr>
          <w:rFonts w:hint="eastAsia" w:ascii="Times New Roman" w:hAnsi="Times New Roman"/>
          <w:szCs w:val="24"/>
          <w:highlight w:val="none"/>
        </w:rPr>
        <w:t>本说明中提出的技术方案仅为参考，如无明确限制，供应商可以进行优化，提供满足用户实际需要的更优（或者性能实质上不低于的）服务方案，且此方案须经磋商小组评审认可。</w:t>
      </w:r>
    </w:p>
    <w:bookmarkEnd w:id="8"/>
    <w:p w14:paraId="148CB1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b/>
          <w:bCs/>
          <w:sz w:val="24"/>
          <w:szCs w:val="24"/>
        </w:rPr>
      </w:pPr>
      <w:bookmarkStart w:id="9" w:name="_Toc482188638"/>
      <w:bookmarkStart w:id="10" w:name="_Toc3273"/>
      <w:r>
        <w:rPr>
          <w:rFonts w:hint="eastAsia" w:ascii="宋体" w:hAnsi="宋体" w:eastAsia="宋体" w:cs="宋体"/>
          <w:b/>
          <w:bCs/>
          <w:sz w:val="24"/>
          <w:szCs w:val="24"/>
        </w:rPr>
        <w:t>一、采购需求前附表</w:t>
      </w:r>
    </w:p>
    <w:tbl>
      <w:tblPr>
        <w:tblStyle w:val="16"/>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741"/>
        <w:gridCol w:w="6120"/>
      </w:tblGrid>
      <w:tr w14:paraId="4F8A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23" w:type="pct"/>
            <w:vAlign w:val="center"/>
          </w:tcPr>
          <w:p w14:paraId="53DADA6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1013" w:type="pct"/>
            <w:vAlign w:val="center"/>
          </w:tcPr>
          <w:p w14:paraId="0EF7A9F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条款名称</w:t>
            </w:r>
          </w:p>
        </w:tc>
        <w:tc>
          <w:tcPr>
            <w:tcW w:w="3562" w:type="pct"/>
            <w:vAlign w:val="center"/>
          </w:tcPr>
          <w:p w14:paraId="3B66D6E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内容、说明与要求</w:t>
            </w:r>
          </w:p>
        </w:tc>
      </w:tr>
      <w:tr w14:paraId="21DF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23" w:type="pct"/>
            <w:vAlign w:val="center"/>
          </w:tcPr>
          <w:p w14:paraId="0E4A121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013" w:type="pct"/>
            <w:vAlign w:val="center"/>
          </w:tcPr>
          <w:p w14:paraId="1039CE6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付款方式</w:t>
            </w:r>
          </w:p>
        </w:tc>
        <w:tc>
          <w:tcPr>
            <w:tcW w:w="3562" w:type="pct"/>
            <w:vAlign w:val="center"/>
          </w:tcPr>
          <w:p w14:paraId="56C7085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根据考核结果，据实核算，按</w:t>
            </w:r>
            <w:r>
              <w:rPr>
                <w:rFonts w:hint="eastAsia" w:asciiTheme="minorEastAsia" w:hAnsiTheme="minorEastAsia" w:eastAsiaTheme="minorEastAsia" w:cstheme="minorEastAsia"/>
                <w:color w:val="000000"/>
                <w:sz w:val="24"/>
                <w:szCs w:val="24"/>
                <w:lang w:val="en-US" w:eastAsia="zh-CN"/>
              </w:rPr>
              <w:t>月</w:t>
            </w:r>
            <w:r>
              <w:rPr>
                <w:rFonts w:hint="eastAsia" w:asciiTheme="minorEastAsia" w:hAnsiTheme="minorEastAsia" w:eastAsiaTheme="minorEastAsia" w:cstheme="minorEastAsia"/>
                <w:color w:val="000000"/>
                <w:sz w:val="24"/>
                <w:szCs w:val="24"/>
              </w:rPr>
              <w:t>付款。</w:t>
            </w:r>
          </w:p>
        </w:tc>
      </w:tr>
      <w:tr w14:paraId="7767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23" w:type="pct"/>
            <w:vAlign w:val="center"/>
          </w:tcPr>
          <w:p w14:paraId="6EC4FE8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13" w:type="pct"/>
            <w:vAlign w:val="center"/>
          </w:tcPr>
          <w:p w14:paraId="1923AB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服务地点</w:t>
            </w:r>
          </w:p>
        </w:tc>
        <w:tc>
          <w:tcPr>
            <w:tcW w:w="3562" w:type="pct"/>
            <w:vAlign w:val="center"/>
          </w:tcPr>
          <w:p w14:paraId="2B2B3F8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招标人指定地点</w:t>
            </w:r>
          </w:p>
        </w:tc>
      </w:tr>
      <w:tr w14:paraId="6450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5B08D7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13" w:type="pct"/>
            <w:tcBorders>
              <w:top w:val="single" w:color="auto" w:sz="4" w:space="0"/>
              <w:left w:val="single" w:color="auto" w:sz="4" w:space="0"/>
              <w:bottom w:val="single" w:color="auto" w:sz="4" w:space="0"/>
              <w:right w:val="single" w:color="auto" w:sz="4" w:space="0"/>
            </w:tcBorders>
            <w:vAlign w:val="center"/>
          </w:tcPr>
          <w:p w14:paraId="235AC9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服务期限</w:t>
            </w:r>
          </w:p>
        </w:tc>
        <w:tc>
          <w:tcPr>
            <w:tcW w:w="3562" w:type="pct"/>
            <w:tcBorders>
              <w:top w:val="single" w:color="auto" w:sz="4" w:space="0"/>
              <w:left w:val="single" w:color="auto" w:sz="4" w:space="0"/>
              <w:bottom w:val="single" w:color="auto" w:sz="4" w:space="0"/>
              <w:right w:val="single" w:color="auto" w:sz="4" w:space="0"/>
            </w:tcBorders>
            <w:vAlign w:val="center"/>
          </w:tcPr>
          <w:p w14:paraId="5B861B3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合同签订之日起1年</w:t>
            </w:r>
          </w:p>
        </w:tc>
      </w:tr>
    </w:tbl>
    <w:p w14:paraId="715956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二、项目概况</w:t>
      </w:r>
    </w:p>
    <w:p w14:paraId="0D72472F">
      <w:pPr>
        <w:pStyle w:val="15"/>
        <w:keepNext w:val="0"/>
        <w:keepLines w:val="0"/>
        <w:pageBreakBefore w:val="0"/>
        <w:widowControl w:val="0"/>
        <w:numPr>
          <w:ilvl w:val="0"/>
          <w:numId w:val="0"/>
        </w:numPr>
        <w:kinsoku/>
        <w:wordWrap/>
        <w:overflowPunct/>
        <w:topLinePunct w:val="0"/>
        <w:autoSpaceDE/>
        <w:autoSpaceDN/>
        <w:bidi w:val="0"/>
        <w:adjustRightInd/>
        <w:snapToGrid/>
        <w:spacing w:after="0"/>
        <w:ind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肥西县中医院新区</w:t>
      </w:r>
      <w:r>
        <w:rPr>
          <w:rFonts w:hint="eastAsia" w:asciiTheme="minorEastAsia" w:hAnsiTheme="minorEastAsia" w:eastAsiaTheme="minorEastAsia" w:cstheme="minorEastAsia"/>
          <w:sz w:val="24"/>
          <w:szCs w:val="24"/>
          <w:lang w:val="en-US" w:eastAsia="zh-CN"/>
        </w:rPr>
        <w:t>44台电梯（其中</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台垂直电梯、</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台扶梯</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实行半包服务及派河路门诊部</w:t>
      </w:r>
      <w:r>
        <w:rPr>
          <w:rFonts w:hint="eastAsia" w:asciiTheme="minorEastAsia" w:hAnsiTheme="minorEastAsia" w:eastAsiaTheme="minorEastAsia" w:cstheme="minorEastAsia"/>
          <w:sz w:val="24"/>
          <w:szCs w:val="24"/>
        </w:rPr>
        <w:t>2台垂直电梯</w:t>
      </w:r>
      <w:r>
        <w:rPr>
          <w:rFonts w:hint="eastAsia" w:asciiTheme="minorEastAsia" w:hAnsiTheme="minorEastAsia" w:eastAsiaTheme="minorEastAsia" w:cstheme="minorEastAsia"/>
          <w:sz w:val="24"/>
          <w:szCs w:val="24"/>
          <w:lang w:val="en-US" w:eastAsia="zh-CN"/>
        </w:rPr>
        <w:t>实行全包式维保服务，报价包含年度电梯检测检验费用，据实核算付款。维保电梯清单如下：</w:t>
      </w:r>
    </w:p>
    <w:tbl>
      <w:tblPr>
        <w:tblStyle w:val="16"/>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9"/>
        <w:gridCol w:w="924"/>
        <w:gridCol w:w="983"/>
        <w:gridCol w:w="1467"/>
        <w:gridCol w:w="1677"/>
        <w:gridCol w:w="1133"/>
        <w:gridCol w:w="1150"/>
        <w:gridCol w:w="720"/>
        <w:gridCol w:w="705"/>
      </w:tblGrid>
      <w:tr w14:paraId="1BA7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88B7F2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cstheme="minorEastAsia"/>
                <w:b/>
                <w:bCs/>
                <w:i w:val="0"/>
                <w:iCs w:val="0"/>
                <w:color w:val="000000"/>
                <w:kern w:val="0"/>
                <w:sz w:val="24"/>
                <w:szCs w:val="24"/>
                <w:u w:val="none"/>
                <w:lang w:val="en-US" w:eastAsia="zh-CN" w:bidi="ar"/>
              </w:rPr>
              <w:t>序号</w:t>
            </w:r>
          </w:p>
        </w:tc>
        <w:tc>
          <w:tcPr>
            <w:tcW w:w="924" w:type="dxa"/>
            <w:shd w:val="clear" w:color="auto" w:fill="auto"/>
            <w:noWrap/>
            <w:vAlign w:val="center"/>
          </w:tcPr>
          <w:p w14:paraId="50494CE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院区</w:t>
            </w:r>
          </w:p>
        </w:tc>
        <w:tc>
          <w:tcPr>
            <w:tcW w:w="983" w:type="dxa"/>
            <w:shd w:val="clear" w:color="auto" w:fill="auto"/>
            <w:noWrap/>
            <w:vAlign w:val="center"/>
          </w:tcPr>
          <w:p w14:paraId="46026A1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单位内编号</w:t>
            </w:r>
          </w:p>
        </w:tc>
        <w:tc>
          <w:tcPr>
            <w:tcW w:w="1467" w:type="dxa"/>
            <w:shd w:val="clear" w:color="auto" w:fill="auto"/>
            <w:noWrap/>
            <w:vAlign w:val="center"/>
          </w:tcPr>
          <w:p w14:paraId="54B1630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电梯使用地点</w:t>
            </w:r>
          </w:p>
        </w:tc>
        <w:tc>
          <w:tcPr>
            <w:tcW w:w="1677" w:type="dxa"/>
            <w:shd w:val="clear" w:color="auto" w:fill="auto"/>
            <w:noWrap/>
            <w:vAlign w:val="center"/>
          </w:tcPr>
          <w:p w14:paraId="763D721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制造单位名称</w:t>
            </w:r>
          </w:p>
        </w:tc>
        <w:tc>
          <w:tcPr>
            <w:tcW w:w="1133" w:type="dxa"/>
            <w:shd w:val="clear" w:color="auto" w:fill="auto"/>
            <w:noWrap/>
            <w:vAlign w:val="center"/>
          </w:tcPr>
          <w:p w14:paraId="48CF1F6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电梯型号</w:t>
            </w:r>
          </w:p>
        </w:tc>
        <w:tc>
          <w:tcPr>
            <w:tcW w:w="1150" w:type="dxa"/>
            <w:shd w:val="clear" w:color="auto" w:fill="auto"/>
            <w:noWrap/>
            <w:vAlign w:val="center"/>
          </w:tcPr>
          <w:p w14:paraId="4E1233D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梯种</w:t>
            </w:r>
          </w:p>
        </w:tc>
        <w:tc>
          <w:tcPr>
            <w:tcW w:w="720" w:type="dxa"/>
            <w:shd w:val="clear" w:color="auto" w:fill="auto"/>
            <w:noWrap/>
            <w:vAlign w:val="center"/>
          </w:tcPr>
          <w:p w14:paraId="279AF05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载重量</w:t>
            </w:r>
            <w:r>
              <w:rPr>
                <w:rFonts w:hint="eastAsia" w:asciiTheme="minorEastAsia" w:hAnsiTheme="minorEastAsia" w:cstheme="minorEastAsia"/>
                <w:b/>
                <w:bCs/>
                <w:i w:val="0"/>
                <w:iCs w:val="0"/>
                <w:color w:val="000000"/>
                <w:kern w:val="0"/>
                <w:sz w:val="24"/>
                <w:szCs w:val="24"/>
                <w:u w:val="none"/>
                <w:lang w:val="en-US" w:eastAsia="zh-CN" w:bidi="ar"/>
              </w:rPr>
              <w:t>（kg）</w:t>
            </w:r>
          </w:p>
        </w:tc>
        <w:tc>
          <w:tcPr>
            <w:tcW w:w="705" w:type="dxa"/>
            <w:shd w:val="clear" w:color="auto" w:fill="auto"/>
            <w:noWrap/>
            <w:vAlign w:val="center"/>
          </w:tcPr>
          <w:p w14:paraId="7CE2D64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层</w:t>
            </w:r>
          </w:p>
        </w:tc>
      </w:tr>
      <w:tr w14:paraId="3912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8C67909">
            <w:pPr>
              <w:keepNext w:val="0"/>
              <w:keepLines w:val="0"/>
              <w:pageBreakBefore w:val="0"/>
              <w:widowControl w:val="0"/>
              <w:numPr>
                <w:ilvl w:val="0"/>
                <w:numId w:val="3"/>
              </w:numPr>
              <w:suppressLineNumbers w:val="0"/>
              <w:kinsoku/>
              <w:wordWrap/>
              <w:overflowPunct/>
              <w:topLinePunct w:val="0"/>
              <w:autoSpaceDE/>
              <w:autoSpaceDN/>
              <w:bidi w:val="0"/>
              <w:adjustRightInd/>
              <w:snapToGrid/>
              <w:ind w:left="0" w:leftChars="0" w:firstLine="0" w:firstLineChars="0"/>
              <w:jc w:val="center"/>
              <w:textAlignment w:val="auto"/>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924" w:type="dxa"/>
            <w:vMerge w:val="restart"/>
            <w:shd w:val="clear" w:color="auto" w:fill="auto"/>
            <w:noWrap/>
            <w:vAlign w:val="center"/>
          </w:tcPr>
          <w:p w14:paraId="5A65BCE7">
            <w:pPr>
              <w:keepNext w:val="0"/>
              <w:keepLines w:val="0"/>
              <w:pageBreakBefore w:val="0"/>
              <w:widowControl w:val="0"/>
              <w:suppressLineNumbers w:val="0"/>
              <w:tabs>
                <w:tab w:val="left" w:pos="316"/>
              </w:tabs>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合肥市肥西县站下路与青龙路交叉口肥西县中医院</w:t>
            </w:r>
          </w:p>
        </w:tc>
        <w:tc>
          <w:tcPr>
            <w:tcW w:w="983" w:type="dxa"/>
            <w:shd w:val="clear" w:color="auto" w:fill="auto"/>
            <w:noWrap/>
            <w:vAlign w:val="center"/>
          </w:tcPr>
          <w:p w14:paraId="774BE6E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3C2BB00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4#后勤楼L1号梯</w:t>
            </w:r>
          </w:p>
        </w:tc>
        <w:tc>
          <w:tcPr>
            <w:tcW w:w="1677" w:type="dxa"/>
            <w:shd w:val="clear" w:color="auto" w:fill="auto"/>
            <w:noWrap/>
            <w:vAlign w:val="center"/>
          </w:tcPr>
          <w:p w14:paraId="0512FC0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34C6DA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7FA070F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F80CE3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3B156F8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3163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1EE02CF1">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lang w:val="en-US" w:eastAsia="zh-CN"/>
              </w:rPr>
            </w:pPr>
          </w:p>
        </w:tc>
        <w:tc>
          <w:tcPr>
            <w:tcW w:w="924" w:type="dxa"/>
            <w:vMerge w:val="continue"/>
            <w:shd w:val="clear" w:color="auto" w:fill="auto"/>
            <w:noWrap/>
            <w:vAlign w:val="center"/>
          </w:tcPr>
          <w:p w14:paraId="26DB9A4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6220FA9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L3号梯</w:t>
            </w:r>
          </w:p>
        </w:tc>
        <w:tc>
          <w:tcPr>
            <w:tcW w:w="1467" w:type="dxa"/>
            <w:shd w:val="clear" w:color="auto" w:fill="auto"/>
            <w:vAlign w:val="center"/>
          </w:tcPr>
          <w:p w14:paraId="7E73D1B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5#行政楼L3号梯</w:t>
            </w:r>
          </w:p>
        </w:tc>
        <w:tc>
          <w:tcPr>
            <w:tcW w:w="1677" w:type="dxa"/>
            <w:shd w:val="clear" w:color="auto" w:fill="auto"/>
            <w:noWrap/>
            <w:vAlign w:val="center"/>
          </w:tcPr>
          <w:p w14:paraId="4672755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7AA0D7C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0D4FE35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2BB05BC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0F06E07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5064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0D55A668">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lang w:val="en-US" w:eastAsia="zh-CN"/>
              </w:rPr>
            </w:pPr>
          </w:p>
        </w:tc>
        <w:tc>
          <w:tcPr>
            <w:tcW w:w="924" w:type="dxa"/>
            <w:vMerge w:val="continue"/>
            <w:shd w:val="clear" w:color="auto" w:fill="auto"/>
            <w:noWrap/>
            <w:vAlign w:val="center"/>
          </w:tcPr>
          <w:p w14:paraId="4C6FDF3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7D7170F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4683E66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4#后勤楼 L5号梯</w:t>
            </w:r>
          </w:p>
        </w:tc>
        <w:tc>
          <w:tcPr>
            <w:tcW w:w="1677" w:type="dxa"/>
            <w:shd w:val="clear" w:color="auto" w:fill="auto"/>
            <w:noWrap/>
            <w:vAlign w:val="center"/>
          </w:tcPr>
          <w:p w14:paraId="55190B8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993DB7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2585CE2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74ADCB1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6D8FB24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r>
      <w:tr w14:paraId="4D91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B046F14">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779172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2CE89BC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6</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69BD09C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L6号梯</w:t>
            </w:r>
          </w:p>
        </w:tc>
        <w:tc>
          <w:tcPr>
            <w:tcW w:w="1677" w:type="dxa"/>
            <w:shd w:val="clear" w:color="auto" w:fill="auto"/>
            <w:noWrap/>
            <w:vAlign w:val="center"/>
          </w:tcPr>
          <w:p w14:paraId="12A44E0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462D63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2F142D2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3DAAC49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6FACE4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17C9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76E6A61">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3578AF5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7B2C0C1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7</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0B89706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L7号梯</w:t>
            </w:r>
          </w:p>
        </w:tc>
        <w:tc>
          <w:tcPr>
            <w:tcW w:w="1677" w:type="dxa"/>
            <w:shd w:val="clear" w:color="auto" w:fill="auto"/>
            <w:noWrap/>
            <w:vAlign w:val="center"/>
          </w:tcPr>
          <w:p w14:paraId="7454B49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C42DDE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659E475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43A3D1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2CD669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72C5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3172E13">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2C5883F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59AADA6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L8号梯</w:t>
            </w:r>
          </w:p>
        </w:tc>
        <w:tc>
          <w:tcPr>
            <w:tcW w:w="1467" w:type="dxa"/>
            <w:shd w:val="clear" w:color="auto" w:fill="auto"/>
            <w:vAlign w:val="center"/>
          </w:tcPr>
          <w:p w14:paraId="7A22C08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L8号梯</w:t>
            </w:r>
          </w:p>
        </w:tc>
        <w:tc>
          <w:tcPr>
            <w:tcW w:w="1677" w:type="dxa"/>
            <w:shd w:val="clear" w:color="auto" w:fill="auto"/>
            <w:noWrap/>
            <w:vAlign w:val="center"/>
          </w:tcPr>
          <w:p w14:paraId="3BA19F0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574BD8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74F4D56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21C8FF6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594A93A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4753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DFEA683">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7A4FE1B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7ED4F2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9</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23F654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L9号梯</w:t>
            </w:r>
          </w:p>
        </w:tc>
        <w:tc>
          <w:tcPr>
            <w:tcW w:w="1677" w:type="dxa"/>
            <w:shd w:val="clear" w:color="auto" w:fill="auto"/>
            <w:noWrap/>
            <w:vAlign w:val="center"/>
          </w:tcPr>
          <w:p w14:paraId="195EA25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51407C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313B9C5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CD851A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5222CA0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259D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254C68B">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3DB776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2928095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10</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BC19BF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L10号梯</w:t>
            </w:r>
          </w:p>
        </w:tc>
        <w:tc>
          <w:tcPr>
            <w:tcW w:w="1677" w:type="dxa"/>
            <w:shd w:val="clear" w:color="auto" w:fill="auto"/>
            <w:noWrap/>
            <w:vAlign w:val="center"/>
          </w:tcPr>
          <w:p w14:paraId="188AA52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73B461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19C837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2610C11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6943C1E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2CD0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16347534">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61A8261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56BB118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12</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5C4E0A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L12号梯</w:t>
            </w:r>
          </w:p>
        </w:tc>
        <w:tc>
          <w:tcPr>
            <w:tcW w:w="1677" w:type="dxa"/>
            <w:shd w:val="clear" w:color="auto" w:fill="auto"/>
            <w:noWrap/>
            <w:vAlign w:val="center"/>
          </w:tcPr>
          <w:p w14:paraId="580ABBF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65C53D6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7911096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1A98214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6FFD68D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53BB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6090AAB">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restart"/>
            <w:shd w:val="clear" w:color="auto" w:fill="auto"/>
            <w:noWrap/>
            <w:vAlign w:val="center"/>
          </w:tcPr>
          <w:p w14:paraId="2003662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合肥市肥西县站下路与青龙路交叉口肥西县中医院</w:t>
            </w:r>
          </w:p>
        </w:tc>
        <w:tc>
          <w:tcPr>
            <w:tcW w:w="983" w:type="dxa"/>
            <w:shd w:val="clear" w:color="auto" w:fill="auto"/>
            <w:noWrap/>
            <w:vAlign w:val="center"/>
          </w:tcPr>
          <w:p w14:paraId="4126BED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L1</w:t>
            </w: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4C4CD88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L14号梯</w:t>
            </w:r>
          </w:p>
        </w:tc>
        <w:tc>
          <w:tcPr>
            <w:tcW w:w="1677" w:type="dxa"/>
            <w:shd w:val="clear" w:color="auto" w:fill="auto"/>
            <w:noWrap/>
            <w:vAlign w:val="center"/>
          </w:tcPr>
          <w:p w14:paraId="76A4B3C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4FBDBA2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3BDCDA7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33F5B26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2C79852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0291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0C13F87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62D4AD1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6B80319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15</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92A9C7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L15号梯</w:t>
            </w:r>
          </w:p>
        </w:tc>
        <w:tc>
          <w:tcPr>
            <w:tcW w:w="1677" w:type="dxa"/>
            <w:shd w:val="clear" w:color="auto" w:fill="auto"/>
            <w:noWrap/>
            <w:vAlign w:val="center"/>
          </w:tcPr>
          <w:p w14:paraId="2831A86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635955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2CA3F62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C17D82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55AF445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1F2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343720F">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0C4BCA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6476CDB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20</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7005F9F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L20号梯</w:t>
            </w:r>
          </w:p>
        </w:tc>
        <w:tc>
          <w:tcPr>
            <w:tcW w:w="1677" w:type="dxa"/>
            <w:shd w:val="clear" w:color="auto" w:fill="auto"/>
            <w:noWrap/>
            <w:vAlign w:val="center"/>
          </w:tcPr>
          <w:p w14:paraId="459EBC0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484E292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08C6196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2078B4A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3F0CC6B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31AF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2ABD28D">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2A317C1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562611E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21</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B3DBF1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L21#梯</w:t>
            </w:r>
          </w:p>
        </w:tc>
        <w:tc>
          <w:tcPr>
            <w:tcW w:w="1677" w:type="dxa"/>
            <w:shd w:val="clear" w:color="auto" w:fill="auto"/>
            <w:noWrap/>
            <w:vAlign w:val="center"/>
          </w:tcPr>
          <w:p w14:paraId="1945089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F43474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928B38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EB8CA5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875149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2462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1DF1B586">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282AD3E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122BEE5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22</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A122CC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院2#住院部L22#梯</w:t>
            </w:r>
          </w:p>
        </w:tc>
        <w:tc>
          <w:tcPr>
            <w:tcW w:w="1677" w:type="dxa"/>
            <w:shd w:val="clear" w:color="auto" w:fill="auto"/>
            <w:noWrap/>
            <w:vAlign w:val="center"/>
          </w:tcPr>
          <w:p w14:paraId="4CF0AE4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AEC516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773B2A8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7283BAE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A4DADC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33BF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080847ED">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5D6AB03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4DCFB87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DF7B9E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L23#梯</w:t>
            </w:r>
          </w:p>
        </w:tc>
        <w:tc>
          <w:tcPr>
            <w:tcW w:w="1677" w:type="dxa"/>
            <w:shd w:val="clear" w:color="auto" w:fill="auto"/>
            <w:noWrap/>
            <w:vAlign w:val="center"/>
          </w:tcPr>
          <w:p w14:paraId="6026BCB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E9DA9C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6214881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2589E4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6C21D2B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1916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1EC78C1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689DCF3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61D73F8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3980E92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 2#住院部 L24#梯</w:t>
            </w:r>
          </w:p>
        </w:tc>
        <w:tc>
          <w:tcPr>
            <w:tcW w:w="1677" w:type="dxa"/>
            <w:shd w:val="clear" w:color="auto" w:fill="auto"/>
            <w:noWrap/>
            <w:vAlign w:val="center"/>
          </w:tcPr>
          <w:p w14:paraId="77B2D62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36B855D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2919376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4ECF9E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0B22327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6040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776317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6A83760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18639CC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6EE990C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 2#住院部 L25#梯</w:t>
            </w:r>
          </w:p>
        </w:tc>
        <w:tc>
          <w:tcPr>
            <w:tcW w:w="1677" w:type="dxa"/>
            <w:shd w:val="clear" w:color="auto" w:fill="auto"/>
            <w:noWrap/>
            <w:vAlign w:val="center"/>
          </w:tcPr>
          <w:p w14:paraId="794AEE3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31FB8AF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2FD2024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1F1EE1A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048BFDC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640E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0A144A7">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059CEB1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A3B50C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8</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2F23EDB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 2#住院部 L28#梯</w:t>
            </w:r>
          </w:p>
        </w:tc>
        <w:tc>
          <w:tcPr>
            <w:tcW w:w="1677" w:type="dxa"/>
            <w:shd w:val="clear" w:color="auto" w:fill="auto"/>
            <w:noWrap/>
            <w:vAlign w:val="center"/>
          </w:tcPr>
          <w:p w14:paraId="54E7F71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0EF399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39DAA31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0A414A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004AD7D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4C3E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4BA36471">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51DD4DE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14509DC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9</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0DC4A8D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院 2#住院部 L29#梯</w:t>
            </w:r>
          </w:p>
        </w:tc>
        <w:tc>
          <w:tcPr>
            <w:tcW w:w="1677" w:type="dxa"/>
            <w:shd w:val="clear" w:color="auto" w:fill="auto"/>
            <w:noWrap/>
            <w:vAlign w:val="center"/>
          </w:tcPr>
          <w:p w14:paraId="05FA980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D3640C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3EE84A0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3B3E5F6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780FD7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161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A0A7815">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1281D4E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2E66C80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32</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3D97437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L32#梯</w:t>
            </w:r>
          </w:p>
        </w:tc>
        <w:tc>
          <w:tcPr>
            <w:tcW w:w="1677" w:type="dxa"/>
            <w:shd w:val="clear" w:color="auto" w:fill="auto"/>
            <w:noWrap/>
            <w:vAlign w:val="center"/>
          </w:tcPr>
          <w:p w14:paraId="67494B6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56E9C5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3F12344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30BFEA8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26D1929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2203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042A4E45">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73E03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18B6F02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33</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2421899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L33#梯</w:t>
            </w:r>
          </w:p>
        </w:tc>
        <w:tc>
          <w:tcPr>
            <w:tcW w:w="1677" w:type="dxa"/>
            <w:shd w:val="clear" w:color="auto" w:fill="auto"/>
            <w:noWrap/>
            <w:vAlign w:val="center"/>
          </w:tcPr>
          <w:p w14:paraId="29420BB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D5F429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0DE913A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7609DC7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630</w:t>
            </w:r>
          </w:p>
        </w:tc>
        <w:tc>
          <w:tcPr>
            <w:tcW w:w="705" w:type="dxa"/>
            <w:shd w:val="clear" w:color="auto" w:fill="auto"/>
            <w:noWrap/>
            <w:vAlign w:val="center"/>
          </w:tcPr>
          <w:p w14:paraId="42CF522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0300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4B7FCDC">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D62FC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33BF41F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18</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7D12BB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L18号梯</w:t>
            </w:r>
          </w:p>
        </w:tc>
        <w:tc>
          <w:tcPr>
            <w:tcW w:w="1677" w:type="dxa"/>
            <w:shd w:val="clear" w:color="auto" w:fill="auto"/>
            <w:noWrap/>
            <w:vAlign w:val="center"/>
          </w:tcPr>
          <w:p w14:paraId="29DF203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94256D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D7DE53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FE42DE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189F14E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25C5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9FE7D2E">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5F74275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748DC94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34</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78A81B5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L34#梯</w:t>
            </w:r>
          </w:p>
        </w:tc>
        <w:tc>
          <w:tcPr>
            <w:tcW w:w="1677" w:type="dxa"/>
            <w:shd w:val="clear" w:color="auto" w:fill="auto"/>
            <w:noWrap/>
            <w:vAlign w:val="center"/>
          </w:tcPr>
          <w:p w14:paraId="502C386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E67291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2DB9A0A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F55CA7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630</w:t>
            </w:r>
          </w:p>
        </w:tc>
        <w:tc>
          <w:tcPr>
            <w:tcW w:w="705" w:type="dxa"/>
            <w:shd w:val="clear" w:color="auto" w:fill="auto"/>
            <w:noWrap/>
            <w:vAlign w:val="center"/>
          </w:tcPr>
          <w:p w14:paraId="5ED3763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r>
      <w:tr w14:paraId="2F92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119C4C27">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3CD873F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667850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67C5669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4#后勤楼L2号梯</w:t>
            </w:r>
          </w:p>
        </w:tc>
        <w:tc>
          <w:tcPr>
            <w:tcW w:w="1677" w:type="dxa"/>
            <w:shd w:val="clear" w:color="auto" w:fill="auto"/>
            <w:noWrap/>
            <w:vAlign w:val="center"/>
          </w:tcPr>
          <w:p w14:paraId="75307EF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517E14F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70839F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78C4939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101CB22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489C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1827FF5">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37E06A4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56A7953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A21007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5#行政楼 L4号梯</w:t>
            </w:r>
          </w:p>
        </w:tc>
        <w:tc>
          <w:tcPr>
            <w:tcW w:w="1677" w:type="dxa"/>
            <w:shd w:val="clear" w:color="auto" w:fill="auto"/>
            <w:noWrap/>
            <w:vAlign w:val="center"/>
          </w:tcPr>
          <w:p w14:paraId="3D8A4F0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6F1C6C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6C4F275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171038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7542FFD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384F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85D8C70">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8070B5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17129C2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11</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EF0FC7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L11号梯</w:t>
            </w:r>
          </w:p>
        </w:tc>
        <w:tc>
          <w:tcPr>
            <w:tcW w:w="1677" w:type="dxa"/>
            <w:shd w:val="clear" w:color="auto" w:fill="auto"/>
            <w:noWrap/>
            <w:vAlign w:val="center"/>
          </w:tcPr>
          <w:p w14:paraId="3F0B2C0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3CE64F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02110D8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B911E9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B41787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A3F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7602042">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6B1AFB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4E0AB36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13</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2E856C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L13号梯</w:t>
            </w:r>
          </w:p>
        </w:tc>
        <w:tc>
          <w:tcPr>
            <w:tcW w:w="1677" w:type="dxa"/>
            <w:shd w:val="clear" w:color="auto" w:fill="auto"/>
            <w:noWrap/>
            <w:vAlign w:val="center"/>
          </w:tcPr>
          <w:p w14:paraId="69DD366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3C0850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4B9033B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6EC592B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5F58655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r>
      <w:tr w14:paraId="67B6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20CC5687">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restart"/>
            <w:shd w:val="clear" w:color="auto" w:fill="auto"/>
            <w:noWrap/>
            <w:vAlign w:val="center"/>
          </w:tcPr>
          <w:p w14:paraId="24F58D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合肥市肥西县站下路与青龙路交叉口肥西县中医院</w:t>
            </w:r>
          </w:p>
        </w:tc>
        <w:tc>
          <w:tcPr>
            <w:tcW w:w="983" w:type="dxa"/>
            <w:shd w:val="clear" w:color="auto" w:fill="auto"/>
            <w:noWrap/>
            <w:vAlign w:val="center"/>
          </w:tcPr>
          <w:p w14:paraId="659BD93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6</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28A9FB6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L26#梯</w:t>
            </w:r>
          </w:p>
        </w:tc>
        <w:tc>
          <w:tcPr>
            <w:tcW w:w="1677" w:type="dxa"/>
            <w:shd w:val="clear" w:color="auto" w:fill="auto"/>
            <w:noWrap/>
            <w:vAlign w:val="center"/>
          </w:tcPr>
          <w:p w14:paraId="70BC37B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AC5FE2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036A4B8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1ED77B8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09EBCAD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4247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47622ACE">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674371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207F0C0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L2</w:t>
            </w:r>
            <w:r>
              <w:rPr>
                <w:rFonts w:hint="eastAsia" w:asciiTheme="minorEastAsia" w:hAnsiTheme="minorEastAsia" w:cstheme="minorEastAsia"/>
                <w:i w:val="0"/>
                <w:iCs w:val="0"/>
                <w:color w:val="000000"/>
                <w:kern w:val="0"/>
                <w:sz w:val="24"/>
                <w:szCs w:val="24"/>
                <w:u w:val="none"/>
                <w:lang w:val="en-US" w:eastAsia="zh-CN" w:bidi="ar"/>
              </w:rPr>
              <w:t>7</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FC1A24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L27#梯</w:t>
            </w:r>
          </w:p>
        </w:tc>
        <w:tc>
          <w:tcPr>
            <w:tcW w:w="1677" w:type="dxa"/>
            <w:shd w:val="clear" w:color="auto" w:fill="auto"/>
            <w:noWrap/>
            <w:vAlign w:val="center"/>
          </w:tcPr>
          <w:p w14:paraId="7E4CA2A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5782AC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536AE72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4264EAF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921CC5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42F7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7B2859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5DCDF5B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50B3842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30</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5767C6A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L30#梯</w:t>
            </w:r>
          </w:p>
        </w:tc>
        <w:tc>
          <w:tcPr>
            <w:tcW w:w="1677" w:type="dxa"/>
            <w:shd w:val="clear" w:color="auto" w:fill="auto"/>
            <w:noWrap/>
            <w:vAlign w:val="center"/>
          </w:tcPr>
          <w:p w14:paraId="0C492BE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79BD715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04337E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3C1BC3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34570E4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2A41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3539B3C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3161E23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E3C573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31</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35921C5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2#住院部 L31#梯</w:t>
            </w:r>
          </w:p>
        </w:tc>
        <w:tc>
          <w:tcPr>
            <w:tcW w:w="1677" w:type="dxa"/>
            <w:shd w:val="clear" w:color="auto" w:fill="auto"/>
            <w:noWrap/>
            <w:vAlign w:val="center"/>
          </w:tcPr>
          <w:p w14:paraId="64744B5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B9933F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5F29458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1F40C0D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2AF55CA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r>
      <w:tr w14:paraId="731B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4204F0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45B2FA8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2EAD938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L35号梯</w:t>
            </w:r>
          </w:p>
        </w:tc>
        <w:tc>
          <w:tcPr>
            <w:tcW w:w="1467" w:type="dxa"/>
            <w:shd w:val="clear" w:color="auto" w:fill="auto"/>
            <w:vAlign w:val="center"/>
          </w:tcPr>
          <w:p w14:paraId="09CF2B1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4#后勤楼 L35号梯</w:t>
            </w:r>
          </w:p>
        </w:tc>
        <w:tc>
          <w:tcPr>
            <w:tcW w:w="1677" w:type="dxa"/>
            <w:shd w:val="clear" w:color="auto" w:fill="auto"/>
            <w:noWrap/>
            <w:vAlign w:val="center"/>
          </w:tcPr>
          <w:p w14:paraId="052B977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72E8A76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meta200MRL</w:t>
            </w:r>
          </w:p>
        </w:tc>
        <w:tc>
          <w:tcPr>
            <w:tcW w:w="1150" w:type="dxa"/>
            <w:shd w:val="clear" w:color="auto" w:fill="auto"/>
            <w:noWrap/>
            <w:vAlign w:val="center"/>
          </w:tcPr>
          <w:p w14:paraId="72E2AEE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783CD35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800</w:t>
            </w:r>
          </w:p>
        </w:tc>
        <w:tc>
          <w:tcPr>
            <w:tcW w:w="705" w:type="dxa"/>
            <w:shd w:val="clear" w:color="auto" w:fill="auto"/>
            <w:noWrap/>
            <w:vAlign w:val="center"/>
          </w:tcPr>
          <w:p w14:paraId="7F7333D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r>
      <w:tr w14:paraId="7C25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F8F7950">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18FF82D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29EE87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L1</w:t>
            </w:r>
            <w:r>
              <w:rPr>
                <w:rFonts w:hint="eastAsia" w:asciiTheme="minorEastAsia" w:hAnsiTheme="minorEastAsia" w:cstheme="minorEastAsia"/>
                <w:i w:val="0"/>
                <w:iCs w:val="0"/>
                <w:color w:val="000000"/>
                <w:kern w:val="0"/>
                <w:sz w:val="24"/>
                <w:szCs w:val="24"/>
                <w:u w:val="none"/>
                <w:lang w:val="en-US" w:eastAsia="zh-CN" w:bidi="ar"/>
              </w:rPr>
              <w:t>7</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0CB9CC0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L17号梯</w:t>
            </w:r>
          </w:p>
        </w:tc>
        <w:tc>
          <w:tcPr>
            <w:tcW w:w="1677" w:type="dxa"/>
            <w:shd w:val="clear" w:color="auto" w:fill="auto"/>
            <w:noWrap/>
            <w:vAlign w:val="center"/>
          </w:tcPr>
          <w:p w14:paraId="3A896C7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093A159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54F7DF6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C4F36D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71550BE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7166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5F4C08A">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60C1A9B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31F1A38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L1</w:t>
            </w:r>
            <w:r>
              <w:rPr>
                <w:rFonts w:hint="eastAsia" w:asciiTheme="minorEastAsia" w:hAnsiTheme="minorEastAsia" w:cstheme="minorEastAsia"/>
                <w:i w:val="0"/>
                <w:iCs w:val="0"/>
                <w:color w:val="000000"/>
                <w:kern w:val="0"/>
                <w:sz w:val="24"/>
                <w:szCs w:val="24"/>
                <w:u w:val="none"/>
                <w:lang w:val="en-US" w:eastAsia="zh-CN" w:bidi="ar"/>
              </w:rPr>
              <w:t>6</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38631F3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L16号梯</w:t>
            </w:r>
          </w:p>
        </w:tc>
        <w:tc>
          <w:tcPr>
            <w:tcW w:w="1677" w:type="dxa"/>
            <w:shd w:val="clear" w:color="auto" w:fill="auto"/>
            <w:noWrap/>
            <w:vAlign w:val="center"/>
          </w:tcPr>
          <w:p w14:paraId="7BBD55F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278F66D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41A3192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7ADA84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54C55E3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604D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4C516E2D">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3B9FDD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7BD3FDC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L1</w:t>
            </w:r>
            <w:r>
              <w:rPr>
                <w:rFonts w:hint="eastAsia" w:asciiTheme="minorEastAsia" w:hAnsiTheme="minorEastAsia" w:cstheme="minorEastAsia"/>
                <w:i w:val="0"/>
                <w:iCs w:val="0"/>
                <w:color w:val="000000"/>
                <w:kern w:val="0"/>
                <w:sz w:val="24"/>
                <w:szCs w:val="24"/>
                <w:u w:val="none"/>
                <w:lang w:val="en-US" w:eastAsia="zh-CN" w:bidi="ar"/>
              </w:rPr>
              <w:t>9</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1ABF000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1#门诊医技楼 L19号梯</w:t>
            </w:r>
          </w:p>
        </w:tc>
        <w:tc>
          <w:tcPr>
            <w:tcW w:w="1677" w:type="dxa"/>
            <w:shd w:val="clear" w:color="auto" w:fill="auto"/>
            <w:noWrap/>
            <w:vAlign w:val="center"/>
          </w:tcPr>
          <w:p w14:paraId="5E7A431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188BC9E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meta200MR</w:t>
            </w:r>
          </w:p>
        </w:tc>
        <w:tc>
          <w:tcPr>
            <w:tcW w:w="1150" w:type="dxa"/>
            <w:shd w:val="clear" w:color="auto" w:fill="auto"/>
            <w:noWrap/>
            <w:vAlign w:val="center"/>
          </w:tcPr>
          <w:p w14:paraId="1D61A12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69D7F51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1600</w:t>
            </w:r>
          </w:p>
        </w:tc>
        <w:tc>
          <w:tcPr>
            <w:tcW w:w="705" w:type="dxa"/>
            <w:shd w:val="clear" w:color="auto" w:fill="auto"/>
            <w:noWrap/>
            <w:vAlign w:val="center"/>
          </w:tcPr>
          <w:p w14:paraId="20A491B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r>
      <w:tr w14:paraId="31BF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05067CE2">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7155412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41FBBBF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L</w:t>
            </w:r>
            <w:r>
              <w:rPr>
                <w:rFonts w:hint="eastAsia" w:asciiTheme="minorEastAsia" w:hAnsiTheme="minorEastAsia" w:cstheme="minorEastAsia"/>
                <w:i w:val="0"/>
                <w:iCs w:val="0"/>
                <w:color w:val="000000"/>
                <w:kern w:val="0"/>
                <w:sz w:val="24"/>
                <w:szCs w:val="24"/>
                <w:u w:val="none"/>
                <w:lang w:val="en-US" w:eastAsia="zh-CN" w:bidi="ar"/>
              </w:rPr>
              <w:t>36</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467" w:type="dxa"/>
            <w:shd w:val="clear" w:color="auto" w:fill="auto"/>
            <w:vAlign w:val="center"/>
          </w:tcPr>
          <w:p w14:paraId="4F0367B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r>
              <w:rPr>
                <w:rFonts w:hint="eastAsia" w:asciiTheme="minorEastAsia" w:hAnsiTheme="minorEastAsia" w:cstheme="minorEastAsia"/>
                <w:i w:val="0"/>
                <w:iCs w:val="0"/>
                <w:color w:val="000000"/>
                <w:kern w:val="0"/>
                <w:sz w:val="24"/>
                <w:szCs w:val="24"/>
                <w:u w:val="none"/>
                <w:lang w:val="en-US" w:eastAsia="zh-CN" w:bidi="ar"/>
              </w:rPr>
              <w:t>综合</w:t>
            </w:r>
            <w:r>
              <w:rPr>
                <w:rFonts w:hint="eastAsia" w:asciiTheme="minorEastAsia" w:hAnsiTheme="minorEastAsia" w:eastAsiaTheme="minorEastAsia" w:cstheme="minorEastAsia"/>
                <w:i w:val="0"/>
                <w:iCs w:val="0"/>
                <w:color w:val="000000"/>
                <w:kern w:val="0"/>
                <w:sz w:val="24"/>
                <w:szCs w:val="24"/>
                <w:u w:val="none"/>
                <w:lang w:val="en-US" w:eastAsia="zh-CN" w:bidi="ar"/>
              </w:rPr>
              <w:t>楼 L</w:t>
            </w:r>
            <w:r>
              <w:rPr>
                <w:rFonts w:hint="eastAsia" w:asciiTheme="minorEastAsia" w:hAnsiTheme="minorEastAsia" w:cstheme="minorEastAsia"/>
                <w:i w:val="0"/>
                <w:iCs w:val="0"/>
                <w:color w:val="000000"/>
                <w:kern w:val="0"/>
                <w:sz w:val="24"/>
                <w:szCs w:val="24"/>
                <w:u w:val="none"/>
                <w:lang w:val="en-US" w:eastAsia="zh-CN" w:bidi="ar"/>
              </w:rPr>
              <w:t>36</w:t>
            </w:r>
            <w:r>
              <w:rPr>
                <w:rFonts w:hint="eastAsia" w:asciiTheme="minorEastAsia" w:hAnsiTheme="minorEastAsia" w:eastAsiaTheme="minorEastAsia" w:cstheme="minorEastAsia"/>
                <w:i w:val="0"/>
                <w:iCs w:val="0"/>
                <w:color w:val="000000"/>
                <w:kern w:val="0"/>
                <w:sz w:val="24"/>
                <w:szCs w:val="24"/>
                <w:u w:val="none"/>
                <w:lang w:val="en-US" w:eastAsia="zh-CN" w:bidi="ar"/>
              </w:rPr>
              <w:t>号梯</w:t>
            </w:r>
          </w:p>
        </w:tc>
        <w:tc>
          <w:tcPr>
            <w:tcW w:w="1677" w:type="dxa"/>
            <w:shd w:val="clear" w:color="auto" w:fill="auto"/>
            <w:noWrap/>
            <w:vAlign w:val="center"/>
          </w:tcPr>
          <w:p w14:paraId="4084596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noWrap/>
            <w:vAlign w:val="center"/>
          </w:tcPr>
          <w:p w14:paraId="323F47B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TWJ</w:t>
            </w:r>
          </w:p>
        </w:tc>
        <w:tc>
          <w:tcPr>
            <w:tcW w:w="1150" w:type="dxa"/>
            <w:shd w:val="clear" w:color="auto" w:fill="auto"/>
            <w:noWrap/>
            <w:vAlign w:val="center"/>
          </w:tcPr>
          <w:p w14:paraId="5752468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204C57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100</w:t>
            </w:r>
          </w:p>
        </w:tc>
        <w:tc>
          <w:tcPr>
            <w:tcW w:w="705" w:type="dxa"/>
            <w:shd w:val="clear" w:color="auto" w:fill="auto"/>
            <w:noWrap/>
            <w:vAlign w:val="center"/>
          </w:tcPr>
          <w:p w14:paraId="5C79488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p>
        </w:tc>
      </w:tr>
      <w:tr w14:paraId="67F2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390D617D">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454FB66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4B29068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-1-1层西梯</w:t>
            </w:r>
          </w:p>
        </w:tc>
        <w:tc>
          <w:tcPr>
            <w:tcW w:w="1467" w:type="dxa"/>
            <w:shd w:val="clear" w:color="auto" w:fill="auto"/>
            <w:vAlign w:val="center"/>
          </w:tcPr>
          <w:p w14:paraId="22895C8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1#门诊楼-1-1层西梯</w:t>
            </w:r>
          </w:p>
        </w:tc>
        <w:tc>
          <w:tcPr>
            <w:tcW w:w="1677" w:type="dxa"/>
            <w:shd w:val="clear" w:color="auto" w:fill="auto"/>
            <w:noWrap/>
            <w:vAlign w:val="center"/>
          </w:tcPr>
          <w:p w14:paraId="5BA88B0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08918E0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60E1F18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0D3F223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6C83A57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DE2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78ABB8EE">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0E1EAB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1191235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-1-1层东梯</w:t>
            </w:r>
          </w:p>
        </w:tc>
        <w:tc>
          <w:tcPr>
            <w:tcW w:w="1467" w:type="dxa"/>
            <w:shd w:val="clear" w:color="auto" w:fill="auto"/>
            <w:vAlign w:val="center"/>
          </w:tcPr>
          <w:p w14:paraId="7623D14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1#门诊楼-1-1层东梯</w:t>
            </w:r>
          </w:p>
        </w:tc>
        <w:tc>
          <w:tcPr>
            <w:tcW w:w="1677" w:type="dxa"/>
            <w:shd w:val="clear" w:color="auto" w:fill="auto"/>
            <w:noWrap/>
            <w:vAlign w:val="center"/>
          </w:tcPr>
          <w:p w14:paraId="5241E32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1C1E15E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68AEE25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39D0281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0ABDE32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4465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03AE9DD6">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77D936C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0B8B195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1-2层东梯</w:t>
            </w:r>
          </w:p>
        </w:tc>
        <w:tc>
          <w:tcPr>
            <w:tcW w:w="1467" w:type="dxa"/>
            <w:shd w:val="clear" w:color="auto" w:fill="auto"/>
            <w:vAlign w:val="center"/>
          </w:tcPr>
          <w:p w14:paraId="0964666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1#门诊楼1-2层东梯</w:t>
            </w:r>
          </w:p>
        </w:tc>
        <w:tc>
          <w:tcPr>
            <w:tcW w:w="1677" w:type="dxa"/>
            <w:shd w:val="clear" w:color="auto" w:fill="auto"/>
            <w:noWrap/>
            <w:vAlign w:val="center"/>
          </w:tcPr>
          <w:p w14:paraId="39AA322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141F4FE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4698F92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254BE59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7F19E4E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73A25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6A6256BF">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2526AF2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63EC250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1-2层西梯</w:t>
            </w:r>
          </w:p>
        </w:tc>
        <w:tc>
          <w:tcPr>
            <w:tcW w:w="1467" w:type="dxa"/>
            <w:shd w:val="clear" w:color="auto" w:fill="auto"/>
            <w:vAlign w:val="center"/>
          </w:tcPr>
          <w:p w14:paraId="577FE82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1#门诊楼1-2层西梯</w:t>
            </w:r>
          </w:p>
        </w:tc>
        <w:tc>
          <w:tcPr>
            <w:tcW w:w="1677" w:type="dxa"/>
            <w:shd w:val="clear" w:color="auto" w:fill="auto"/>
            <w:noWrap/>
            <w:vAlign w:val="center"/>
          </w:tcPr>
          <w:p w14:paraId="5F8DA0A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5B9F5F8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5C1308E8">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659A285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4D7003E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019C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317E578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79DD2AA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6AB1958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2-3层西梯</w:t>
            </w:r>
          </w:p>
        </w:tc>
        <w:tc>
          <w:tcPr>
            <w:tcW w:w="1467" w:type="dxa"/>
            <w:shd w:val="clear" w:color="auto" w:fill="auto"/>
            <w:vAlign w:val="center"/>
          </w:tcPr>
          <w:p w14:paraId="128702B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1#门诊楼2-3层西梯</w:t>
            </w:r>
          </w:p>
        </w:tc>
        <w:tc>
          <w:tcPr>
            <w:tcW w:w="1677" w:type="dxa"/>
            <w:shd w:val="clear" w:color="auto" w:fill="auto"/>
            <w:noWrap/>
            <w:vAlign w:val="center"/>
          </w:tcPr>
          <w:p w14:paraId="48CDE5C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4966B86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34BC0E1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64BF8D3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673AE08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642E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545EEEC5">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2783B96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560445D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2-3层东梯</w:t>
            </w:r>
          </w:p>
        </w:tc>
        <w:tc>
          <w:tcPr>
            <w:tcW w:w="1467" w:type="dxa"/>
            <w:shd w:val="clear" w:color="auto" w:fill="auto"/>
            <w:vAlign w:val="center"/>
          </w:tcPr>
          <w:p w14:paraId="4ECA4EFD">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1#门诊楼2-3层东梯</w:t>
            </w:r>
          </w:p>
        </w:tc>
        <w:tc>
          <w:tcPr>
            <w:tcW w:w="1677" w:type="dxa"/>
            <w:shd w:val="clear" w:color="auto" w:fill="auto"/>
            <w:noWrap/>
            <w:vAlign w:val="center"/>
          </w:tcPr>
          <w:p w14:paraId="2346AB8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0BABC35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2E894A0E">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33B936B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4B1C35A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5A30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71B6D549">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03890DF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0BDA29F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3-4层西梯</w:t>
            </w:r>
          </w:p>
        </w:tc>
        <w:tc>
          <w:tcPr>
            <w:tcW w:w="1467" w:type="dxa"/>
            <w:shd w:val="clear" w:color="auto" w:fill="auto"/>
            <w:vAlign w:val="center"/>
          </w:tcPr>
          <w:p w14:paraId="03940DE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1#门诊楼3-4层西梯</w:t>
            </w:r>
          </w:p>
        </w:tc>
        <w:tc>
          <w:tcPr>
            <w:tcW w:w="1677" w:type="dxa"/>
            <w:shd w:val="clear" w:color="auto" w:fill="auto"/>
            <w:noWrap/>
            <w:vAlign w:val="center"/>
          </w:tcPr>
          <w:p w14:paraId="429A287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241721A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083F9F4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79C147D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7C2B873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56A1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vAlign w:val="center"/>
          </w:tcPr>
          <w:p w14:paraId="2E904B0F">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vAlign w:val="center"/>
          </w:tcPr>
          <w:p w14:paraId="6DB340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vAlign w:val="center"/>
          </w:tcPr>
          <w:p w14:paraId="7885F95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3-4层东梯</w:t>
            </w:r>
          </w:p>
        </w:tc>
        <w:tc>
          <w:tcPr>
            <w:tcW w:w="1467" w:type="dxa"/>
            <w:shd w:val="clear" w:color="auto" w:fill="auto"/>
            <w:vAlign w:val="center"/>
          </w:tcPr>
          <w:p w14:paraId="56AF2841">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1#门诊楼3-4层东梯</w:t>
            </w:r>
          </w:p>
        </w:tc>
        <w:tc>
          <w:tcPr>
            <w:tcW w:w="1677" w:type="dxa"/>
            <w:shd w:val="clear" w:color="auto" w:fill="auto"/>
            <w:noWrap/>
            <w:vAlign w:val="center"/>
          </w:tcPr>
          <w:p w14:paraId="46D8C7E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蒂升电梯（中国）有限公司</w:t>
            </w:r>
          </w:p>
        </w:tc>
        <w:tc>
          <w:tcPr>
            <w:tcW w:w="1133" w:type="dxa"/>
            <w:shd w:val="clear" w:color="auto" w:fill="auto"/>
            <w:vAlign w:val="center"/>
          </w:tcPr>
          <w:p w14:paraId="172CA32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velino</w:t>
            </w:r>
          </w:p>
        </w:tc>
        <w:tc>
          <w:tcPr>
            <w:tcW w:w="1150" w:type="dxa"/>
            <w:shd w:val="clear" w:color="auto" w:fill="auto"/>
            <w:vAlign w:val="center"/>
          </w:tcPr>
          <w:p w14:paraId="6FEF8747">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自动扶梯</w:t>
            </w:r>
          </w:p>
        </w:tc>
        <w:tc>
          <w:tcPr>
            <w:tcW w:w="720" w:type="dxa"/>
            <w:shd w:val="clear" w:color="auto" w:fill="auto"/>
            <w:vAlign w:val="center"/>
          </w:tcPr>
          <w:p w14:paraId="17CC097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5" w:type="dxa"/>
            <w:shd w:val="clear" w:color="auto" w:fill="auto"/>
            <w:vAlign w:val="center"/>
          </w:tcPr>
          <w:p w14:paraId="40B98CA2">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6A4E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69248903">
            <w:pPr>
              <w:keepNext w:val="0"/>
              <w:keepLines w:val="0"/>
              <w:pageBreakBefore w:val="0"/>
              <w:widowControl w:val="0"/>
              <w:numPr>
                <w:ilvl w:val="0"/>
                <w:numId w:val="3"/>
              </w:numPr>
              <w:suppressLineNumbers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24" w:type="dxa"/>
            <w:vMerge w:val="restart"/>
            <w:shd w:val="clear" w:color="auto" w:fill="auto"/>
            <w:noWrap/>
            <w:vAlign w:val="center"/>
          </w:tcPr>
          <w:p w14:paraId="239A9809">
            <w:pPr>
              <w:keepNext w:val="0"/>
              <w:keepLines w:val="0"/>
              <w:pageBreakBefore w:val="0"/>
              <w:widowControl w:val="0"/>
              <w:suppressLineNumbers w:val="0"/>
              <w:tabs>
                <w:tab w:val="left" w:pos="299"/>
              </w:tabs>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派河路门诊</w:t>
            </w:r>
          </w:p>
        </w:tc>
        <w:tc>
          <w:tcPr>
            <w:tcW w:w="983" w:type="dxa"/>
            <w:shd w:val="clear" w:color="auto" w:fill="auto"/>
            <w:noWrap/>
            <w:vAlign w:val="center"/>
          </w:tcPr>
          <w:p w14:paraId="67D1C896">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东梯</w:t>
            </w:r>
          </w:p>
        </w:tc>
        <w:tc>
          <w:tcPr>
            <w:tcW w:w="1467" w:type="dxa"/>
            <w:shd w:val="clear" w:color="auto" w:fill="auto"/>
            <w:noWrap/>
            <w:vAlign w:val="center"/>
          </w:tcPr>
          <w:p w14:paraId="16EDD2E4">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门诊部东梯</w:t>
            </w:r>
          </w:p>
        </w:tc>
        <w:tc>
          <w:tcPr>
            <w:tcW w:w="1677" w:type="dxa"/>
            <w:shd w:val="clear" w:color="auto" w:fill="auto"/>
            <w:noWrap/>
            <w:vAlign w:val="center"/>
          </w:tcPr>
          <w:p w14:paraId="6E180A5B">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奥的斯电梯（中国）有限公司</w:t>
            </w:r>
          </w:p>
        </w:tc>
        <w:tc>
          <w:tcPr>
            <w:tcW w:w="1133" w:type="dxa"/>
            <w:shd w:val="clear" w:color="auto" w:fill="auto"/>
            <w:noWrap/>
            <w:vAlign w:val="center"/>
          </w:tcPr>
          <w:p w14:paraId="370C2119">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OTIS-SKY</w:t>
            </w:r>
          </w:p>
        </w:tc>
        <w:tc>
          <w:tcPr>
            <w:tcW w:w="1150" w:type="dxa"/>
            <w:shd w:val="clear" w:color="auto" w:fill="auto"/>
            <w:noWrap/>
            <w:vAlign w:val="center"/>
          </w:tcPr>
          <w:p w14:paraId="6F2B03B3">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5A3490CF">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35639ED5">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r>
      <w:tr w14:paraId="27ED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9" w:type="dxa"/>
            <w:shd w:val="clear" w:color="auto" w:fill="auto"/>
            <w:noWrap/>
            <w:vAlign w:val="center"/>
          </w:tcPr>
          <w:p w14:paraId="70597B9C">
            <w:pPr>
              <w:keepNext w:val="0"/>
              <w:keepLines w:val="0"/>
              <w:pageBreakBefore w:val="0"/>
              <w:widowControl w:val="0"/>
              <w:numPr>
                <w:ilvl w:val="0"/>
                <w:numId w:val="3"/>
              </w:numPr>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24" w:type="dxa"/>
            <w:vMerge w:val="continue"/>
            <w:shd w:val="clear" w:color="auto" w:fill="auto"/>
            <w:noWrap/>
            <w:vAlign w:val="center"/>
          </w:tcPr>
          <w:p w14:paraId="2805B6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p>
        </w:tc>
        <w:tc>
          <w:tcPr>
            <w:tcW w:w="983" w:type="dxa"/>
            <w:shd w:val="clear" w:color="auto" w:fill="auto"/>
            <w:noWrap/>
            <w:vAlign w:val="center"/>
          </w:tcPr>
          <w:p w14:paraId="03CD819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西梯</w:t>
            </w:r>
          </w:p>
        </w:tc>
        <w:tc>
          <w:tcPr>
            <w:tcW w:w="1467" w:type="dxa"/>
            <w:shd w:val="clear" w:color="auto" w:fill="auto"/>
            <w:noWrap/>
            <w:vAlign w:val="center"/>
          </w:tcPr>
          <w:p w14:paraId="36BAD08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门诊部西梯</w:t>
            </w:r>
          </w:p>
        </w:tc>
        <w:tc>
          <w:tcPr>
            <w:tcW w:w="1677" w:type="dxa"/>
            <w:shd w:val="clear" w:color="auto" w:fill="auto"/>
            <w:noWrap/>
            <w:vAlign w:val="center"/>
          </w:tcPr>
          <w:p w14:paraId="309CB6CC">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奥的斯电梯（中国）有限公司</w:t>
            </w:r>
          </w:p>
        </w:tc>
        <w:tc>
          <w:tcPr>
            <w:tcW w:w="1133" w:type="dxa"/>
            <w:shd w:val="clear" w:color="auto" w:fill="auto"/>
            <w:noWrap/>
            <w:vAlign w:val="center"/>
          </w:tcPr>
          <w:p w14:paraId="2F33A68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OTIS-SKY</w:t>
            </w:r>
          </w:p>
        </w:tc>
        <w:tc>
          <w:tcPr>
            <w:tcW w:w="1150" w:type="dxa"/>
            <w:shd w:val="clear" w:color="auto" w:fill="auto"/>
            <w:noWrap/>
            <w:vAlign w:val="center"/>
          </w:tcPr>
          <w:p w14:paraId="23C9AAE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曳引驱动乘客电梯</w:t>
            </w:r>
          </w:p>
        </w:tc>
        <w:tc>
          <w:tcPr>
            <w:tcW w:w="720" w:type="dxa"/>
            <w:shd w:val="clear" w:color="auto" w:fill="auto"/>
            <w:noWrap/>
            <w:vAlign w:val="center"/>
          </w:tcPr>
          <w:p w14:paraId="0794D230">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705" w:type="dxa"/>
            <w:shd w:val="clear" w:color="auto" w:fill="auto"/>
            <w:noWrap/>
            <w:vAlign w:val="center"/>
          </w:tcPr>
          <w:p w14:paraId="61F5DB8A">
            <w:pPr>
              <w:keepNext w:val="0"/>
              <w:keepLines w:val="0"/>
              <w:pageBreakBefore w:val="0"/>
              <w:widowControl w:val="0"/>
              <w:suppressLineNumbers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r>
    </w:tbl>
    <w:p w14:paraId="0191BD8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color w:val="000000"/>
          <w:spacing w:val="0"/>
          <w:kern w:val="21"/>
          <w:sz w:val="24"/>
        </w:rPr>
      </w:pPr>
      <w:r>
        <w:rPr>
          <w:rFonts w:hint="eastAsia" w:asciiTheme="minorEastAsia" w:hAnsiTheme="minorEastAsia" w:eastAsiaTheme="minorEastAsia" w:cstheme="minorEastAsia"/>
          <w:b/>
          <w:color w:val="000000"/>
          <w:spacing w:val="0"/>
          <w:kern w:val="21"/>
          <w:sz w:val="24"/>
        </w:rPr>
        <w:t>三、服务要求</w:t>
      </w:r>
    </w:p>
    <w:p w14:paraId="7BE2932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lang w:val="zh-CN" w:eastAsia="zh-CN"/>
        </w:rPr>
      </w:pPr>
      <w:r>
        <w:rPr>
          <w:rFonts w:hint="eastAsia" w:asciiTheme="minorEastAsia" w:hAnsiTheme="minorEastAsia" w:eastAsiaTheme="minorEastAsia" w:cstheme="minorEastAsia"/>
          <w:color w:val="000000"/>
          <w:spacing w:val="0"/>
          <w:kern w:val="21"/>
          <w:sz w:val="24"/>
          <w:lang w:val="en-US" w:eastAsia="zh-CN"/>
        </w:rPr>
        <w:t xml:space="preserve">3.1 </w:t>
      </w:r>
      <w:r>
        <w:rPr>
          <w:rFonts w:hint="eastAsia" w:asciiTheme="minorEastAsia" w:hAnsiTheme="minorEastAsia" w:eastAsiaTheme="minorEastAsia" w:cstheme="minorEastAsia"/>
          <w:color w:val="000000"/>
          <w:spacing w:val="0"/>
          <w:kern w:val="21"/>
          <w:sz w:val="24"/>
          <w:lang w:val="zh-CN" w:eastAsia="zh-CN"/>
        </w:rPr>
        <w:t>投标人应严格按照国家颁布的《中华人民共和国特种设备安全法》（2014年1月1日）、《中华人民共和国安全生产法》（</w:t>
      </w:r>
      <w:r>
        <w:rPr>
          <w:rFonts w:hint="eastAsia" w:asciiTheme="minorEastAsia" w:hAnsiTheme="minorEastAsia" w:eastAsiaTheme="minorEastAsia" w:cstheme="minorEastAsia"/>
          <w:color w:val="000000"/>
          <w:spacing w:val="0"/>
          <w:kern w:val="21"/>
          <w:sz w:val="24"/>
          <w:lang w:val="en-US" w:eastAsia="zh-CN"/>
        </w:rPr>
        <w:t>2021</w:t>
      </w:r>
      <w:r>
        <w:rPr>
          <w:rFonts w:hint="eastAsia" w:asciiTheme="minorEastAsia" w:hAnsiTheme="minorEastAsia" w:eastAsiaTheme="minorEastAsia" w:cstheme="minorEastAsia"/>
          <w:color w:val="000000"/>
          <w:spacing w:val="0"/>
          <w:kern w:val="21"/>
          <w:sz w:val="24"/>
          <w:lang w:val="zh-CN" w:eastAsia="zh-CN"/>
        </w:rPr>
        <w:t>修正）和当地方政府颁布《电梯安全管理办法》等相关规定及规范、技术标准开展维保工作。维保单位在提供服务时应严格遵守我方有关的规章制度。</w:t>
      </w:r>
    </w:p>
    <w:p w14:paraId="0C36C43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lang w:val="zh-CN" w:eastAsia="zh-CN"/>
        </w:rPr>
      </w:pPr>
      <w:r>
        <w:rPr>
          <w:rFonts w:hint="eastAsia" w:asciiTheme="minorEastAsia" w:hAnsiTheme="minorEastAsia" w:eastAsiaTheme="minorEastAsia" w:cstheme="minorEastAsia"/>
          <w:color w:val="000000"/>
          <w:spacing w:val="0"/>
          <w:kern w:val="21"/>
          <w:sz w:val="24"/>
          <w:lang w:val="en-US" w:eastAsia="zh-CN"/>
        </w:rPr>
        <w:t xml:space="preserve">3.2 </w:t>
      </w:r>
      <w:r>
        <w:rPr>
          <w:rFonts w:hint="eastAsia" w:asciiTheme="minorEastAsia" w:hAnsiTheme="minorEastAsia" w:eastAsiaTheme="minorEastAsia" w:cstheme="minorEastAsia"/>
          <w:color w:val="000000"/>
          <w:spacing w:val="0"/>
          <w:kern w:val="21"/>
          <w:sz w:val="24"/>
          <w:lang w:val="zh-CN" w:eastAsia="zh-CN"/>
        </w:rPr>
        <w:t>投标人严格按照服务规定的内容提供维保服务。实施日常维护保养后的电梯应符合《</w:t>
      </w:r>
      <w:r>
        <w:rPr>
          <w:rFonts w:hint="eastAsia" w:asciiTheme="minorEastAsia" w:hAnsiTheme="minorEastAsia" w:eastAsiaTheme="minorEastAsia" w:cstheme="minorEastAsia"/>
          <w:color w:val="000000"/>
          <w:spacing w:val="0"/>
          <w:kern w:val="21"/>
          <w:sz w:val="24"/>
          <w:lang w:val="en-US" w:eastAsia="zh-CN"/>
        </w:rPr>
        <w:fldChar w:fldCharType="begin"/>
      </w:r>
      <w:r>
        <w:rPr>
          <w:rFonts w:hint="eastAsia" w:asciiTheme="minorEastAsia" w:hAnsiTheme="minorEastAsia" w:eastAsiaTheme="minorEastAsia" w:cstheme="minorEastAsia"/>
          <w:color w:val="000000"/>
          <w:spacing w:val="0"/>
          <w:kern w:val="21"/>
          <w:sz w:val="24"/>
          <w:lang w:val="en-US" w:eastAsia="zh-CN"/>
        </w:rPr>
        <w:instrText xml:space="preserve"> HYPERLINK "http://www.senergychina.com.cn:8000/uploadfile/eg_news/files/%e7%94%b5%e6%a2%af%e7%bb%b4%e6%8a%a4%e4%bf%9d%e5%85%bb%e8%a7%84%e5%88%99%5bTSG%20T5002-2017%5d.pdf" </w:instrText>
      </w:r>
      <w:r>
        <w:rPr>
          <w:rFonts w:hint="eastAsia" w:asciiTheme="minorEastAsia" w:hAnsiTheme="minorEastAsia" w:eastAsiaTheme="minorEastAsia" w:cstheme="minorEastAsia"/>
          <w:color w:val="000000"/>
          <w:spacing w:val="0"/>
          <w:kern w:val="21"/>
          <w:sz w:val="24"/>
          <w:lang w:val="en-US" w:eastAsia="zh-CN"/>
        </w:rPr>
        <w:fldChar w:fldCharType="separate"/>
      </w:r>
      <w:r>
        <w:rPr>
          <w:rFonts w:hint="eastAsia" w:asciiTheme="minorEastAsia" w:hAnsiTheme="minorEastAsia" w:eastAsiaTheme="minorEastAsia" w:cstheme="minorEastAsia"/>
          <w:color w:val="000000"/>
          <w:spacing w:val="0"/>
          <w:kern w:val="21"/>
          <w:sz w:val="24"/>
          <w:lang w:val="en-US" w:eastAsia="zh-CN"/>
        </w:rPr>
        <w:t>电梯维护保养规则》（TSG T5002-2017）、</w:t>
      </w:r>
      <w:r>
        <w:rPr>
          <w:rFonts w:hint="eastAsia" w:asciiTheme="minorEastAsia" w:hAnsiTheme="minorEastAsia" w:eastAsiaTheme="minorEastAsia" w:cstheme="minorEastAsia"/>
          <w:color w:val="000000"/>
          <w:spacing w:val="0"/>
          <w:kern w:val="21"/>
          <w:sz w:val="24"/>
          <w:lang w:val="en-US" w:eastAsia="zh-CN"/>
        </w:rPr>
        <w:fldChar w:fldCharType="end"/>
      </w:r>
      <w:r>
        <w:rPr>
          <w:rFonts w:hint="eastAsia" w:asciiTheme="minorEastAsia" w:hAnsiTheme="minorEastAsia" w:eastAsiaTheme="minorEastAsia" w:cstheme="minorEastAsia"/>
          <w:color w:val="000000"/>
          <w:spacing w:val="0"/>
          <w:kern w:val="21"/>
          <w:sz w:val="24"/>
          <w:lang w:val="zh-CN" w:eastAsia="zh-CN"/>
        </w:rPr>
        <w:t>《电梯制造与安装安全规范》（GB7588)、《自动扶梯和自动人行道的制造与安装安全规范》（GB16899)和《电梯、自动扶梯和自动人行道维修规范》（GB/T18775)的相关规定，规定的半月、季度、半年、年度保养项目和电梯制造单位技术文件所要求的特殊保养项目，以及与电梯安全运行相关的其他项目。经双方协商确认后，提供全年保养计划和各项定期保养计划的具体实施时间表。如需调整原保养计划，应提前30日通知采购人并经采购人同意后方可调整，但应保证保养时间间隔不得超过15日。保证设备始终能够安全、正常运行，并且达到采购服务约定和电梯产品说明书中的各种性能参数。</w:t>
      </w:r>
    </w:p>
    <w:p w14:paraId="4F080911">
      <w:pPr>
        <w:pStyle w:val="5"/>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480" w:firstLineChars="200"/>
        <w:jc w:val="left"/>
        <w:textAlignment w:val="auto"/>
        <w:rPr>
          <w:rFonts w:hint="default" w:asciiTheme="minorEastAsia" w:hAnsiTheme="minorEastAsia" w:eastAsiaTheme="minorEastAsia" w:cstheme="minorEastAsia"/>
          <w:color w:val="auto"/>
          <w:spacing w:val="0"/>
          <w:kern w:val="21"/>
          <w:sz w:val="24"/>
          <w:lang w:val="en-US" w:eastAsia="zh-CN"/>
        </w:rPr>
      </w:pPr>
      <w:r>
        <w:rPr>
          <w:rFonts w:hint="eastAsia" w:asciiTheme="minorEastAsia" w:hAnsiTheme="minorEastAsia" w:eastAsiaTheme="minorEastAsia" w:cstheme="minorEastAsia"/>
          <w:color w:val="auto"/>
          <w:spacing w:val="0"/>
          <w:kern w:val="21"/>
          <w:sz w:val="24"/>
          <w:lang w:val="en-US" w:eastAsia="zh-CN"/>
        </w:rPr>
        <w:t xml:space="preserve">3.3 </w:t>
      </w:r>
      <w:r>
        <w:rPr>
          <w:rFonts w:hint="eastAsia" w:asciiTheme="minorEastAsia" w:hAnsiTheme="minorEastAsia" w:eastAsiaTheme="minorEastAsia" w:cstheme="minorEastAsia"/>
          <w:color w:val="auto"/>
          <w:spacing w:val="0"/>
          <w:kern w:val="21"/>
          <w:sz w:val="24"/>
          <w:lang w:val="zh-CN" w:eastAsia="zh-CN"/>
        </w:rPr>
        <w:t>投标人应当具备特种设备安全监督管理部门核发《特种设备安装改造维修许可证》，</w:t>
      </w:r>
      <w:r>
        <w:rPr>
          <w:rFonts w:hint="eastAsia" w:asciiTheme="minorEastAsia" w:hAnsiTheme="minorEastAsia" w:eastAsiaTheme="minorEastAsia" w:cstheme="minorEastAsia"/>
          <w:color w:val="auto"/>
          <w:spacing w:val="0"/>
          <w:kern w:val="21"/>
          <w:sz w:val="24"/>
          <w:lang w:val="en-US" w:eastAsia="zh-CN"/>
        </w:rPr>
        <w:t>非合肥市注册的维保单位，须按《合肥市电梯维保备案管理办法》完成合肥市维保单位备案；中标后签订合同30日内完成本项目电梯维保项目备案，未完成备案视为不具备履约条件，甲方有权终止合同。</w:t>
      </w:r>
      <w:r>
        <w:rPr>
          <w:rFonts w:hint="eastAsia" w:asciiTheme="minorEastAsia" w:hAnsiTheme="minorEastAsia" w:eastAsiaTheme="minorEastAsia" w:cstheme="minorEastAsia"/>
          <w:color w:val="auto"/>
          <w:spacing w:val="0"/>
          <w:kern w:val="21"/>
          <w:sz w:val="24"/>
          <w:lang w:val="zh-CN" w:eastAsia="zh-CN"/>
        </w:rPr>
        <w:t>现场作业人员须分别持有《电梯机械安装维修证》与《电梯电气安装维修证》，维保单位需对作业人员购买人身意外保险。</w:t>
      </w:r>
      <w:r>
        <w:rPr>
          <w:rFonts w:hint="eastAsia" w:asciiTheme="minorEastAsia" w:hAnsiTheme="minorEastAsia" w:eastAsiaTheme="minorEastAsia" w:cstheme="minorEastAsia"/>
          <w:color w:val="auto"/>
          <w:spacing w:val="0"/>
          <w:kern w:val="21"/>
          <w:sz w:val="24"/>
          <w:lang w:val="en-US" w:eastAsia="zh-CN"/>
        </w:rPr>
        <w:t>跨院区调配人员作业时，任何维保作业场景均不得单人开展维保作业。</w:t>
      </w:r>
    </w:p>
    <w:p w14:paraId="36F50E9A">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en-US" w:eastAsia="zh-CN"/>
        </w:rPr>
      </w:pPr>
      <w:r>
        <w:rPr>
          <w:rFonts w:hint="eastAsia" w:asciiTheme="minorEastAsia" w:hAnsiTheme="minorEastAsia" w:eastAsiaTheme="minorEastAsia" w:cstheme="minorEastAsia"/>
          <w:color w:val="auto"/>
          <w:spacing w:val="0"/>
          <w:kern w:val="21"/>
          <w:sz w:val="24"/>
          <w:lang w:val="en-US" w:eastAsia="zh-CN"/>
        </w:rPr>
        <w:t xml:space="preserve">3.4 </w:t>
      </w:r>
      <w:r>
        <w:rPr>
          <w:rFonts w:hint="eastAsia" w:asciiTheme="minorEastAsia" w:hAnsiTheme="minorEastAsia" w:eastAsiaTheme="minorEastAsia" w:cstheme="minorEastAsia"/>
          <w:color w:val="auto"/>
          <w:spacing w:val="0"/>
          <w:kern w:val="21"/>
          <w:sz w:val="24"/>
          <w:lang w:val="zh-CN" w:eastAsia="zh-CN"/>
        </w:rPr>
        <w:t>投标人自行配置工作所需的设备，工作时设置现场安全警示标志，落实作业现场安全防护措施，保障作业安全。</w:t>
      </w:r>
    </w:p>
    <w:p w14:paraId="63B1049C">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lang w:val="en-US" w:eastAsia="zh-CN"/>
        </w:rPr>
      </w:pPr>
      <w:r>
        <w:rPr>
          <w:rFonts w:hint="eastAsia" w:asciiTheme="minorEastAsia" w:hAnsiTheme="minorEastAsia" w:eastAsiaTheme="minorEastAsia" w:cstheme="minorEastAsia"/>
          <w:color w:val="000000"/>
          <w:spacing w:val="0"/>
          <w:kern w:val="21"/>
          <w:sz w:val="24"/>
          <w:lang w:val="zh-CN" w:eastAsia="zh-CN"/>
        </w:rPr>
        <w:t>3.</w:t>
      </w:r>
      <w:r>
        <w:rPr>
          <w:rFonts w:hint="eastAsia" w:asciiTheme="minorEastAsia" w:hAnsiTheme="minorEastAsia" w:eastAsiaTheme="minorEastAsia" w:cstheme="minorEastAsia"/>
          <w:color w:val="000000"/>
          <w:spacing w:val="0"/>
          <w:kern w:val="21"/>
          <w:sz w:val="24"/>
          <w:lang w:val="en-US" w:eastAsia="zh-CN"/>
        </w:rPr>
        <w:t xml:space="preserve">5 </w:t>
      </w:r>
      <w:r>
        <w:rPr>
          <w:rFonts w:hint="eastAsia" w:asciiTheme="minorEastAsia" w:hAnsiTheme="minorEastAsia" w:eastAsiaTheme="minorEastAsia" w:cstheme="minorEastAsia"/>
          <w:color w:val="000000"/>
          <w:spacing w:val="0"/>
          <w:kern w:val="21"/>
          <w:sz w:val="24"/>
          <w:lang w:val="zh-CN" w:eastAsia="zh-CN"/>
        </w:rPr>
        <w:t>成交供应商对设备提供365天、24小时全天候应急处理服务；</w:t>
      </w:r>
      <w:r>
        <w:rPr>
          <w:rFonts w:hint="eastAsia" w:asciiTheme="minorEastAsia" w:hAnsiTheme="minorEastAsia" w:eastAsiaTheme="minorEastAsia" w:cstheme="minorEastAsia"/>
          <w:color w:val="000000"/>
          <w:spacing w:val="0"/>
          <w:kern w:val="21"/>
          <w:sz w:val="24"/>
          <w:lang w:val="en-US" w:eastAsia="zh-CN"/>
        </w:rPr>
        <w:t>新区需派人员驻场服务，驻场时间：每天7:30至18:00，非驻场时间也需按要求及时响应采购单位报修。</w:t>
      </w:r>
    </w:p>
    <w:p w14:paraId="2B6EAF1A">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lang w:val="en-US" w:eastAsia="zh-CN"/>
        </w:rPr>
      </w:pPr>
      <w:r>
        <w:rPr>
          <w:rFonts w:hint="eastAsia" w:asciiTheme="minorEastAsia" w:hAnsiTheme="minorEastAsia" w:eastAsiaTheme="minorEastAsia" w:cstheme="minorEastAsia"/>
          <w:color w:val="000000"/>
          <w:spacing w:val="0"/>
          <w:kern w:val="21"/>
          <w:sz w:val="24"/>
          <w:lang w:val="en-US" w:eastAsia="zh-CN"/>
        </w:rPr>
        <w:t>响应时限区分院区：</w:t>
      </w:r>
    </w:p>
    <w:p w14:paraId="46FB85FF">
      <w:pPr>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lang w:val="zh-CN" w:eastAsia="zh-CN"/>
        </w:rPr>
      </w:pPr>
      <w:r>
        <w:rPr>
          <w:rFonts w:hint="eastAsia" w:asciiTheme="minorEastAsia" w:hAnsiTheme="minorEastAsia" w:eastAsiaTheme="minorEastAsia" w:cstheme="minorEastAsia"/>
          <w:color w:val="000000"/>
          <w:spacing w:val="0"/>
          <w:kern w:val="21"/>
          <w:sz w:val="24"/>
          <w:lang w:val="en-US" w:eastAsia="zh-CN"/>
        </w:rPr>
        <w:t>肥西县中医院新区:</w:t>
      </w:r>
      <w:r>
        <w:rPr>
          <w:rFonts w:hint="eastAsia" w:asciiTheme="minorEastAsia" w:hAnsiTheme="minorEastAsia" w:eastAsiaTheme="minorEastAsia" w:cstheme="minorEastAsia"/>
          <w:color w:val="000000"/>
          <w:spacing w:val="0"/>
          <w:kern w:val="21"/>
          <w:sz w:val="24"/>
          <w:lang w:val="zh-CN" w:eastAsia="zh-CN"/>
        </w:rPr>
        <w:t>接到采购人报修通知后，成交供应商必须在10分钟内赶到现场，对电梯困人事故处理要求到达现场后立即解救被困人员。</w:t>
      </w:r>
    </w:p>
    <w:p w14:paraId="65756B64">
      <w:pPr>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Chars="0" w:right="0" w:rightChars="0" w:firstLine="480" w:firstLineChars="200"/>
        <w:jc w:val="left"/>
        <w:textAlignment w:val="auto"/>
        <w:rPr>
          <w:rFonts w:hint="eastAsia" w:asciiTheme="minorEastAsia" w:hAnsiTheme="minorEastAsia" w:eastAsiaTheme="minorEastAsia" w:cstheme="minorEastAsia"/>
          <w:color w:val="auto"/>
          <w:spacing w:val="0"/>
          <w:kern w:val="21"/>
          <w:sz w:val="24"/>
          <w:lang w:val="en-US" w:eastAsia="zh-CN"/>
        </w:rPr>
      </w:pPr>
      <w:r>
        <w:rPr>
          <w:rFonts w:hint="eastAsia" w:asciiTheme="minorEastAsia" w:hAnsiTheme="minorEastAsia" w:eastAsiaTheme="minorEastAsia" w:cstheme="minorEastAsia"/>
          <w:color w:val="auto"/>
          <w:spacing w:val="0"/>
          <w:kern w:val="21"/>
          <w:sz w:val="24"/>
          <w:lang w:val="en-US" w:eastAsia="zh-CN"/>
        </w:rPr>
        <w:t>肥西县中医院派河路门诊部：接到报修后30分钟到达现场。</w:t>
      </w:r>
    </w:p>
    <w:p w14:paraId="193B54E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right="0" w:rightChars="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对一般常见故障要求在30分钟内排除,对主板等重大故障应在24小时内解决，同时每日进行五方对讲系统的巡检，确保对讲系统正常运行。</w:t>
      </w:r>
    </w:p>
    <w:p w14:paraId="729F33B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6 </w:t>
      </w:r>
      <w:r>
        <w:rPr>
          <w:rFonts w:hint="eastAsia" w:asciiTheme="minorEastAsia" w:hAnsiTheme="minorEastAsia" w:eastAsiaTheme="minorEastAsia" w:cstheme="minorEastAsia"/>
          <w:color w:val="auto"/>
          <w:spacing w:val="0"/>
          <w:kern w:val="21"/>
          <w:sz w:val="24"/>
          <w:lang w:val="zh-CN" w:eastAsia="zh-CN"/>
        </w:rPr>
        <w:t>根据电梯的使用情况和设备状况，</w:t>
      </w:r>
      <w:r>
        <w:rPr>
          <w:rFonts w:hint="eastAsia" w:asciiTheme="minorEastAsia" w:hAnsiTheme="minorEastAsia" w:eastAsiaTheme="minorEastAsia" w:cstheme="minorEastAsia"/>
          <w:color w:val="auto"/>
          <w:spacing w:val="0"/>
          <w:kern w:val="21"/>
          <w:sz w:val="24"/>
          <w:lang w:val="en-US" w:eastAsia="zh-CN"/>
        </w:rPr>
        <w:t>新区44台电梯</w:t>
      </w:r>
      <w:r>
        <w:rPr>
          <w:rFonts w:hint="eastAsia" w:asciiTheme="minorEastAsia" w:hAnsiTheme="minorEastAsia" w:eastAsiaTheme="minorEastAsia" w:cstheme="minorEastAsia"/>
          <w:color w:val="auto"/>
          <w:spacing w:val="0"/>
          <w:kern w:val="21"/>
          <w:sz w:val="24"/>
          <w:lang w:val="zh-CN" w:eastAsia="zh-CN"/>
        </w:rPr>
        <w:t>提供</w:t>
      </w:r>
      <w:r>
        <w:rPr>
          <w:rFonts w:hint="eastAsia" w:asciiTheme="minorEastAsia" w:hAnsiTheme="minorEastAsia" w:eastAsiaTheme="minorEastAsia" w:cstheme="minorEastAsia"/>
          <w:color w:val="auto"/>
          <w:spacing w:val="0"/>
          <w:kern w:val="21"/>
          <w:sz w:val="24"/>
          <w:lang w:val="en-US" w:eastAsia="zh-CN"/>
        </w:rPr>
        <w:t>半</w:t>
      </w:r>
      <w:r>
        <w:rPr>
          <w:rFonts w:hint="eastAsia" w:asciiTheme="minorEastAsia" w:hAnsiTheme="minorEastAsia" w:eastAsiaTheme="minorEastAsia" w:cstheme="minorEastAsia"/>
          <w:color w:val="auto"/>
          <w:spacing w:val="0"/>
          <w:kern w:val="21"/>
          <w:sz w:val="24"/>
          <w:lang w:val="zh-CN" w:eastAsia="zh-CN"/>
        </w:rPr>
        <w:t>包维保服务；提供电梯维修保养所需的全部工具和劳务，</w:t>
      </w:r>
      <w:r>
        <w:rPr>
          <w:rFonts w:hint="eastAsia" w:asciiTheme="minorEastAsia" w:hAnsiTheme="minorEastAsia" w:eastAsiaTheme="minorEastAsia" w:cstheme="minorEastAsia"/>
          <w:color w:val="auto"/>
          <w:spacing w:val="0"/>
          <w:kern w:val="21"/>
          <w:sz w:val="24"/>
          <w:lang w:val="en-US" w:eastAsia="zh-CN"/>
        </w:rPr>
        <w:t>单只配件单价500元及以内</w:t>
      </w:r>
      <w:r>
        <w:rPr>
          <w:rFonts w:hint="eastAsia" w:asciiTheme="minorEastAsia" w:hAnsiTheme="minorEastAsia" w:eastAsiaTheme="minorEastAsia" w:cstheme="minorEastAsia"/>
          <w:color w:val="auto"/>
          <w:spacing w:val="0"/>
          <w:kern w:val="21"/>
          <w:sz w:val="24"/>
          <w:lang w:val="zh-CN" w:eastAsia="zh-CN"/>
        </w:rPr>
        <w:t>非人为损坏的电梯零部件</w:t>
      </w:r>
      <w:r>
        <w:rPr>
          <w:rFonts w:hint="eastAsia" w:asciiTheme="minorEastAsia" w:hAnsiTheme="minorEastAsia" w:eastAsiaTheme="minorEastAsia" w:cstheme="minorEastAsia"/>
          <w:color w:val="auto"/>
          <w:spacing w:val="0"/>
          <w:kern w:val="21"/>
          <w:sz w:val="24"/>
          <w:lang w:val="en-US" w:eastAsia="zh-CN"/>
        </w:rPr>
        <w:t>直接</w:t>
      </w:r>
      <w:r>
        <w:rPr>
          <w:rFonts w:hint="eastAsia" w:asciiTheme="minorEastAsia" w:hAnsiTheme="minorEastAsia" w:eastAsiaTheme="minorEastAsia" w:cstheme="minorEastAsia"/>
          <w:color w:val="auto"/>
          <w:spacing w:val="0"/>
          <w:kern w:val="21"/>
          <w:sz w:val="24"/>
          <w:lang w:val="zh-CN" w:eastAsia="zh-CN"/>
        </w:rPr>
        <w:t>更换；</w:t>
      </w:r>
      <w:r>
        <w:rPr>
          <w:rFonts w:hint="eastAsia" w:asciiTheme="minorEastAsia" w:hAnsiTheme="minorEastAsia" w:eastAsiaTheme="minorEastAsia" w:cstheme="minorEastAsia"/>
          <w:color w:val="auto"/>
          <w:spacing w:val="0"/>
          <w:kern w:val="21"/>
          <w:sz w:val="24"/>
          <w:lang w:val="en-US" w:eastAsia="zh-CN"/>
        </w:rPr>
        <w:t>供应商报价</w:t>
      </w:r>
      <w:r>
        <w:rPr>
          <w:rFonts w:hint="eastAsia" w:asciiTheme="minorEastAsia" w:hAnsiTheme="minorEastAsia" w:eastAsiaTheme="minorEastAsia" w:cstheme="minorEastAsia"/>
          <w:color w:val="auto"/>
          <w:spacing w:val="0"/>
          <w:kern w:val="21"/>
          <w:sz w:val="24"/>
          <w:lang w:val="zh-CN" w:eastAsia="zh-CN"/>
        </w:rPr>
        <w:t>费用含</w:t>
      </w:r>
      <w:r>
        <w:rPr>
          <w:rFonts w:hint="eastAsia" w:asciiTheme="minorEastAsia" w:hAnsiTheme="minorEastAsia" w:eastAsiaTheme="minorEastAsia" w:cstheme="minorEastAsia"/>
          <w:color w:val="auto"/>
          <w:spacing w:val="0"/>
          <w:kern w:val="21"/>
          <w:sz w:val="24"/>
          <w:lang w:val="en-US" w:eastAsia="zh-CN"/>
        </w:rPr>
        <w:t>单价500元及以内</w:t>
      </w:r>
      <w:r>
        <w:rPr>
          <w:rFonts w:hint="eastAsia" w:asciiTheme="minorEastAsia" w:hAnsiTheme="minorEastAsia" w:eastAsiaTheme="minorEastAsia" w:cstheme="minorEastAsia"/>
          <w:color w:val="auto"/>
          <w:spacing w:val="0"/>
          <w:kern w:val="21"/>
          <w:sz w:val="24"/>
          <w:lang w:val="zh-CN" w:eastAsia="zh-CN"/>
        </w:rPr>
        <w:t>电梯配件、人工、税</w:t>
      </w:r>
      <w:r>
        <w:rPr>
          <w:rFonts w:hint="eastAsia" w:asciiTheme="minorEastAsia" w:hAnsiTheme="minorEastAsia" w:eastAsiaTheme="minorEastAsia" w:cstheme="minorEastAsia"/>
          <w:color w:val="auto"/>
          <w:spacing w:val="0"/>
          <w:kern w:val="21"/>
          <w:sz w:val="24"/>
          <w:lang w:val="en-US" w:eastAsia="zh-CN"/>
        </w:rPr>
        <w:t>费</w:t>
      </w:r>
      <w:r>
        <w:rPr>
          <w:rFonts w:hint="eastAsia" w:asciiTheme="minorEastAsia" w:hAnsiTheme="minorEastAsia" w:eastAsiaTheme="minorEastAsia" w:cstheme="minorEastAsia"/>
          <w:color w:val="auto"/>
          <w:spacing w:val="0"/>
          <w:kern w:val="21"/>
          <w:sz w:val="24"/>
          <w:lang w:val="zh-CN" w:eastAsia="zh-CN"/>
        </w:rPr>
        <w:t>及电梯年检（</w:t>
      </w:r>
      <w:r>
        <w:rPr>
          <w:rFonts w:hint="eastAsia" w:asciiTheme="minorEastAsia" w:hAnsiTheme="minorEastAsia" w:eastAsiaTheme="minorEastAsia" w:cstheme="minorEastAsia"/>
          <w:color w:val="auto"/>
          <w:spacing w:val="0"/>
          <w:kern w:val="21"/>
          <w:sz w:val="24"/>
          <w:lang w:val="en-US" w:eastAsia="zh-CN"/>
        </w:rPr>
        <w:t>年度检验检测、限速器校验、125%额定载荷制动试验</w:t>
      </w:r>
      <w:r>
        <w:rPr>
          <w:rFonts w:hint="eastAsia" w:asciiTheme="minorEastAsia" w:hAnsiTheme="minorEastAsia" w:eastAsiaTheme="minorEastAsia" w:cstheme="minorEastAsia"/>
          <w:color w:val="auto"/>
          <w:spacing w:val="0"/>
          <w:kern w:val="21"/>
          <w:sz w:val="24"/>
          <w:lang w:val="zh-CN" w:eastAsia="zh-CN"/>
        </w:rPr>
        <w:t>）费用等所有费用；政府技术监督部门要求新增的功能及部件除外。</w:t>
      </w:r>
    </w:p>
    <w:p w14:paraId="7309925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派河路门诊部2台电梯实行全包维保服务：维保范围内所有配件（含易损件、损耗件、主要零部件）全部由成交供应商</w:t>
      </w:r>
      <w:r>
        <w:rPr>
          <w:rFonts w:hint="eastAsia" w:asciiTheme="minorEastAsia" w:hAnsiTheme="minorEastAsia" w:eastAsiaTheme="minorEastAsia" w:cstheme="minorEastAsia"/>
          <w:color w:val="auto"/>
          <w:spacing w:val="0"/>
          <w:kern w:val="21"/>
          <w:sz w:val="24"/>
          <w:lang w:val="en-US" w:eastAsia="zh-CN"/>
        </w:rPr>
        <w:t>直接</w:t>
      </w:r>
      <w:r>
        <w:rPr>
          <w:rFonts w:hint="eastAsia" w:asciiTheme="minorEastAsia" w:hAnsiTheme="minorEastAsia" w:eastAsiaTheme="minorEastAsia" w:cstheme="minorEastAsia"/>
          <w:color w:val="auto"/>
          <w:spacing w:val="0"/>
          <w:kern w:val="21"/>
          <w:sz w:val="24"/>
          <w:lang w:val="zh-CN" w:eastAsia="zh-CN"/>
        </w:rPr>
        <w:t>提供，</w:t>
      </w:r>
      <w:r>
        <w:rPr>
          <w:rFonts w:hint="eastAsia" w:asciiTheme="minorEastAsia" w:hAnsiTheme="minorEastAsia" w:eastAsiaTheme="minorEastAsia" w:cstheme="minorEastAsia"/>
          <w:color w:val="auto"/>
          <w:spacing w:val="0"/>
          <w:kern w:val="21"/>
          <w:sz w:val="24"/>
          <w:lang w:val="en-US" w:eastAsia="zh-CN"/>
        </w:rPr>
        <w:t>供应商报价</w:t>
      </w:r>
      <w:r>
        <w:rPr>
          <w:rFonts w:hint="eastAsia" w:asciiTheme="minorEastAsia" w:hAnsiTheme="minorEastAsia" w:eastAsiaTheme="minorEastAsia" w:cstheme="minorEastAsia"/>
          <w:color w:val="auto"/>
          <w:spacing w:val="0"/>
          <w:kern w:val="21"/>
          <w:sz w:val="24"/>
          <w:lang w:val="zh-CN" w:eastAsia="zh-CN"/>
        </w:rPr>
        <w:t>费用包含全部人工、耗材、年检、限速器校验、125%额定载荷制动试验等全部费用；政府技术监督部门要求新增的功能及部件除外。</w:t>
      </w:r>
    </w:p>
    <w:p w14:paraId="70145BD0">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7 </w:t>
      </w:r>
      <w:r>
        <w:rPr>
          <w:rFonts w:hint="eastAsia" w:asciiTheme="minorEastAsia" w:hAnsiTheme="minorEastAsia" w:eastAsiaTheme="minorEastAsia" w:cstheme="minorEastAsia"/>
          <w:color w:val="auto"/>
          <w:spacing w:val="0"/>
          <w:kern w:val="21"/>
          <w:sz w:val="24"/>
          <w:lang w:val="zh-CN" w:eastAsia="zh-CN"/>
        </w:rPr>
        <w:t>现场作业人员应当取得相应的《特种设备作业人员证》。为有效实施保养计划，供应商应安排熟悉所维保电梯原理、结构、性能、安全要求的特种设备作业人员负责维保工作，并督促其严格按照产品工艺要求、安全及技术规范进行维保。</w:t>
      </w:r>
    </w:p>
    <w:p w14:paraId="0D29332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8 </w:t>
      </w:r>
      <w:r>
        <w:rPr>
          <w:rFonts w:hint="eastAsia" w:asciiTheme="minorEastAsia" w:hAnsiTheme="minorEastAsia" w:eastAsiaTheme="minorEastAsia" w:cstheme="minorEastAsia"/>
          <w:color w:val="auto"/>
          <w:spacing w:val="0"/>
          <w:kern w:val="21"/>
          <w:sz w:val="24"/>
          <w:lang w:val="zh-CN" w:eastAsia="zh-CN"/>
        </w:rPr>
        <w:t>作业过程中应服从采购人现场安全管理，落实现场安全防护措施，保证作业安全；</w:t>
      </w:r>
      <w:r>
        <w:rPr>
          <w:rFonts w:hint="eastAsia" w:asciiTheme="minorEastAsia" w:hAnsiTheme="minorEastAsia" w:eastAsiaTheme="minorEastAsia" w:cstheme="minorEastAsia"/>
          <w:color w:val="auto"/>
          <w:spacing w:val="0"/>
          <w:kern w:val="21"/>
          <w:sz w:val="24"/>
          <w:lang w:val="en-US" w:eastAsia="zh-CN"/>
        </w:rPr>
        <w:t>维保人员的人身安全由供应商负责，供应商委派人员产生的一切责任由供应商自行承担，供应商需自行为其委派人员购买相关保险。</w:t>
      </w:r>
      <w:r>
        <w:rPr>
          <w:rFonts w:hint="eastAsia" w:asciiTheme="minorEastAsia" w:hAnsiTheme="minorEastAsia" w:eastAsiaTheme="minorEastAsia" w:cstheme="minorEastAsia"/>
          <w:color w:val="auto"/>
          <w:spacing w:val="0"/>
          <w:kern w:val="21"/>
          <w:sz w:val="24"/>
          <w:lang w:val="zh-CN" w:eastAsia="zh-CN"/>
        </w:rPr>
        <w:t>需要安全监护作业的内容应书面告知采购人，作业时，作业人员不得少于二人。</w:t>
      </w:r>
    </w:p>
    <w:p w14:paraId="7D1BB9F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9 </w:t>
      </w:r>
      <w:r>
        <w:rPr>
          <w:rFonts w:hint="eastAsia" w:asciiTheme="minorEastAsia" w:hAnsiTheme="minorEastAsia" w:eastAsiaTheme="minorEastAsia" w:cstheme="minorEastAsia"/>
          <w:color w:val="auto"/>
          <w:spacing w:val="0"/>
          <w:kern w:val="21"/>
          <w:sz w:val="24"/>
          <w:lang w:val="zh-CN" w:eastAsia="zh-CN"/>
        </w:rPr>
        <w:t>当电梯出现故障，现场需采取停梯措施时，应立即通知采购人并及时组织抢修。</w:t>
      </w:r>
    </w:p>
    <w:p w14:paraId="661ADAB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en-US"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.10 </w:t>
      </w:r>
      <w:r>
        <w:rPr>
          <w:rFonts w:hint="eastAsia" w:asciiTheme="minorEastAsia" w:hAnsiTheme="minorEastAsia" w:eastAsiaTheme="minorEastAsia" w:cstheme="minorEastAsia"/>
          <w:color w:val="auto"/>
          <w:spacing w:val="0"/>
          <w:kern w:val="21"/>
          <w:sz w:val="24"/>
          <w:lang w:val="zh-CN" w:eastAsia="zh-CN"/>
        </w:rPr>
        <w:t>在维保电梯使用标志所标注的下次检验（检测）日期届满前1个月，</w:t>
      </w:r>
      <w:r>
        <w:rPr>
          <w:rFonts w:hint="eastAsia" w:asciiTheme="minorEastAsia" w:hAnsiTheme="minorEastAsia" w:eastAsiaTheme="minorEastAsia" w:cstheme="minorEastAsia"/>
          <w:color w:val="auto"/>
          <w:spacing w:val="0"/>
          <w:kern w:val="21"/>
          <w:sz w:val="24"/>
          <w:lang w:val="en-US" w:eastAsia="zh-CN"/>
        </w:rPr>
        <w:t>成交供应商配合协助采购人</w:t>
      </w:r>
      <w:r>
        <w:rPr>
          <w:rFonts w:hint="eastAsia" w:asciiTheme="minorEastAsia" w:hAnsiTheme="minorEastAsia" w:eastAsiaTheme="minorEastAsia" w:cstheme="minorEastAsia"/>
          <w:color w:val="auto"/>
          <w:spacing w:val="0"/>
          <w:kern w:val="21"/>
          <w:sz w:val="24"/>
          <w:lang w:val="zh-CN" w:eastAsia="zh-CN"/>
        </w:rPr>
        <w:t>向特种设备检验机构（有资质的第三方检测单位）</w:t>
      </w:r>
      <w:r>
        <w:rPr>
          <w:rFonts w:hint="eastAsia" w:asciiTheme="minorEastAsia" w:hAnsiTheme="minorEastAsia" w:eastAsiaTheme="minorEastAsia" w:cstheme="minorEastAsia"/>
          <w:color w:val="auto"/>
          <w:spacing w:val="0"/>
          <w:kern w:val="21"/>
          <w:sz w:val="24"/>
          <w:lang w:val="en-US" w:eastAsia="zh-CN"/>
        </w:rPr>
        <w:t>提交</w:t>
      </w:r>
      <w:r>
        <w:rPr>
          <w:rFonts w:hint="eastAsia" w:asciiTheme="minorEastAsia" w:hAnsiTheme="minorEastAsia" w:eastAsiaTheme="minorEastAsia" w:cstheme="minorEastAsia"/>
          <w:color w:val="auto"/>
          <w:spacing w:val="0"/>
          <w:kern w:val="21"/>
          <w:sz w:val="24"/>
          <w:lang w:val="zh-CN" w:eastAsia="zh-CN"/>
        </w:rPr>
        <w:t>定期检验（检测）申</w:t>
      </w:r>
      <w:r>
        <w:rPr>
          <w:rFonts w:hint="eastAsia" w:asciiTheme="minorEastAsia" w:hAnsiTheme="minorEastAsia" w:eastAsiaTheme="minorEastAsia" w:cstheme="minorEastAsia"/>
          <w:color w:val="auto"/>
          <w:spacing w:val="0"/>
          <w:kern w:val="21"/>
          <w:sz w:val="24"/>
          <w:lang w:val="en-US" w:eastAsia="zh-CN"/>
        </w:rPr>
        <w:t>报资料，完成送检相关配合工作，检验申报主体为采购人。</w:t>
      </w:r>
    </w:p>
    <w:p w14:paraId="1ABE729B">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lang w:val="zh-CN" w:eastAsia="zh-CN"/>
        </w:rPr>
      </w:pPr>
      <w:r>
        <w:rPr>
          <w:rFonts w:hint="eastAsia" w:asciiTheme="minorEastAsia" w:hAnsiTheme="minorEastAsia" w:eastAsiaTheme="minorEastAsia" w:cstheme="minorEastAsia"/>
          <w:color w:val="auto"/>
          <w:spacing w:val="0"/>
          <w:kern w:val="21"/>
          <w:sz w:val="24"/>
          <w:lang w:val="zh-CN" w:eastAsia="zh-CN"/>
        </w:rPr>
        <w:t>3.</w:t>
      </w:r>
      <w:r>
        <w:rPr>
          <w:rFonts w:hint="eastAsia" w:asciiTheme="minorEastAsia" w:hAnsiTheme="minorEastAsia" w:eastAsiaTheme="minorEastAsia" w:cstheme="minorEastAsia"/>
          <w:color w:val="auto"/>
          <w:spacing w:val="0"/>
          <w:kern w:val="21"/>
          <w:sz w:val="24"/>
          <w:lang w:val="en-US" w:eastAsia="zh-CN"/>
        </w:rPr>
        <w:t xml:space="preserve">11 </w:t>
      </w:r>
      <w:r>
        <w:rPr>
          <w:rFonts w:hint="eastAsia" w:asciiTheme="minorEastAsia" w:hAnsiTheme="minorEastAsia" w:eastAsiaTheme="minorEastAsia" w:cstheme="minorEastAsia"/>
          <w:color w:val="auto"/>
          <w:spacing w:val="0"/>
          <w:kern w:val="21"/>
          <w:sz w:val="24"/>
          <w:lang w:val="zh-CN" w:eastAsia="zh-CN"/>
        </w:rPr>
        <w:t>协助采购人建立健全安全管理制度、安全技术档案、相关运行资料（日管控、周排查、月调度、设备维修维保记录等）、应急救援预案，</w:t>
      </w:r>
      <w:r>
        <w:rPr>
          <w:rFonts w:hint="eastAsia" w:asciiTheme="minorEastAsia" w:hAnsiTheme="minorEastAsia" w:eastAsiaTheme="minorEastAsia" w:cstheme="minorEastAsia"/>
          <w:color w:val="auto"/>
          <w:spacing w:val="0"/>
          <w:kern w:val="21"/>
          <w:sz w:val="24"/>
          <w:lang w:val="en-US" w:eastAsia="zh-CN"/>
        </w:rPr>
        <w:t>全部档案资料所有权归属采购人；</w:t>
      </w:r>
      <w:r>
        <w:rPr>
          <w:rFonts w:hint="eastAsia" w:asciiTheme="minorEastAsia" w:hAnsiTheme="minorEastAsia" w:eastAsiaTheme="minorEastAsia" w:cstheme="minorEastAsia"/>
          <w:color w:val="auto"/>
          <w:spacing w:val="0"/>
          <w:kern w:val="21"/>
          <w:sz w:val="24"/>
          <w:lang w:val="zh-CN" w:eastAsia="zh-CN"/>
        </w:rPr>
        <w:t>配合采购人开展应急救援演练（一年不得少于两次）。</w:t>
      </w:r>
    </w:p>
    <w:p w14:paraId="27D0D47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szCs w:val="24"/>
          <w:lang w:val="zh-CN" w:eastAsia="zh-CN"/>
        </w:rPr>
      </w:pPr>
      <w:r>
        <w:rPr>
          <w:rFonts w:hint="eastAsia" w:asciiTheme="minorEastAsia" w:hAnsiTheme="minorEastAsia" w:eastAsiaTheme="minorEastAsia" w:cstheme="minorEastAsia"/>
          <w:color w:val="000000"/>
          <w:spacing w:val="0"/>
          <w:kern w:val="21"/>
          <w:sz w:val="24"/>
          <w:lang w:val="zh-CN" w:eastAsia="zh-CN"/>
        </w:rPr>
        <w:t>3.</w:t>
      </w:r>
      <w:r>
        <w:rPr>
          <w:rFonts w:hint="eastAsia" w:asciiTheme="minorEastAsia" w:hAnsiTheme="minorEastAsia" w:eastAsiaTheme="minorEastAsia" w:cstheme="minorEastAsia"/>
          <w:color w:val="000000"/>
          <w:spacing w:val="0"/>
          <w:kern w:val="21"/>
          <w:sz w:val="24"/>
          <w:lang w:val="en-US" w:eastAsia="zh-CN"/>
        </w:rPr>
        <w:t xml:space="preserve">12 </w:t>
      </w:r>
      <w:r>
        <w:rPr>
          <w:rFonts w:hint="eastAsia" w:asciiTheme="minorEastAsia" w:hAnsiTheme="minorEastAsia" w:eastAsiaTheme="minorEastAsia" w:cstheme="minorEastAsia"/>
          <w:color w:val="000000"/>
          <w:spacing w:val="0"/>
          <w:kern w:val="21"/>
          <w:sz w:val="24"/>
          <w:lang w:val="zh-CN" w:eastAsia="zh-CN"/>
        </w:rPr>
        <w:t>日常维保内容包含但不限于以下内容：</w:t>
      </w:r>
    </w:p>
    <w:p w14:paraId="274E7A2F">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color w:val="000000"/>
          <w:sz w:val="24"/>
        </w:rPr>
        <w:t>半月保养内容及要求（A1）</w:t>
      </w:r>
    </w:p>
    <w:tbl>
      <w:tblPr>
        <w:tblStyle w:val="16"/>
        <w:tblW w:w="8992" w:type="dxa"/>
        <w:jc w:val="center"/>
        <w:tblLayout w:type="fixed"/>
        <w:tblCellMar>
          <w:top w:w="0" w:type="dxa"/>
          <w:left w:w="108" w:type="dxa"/>
          <w:bottom w:w="0" w:type="dxa"/>
          <w:right w:w="108" w:type="dxa"/>
        </w:tblCellMar>
      </w:tblPr>
      <w:tblGrid>
        <w:gridCol w:w="844"/>
        <w:gridCol w:w="3474"/>
        <w:gridCol w:w="4674"/>
      </w:tblGrid>
      <w:tr w14:paraId="2908BB1E">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E55968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序号</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2BA189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维保项目（内容）</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FB6FB1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维保基本要求</w:t>
            </w:r>
          </w:p>
        </w:tc>
      </w:tr>
      <w:tr w14:paraId="0FFD0B47">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044AF3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A8F3D6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机房、滑轮间环境</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38A9CA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清洁、门窗完好，照明正常</w:t>
            </w:r>
          </w:p>
        </w:tc>
      </w:tr>
      <w:tr w14:paraId="4F30562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8CD9C3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ADB601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手动紧急操作装置</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B39409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齐全，在指定位置</w:t>
            </w:r>
          </w:p>
        </w:tc>
      </w:tr>
      <w:tr w14:paraId="7BB43AAA">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DF16F0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AF4D51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驱动主机</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6A91B2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运行室无异常振动和异常声响</w:t>
            </w:r>
          </w:p>
        </w:tc>
      </w:tr>
      <w:tr w14:paraId="055C4D9A">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20FB12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093231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制动器各销轴部位</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96B7A8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润滑，动作灵活</w:t>
            </w:r>
          </w:p>
        </w:tc>
      </w:tr>
      <w:tr w14:paraId="7ABD0D6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09244C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6A9541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制动器间隙</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880890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打开时制动衬和制动轮不应发生摩擦，间隙值符合制造单位要求</w:t>
            </w:r>
          </w:p>
        </w:tc>
      </w:tr>
      <w:tr w14:paraId="34F4B995">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FEA1C7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4613CF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制动器作为轿厢意外移动保护</w:t>
            </w:r>
          </w:p>
          <w:p w14:paraId="6F68348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装置制停子系统时的自监测</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79143A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制动力人工方式检测符合使用维护说明书要求：制动力自监测系统有记录</w:t>
            </w:r>
          </w:p>
        </w:tc>
      </w:tr>
      <w:tr w14:paraId="5AC5191A">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7BD46D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8A65AE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编码器</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18153B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清洁、安装牢固</w:t>
            </w:r>
          </w:p>
        </w:tc>
      </w:tr>
      <w:tr w14:paraId="67C0D91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3E13DD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86AA16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限速器各销轴部位</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0A58E5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润滑，转动灵活:电器开关正常</w:t>
            </w:r>
          </w:p>
        </w:tc>
      </w:tr>
      <w:tr w14:paraId="410205C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C1C71B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FB1F15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层门和轿门旁路装置</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8C7EC2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4DD8FBDF">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93EB1B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8DC561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紧急电动运行</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4A34E8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1F53F43F">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A109F1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09FA9B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轿顶</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5EBDE1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清洁，防护栏安全可靠</w:t>
            </w:r>
          </w:p>
        </w:tc>
      </w:tr>
      <w:tr w14:paraId="4621347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30EFF0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000C6C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轿顶检修开关、急停开关</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D2E035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6B85EA67">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BB8B54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3B7339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导靴上的油杯</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57AA14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吸油毛毡齐全，测量适宜，油杯无泄漏</w:t>
            </w:r>
          </w:p>
        </w:tc>
      </w:tr>
      <w:tr w14:paraId="790706E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13DD1C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FBA487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对重/平衡重块及其压板</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670E51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对重/平衡重块无松动，压板紧固</w:t>
            </w:r>
          </w:p>
        </w:tc>
      </w:tr>
      <w:tr w14:paraId="178234C7">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975ECE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595944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井道照明</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AC2DBD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齐全，正常</w:t>
            </w:r>
          </w:p>
        </w:tc>
      </w:tr>
      <w:tr w14:paraId="3080B86D">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9A1C9B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7B03AB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轿厢照明、风扇、应急照明</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572CCD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470ECE3E">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C136D8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EA7E3A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轿厢检修开关、停止装置</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60853C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6E8FD60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1EC096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264976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轿内报警装置、对讲系统</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4CAA6B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3A1A0765">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F2E2B3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F9A9FC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轿内显示、指令按钮、IC卡系</w:t>
            </w:r>
          </w:p>
          <w:p w14:paraId="097034F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统</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C90C92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齐全，有效</w:t>
            </w:r>
          </w:p>
        </w:tc>
      </w:tr>
      <w:tr w14:paraId="2C951C22">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8E2DA2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889005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轿门防撞击保护装置(安全触板，光幕、光电等)</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4FADE8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功能有效</w:t>
            </w:r>
          </w:p>
        </w:tc>
      </w:tr>
      <w:tr w14:paraId="329AA05F">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5D8A7B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D45AC6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轿门门锁电气触点</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897C44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清洁，触点接触良好，接线可靠</w:t>
            </w:r>
          </w:p>
        </w:tc>
      </w:tr>
      <w:tr w14:paraId="7F50489B">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B5715D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C6E5DC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轿门运行</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DCEA50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开启和关闭工作正常</w:t>
            </w:r>
          </w:p>
        </w:tc>
      </w:tr>
      <w:tr w14:paraId="24509E09">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DD4D7E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A615FC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轿厢平层精度</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F2B941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符合标准</w:t>
            </w:r>
          </w:p>
        </w:tc>
      </w:tr>
      <w:tr w14:paraId="785A3FF3">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C09F3F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D1C275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层站召唤、楼层显示</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F68BC5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齐全，有效</w:t>
            </w:r>
          </w:p>
        </w:tc>
      </w:tr>
      <w:tr w14:paraId="1A904D73">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55AB32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A02CFD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层门地坎</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DF8E58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w:t>
            </w:r>
          </w:p>
        </w:tc>
      </w:tr>
      <w:tr w14:paraId="41F8167E">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BAA607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ABF3B7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层门自动关门装置</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145619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正常</w:t>
            </w:r>
          </w:p>
        </w:tc>
      </w:tr>
      <w:tr w14:paraId="46EEBF4A">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BF01D0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CFFE83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层门门锁自动复位</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B7BC21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用层门钥匙打开手动开锁装置释放后，层门门锁能自动复位</w:t>
            </w:r>
          </w:p>
        </w:tc>
      </w:tr>
      <w:tr w14:paraId="282166B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B055CE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87D5EF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层门门锁电气触点</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3E32EF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清洁，触点接触好，接线可靠</w:t>
            </w:r>
          </w:p>
        </w:tc>
      </w:tr>
      <w:tr w14:paraId="48E1847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B525AF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0D069B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层门锁紧元件啮合度</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7D4ABE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不小于7mm</w:t>
            </w:r>
          </w:p>
        </w:tc>
      </w:tr>
      <w:tr w14:paraId="544B9CAB">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C5EBD0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CC8948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底坑环境</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99DA40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清洁，无渗水、积水、照明正常</w:t>
            </w:r>
          </w:p>
        </w:tc>
      </w:tr>
      <w:tr w14:paraId="07B8D088">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E72232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0B1ED4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底坑停止装置</w:t>
            </w:r>
          </w:p>
        </w:tc>
        <w:tc>
          <w:tcPr>
            <w:tcW w:w="46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8F566A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bl>
    <w:p w14:paraId="6DAF526E">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color w:val="000000"/>
          <w:sz w:val="24"/>
        </w:rPr>
        <w:t>季度保养项目内容及要求（A2）</w:t>
      </w:r>
    </w:p>
    <w:tbl>
      <w:tblPr>
        <w:tblStyle w:val="16"/>
        <w:tblW w:w="9005" w:type="dxa"/>
        <w:jc w:val="center"/>
        <w:tblLayout w:type="fixed"/>
        <w:tblCellMar>
          <w:top w:w="0" w:type="dxa"/>
          <w:left w:w="108" w:type="dxa"/>
          <w:bottom w:w="0" w:type="dxa"/>
          <w:right w:w="108" w:type="dxa"/>
        </w:tblCellMar>
      </w:tblPr>
      <w:tblGrid>
        <w:gridCol w:w="844"/>
        <w:gridCol w:w="3474"/>
        <w:gridCol w:w="4687"/>
      </w:tblGrid>
      <w:tr w14:paraId="58E02DF9">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6DCBC4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序号</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A61B98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维保项目(内容)</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3CB8A6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维保基本要求</w:t>
            </w:r>
          </w:p>
        </w:tc>
      </w:tr>
      <w:tr w14:paraId="1E4CBA22">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BBEEB2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384A35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减速箱润滑油</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956B89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油量适宜,除蜗杆伸出端外均无渗漏</w:t>
            </w:r>
          </w:p>
        </w:tc>
      </w:tr>
      <w:tr w14:paraId="3E14056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22E956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9720F9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制动衬</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54315D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清洁，磨损量不超过制造单位要求</w:t>
            </w:r>
          </w:p>
        </w:tc>
      </w:tr>
      <w:tr w14:paraId="756243E5">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F23166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768E9A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编码器</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643A50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09BA0C21">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BADAEB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E2528F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选层器动静触点</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240384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清洁，无烧蚀</w:t>
            </w:r>
          </w:p>
        </w:tc>
      </w:tr>
      <w:tr w14:paraId="64CE5C72">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CDA20E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A68DB3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曳引轮槽、悬挂装置</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0175E1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清洁,钢丝绳无严重油腻,张力均匀,符合制造单位要求</w:t>
            </w:r>
          </w:p>
        </w:tc>
      </w:tr>
      <w:tr w14:paraId="6E908192">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F87EBF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6CF6A5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限速器轮槽、限速器钢丝绳</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98B4A9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清洁，无严重油腻</w:t>
            </w:r>
          </w:p>
        </w:tc>
      </w:tr>
      <w:tr w14:paraId="5B12A9E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7BE718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14205A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靴衬、滚轮</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7381D1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清洁、磨损量不超过制造单位要求</w:t>
            </w:r>
          </w:p>
        </w:tc>
      </w:tr>
      <w:tr w14:paraId="2D2A643E">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4DBEC9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876124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验证轿门关闭的电气安全装置</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368B65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27CE6A4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0ED2B7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2FC6BC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层门、轿门系统中传动钢丝绳、胶带</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F6768A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按照制造单位要求进行清洁、调整</w:t>
            </w:r>
          </w:p>
        </w:tc>
      </w:tr>
      <w:tr w14:paraId="29FF62E3">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222713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FD5264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层门门导靴</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46E28C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磨损量不超过制造单位要求</w:t>
            </w:r>
          </w:p>
        </w:tc>
      </w:tr>
      <w:tr w14:paraId="0BF0CA81">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1DB31B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EB675C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消防开关</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930D44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工作正常，功能有效</w:t>
            </w:r>
          </w:p>
        </w:tc>
      </w:tr>
      <w:tr w14:paraId="0A59394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DCF720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A0F27A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耗能缓冲器</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762AF7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电气安全装置功能有效，油量适宜，柱塞无锈蚀</w:t>
            </w:r>
          </w:p>
        </w:tc>
      </w:tr>
      <w:tr w14:paraId="5D6F315D">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B52CFC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69E131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限速器张紧轮装置电气安全装置</w:t>
            </w:r>
          </w:p>
        </w:tc>
        <w:tc>
          <w:tcPr>
            <w:tcW w:w="4687"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FCC08F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bl>
    <w:p w14:paraId="2C4897EB">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heme="minorEastAsia" w:hAnsiTheme="minorEastAsia" w:eastAsiaTheme="minorEastAsia" w:cstheme="minorEastAsia"/>
          <w:b/>
          <w:bCs/>
          <w:color w:val="000000"/>
          <w:sz w:val="24"/>
        </w:rPr>
      </w:pPr>
    </w:p>
    <w:p w14:paraId="28336B3D">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电梯半年度保养内容及要求（A3）</w:t>
      </w:r>
    </w:p>
    <w:tbl>
      <w:tblPr>
        <w:tblStyle w:val="16"/>
        <w:tblW w:w="9003" w:type="dxa"/>
        <w:jc w:val="center"/>
        <w:tblLayout w:type="fixed"/>
        <w:tblCellMar>
          <w:top w:w="0" w:type="dxa"/>
          <w:left w:w="108" w:type="dxa"/>
          <w:bottom w:w="0" w:type="dxa"/>
          <w:right w:w="108" w:type="dxa"/>
        </w:tblCellMar>
      </w:tblPr>
      <w:tblGrid>
        <w:gridCol w:w="624"/>
        <w:gridCol w:w="3474"/>
        <w:gridCol w:w="4905"/>
      </w:tblGrid>
      <w:tr w14:paraId="3F2264F1">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104281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序号</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A67BB2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维保项目(内容)</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7787C9D">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维保基本要求</w:t>
            </w:r>
          </w:p>
        </w:tc>
      </w:tr>
      <w:tr w14:paraId="0B8D14AC">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A56941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C3BD54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lang w:val="en-US" w:eastAsia="zh-CN"/>
              </w:rPr>
            </w:pPr>
            <w:r>
              <w:rPr>
                <w:rFonts w:hint="eastAsia" w:asciiTheme="minorEastAsia" w:hAnsiTheme="minorEastAsia" w:eastAsiaTheme="minorEastAsia" w:cstheme="minorEastAsia"/>
                <w:color w:val="000000"/>
                <w:spacing w:val="0"/>
                <w:kern w:val="21"/>
                <w:sz w:val="24"/>
                <w:szCs w:val="24"/>
              </w:rPr>
              <w:t>电动机与减速机联轴器螺</w:t>
            </w:r>
            <w:r>
              <w:rPr>
                <w:rFonts w:hint="eastAsia" w:asciiTheme="minorEastAsia" w:hAnsiTheme="minorEastAsia" w:eastAsiaTheme="minorEastAsia" w:cstheme="minorEastAsia"/>
                <w:color w:val="000000"/>
                <w:spacing w:val="0"/>
                <w:kern w:val="21"/>
                <w:sz w:val="24"/>
                <w:szCs w:val="24"/>
                <w:lang w:val="en-US" w:eastAsia="zh-CN"/>
              </w:rPr>
              <w:t>栓</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F6C062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连接无松动，弹性元件外观良好，无老化现象</w:t>
            </w:r>
          </w:p>
        </w:tc>
      </w:tr>
      <w:tr w14:paraId="771ACA52">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D19C38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C1D258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无异常声，无振动，润滑良好</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52876A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无异常声，无振动，润滑良好</w:t>
            </w:r>
          </w:p>
        </w:tc>
      </w:tr>
      <w:tr w14:paraId="6A11652C">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1A37B3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08A6B2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曳引轮槽</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203B87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磨损量不超过制造单位要求</w:t>
            </w:r>
          </w:p>
        </w:tc>
      </w:tr>
      <w:tr w14:paraId="038AFB80">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4E7B62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81A31D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制动器上检测开关</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C9985B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工作正常，制动器动作可靠</w:t>
            </w:r>
          </w:p>
        </w:tc>
      </w:tr>
      <w:tr w14:paraId="77A4A3F0">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CB8060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2A610F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控制柜内各接线端子</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52C8F9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各接线紧固、整齐，线号齐全清晰</w:t>
            </w:r>
          </w:p>
        </w:tc>
      </w:tr>
      <w:tr w14:paraId="65F41C7B">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4F0A8B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B54065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控制柜各仪表</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54D1AEF">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显示正确</w:t>
            </w:r>
          </w:p>
        </w:tc>
      </w:tr>
      <w:tr w14:paraId="284035FE">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A4107A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33C5F8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井道、对重、轿顶</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57F0B4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各反绳轮轴承无异常声，无振动，润滑良好</w:t>
            </w:r>
          </w:p>
        </w:tc>
      </w:tr>
      <w:tr w14:paraId="4376865F">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1140EE0">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04296F6">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悬挂装置、补偿绳</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B2299E3">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磨损量、断丝数不超过要求</w:t>
            </w:r>
          </w:p>
        </w:tc>
      </w:tr>
      <w:tr w14:paraId="504076D5">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9C0140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5065E1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绳头组合</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1D4B6E7">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螺母无松动限速器钢丝绳磨损量、断丝数不超过制造单位要求</w:t>
            </w:r>
          </w:p>
        </w:tc>
      </w:tr>
      <w:tr w14:paraId="52406964">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AE7B821">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AD7FC0C">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层门、轿门门扇</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E94FCAE">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门扇各相关间隙符合标准</w:t>
            </w:r>
          </w:p>
        </w:tc>
      </w:tr>
      <w:tr w14:paraId="36251F1C">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3D7742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82A4FD5">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轿门开门限制装置</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FDF4A6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1D71330E">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8DC3EF4">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A8822F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对重缓冲距离</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C55185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符合标准值</w:t>
            </w:r>
          </w:p>
        </w:tc>
      </w:tr>
      <w:tr w14:paraId="3715D439">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41DBE3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85C1692">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补偿链(绳)</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8451C89">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与轿厢、对重接合处固定、无松动</w:t>
            </w:r>
          </w:p>
        </w:tc>
      </w:tr>
      <w:tr w14:paraId="15FEED98">
        <w:tblPrEx>
          <w:tblCellMar>
            <w:top w:w="0" w:type="dxa"/>
            <w:left w:w="108" w:type="dxa"/>
            <w:bottom w:w="0" w:type="dxa"/>
            <w:right w:w="108" w:type="dxa"/>
          </w:tblCellMar>
        </w:tblPrEx>
        <w:trPr>
          <w:trHeight w:val="23" w:hRule="atLeast"/>
          <w:jc w:val="center"/>
        </w:trPr>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0BEDBDA">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6C75128">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上下极限开关</w:t>
            </w:r>
          </w:p>
        </w:tc>
        <w:tc>
          <w:tcPr>
            <w:tcW w:w="4905"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8CD68FB">
            <w:pPr>
              <w:keepNext w:val="0"/>
              <w:keepLines w:val="0"/>
              <w:pageBreakBefore w:val="0"/>
              <w:widowControl w:val="0"/>
              <w:kinsoku/>
              <w:wordWrap/>
              <w:overflowPunct/>
              <w:topLinePunct w:val="0"/>
              <w:autoSpaceDE/>
              <w:autoSpaceDN/>
              <w:bidi w:val="0"/>
              <w:adjustRightInd/>
              <w:snapToGrid/>
              <w:spacing w:after="0" w:line="360" w:lineRule="auto"/>
              <w:ind w:left="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bl>
    <w:p w14:paraId="331D3E0B">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年度维保项目内容和要求（A4）</w:t>
      </w:r>
    </w:p>
    <w:tbl>
      <w:tblPr>
        <w:tblStyle w:val="16"/>
        <w:tblW w:w="9014" w:type="dxa"/>
        <w:jc w:val="center"/>
        <w:tblLayout w:type="fixed"/>
        <w:tblCellMar>
          <w:top w:w="0" w:type="dxa"/>
          <w:left w:w="108" w:type="dxa"/>
          <w:bottom w:w="0" w:type="dxa"/>
          <w:right w:w="108" w:type="dxa"/>
        </w:tblCellMar>
      </w:tblPr>
      <w:tblGrid>
        <w:gridCol w:w="844"/>
        <w:gridCol w:w="3474"/>
        <w:gridCol w:w="4696"/>
      </w:tblGrid>
      <w:tr w14:paraId="30A1D8E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6B534DA">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序号</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289B48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维保项目（内容）</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052A3A0">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维保基本要求</w:t>
            </w:r>
          </w:p>
        </w:tc>
      </w:tr>
      <w:tr w14:paraId="1D67982F">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9E1E07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48DBD31">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减速机润滑油</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BB12DA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按照制造单位要求适时更换，保证油质符合要求</w:t>
            </w:r>
          </w:p>
        </w:tc>
      </w:tr>
      <w:tr w14:paraId="352B9BA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B73D45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922A75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控制柜接触器，继电器触点</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276390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接触良好</w:t>
            </w:r>
          </w:p>
        </w:tc>
      </w:tr>
      <w:tr w14:paraId="0327994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A19DB6F">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5AB31E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制动器铁芯(柱塞)</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543D46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进行清洁、润滑、检查，磨损量不超过制造单位要求</w:t>
            </w:r>
          </w:p>
        </w:tc>
      </w:tr>
      <w:tr w14:paraId="65E15553">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2A29A2B">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77209F6">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导电绝缘性能测试</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421E0C9">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符合标准</w:t>
            </w:r>
          </w:p>
        </w:tc>
      </w:tr>
      <w:tr w14:paraId="7F78575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856B97F">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4796B24">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制动器制动能力</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79CEE7E">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符合制造单位要求，保持有足够的制动力，必要时进行轿厢装载125%额定载重量的制动试验</w:t>
            </w:r>
          </w:p>
        </w:tc>
      </w:tr>
      <w:tr w14:paraId="59EFF8A9">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DE8E4A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021170C">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限速器安全钳联动试验(对于使用年限不超过15年的限速器,</w:t>
            </w:r>
            <w:r>
              <w:rPr>
                <w:rFonts w:hint="eastAsia" w:asciiTheme="minorEastAsia" w:hAnsiTheme="minorEastAsia" w:eastAsiaTheme="minorEastAsia" w:cstheme="minorEastAsia"/>
                <w:color w:val="000000"/>
                <w:spacing w:val="0"/>
                <w:kern w:val="21"/>
                <w:sz w:val="24"/>
                <w:szCs w:val="24"/>
                <w:lang w:val="en-US" w:eastAsia="zh-CN"/>
              </w:rPr>
              <w:t>每2</w:t>
            </w:r>
            <w:r>
              <w:rPr>
                <w:rFonts w:hint="eastAsia" w:asciiTheme="minorEastAsia" w:hAnsiTheme="minorEastAsia" w:eastAsiaTheme="minorEastAsia" w:cstheme="minorEastAsia"/>
                <w:color w:val="000000"/>
                <w:spacing w:val="0"/>
                <w:kern w:val="21"/>
                <w:sz w:val="24"/>
                <w:szCs w:val="24"/>
              </w:rPr>
              <w:t>年进行一次限速器动作速度校验:对于使用年限超过15年的限速器，每年进行</w:t>
            </w:r>
            <w:r>
              <w:rPr>
                <w:rFonts w:hint="eastAsia" w:asciiTheme="minorEastAsia" w:hAnsiTheme="minorEastAsia" w:eastAsiaTheme="minorEastAsia" w:cstheme="minorEastAsia"/>
                <w:color w:val="000000"/>
                <w:spacing w:val="0"/>
                <w:kern w:val="21"/>
                <w:sz w:val="24"/>
                <w:szCs w:val="24"/>
                <w:lang w:val="en-US" w:eastAsia="zh-CN"/>
              </w:rPr>
              <w:t>一</w:t>
            </w:r>
            <w:r>
              <w:rPr>
                <w:rFonts w:hint="eastAsia" w:asciiTheme="minorEastAsia" w:hAnsiTheme="minorEastAsia" w:eastAsiaTheme="minorEastAsia" w:cstheme="minorEastAsia"/>
                <w:color w:val="000000"/>
                <w:spacing w:val="0"/>
                <w:kern w:val="21"/>
                <w:sz w:val="24"/>
                <w:szCs w:val="24"/>
              </w:rPr>
              <w:t>次限速</w:t>
            </w:r>
          </w:p>
          <w:p w14:paraId="32400D2E">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器动作速度检验)</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BFFB935">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671F2313">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61A297D">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1185D62">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上行超速保护装置动作试验</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94315D3">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6C2C8B76">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2997A0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8</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497A657">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轿厢意外移动保护装置动作试</w:t>
            </w:r>
          </w:p>
          <w:p w14:paraId="5566BD2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验</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2A23B5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工作正常</w:t>
            </w:r>
          </w:p>
        </w:tc>
      </w:tr>
      <w:tr w14:paraId="0D6BE06B">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C05ADCE">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9</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0724BCA">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轿顶、轿厢架、轿门及其附件安</w:t>
            </w:r>
          </w:p>
          <w:p w14:paraId="7AAF42A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装螺栓</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3A1229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坚固</w:t>
            </w:r>
          </w:p>
        </w:tc>
      </w:tr>
      <w:tr w14:paraId="1A95F842">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F2BA0A9">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10</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828EB3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轿厢和对重的导轨支架</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9E214CB">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固定，无松动</w:t>
            </w:r>
          </w:p>
        </w:tc>
      </w:tr>
      <w:tr w14:paraId="3F6738D0">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BD869D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11</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F4119D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轿厢和对重的导轨</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4C5AB6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清洁，压板牢固</w:t>
            </w:r>
          </w:p>
        </w:tc>
      </w:tr>
      <w:tr w14:paraId="7D6D45E1">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2BF1D72">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12</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E4886F5">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随行电缆</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5A05867">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无损伤</w:t>
            </w:r>
          </w:p>
        </w:tc>
      </w:tr>
      <w:tr w14:paraId="2547E8F1">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FC4059A">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13</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3C26DC4">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层门装置和地坎</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1F803976">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无影响正常使用的变形，各安装螺栓坚固</w:t>
            </w:r>
          </w:p>
        </w:tc>
      </w:tr>
      <w:tr w14:paraId="79C268A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106D7E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14</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95BD868">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轿厢称重装置</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6A9BC7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准确有效</w:t>
            </w:r>
          </w:p>
        </w:tc>
      </w:tr>
      <w:tr w14:paraId="22E332F4">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C462E3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15</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5C822801">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安全钳钳座</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3A0A65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固定，无松动</w:t>
            </w:r>
          </w:p>
        </w:tc>
      </w:tr>
      <w:tr w14:paraId="2E031197">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0B84D314">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16</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4ABE8B3C">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轿底各安装螺栓</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759D381D">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紧固</w:t>
            </w:r>
          </w:p>
        </w:tc>
      </w:tr>
      <w:tr w14:paraId="6F3720EE">
        <w:tblPrEx>
          <w:tblCellMar>
            <w:top w:w="0" w:type="dxa"/>
            <w:left w:w="108" w:type="dxa"/>
            <w:bottom w:w="0" w:type="dxa"/>
            <w:right w:w="108" w:type="dxa"/>
          </w:tblCellMar>
        </w:tblPrEx>
        <w:trPr>
          <w:trHeight w:val="23" w:hRule="atLeast"/>
          <w:jc w:val="center"/>
        </w:trPr>
        <w:tc>
          <w:tcPr>
            <w:tcW w:w="84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6C499D1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17</w:t>
            </w:r>
          </w:p>
        </w:tc>
        <w:tc>
          <w:tcPr>
            <w:tcW w:w="3474"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29BBAF36">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缓冲器</w:t>
            </w:r>
          </w:p>
        </w:tc>
        <w:tc>
          <w:tcPr>
            <w:tcW w:w="4696" w:type="dxa"/>
            <w:tcBorders>
              <w:top w:val="single" w:color="000000" w:sz="2" w:space="0"/>
              <w:left w:val="single" w:color="000000" w:sz="2" w:space="0"/>
              <w:bottom w:val="single" w:color="000000" w:sz="2" w:space="0"/>
              <w:right w:val="single" w:color="000000" w:sz="2" w:space="0"/>
            </w:tcBorders>
            <w:tcMar>
              <w:left w:w="0" w:type="dxa"/>
              <w:right w:w="0" w:type="dxa"/>
            </w:tcMar>
            <w:vAlign w:val="center"/>
          </w:tcPr>
          <w:p w14:paraId="3E285670">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固定，无松动</w:t>
            </w:r>
          </w:p>
        </w:tc>
      </w:tr>
    </w:tbl>
    <w:p w14:paraId="65D51273">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b/>
          <w:bCs/>
          <w:spacing w:val="0"/>
          <w:kern w:val="21"/>
          <w:sz w:val="24"/>
          <w:szCs w:val="24"/>
        </w:rPr>
      </w:pPr>
      <w:r>
        <w:rPr>
          <w:rFonts w:hint="eastAsia" w:asciiTheme="minorEastAsia" w:hAnsiTheme="minorEastAsia" w:eastAsiaTheme="minorEastAsia" w:cstheme="minorEastAsia"/>
          <w:b/>
          <w:bCs/>
          <w:color w:val="000000"/>
          <w:spacing w:val="0"/>
          <w:kern w:val="21"/>
          <w:sz w:val="24"/>
          <w:szCs w:val="24"/>
        </w:rPr>
        <w:t>注:季度保养项目内容及要求为表A1+表A2;半年度保养项目内容及要求为表A1+表A2+表A3;年度保养项目内容及要求为表A1+表A2+表A3+表A4。</w:t>
      </w:r>
    </w:p>
    <w:p w14:paraId="0BE744E4">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left="0" w:leftChars="0" w:right="0" w:firstLine="482" w:firstLineChars="200"/>
        <w:jc w:val="left"/>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b/>
          <w:color w:val="000000"/>
          <w:spacing w:val="0"/>
          <w:kern w:val="21"/>
          <w:sz w:val="24"/>
          <w:szCs w:val="24"/>
        </w:rPr>
        <w:t>四、报价要求</w:t>
      </w:r>
    </w:p>
    <w:p w14:paraId="39B57096">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000000"/>
          <w:spacing w:val="0"/>
          <w:kern w:val="21"/>
          <w:sz w:val="24"/>
          <w:szCs w:val="24"/>
        </w:rPr>
      </w:pPr>
      <w:r>
        <w:rPr>
          <w:rFonts w:hint="eastAsia" w:asciiTheme="minorEastAsia" w:hAnsiTheme="minorEastAsia" w:eastAsiaTheme="minorEastAsia" w:cstheme="minorEastAsia"/>
          <w:color w:val="000000"/>
          <w:spacing w:val="0"/>
          <w:kern w:val="21"/>
          <w:sz w:val="24"/>
          <w:szCs w:val="24"/>
        </w:rPr>
        <w:t>4.1</w:t>
      </w:r>
      <w:r>
        <w:rPr>
          <w:rFonts w:hint="eastAsia" w:asciiTheme="minorEastAsia" w:hAnsiTheme="minorEastAsia" w:eastAsiaTheme="minorEastAsia" w:cstheme="minorEastAsia"/>
          <w:color w:val="000000"/>
          <w:spacing w:val="0"/>
          <w:kern w:val="21"/>
          <w:sz w:val="24"/>
          <w:szCs w:val="24"/>
          <w:lang w:val="en-US" w:eastAsia="zh-CN"/>
        </w:rPr>
        <w:t xml:space="preserve"> </w:t>
      </w:r>
      <w:r>
        <w:rPr>
          <w:rFonts w:hint="eastAsia" w:asciiTheme="minorEastAsia" w:hAnsiTheme="minorEastAsia" w:eastAsiaTheme="minorEastAsia" w:cstheme="minorEastAsia"/>
          <w:color w:val="000000"/>
          <w:spacing w:val="0"/>
          <w:kern w:val="21"/>
          <w:sz w:val="24"/>
          <w:szCs w:val="24"/>
        </w:rPr>
        <w:t>本项目报总价，此报价是指完成采购需求全部内容的综合价格。包括</w:t>
      </w:r>
      <w:r>
        <w:rPr>
          <w:rFonts w:hint="eastAsia" w:asciiTheme="minorEastAsia" w:hAnsiTheme="minorEastAsia" w:eastAsiaTheme="minorEastAsia" w:cstheme="minorEastAsia"/>
          <w:color w:val="000000"/>
          <w:spacing w:val="0"/>
          <w:kern w:val="21"/>
          <w:sz w:val="24"/>
          <w:szCs w:val="24"/>
          <w:lang w:val="en-US" w:eastAsia="zh-CN"/>
        </w:rPr>
        <w:t>新区44台（半包）、派河路门诊2台（全包）</w:t>
      </w:r>
      <w:r>
        <w:rPr>
          <w:rFonts w:hint="eastAsia" w:asciiTheme="minorEastAsia" w:hAnsiTheme="minorEastAsia" w:eastAsiaTheme="minorEastAsia" w:cstheme="minorEastAsia"/>
          <w:color w:val="000000"/>
          <w:spacing w:val="0"/>
          <w:kern w:val="21"/>
          <w:sz w:val="24"/>
          <w:szCs w:val="24"/>
        </w:rPr>
        <w:t>维保</w:t>
      </w:r>
      <w:r>
        <w:rPr>
          <w:rFonts w:hint="eastAsia" w:asciiTheme="minorEastAsia" w:hAnsiTheme="minorEastAsia" w:eastAsiaTheme="minorEastAsia" w:cstheme="minorEastAsia"/>
          <w:color w:val="000000"/>
          <w:spacing w:val="0"/>
          <w:kern w:val="21"/>
          <w:sz w:val="24"/>
          <w:szCs w:val="24"/>
          <w:lang w:val="en-US" w:eastAsia="zh-CN"/>
        </w:rPr>
        <w:t>服务</w:t>
      </w:r>
      <w:r>
        <w:rPr>
          <w:rFonts w:hint="eastAsia" w:asciiTheme="minorEastAsia" w:hAnsiTheme="minorEastAsia" w:eastAsiaTheme="minorEastAsia" w:cstheme="minorEastAsia"/>
          <w:color w:val="000000"/>
          <w:spacing w:val="0"/>
          <w:kern w:val="21"/>
          <w:sz w:val="24"/>
          <w:szCs w:val="24"/>
        </w:rPr>
        <w:t>(含维保过程中的主要及辅助材料损耗)、年检及其他电梯检测类、各项服务、人工、验收、培训、税金等全部费用。</w:t>
      </w:r>
    </w:p>
    <w:p w14:paraId="01B2E97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spacing w:val="0"/>
          <w:kern w:val="21"/>
          <w:sz w:val="24"/>
          <w:szCs w:val="24"/>
        </w:rPr>
      </w:pPr>
      <w:r>
        <w:rPr>
          <w:rFonts w:hint="eastAsia" w:asciiTheme="minorEastAsia" w:hAnsiTheme="minorEastAsia" w:eastAsiaTheme="minorEastAsia" w:cstheme="minorEastAsia"/>
          <w:color w:val="000000"/>
          <w:spacing w:val="0"/>
          <w:kern w:val="21"/>
          <w:sz w:val="24"/>
          <w:szCs w:val="24"/>
        </w:rPr>
        <w:t>4.2供应商的报价应包含为完成本项目提出的服务需求和内容中所有可能发生的费用，即所需人工、物耗、工具、设备、交通、保险、税费、安全管理及可能发生的一切相关费用。供应商估算错误或漏项的风险一律由供应商承担，供应商自行勘察现场，充分了解本项目现状，综合考虑报价风险。</w:t>
      </w:r>
    </w:p>
    <w:p w14:paraId="07361CAD">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szCs w:val="24"/>
          <w:lang w:val="en-US" w:eastAsia="zh-CN"/>
        </w:rPr>
      </w:pPr>
      <w:r>
        <w:rPr>
          <w:rFonts w:hint="eastAsia" w:asciiTheme="minorEastAsia" w:hAnsiTheme="minorEastAsia" w:eastAsiaTheme="minorEastAsia" w:cstheme="minorEastAsia"/>
          <w:color w:val="auto"/>
          <w:spacing w:val="0"/>
          <w:kern w:val="21"/>
          <w:sz w:val="24"/>
          <w:szCs w:val="24"/>
        </w:rPr>
        <w:t>4.3</w:t>
      </w:r>
      <w:r>
        <w:rPr>
          <w:rFonts w:hint="eastAsia" w:asciiTheme="minorEastAsia" w:hAnsiTheme="minorEastAsia" w:eastAsiaTheme="minorEastAsia" w:cstheme="minorEastAsia"/>
          <w:color w:val="auto"/>
          <w:spacing w:val="0"/>
          <w:kern w:val="21"/>
          <w:sz w:val="24"/>
          <w:szCs w:val="24"/>
          <w:lang w:val="en-US" w:eastAsia="zh-CN"/>
        </w:rPr>
        <w:t xml:space="preserve"> 新区44台半包电梯：单只配件单价500元以内非人为损坏配件直接更换；单价500元以上配件需在采购单位同意下进行更换，更换部件的价格需由采购单位审定确认，更换后的旧配件归采购人所有，供应商不得自行处理。</w:t>
      </w:r>
    </w:p>
    <w:p w14:paraId="3FCD78B8">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szCs w:val="24"/>
          <w:lang w:val="en-US" w:eastAsia="zh-CN"/>
        </w:rPr>
      </w:pPr>
      <w:r>
        <w:rPr>
          <w:rFonts w:hint="eastAsia" w:asciiTheme="minorEastAsia" w:hAnsiTheme="minorEastAsia" w:eastAsiaTheme="minorEastAsia" w:cstheme="minorEastAsia"/>
          <w:color w:val="auto"/>
          <w:spacing w:val="0"/>
          <w:kern w:val="21"/>
          <w:sz w:val="24"/>
          <w:szCs w:val="24"/>
          <w:lang w:val="en-US" w:eastAsia="zh-CN"/>
        </w:rPr>
        <w:t>派河路2台全包电梯：所有维保范围内配件全部由成交供应商承担费用。</w:t>
      </w:r>
    </w:p>
    <w:p w14:paraId="4498A48E">
      <w:pPr>
        <w:keepNext w:val="0"/>
        <w:keepLines w:val="0"/>
        <w:pageBreakBefore w:val="0"/>
        <w:widowControl w:val="0"/>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szCs w:val="24"/>
        </w:rPr>
      </w:pPr>
      <w:r>
        <w:rPr>
          <w:rFonts w:hint="eastAsia" w:asciiTheme="minorEastAsia" w:hAnsiTheme="minorEastAsia" w:eastAsiaTheme="minorEastAsia" w:cstheme="minorEastAsia"/>
          <w:color w:val="auto"/>
          <w:spacing w:val="0"/>
          <w:kern w:val="21"/>
          <w:sz w:val="24"/>
          <w:szCs w:val="24"/>
          <w:lang w:val="en-US" w:eastAsia="zh-CN"/>
        </w:rPr>
        <w:t>成交供应商在服务期限内根据采购人的实际需求提供服务。</w:t>
      </w:r>
    </w:p>
    <w:p w14:paraId="06B4348A">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szCs w:val="24"/>
        </w:rPr>
      </w:pPr>
      <w:r>
        <w:rPr>
          <w:rFonts w:hint="eastAsia" w:asciiTheme="minorEastAsia" w:hAnsiTheme="minorEastAsia" w:eastAsiaTheme="minorEastAsia" w:cstheme="minorEastAsia"/>
          <w:color w:val="auto"/>
          <w:spacing w:val="0"/>
          <w:kern w:val="21"/>
          <w:sz w:val="24"/>
          <w:szCs w:val="24"/>
        </w:rPr>
        <w:t>4.4供应商须充分考虑所投服务成本，成交及合同履约期内，不得以任何理由要求对其最后报价进行变更或拒绝服务。</w:t>
      </w:r>
    </w:p>
    <w:p w14:paraId="6B608EDF">
      <w:pPr>
        <w:keepNext w:val="0"/>
        <w:keepLines w:val="0"/>
        <w:pageBreakBefore w:val="0"/>
        <w:widowControl w:val="0"/>
        <w:numPr>
          <w:ilvl w:val="0"/>
          <w:numId w:val="0"/>
        </w:numPr>
        <w:kinsoku/>
        <w:wordWrap/>
        <w:overflowPunct/>
        <w:topLinePunct w:val="0"/>
        <w:autoSpaceDE/>
        <w:autoSpaceDN/>
        <w:bidi w:val="0"/>
        <w:adjustRightInd/>
        <w:snapToGrid/>
        <w:ind w:left="0" w:leftChars="0" w:firstLine="482" w:firstLineChars="200"/>
        <w:jc w:val="left"/>
        <w:textAlignment w:val="auto"/>
        <w:rPr>
          <w:rFonts w:hint="eastAsia" w:asciiTheme="minorEastAsia" w:hAnsiTheme="minorEastAsia" w:eastAsiaTheme="minorEastAsia" w:cstheme="minorEastAsia"/>
          <w:b/>
          <w:color w:val="auto"/>
          <w:spacing w:val="0"/>
          <w:kern w:val="21"/>
          <w:sz w:val="24"/>
          <w:szCs w:val="24"/>
        </w:rPr>
      </w:pPr>
      <w:r>
        <w:rPr>
          <w:rFonts w:hint="eastAsia" w:asciiTheme="minorEastAsia" w:hAnsiTheme="minorEastAsia" w:eastAsiaTheme="minorEastAsia" w:cstheme="minorEastAsia"/>
          <w:b/>
          <w:color w:val="auto"/>
          <w:spacing w:val="0"/>
          <w:kern w:val="21"/>
          <w:sz w:val="24"/>
          <w:szCs w:val="24"/>
          <w:lang w:val="en-US" w:eastAsia="zh-CN" w:bidi="ar-SA"/>
        </w:rPr>
        <w:t>五、</w:t>
      </w:r>
      <w:r>
        <w:rPr>
          <w:rFonts w:hint="eastAsia" w:asciiTheme="minorEastAsia" w:hAnsiTheme="minorEastAsia" w:eastAsiaTheme="minorEastAsia" w:cstheme="minorEastAsia"/>
          <w:b/>
          <w:color w:val="auto"/>
          <w:spacing w:val="0"/>
          <w:kern w:val="21"/>
          <w:sz w:val="24"/>
          <w:szCs w:val="24"/>
        </w:rPr>
        <w:t>其他要求</w:t>
      </w:r>
    </w:p>
    <w:p w14:paraId="5BE6ECA0">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left="0" w:leftChars="0" w:right="0" w:firstLine="480" w:firstLineChars="200"/>
        <w:jc w:val="left"/>
        <w:textAlignment w:val="auto"/>
        <w:rPr>
          <w:rFonts w:hint="eastAsia" w:asciiTheme="minorEastAsia" w:hAnsiTheme="minorEastAsia" w:eastAsiaTheme="minorEastAsia" w:cstheme="minorEastAsia"/>
          <w:color w:val="auto"/>
          <w:spacing w:val="0"/>
          <w:kern w:val="21"/>
          <w:sz w:val="24"/>
          <w:szCs w:val="24"/>
        </w:rPr>
      </w:pPr>
      <w:r>
        <w:rPr>
          <w:rFonts w:hint="eastAsia" w:asciiTheme="minorEastAsia" w:hAnsiTheme="minorEastAsia" w:eastAsiaTheme="minorEastAsia" w:cstheme="minorEastAsia"/>
          <w:color w:val="auto"/>
          <w:spacing w:val="0"/>
          <w:kern w:val="21"/>
          <w:sz w:val="24"/>
          <w:szCs w:val="24"/>
        </w:rPr>
        <w:t>5.</w:t>
      </w:r>
      <w:r>
        <w:rPr>
          <w:rFonts w:hint="eastAsia" w:asciiTheme="minorEastAsia" w:hAnsiTheme="minorEastAsia" w:eastAsiaTheme="minorEastAsia" w:cstheme="minorEastAsia"/>
          <w:color w:val="auto"/>
          <w:spacing w:val="0"/>
          <w:kern w:val="21"/>
          <w:sz w:val="24"/>
          <w:szCs w:val="24"/>
          <w:lang w:val="en-US" w:eastAsia="zh-CN"/>
        </w:rPr>
        <w:t>1</w:t>
      </w:r>
      <w:r>
        <w:rPr>
          <w:rFonts w:hint="eastAsia" w:asciiTheme="minorEastAsia" w:hAnsiTheme="minorEastAsia" w:eastAsiaTheme="minorEastAsia" w:cstheme="minorEastAsia"/>
          <w:color w:val="auto"/>
          <w:spacing w:val="0"/>
          <w:kern w:val="21"/>
          <w:sz w:val="24"/>
          <w:szCs w:val="24"/>
        </w:rPr>
        <w:t>供应商</w:t>
      </w:r>
      <w:r>
        <w:rPr>
          <w:rFonts w:hint="eastAsia" w:asciiTheme="minorEastAsia" w:hAnsiTheme="minorEastAsia" w:eastAsiaTheme="minorEastAsia" w:cstheme="minorEastAsia"/>
          <w:color w:val="auto"/>
          <w:spacing w:val="0"/>
          <w:kern w:val="21"/>
          <w:sz w:val="24"/>
          <w:szCs w:val="24"/>
          <w:lang w:val="en-US" w:eastAsia="zh-CN"/>
        </w:rPr>
        <w:t>须为本项目</w:t>
      </w:r>
      <w:r>
        <w:rPr>
          <w:rFonts w:hint="eastAsia" w:asciiTheme="minorEastAsia" w:hAnsiTheme="minorEastAsia" w:eastAsiaTheme="minorEastAsia" w:cstheme="minorEastAsia"/>
          <w:color w:val="auto"/>
          <w:spacing w:val="0"/>
          <w:kern w:val="21"/>
          <w:sz w:val="24"/>
          <w:szCs w:val="24"/>
        </w:rPr>
        <w:t>配备</w:t>
      </w:r>
      <w:r>
        <w:rPr>
          <w:rFonts w:hint="eastAsia" w:asciiTheme="minorEastAsia" w:hAnsiTheme="minorEastAsia" w:eastAsiaTheme="minorEastAsia" w:cstheme="minorEastAsia"/>
          <w:color w:val="auto"/>
          <w:kern w:val="0"/>
          <w:sz w:val="24"/>
          <w:szCs w:val="24"/>
          <w:lang w:val="en-US" w:eastAsia="zh-CN" w:bidi="ar"/>
        </w:rPr>
        <w:t>维保的项目团队</w:t>
      </w:r>
      <w:r>
        <w:rPr>
          <w:rFonts w:hint="eastAsia" w:asciiTheme="minorEastAsia" w:hAnsiTheme="minorEastAsia" w:eastAsiaTheme="minorEastAsia" w:cstheme="minorEastAsia"/>
          <w:color w:val="auto"/>
          <w:spacing w:val="0"/>
          <w:kern w:val="21"/>
          <w:sz w:val="24"/>
          <w:szCs w:val="24"/>
          <w:lang w:val="en-US" w:eastAsia="zh-CN"/>
        </w:rPr>
        <w:t>，包括</w:t>
      </w:r>
      <w:r>
        <w:rPr>
          <w:rFonts w:hint="eastAsia" w:asciiTheme="minorEastAsia" w:hAnsiTheme="minorEastAsia" w:eastAsiaTheme="minorEastAsia" w:cstheme="minorEastAsia"/>
          <w:color w:val="auto"/>
          <w:spacing w:val="0"/>
          <w:kern w:val="21"/>
          <w:sz w:val="24"/>
          <w:szCs w:val="24"/>
        </w:rPr>
        <w:t>项目负责人</w:t>
      </w:r>
      <w:r>
        <w:rPr>
          <w:rFonts w:hint="eastAsia" w:asciiTheme="minorEastAsia" w:hAnsiTheme="minorEastAsia" w:eastAsiaTheme="minorEastAsia" w:cstheme="minorEastAsia"/>
          <w:color w:val="auto"/>
          <w:spacing w:val="0"/>
          <w:kern w:val="21"/>
          <w:sz w:val="24"/>
          <w:szCs w:val="24"/>
          <w:lang w:val="en-US" w:eastAsia="zh-CN"/>
        </w:rPr>
        <w:t>1人</w:t>
      </w:r>
      <w:r>
        <w:rPr>
          <w:rFonts w:hint="eastAsia" w:asciiTheme="minorEastAsia" w:hAnsiTheme="minorEastAsia" w:eastAsiaTheme="minorEastAsia" w:cstheme="minorEastAsia"/>
          <w:color w:val="auto"/>
          <w:spacing w:val="0"/>
          <w:kern w:val="21"/>
          <w:sz w:val="24"/>
          <w:szCs w:val="24"/>
        </w:rPr>
        <w:t>，</w:t>
      </w:r>
      <w:r>
        <w:rPr>
          <w:rFonts w:hint="eastAsia" w:asciiTheme="minorEastAsia" w:hAnsiTheme="minorEastAsia" w:eastAsiaTheme="minorEastAsia" w:cstheme="minorEastAsia"/>
          <w:color w:val="auto"/>
          <w:spacing w:val="0"/>
          <w:kern w:val="21"/>
          <w:sz w:val="24"/>
          <w:szCs w:val="24"/>
          <w:lang w:val="en-US" w:eastAsia="zh-CN"/>
        </w:rPr>
        <w:t>维保人员2人，</w:t>
      </w:r>
      <w:r>
        <w:rPr>
          <w:rFonts w:hint="eastAsia" w:asciiTheme="minorEastAsia" w:hAnsiTheme="minorEastAsia" w:eastAsiaTheme="minorEastAsia" w:cstheme="minorEastAsia"/>
          <w:color w:val="auto"/>
          <w:spacing w:val="0"/>
          <w:kern w:val="21"/>
          <w:sz w:val="24"/>
          <w:szCs w:val="24"/>
        </w:rPr>
        <w:t>为确保电梯故障处理的及时性，</w:t>
      </w:r>
      <w:r>
        <w:rPr>
          <w:rFonts w:hint="eastAsia" w:asciiTheme="minorEastAsia" w:hAnsiTheme="minorEastAsia" w:eastAsiaTheme="minorEastAsia" w:cstheme="minorEastAsia"/>
          <w:color w:val="auto"/>
          <w:spacing w:val="0"/>
          <w:kern w:val="21"/>
          <w:sz w:val="24"/>
          <w:szCs w:val="24"/>
          <w:lang w:val="en-US" w:eastAsia="zh-CN"/>
        </w:rPr>
        <w:t>新、老</w:t>
      </w:r>
      <w:r>
        <w:rPr>
          <w:rFonts w:hint="eastAsia" w:asciiTheme="minorEastAsia" w:hAnsiTheme="minorEastAsia" w:eastAsiaTheme="minorEastAsia" w:cstheme="minorEastAsia"/>
          <w:color w:val="auto"/>
          <w:spacing w:val="0"/>
          <w:kern w:val="21"/>
          <w:sz w:val="24"/>
          <w:szCs w:val="24"/>
        </w:rPr>
        <w:t>院区</w:t>
      </w:r>
      <w:r>
        <w:rPr>
          <w:rFonts w:hint="eastAsia" w:asciiTheme="minorEastAsia" w:hAnsiTheme="minorEastAsia" w:eastAsiaTheme="minorEastAsia" w:cstheme="minorEastAsia"/>
          <w:color w:val="auto"/>
          <w:spacing w:val="0"/>
          <w:kern w:val="21"/>
          <w:sz w:val="24"/>
          <w:szCs w:val="24"/>
          <w:lang w:val="en-US" w:eastAsia="zh-CN"/>
        </w:rPr>
        <w:t>至少</w:t>
      </w:r>
      <w:r>
        <w:rPr>
          <w:rFonts w:hint="eastAsia" w:asciiTheme="minorEastAsia" w:hAnsiTheme="minorEastAsia" w:eastAsiaTheme="minorEastAsia" w:cstheme="minorEastAsia"/>
          <w:color w:val="auto"/>
          <w:spacing w:val="0"/>
          <w:kern w:val="21"/>
          <w:sz w:val="24"/>
          <w:szCs w:val="24"/>
        </w:rPr>
        <w:t>派2名维保人员（含1人院内驻点</w:t>
      </w:r>
      <w:r>
        <w:rPr>
          <w:rFonts w:hint="eastAsia" w:asciiTheme="minorEastAsia" w:hAnsiTheme="minorEastAsia" w:eastAsiaTheme="minorEastAsia" w:cstheme="minorEastAsia"/>
          <w:color w:val="auto"/>
          <w:spacing w:val="0"/>
          <w:kern w:val="21"/>
          <w:sz w:val="24"/>
          <w:szCs w:val="24"/>
          <w:lang w:eastAsia="zh-CN"/>
        </w:rPr>
        <w:t>（</w:t>
      </w:r>
      <w:r>
        <w:rPr>
          <w:rFonts w:hint="eastAsia" w:asciiTheme="minorEastAsia" w:hAnsiTheme="minorEastAsia" w:eastAsiaTheme="minorEastAsia" w:cstheme="minorEastAsia"/>
          <w:color w:val="auto"/>
          <w:spacing w:val="0"/>
          <w:kern w:val="21"/>
          <w:sz w:val="24"/>
          <w:szCs w:val="24"/>
          <w:lang w:val="en-US" w:eastAsia="zh-CN"/>
        </w:rPr>
        <w:t>7:30至18:00</w:t>
      </w:r>
      <w:r>
        <w:rPr>
          <w:rFonts w:hint="eastAsia" w:asciiTheme="minorEastAsia" w:hAnsiTheme="minorEastAsia" w:eastAsiaTheme="minorEastAsia" w:cstheme="minorEastAsia"/>
          <w:color w:val="auto"/>
          <w:spacing w:val="0"/>
          <w:kern w:val="21"/>
          <w:sz w:val="24"/>
          <w:szCs w:val="24"/>
          <w:lang w:eastAsia="zh-CN"/>
        </w:rPr>
        <w:t>）</w:t>
      </w:r>
      <w:r>
        <w:rPr>
          <w:rFonts w:hint="eastAsia" w:asciiTheme="minorEastAsia" w:hAnsiTheme="minorEastAsia" w:eastAsiaTheme="minorEastAsia" w:cstheme="minorEastAsia"/>
          <w:color w:val="auto"/>
          <w:spacing w:val="0"/>
          <w:kern w:val="21"/>
          <w:sz w:val="24"/>
          <w:szCs w:val="24"/>
        </w:rPr>
        <w:t>），且同样须具备特种设备作业资格。如特殊原因须更换项目负责人时，应提前一个月向采购人提供书面报告，经采购人同意后方可更换，否则处以供应商违约金</w:t>
      </w:r>
      <w:r>
        <w:rPr>
          <w:rFonts w:hint="eastAsia" w:asciiTheme="minorEastAsia" w:hAnsiTheme="minorEastAsia" w:eastAsiaTheme="minorEastAsia" w:cstheme="minorEastAsia"/>
          <w:color w:val="auto"/>
          <w:spacing w:val="0"/>
          <w:kern w:val="21"/>
          <w:sz w:val="24"/>
          <w:szCs w:val="24"/>
          <w:lang w:val="en-US" w:eastAsia="zh-CN"/>
        </w:rPr>
        <w:t>2000</w:t>
      </w:r>
      <w:r>
        <w:rPr>
          <w:rFonts w:hint="eastAsia" w:asciiTheme="minorEastAsia" w:hAnsiTheme="minorEastAsia" w:eastAsiaTheme="minorEastAsia" w:cstheme="minorEastAsia"/>
          <w:color w:val="auto"/>
          <w:spacing w:val="0"/>
          <w:kern w:val="21"/>
          <w:sz w:val="24"/>
          <w:szCs w:val="24"/>
        </w:rPr>
        <w:t>元，从当期维保费中予以扣除；若供应商项目负责人的工作不满足采购人要求，采购人有权随时更换项目负责人。</w:t>
      </w:r>
    </w:p>
    <w:p w14:paraId="7740BB99">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right="0" w:firstLine="480" w:firstLineChars="200"/>
        <w:jc w:val="left"/>
        <w:textAlignment w:val="auto"/>
        <w:rPr>
          <w:rFonts w:hint="eastAsia" w:asciiTheme="minorEastAsia" w:hAnsiTheme="minorEastAsia" w:eastAsiaTheme="minorEastAsia" w:cstheme="minorEastAsia"/>
          <w:color w:val="auto"/>
          <w:spacing w:val="0"/>
          <w:kern w:val="21"/>
          <w:sz w:val="24"/>
        </w:rPr>
      </w:pPr>
      <w:r>
        <w:rPr>
          <w:rFonts w:hint="eastAsia" w:asciiTheme="minorEastAsia" w:hAnsiTheme="minorEastAsia" w:eastAsiaTheme="minorEastAsia" w:cstheme="minorEastAsia"/>
          <w:color w:val="auto"/>
          <w:spacing w:val="0"/>
          <w:kern w:val="21"/>
          <w:sz w:val="24"/>
        </w:rPr>
        <w:t>5.</w:t>
      </w:r>
      <w:r>
        <w:rPr>
          <w:rFonts w:hint="eastAsia" w:asciiTheme="minorEastAsia" w:hAnsiTheme="minorEastAsia" w:eastAsiaTheme="minorEastAsia" w:cstheme="minorEastAsia"/>
          <w:color w:val="auto"/>
          <w:spacing w:val="0"/>
          <w:kern w:val="21"/>
          <w:sz w:val="24"/>
          <w:lang w:val="en-US" w:eastAsia="zh-CN"/>
        </w:rPr>
        <w:t xml:space="preserve">2 </w:t>
      </w:r>
      <w:r>
        <w:rPr>
          <w:rFonts w:hint="eastAsia" w:asciiTheme="minorEastAsia" w:hAnsiTheme="minorEastAsia" w:eastAsiaTheme="minorEastAsia" w:cstheme="minorEastAsia"/>
          <w:color w:val="auto"/>
          <w:spacing w:val="0"/>
          <w:kern w:val="21"/>
          <w:sz w:val="24"/>
        </w:rPr>
        <w:t>驻点人员须满足全年度24小时应急处理要求，严禁缺岗，</w:t>
      </w:r>
      <w:r>
        <w:rPr>
          <w:rFonts w:hint="eastAsia" w:asciiTheme="minorEastAsia" w:hAnsiTheme="minorEastAsia" w:eastAsiaTheme="minorEastAsia" w:cstheme="minorEastAsia"/>
          <w:color w:val="auto"/>
          <w:spacing w:val="0"/>
          <w:kern w:val="21"/>
          <w:sz w:val="24"/>
          <w:lang w:val="en-US" w:eastAsia="zh-CN"/>
        </w:rPr>
        <w:t>采购人发现缺岗问题，向供应商出具书面整改通知，限期整改；整改到期仍发生缺岗的，</w:t>
      </w:r>
      <w:r>
        <w:rPr>
          <w:rFonts w:hint="eastAsia" w:asciiTheme="minorEastAsia" w:hAnsiTheme="minorEastAsia" w:eastAsiaTheme="minorEastAsia" w:cstheme="minorEastAsia"/>
          <w:color w:val="auto"/>
          <w:spacing w:val="0"/>
          <w:kern w:val="21"/>
          <w:sz w:val="24"/>
        </w:rPr>
        <w:t>处罚供应商2000元，从当期维保费中予以扣除。</w:t>
      </w:r>
    </w:p>
    <w:p w14:paraId="2AC43A05">
      <w:pPr>
        <w:keepNext w:val="0"/>
        <w:keepLines w:val="0"/>
        <w:pageBreakBefore w:val="0"/>
        <w:widowControl w:val="0"/>
        <w:tabs>
          <w:tab w:val="left" w:pos="840"/>
        </w:tabs>
        <w:kinsoku/>
        <w:wordWrap/>
        <w:overflowPunct/>
        <w:topLinePunct w:val="0"/>
        <w:autoSpaceDE/>
        <w:autoSpaceDN/>
        <w:bidi w:val="0"/>
        <w:adjustRightInd/>
        <w:snapToGrid/>
        <w:spacing w:after="0" w:line="360" w:lineRule="auto"/>
        <w:ind w:right="0" w:firstLine="480" w:firstLineChars="200"/>
        <w:jc w:val="left"/>
        <w:textAlignment w:val="auto"/>
        <w:rPr>
          <w:rFonts w:hint="eastAsia" w:asciiTheme="minorEastAsia" w:hAnsiTheme="minorEastAsia" w:eastAsiaTheme="minorEastAsia" w:cstheme="minorEastAsia"/>
          <w:color w:val="auto"/>
          <w:spacing w:val="0"/>
          <w:kern w:val="21"/>
          <w:sz w:val="24"/>
        </w:rPr>
      </w:pPr>
      <w:r>
        <w:rPr>
          <w:rFonts w:hint="eastAsia" w:asciiTheme="minorEastAsia" w:hAnsiTheme="minorEastAsia" w:eastAsiaTheme="minorEastAsia" w:cstheme="minorEastAsia"/>
          <w:color w:val="auto"/>
          <w:spacing w:val="0"/>
          <w:kern w:val="21"/>
          <w:sz w:val="24"/>
        </w:rPr>
        <w:t>5.</w:t>
      </w:r>
      <w:r>
        <w:rPr>
          <w:rFonts w:hint="eastAsia" w:asciiTheme="minorEastAsia" w:hAnsiTheme="minorEastAsia" w:eastAsiaTheme="minorEastAsia" w:cstheme="minorEastAsia"/>
          <w:color w:val="auto"/>
          <w:spacing w:val="0"/>
          <w:kern w:val="21"/>
          <w:sz w:val="24"/>
          <w:lang w:val="en-US" w:eastAsia="zh-CN"/>
        </w:rPr>
        <w:t>3</w:t>
      </w:r>
      <w:r>
        <w:rPr>
          <w:rFonts w:hint="eastAsia" w:asciiTheme="minorEastAsia" w:hAnsiTheme="minorEastAsia" w:eastAsiaTheme="minorEastAsia" w:cstheme="minorEastAsia"/>
          <w:color w:val="auto"/>
          <w:spacing w:val="0"/>
          <w:kern w:val="21"/>
          <w:sz w:val="24"/>
        </w:rPr>
        <w:t>成交供应商须严格按照采购文件中的要求履行维保服务。采购人检查发现维保工作不符合要求，向供应商出具书面整改通知书，明确整改时限；逾期拒不整改或整改不合格的，按如下执行：出现一次处以违约金2000元，出现两次处以违约金5000元，出现三次采购人有权上报政府采购监管部门。本条所指次数为同一问题累计次数。</w:t>
      </w:r>
    </w:p>
    <w:p w14:paraId="7789150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pacing w:val="0"/>
          <w:kern w:val="21"/>
          <w:sz w:val="24"/>
        </w:rPr>
      </w:pPr>
      <w:r>
        <w:rPr>
          <w:rFonts w:hint="eastAsia" w:asciiTheme="minorEastAsia" w:hAnsiTheme="minorEastAsia" w:eastAsiaTheme="minorEastAsia" w:cstheme="minorEastAsia"/>
          <w:color w:val="auto"/>
          <w:spacing w:val="0"/>
          <w:kern w:val="21"/>
          <w:sz w:val="24"/>
        </w:rPr>
        <w:t>5.</w:t>
      </w:r>
      <w:r>
        <w:rPr>
          <w:rFonts w:hint="eastAsia" w:asciiTheme="minorEastAsia" w:hAnsiTheme="minorEastAsia" w:eastAsiaTheme="minorEastAsia" w:cstheme="minorEastAsia"/>
          <w:color w:val="auto"/>
          <w:spacing w:val="0"/>
          <w:kern w:val="21"/>
          <w:sz w:val="24"/>
          <w:lang w:val="en-US" w:eastAsia="zh-CN"/>
        </w:rPr>
        <w:t>4</w:t>
      </w:r>
      <w:r>
        <w:rPr>
          <w:rFonts w:hint="eastAsia" w:asciiTheme="minorEastAsia" w:hAnsiTheme="minorEastAsia" w:eastAsiaTheme="minorEastAsia" w:cstheme="minorEastAsia"/>
          <w:color w:val="auto"/>
          <w:spacing w:val="0"/>
          <w:kern w:val="21"/>
          <w:sz w:val="24"/>
        </w:rPr>
        <w:t>成交供应商须为本项目保养全部电梯购买商业综合责任保险，保险单最低保额不低于200万元/台，采购人列为被保险人；合同签订</w:t>
      </w:r>
      <w:r>
        <w:rPr>
          <w:rFonts w:hint="eastAsia" w:asciiTheme="minorEastAsia" w:hAnsiTheme="minorEastAsia" w:eastAsiaTheme="minorEastAsia" w:cstheme="minorEastAsia"/>
          <w:color w:val="auto"/>
          <w:lang w:val="en-US" w:eastAsia="zh-CN"/>
        </w:rPr>
        <w:t>后进场服务前须</w:t>
      </w:r>
      <w:r>
        <w:rPr>
          <w:rFonts w:hint="eastAsia" w:asciiTheme="minorEastAsia" w:hAnsiTheme="minorEastAsia" w:eastAsiaTheme="minorEastAsia" w:cstheme="minorEastAsia"/>
          <w:color w:val="auto"/>
          <w:spacing w:val="0"/>
          <w:kern w:val="21"/>
          <w:sz w:val="24"/>
        </w:rPr>
        <w:t>向采购人提交有效保险保单复印件，保险有效期覆盖整个服务合同期。</w:t>
      </w:r>
    </w:p>
    <w:p w14:paraId="2CEA5A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pacing w:val="0"/>
          <w:kern w:val="21"/>
          <w:sz w:val="24"/>
          <w:szCs w:val="24"/>
          <w:highlight w:val="none"/>
          <w:lang w:val="zh-CN" w:eastAsia="zh-CN"/>
        </w:rPr>
      </w:pPr>
      <w:r>
        <w:rPr>
          <w:rFonts w:hint="eastAsia" w:asciiTheme="minorEastAsia" w:hAnsiTheme="minorEastAsia" w:eastAsiaTheme="minorEastAsia" w:cstheme="minorEastAsia"/>
          <w:color w:val="auto"/>
          <w:spacing w:val="0"/>
          <w:kern w:val="21"/>
          <w:sz w:val="24"/>
          <w:szCs w:val="24"/>
          <w:highlight w:val="none"/>
          <w:lang w:val="en-US" w:eastAsia="zh-CN"/>
        </w:rPr>
        <w:t>5.5</w:t>
      </w:r>
      <w:r>
        <w:rPr>
          <w:rFonts w:hint="eastAsia" w:asciiTheme="minorEastAsia" w:hAnsiTheme="minorEastAsia" w:eastAsiaTheme="minorEastAsia" w:cstheme="minorEastAsia"/>
          <w:color w:val="auto"/>
          <w:spacing w:val="0"/>
          <w:kern w:val="21"/>
          <w:sz w:val="24"/>
          <w:szCs w:val="24"/>
          <w:highlight w:val="none"/>
          <w:lang w:val="zh-CN" w:eastAsia="zh-CN"/>
        </w:rPr>
        <w:t>遇春节、国庆等节假日，维保单位应做好专项检查，并做好应急保障。</w:t>
      </w:r>
    </w:p>
    <w:p w14:paraId="010B2D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pacing w:val="0"/>
          <w:kern w:val="21"/>
          <w:sz w:val="24"/>
          <w:szCs w:val="24"/>
          <w:highlight w:val="none"/>
          <w:lang w:val="zh-CN" w:eastAsia="zh-CN"/>
        </w:rPr>
      </w:pPr>
      <w:r>
        <w:rPr>
          <w:rFonts w:hint="eastAsia" w:asciiTheme="minorEastAsia" w:hAnsiTheme="minorEastAsia" w:eastAsiaTheme="minorEastAsia" w:cstheme="minorEastAsia"/>
          <w:color w:val="auto"/>
          <w:spacing w:val="0"/>
          <w:kern w:val="21"/>
          <w:sz w:val="24"/>
          <w:szCs w:val="24"/>
          <w:highlight w:val="none"/>
          <w:lang w:val="en-US" w:eastAsia="zh-CN"/>
        </w:rPr>
        <w:t>5.6</w:t>
      </w:r>
      <w:r>
        <w:rPr>
          <w:rFonts w:hint="eastAsia" w:asciiTheme="minorEastAsia" w:hAnsiTheme="minorEastAsia" w:eastAsiaTheme="minorEastAsia" w:cstheme="minorEastAsia"/>
          <w:color w:val="auto"/>
          <w:spacing w:val="0"/>
          <w:kern w:val="21"/>
          <w:sz w:val="24"/>
          <w:szCs w:val="24"/>
          <w:highlight w:val="none"/>
          <w:lang w:val="zh-CN" w:eastAsia="zh-CN"/>
        </w:rPr>
        <w:t>在进行维护和保养过程中，招标人管理人员有权对维保单位维保工作进行监督、确认。</w:t>
      </w:r>
    </w:p>
    <w:p w14:paraId="1C9D0D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pacing w:val="0"/>
          <w:kern w:val="21"/>
          <w:sz w:val="24"/>
          <w:szCs w:val="24"/>
          <w:highlight w:val="none"/>
          <w:lang w:val="zh-CN" w:eastAsia="zh-CN"/>
        </w:rPr>
      </w:pPr>
      <w:r>
        <w:rPr>
          <w:rFonts w:hint="eastAsia" w:asciiTheme="minorEastAsia" w:hAnsiTheme="minorEastAsia" w:eastAsiaTheme="minorEastAsia" w:cstheme="minorEastAsia"/>
          <w:color w:val="auto"/>
          <w:spacing w:val="0"/>
          <w:kern w:val="21"/>
          <w:sz w:val="24"/>
          <w:szCs w:val="24"/>
          <w:highlight w:val="none"/>
          <w:lang w:val="en-US" w:eastAsia="zh-CN"/>
        </w:rPr>
        <w:t>5.7</w:t>
      </w:r>
      <w:r>
        <w:rPr>
          <w:rFonts w:hint="eastAsia" w:asciiTheme="minorEastAsia" w:hAnsiTheme="minorEastAsia" w:eastAsiaTheme="minorEastAsia" w:cstheme="minorEastAsia"/>
          <w:color w:val="auto"/>
          <w:spacing w:val="0"/>
          <w:kern w:val="21"/>
          <w:sz w:val="24"/>
          <w:szCs w:val="24"/>
          <w:highlight w:val="none"/>
          <w:lang w:val="zh-CN" w:eastAsia="zh-CN"/>
        </w:rPr>
        <w:t>服务期间对招标人管理人员</w:t>
      </w:r>
      <w:r>
        <w:rPr>
          <w:rFonts w:hint="eastAsia" w:asciiTheme="minorEastAsia" w:hAnsiTheme="minorEastAsia" w:eastAsiaTheme="minorEastAsia" w:cstheme="minorEastAsia"/>
          <w:color w:val="auto"/>
          <w:spacing w:val="0"/>
          <w:kern w:val="21"/>
          <w:sz w:val="24"/>
          <w:szCs w:val="24"/>
          <w:highlight w:val="none"/>
          <w:lang w:val="en-US" w:eastAsia="zh-CN"/>
        </w:rPr>
        <w:t>应</w:t>
      </w:r>
      <w:r>
        <w:rPr>
          <w:rFonts w:hint="eastAsia" w:asciiTheme="minorEastAsia" w:hAnsiTheme="minorEastAsia" w:eastAsiaTheme="minorEastAsia" w:cstheme="minorEastAsia"/>
          <w:color w:val="auto"/>
          <w:spacing w:val="0"/>
          <w:kern w:val="21"/>
          <w:sz w:val="24"/>
          <w:szCs w:val="24"/>
          <w:highlight w:val="none"/>
          <w:lang w:val="zh-CN" w:eastAsia="zh-CN"/>
        </w:rPr>
        <w:t>提供不少于2次的电梯使用培训。</w:t>
      </w:r>
    </w:p>
    <w:p w14:paraId="09F12C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pacing w:val="0"/>
          <w:kern w:val="21"/>
          <w:sz w:val="24"/>
          <w:szCs w:val="24"/>
          <w:highlight w:val="none"/>
          <w:lang w:val="zh-CN" w:eastAsia="zh-CN"/>
        </w:rPr>
      </w:pPr>
      <w:r>
        <w:rPr>
          <w:rFonts w:hint="eastAsia" w:asciiTheme="minorEastAsia" w:hAnsiTheme="minorEastAsia" w:eastAsiaTheme="minorEastAsia" w:cstheme="minorEastAsia"/>
          <w:color w:val="auto"/>
          <w:spacing w:val="0"/>
          <w:kern w:val="21"/>
          <w:sz w:val="24"/>
          <w:szCs w:val="24"/>
          <w:highlight w:val="none"/>
          <w:lang w:val="en-US" w:eastAsia="zh-CN"/>
        </w:rPr>
        <w:t>5.8</w:t>
      </w:r>
      <w:r>
        <w:rPr>
          <w:rFonts w:hint="eastAsia" w:asciiTheme="minorEastAsia" w:hAnsiTheme="minorEastAsia" w:eastAsiaTheme="minorEastAsia" w:cstheme="minorEastAsia"/>
          <w:color w:val="auto"/>
          <w:spacing w:val="0"/>
          <w:kern w:val="21"/>
          <w:sz w:val="24"/>
          <w:szCs w:val="24"/>
          <w:highlight w:val="none"/>
          <w:lang w:val="zh-CN" w:eastAsia="zh-CN"/>
        </w:rPr>
        <w:t>维保中产生的各类废弃物，环境清理由维保单位负责按照当地环境管理法律法规及有关规定予以处理。</w:t>
      </w:r>
    </w:p>
    <w:p w14:paraId="0B6761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pacing w:val="0"/>
          <w:kern w:val="21"/>
          <w:sz w:val="24"/>
          <w:szCs w:val="24"/>
          <w:highlight w:val="none"/>
          <w:lang w:val="en-US" w:eastAsia="zh-CN"/>
        </w:rPr>
      </w:pPr>
      <w:r>
        <w:rPr>
          <w:rFonts w:hint="eastAsia" w:asciiTheme="minorEastAsia" w:hAnsiTheme="minorEastAsia" w:eastAsiaTheme="minorEastAsia" w:cstheme="minorEastAsia"/>
          <w:color w:val="auto"/>
          <w:spacing w:val="0"/>
          <w:kern w:val="21"/>
          <w:sz w:val="24"/>
          <w:szCs w:val="24"/>
          <w:highlight w:val="none"/>
          <w:lang w:val="en-US" w:eastAsia="zh-CN"/>
        </w:rPr>
        <w:t>5.9 中标人以实际保养电梯为准，据实结算费用。</w:t>
      </w:r>
    </w:p>
    <w:bookmarkEnd w:id="9"/>
    <w:bookmarkEnd w:id="10"/>
    <w:p w14:paraId="23FE0D6C">
      <w:pPr>
        <w:rPr>
          <w:rFonts w:hint="eastAsia" w:asciiTheme="minorEastAsia" w:hAnsiTheme="minorEastAsia" w:eastAsiaTheme="minorEastAsia"/>
          <w:b/>
          <w:sz w:val="28"/>
          <w:highlight w:val="none"/>
        </w:rPr>
      </w:pPr>
      <w:bookmarkStart w:id="11" w:name="_Toc8991"/>
      <w:r>
        <w:rPr>
          <w:rFonts w:hint="eastAsia" w:asciiTheme="minorEastAsia" w:hAnsiTheme="minorEastAsia" w:eastAsiaTheme="minorEastAsia"/>
          <w:b/>
          <w:sz w:val="28"/>
          <w:highlight w:val="none"/>
        </w:rPr>
        <w:br w:type="page"/>
      </w:r>
    </w:p>
    <w:p w14:paraId="253A57EA">
      <w:pPr>
        <w:spacing w:before="312" w:beforeLines="100"/>
        <w:ind w:firstLine="562"/>
        <w:jc w:val="center"/>
        <w:outlineLvl w:val="1"/>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t>第四章  评审方法和标准</w:t>
      </w:r>
      <w:bookmarkEnd w:id="11"/>
    </w:p>
    <w:p w14:paraId="7A9CD2C4">
      <w:pPr>
        <w:ind w:firstLine="482"/>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一、总则</w:t>
      </w:r>
    </w:p>
    <w:p w14:paraId="4618370E">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本项目采用综合评分法评审，响应文件满足磋商文件全部实质性要求且按评审因素的量化指标评审得分最高的供应商为成交候选人的评审方法。</w:t>
      </w:r>
    </w:p>
    <w:p w14:paraId="1904D058">
      <w:pPr>
        <w:ind w:firstLine="482"/>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二、评审方法</w:t>
      </w:r>
    </w:p>
    <w:p w14:paraId="59E1C185">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2.1初审</w:t>
      </w:r>
    </w:p>
    <w:p w14:paraId="71207D74">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评审委员会对供应商的响应文件进行初审，以确定其是否满足磋商文件的实质性要求。初审表如下：</w:t>
      </w:r>
    </w:p>
    <w:tbl>
      <w:tblPr>
        <w:tblStyle w:val="16"/>
        <w:tblW w:w="52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763"/>
        <w:gridCol w:w="5264"/>
      </w:tblGrid>
      <w:tr w14:paraId="1439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2CB7F968">
            <w:pPr>
              <w:adjustRightInd w:val="0"/>
              <w:snapToGrid w:val="0"/>
              <w:ind w:right="-10" w:firstLine="482"/>
              <w:jc w:val="center"/>
              <w:rPr>
                <w:rFonts w:ascii="Calibri" w:hAnsi="Calibri" w:cs="Times New Roman"/>
                <w:b/>
                <w:kern w:val="2"/>
                <w:szCs w:val="22"/>
                <w:highlight w:val="none"/>
              </w:rPr>
            </w:pPr>
            <w:r>
              <w:rPr>
                <w:rFonts w:hint="eastAsia" w:ascii="Calibri" w:hAnsi="Calibri" w:cs="Times New Roman"/>
                <w:b/>
                <w:kern w:val="2"/>
                <w:szCs w:val="22"/>
                <w:highlight w:val="none"/>
              </w:rPr>
              <w:t>初审表</w:t>
            </w:r>
          </w:p>
        </w:tc>
      </w:tr>
      <w:tr w14:paraId="212E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79" w:type="pct"/>
            <w:tcBorders>
              <w:bottom w:val="single" w:color="auto" w:sz="4" w:space="0"/>
            </w:tcBorders>
            <w:vAlign w:val="center"/>
          </w:tcPr>
          <w:p w14:paraId="65059500">
            <w:pPr>
              <w:adjustRightInd w:val="0"/>
              <w:snapToGrid w:val="0"/>
              <w:ind w:firstLine="0" w:firstLineChars="0"/>
              <w:jc w:val="center"/>
              <w:rPr>
                <w:rFonts w:ascii="Calibri" w:hAnsi="Calibri" w:cs="Times New Roman"/>
                <w:b/>
                <w:kern w:val="2"/>
                <w:szCs w:val="22"/>
                <w:highlight w:val="none"/>
              </w:rPr>
            </w:pPr>
            <w:r>
              <w:rPr>
                <w:rFonts w:hint="eastAsia" w:ascii="Calibri" w:hAnsi="Calibri" w:cs="Times New Roman"/>
                <w:b/>
                <w:kern w:val="2"/>
                <w:szCs w:val="22"/>
                <w:highlight w:val="none"/>
              </w:rPr>
              <w:t>序号</w:t>
            </w:r>
          </w:p>
        </w:tc>
        <w:tc>
          <w:tcPr>
            <w:tcW w:w="1556" w:type="pct"/>
            <w:tcBorders>
              <w:bottom w:val="single" w:color="auto" w:sz="4" w:space="0"/>
            </w:tcBorders>
            <w:vAlign w:val="center"/>
          </w:tcPr>
          <w:p w14:paraId="1F1E2BE6">
            <w:pPr>
              <w:adjustRightInd w:val="0"/>
              <w:snapToGrid w:val="0"/>
              <w:ind w:firstLine="0" w:firstLineChars="0"/>
              <w:jc w:val="center"/>
              <w:rPr>
                <w:rFonts w:ascii="Calibri" w:hAnsi="Calibri" w:cs="Times New Roman"/>
                <w:b/>
                <w:kern w:val="2"/>
                <w:szCs w:val="24"/>
                <w:highlight w:val="none"/>
              </w:rPr>
            </w:pPr>
            <w:r>
              <w:rPr>
                <w:rFonts w:hint="eastAsia" w:ascii="Calibri" w:hAnsi="Calibri" w:cs="Times New Roman"/>
                <w:b/>
                <w:kern w:val="2"/>
                <w:szCs w:val="24"/>
                <w:highlight w:val="none"/>
              </w:rPr>
              <w:t>评审指标</w:t>
            </w:r>
          </w:p>
        </w:tc>
        <w:tc>
          <w:tcPr>
            <w:tcW w:w="2963" w:type="pct"/>
            <w:tcBorders>
              <w:bottom w:val="single" w:color="auto" w:sz="4" w:space="0"/>
            </w:tcBorders>
            <w:vAlign w:val="center"/>
          </w:tcPr>
          <w:p w14:paraId="339B8D00">
            <w:pPr>
              <w:adjustRightInd w:val="0"/>
              <w:snapToGrid w:val="0"/>
              <w:ind w:firstLine="0" w:firstLineChars="0"/>
              <w:jc w:val="center"/>
              <w:rPr>
                <w:rFonts w:ascii="Calibri" w:hAnsi="Calibri" w:cs="Times New Roman"/>
                <w:b/>
                <w:kern w:val="2"/>
                <w:szCs w:val="22"/>
                <w:highlight w:val="none"/>
              </w:rPr>
            </w:pPr>
            <w:r>
              <w:rPr>
                <w:rFonts w:hint="eastAsia" w:ascii="Calibri" w:hAnsi="Calibri" w:cs="Times New Roman"/>
                <w:b/>
                <w:kern w:val="2"/>
                <w:szCs w:val="22"/>
                <w:highlight w:val="none"/>
              </w:rPr>
              <w:t>合格条件</w:t>
            </w:r>
          </w:p>
        </w:tc>
      </w:tr>
      <w:tr w14:paraId="5B28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tcBorders>
              <w:bottom w:val="single" w:color="auto" w:sz="4" w:space="0"/>
            </w:tcBorders>
            <w:vAlign w:val="center"/>
          </w:tcPr>
          <w:p w14:paraId="4BF3BC53">
            <w:pPr>
              <w:adjustRightInd w:val="0"/>
              <w:snapToGrid w:val="0"/>
              <w:ind w:firstLine="0" w:firstLineChars="0"/>
              <w:jc w:val="center"/>
              <w:rPr>
                <w:rFonts w:ascii="Calibri" w:hAnsi="Calibri" w:cs="Times New Roman"/>
                <w:kern w:val="2"/>
                <w:szCs w:val="22"/>
                <w:highlight w:val="none"/>
              </w:rPr>
            </w:pPr>
            <w:r>
              <w:rPr>
                <w:rFonts w:hint="eastAsia" w:cs="Times New Roman"/>
                <w:kern w:val="2"/>
                <w:highlight w:val="none"/>
              </w:rPr>
              <w:t>1</w:t>
            </w:r>
          </w:p>
        </w:tc>
        <w:tc>
          <w:tcPr>
            <w:tcW w:w="1556" w:type="pct"/>
            <w:tcBorders>
              <w:bottom w:val="single" w:color="auto" w:sz="4" w:space="0"/>
            </w:tcBorders>
            <w:vAlign w:val="center"/>
          </w:tcPr>
          <w:p w14:paraId="2D2F15C6">
            <w:pPr>
              <w:adjustRightInd w:val="0"/>
              <w:snapToGrid w:val="0"/>
              <w:ind w:firstLine="0" w:firstLineChars="0"/>
              <w:jc w:val="center"/>
              <w:rPr>
                <w:rFonts w:hint="eastAsia" w:ascii="宋体" w:hAnsi="宋体" w:eastAsia="宋体" w:cs="Times New Roman"/>
                <w:kern w:val="2"/>
                <w:highlight w:val="none"/>
              </w:rPr>
            </w:pPr>
            <w:r>
              <w:rPr>
                <w:rFonts w:hint="eastAsia" w:ascii="宋体" w:hAnsi="宋体" w:eastAsia="宋体" w:cs="Times New Roman"/>
                <w:kern w:val="2"/>
                <w:highlight w:val="none"/>
              </w:rPr>
              <w:t>营业执照</w:t>
            </w:r>
          </w:p>
        </w:tc>
        <w:tc>
          <w:tcPr>
            <w:tcW w:w="2963" w:type="pct"/>
            <w:tcBorders>
              <w:bottom w:val="single" w:color="auto" w:sz="4" w:space="0"/>
            </w:tcBorders>
            <w:vAlign w:val="center"/>
          </w:tcPr>
          <w:p w14:paraId="65372BE7">
            <w:pPr>
              <w:adjustRightInd w:val="0"/>
              <w:snapToGrid w:val="0"/>
              <w:ind w:firstLine="0" w:firstLineChars="0"/>
              <w:jc w:val="left"/>
              <w:rPr>
                <w:rFonts w:ascii="Calibri" w:hAnsi="Calibri" w:cs="Times New Roman"/>
                <w:kern w:val="2"/>
                <w:szCs w:val="22"/>
                <w:highlight w:val="none"/>
              </w:rPr>
            </w:pPr>
            <w:r>
              <w:rPr>
                <w:rFonts w:hint="eastAsia" w:cs="Times New Roman"/>
                <w:kern w:val="2"/>
                <w:szCs w:val="22"/>
                <w:highlight w:val="none"/>
              </w:rPr>
              <w:t>提供有效的营业执照扫描件，应完整地体现出营业执照的全部内容。联合体磋商的联合体各方均须提供。</w:t>
            </w:r>
          </w:p>
        </w:tc>
      </w:tr>
      <w:tr w14:paraId="2F3D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79" w:type="pct"/>
            <w:vAlign w:val="center"/>
          </w:tcPr>
          <w:p w14:paraId="30C219AD">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2</w:t>
            </w:r>
          </w:p>
        </w:tc>
        <w:tc>
          <w:tcPr>
            <w:tcW w:w="1556" w:type="pct"/>
            <w:shd w:val="clear" w:color="auto" w:fill="auto"/>
            <w:vAlign w:val="center"/>
          </w:tcPr>
          <w:p w14:paraId="266A1D75">
            <w:pPr>
              <w:adjustRightInd w:val="0"/>
              <w:snapToGrid w:val="0"/>
              <w:ind w:firstLine="0" w:firstLineChars="0"/>
              <w:jc w:val="center"/>
              <w:rPr>
                <w:rFonts w:hint="default" w:ascii="宋体" w:hAnsi="宋体" w:eastAsia="宋体" w:cs="Times New Roman"/>
                <w:kern w:val="2"/>
                <w:highlight w:val="none"/>
                <w:lang w:val="en-US" w:eastAsia="zh-CN"/>
              </w:rPr>
            </w:pPr>
            <w:r>
              <w:rPr>
                <w:rFonts w:hint="eastAsia" w:ascii="宋体" w:hAnsi="宋体" w:eastAsia="宋体" w:cs="Times New Roman"/>
                <w:kern w:val="2"/>
                <w:highlight w:val="none"/>
              </w:rPr>
              <w:t>磋商响应函</w:t>
            </w:r>
          </w:p>
        </w:tc>
        <w:tc>
          <w:tcPr>
            <w:tcW w:w="2963" w:type="pct"/>
            <w:shd w:val="clear" w:color="auto" w:fill="auto"/>
            <w:vAlign w:val="center"/>
          </w:tcPr>
          <w:p w14:paraId="4B37E3E4">
            <w:pPr>
              <w:adjustRightInd w:val="0"/>
              <w:snapToGrid w:val="0"/>
              <w:ind w:firstLine="0" w:firstLineChars="0"/>
              <w:jc w:val="left"/>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6EB6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vAlign w:val="center"/>
          </w:tcPr>
          <w:p w14:paraId="3E8F487E">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3</w:t>
            </w:r>
          </w:p>
        </w:tc>
        <w:tc>
          <w:tcPr>
            <w:tcW w:w="1556" w:type="pct"/>
            <w:shd w:val="clear" w:color="auto" w:fill="auto"/>
            <w:vAlign w:val="center"/>
          </w:tcPr>
          <w:p w14:paraId="2F56037C">
            <w:pPr>
              <w:adjustRightInd w:val="0"/>
              <w:snapToGrid w:val="0"/>
              <w:ind w:firstLine="0" w:firstLineChars="0"/>
              <w:jc w:val="center"/>
              <w:rPr>
                <w:rFonts w:hint="eastAsia" w:ascii="宋体" w:hAnsi="宋体" w:eastAsia="宋体" w:cs="Times New Roman"/>
                <w:kern w:val="2"/>
                <w:highlight w:val="none"/>
                <w:lang w:val="en-US" w:eastAsia="zh-CN"/>
              </w:rPr>
            </w:pPr>
            <w:r>
              <w:rPr>
                <w:rFonts w:hint="eastAsia" w:ascii="宋体" w:hAnsi="宋体" w:eastAsia="宋体" w:cs="Times New Roman"/>
                <w:kern w:val="2"/>
                <w:highlight w:val="none"/>
              </w:rPr>
              <w:t>磋商保证金及电子交易服务费用</w:t>
            </w:r>
          </w:p>
        </w:tc>
        <w:tc>
          <w:tcPr>
            <w:tcW w:w="2963" w:type="pct"/>
            <w:shd w:val="clear" w:color="auto" w:fill="auto"/>
            <w:vAlign w:val="center"/>
          </w:tcPr>
          <w:p w14:paraId="1CB6D9FB">
            <w:pPr>
              <w:ind w:firstLine="0" w:firstLineChars="0"/>
              <w:jc w:val="left"/>
              <w:rPr>
                <w:highlight w:val="none"/>
              </w:rPr>
            </w:pPr>
            <w:r>
              <w:rPr>
                <w:rFonts w:hint="eastAsia"/>
                <w:highlight w:val="none"/>
              </w:rPr>
              <w:t>符合磋商文件要求。</w:t>
            </w:r>
          </w:p>
          <w:p w14:paraId="72DABCDE">
            <w:pPr>
              <w:ind w:firstLine="0" w:firstLineChars="0"/>
              <w:jc w:val="left"/>
              <w:rPr>
                <w:rFonts w:ascii="Calibri" w:hAnsi="Calibri" w:eastAsia="宋体" w:cs="Times New Roman"/>
                <w:kern w:val="2"/>
                <w:sz w:val="24"/>
                <w:szCs w:val="22"/>
                <w:highlight w:val="none"/>
                <w:lang w:val="en-US" w:eastAsia="zh-CN" w:bidi="ar-SA"/>
              </w:rPr>
            </w:pPr>
            <w:r>
              <w:rPr>
                <w:rFonts w:hint="eastAsia"/>
                <w:b/>
                <w:bCs/>
                <w:highlight w:val="none"/>
              </w:rPr>
              <w:t>备注</w:t>
            </w:r>
            <w:r>
              <w:rPr>
                <w:b/>
                <w:bCs/>
                <w:highlight w:val="none"/>
              </w:rPr>
              <w:t>：</w:t>
            </w:r>
            <w:r>
              <w:rPr>
                <w:rFonts w:hint="eastAsia"/>
                <w:b/>
                <w:szCs w:val="18"/>
                <w:highlight w:val="none"/>
              </w:rPr>
              <w:t>供应商</w:t>
            </w:r>
            <w:r>
              <w:rPr>
                <w:rFonts w:hint="eastAsia" w:cs="宋体"/>
                <w:b/>
                <w:bCs/>
                <w:szCs w:val="24"/>
                <w:highlight w:val="none"/>
              </w:rPr>
              <w:t>须知前附表及</w:t>
            </w:r>
            <w:r>
              <w:rPr>
                <w:rFonts w:hint="eastAsia"/>
                <w:b/>
                <w:szCs w:val="18"/>
                <w:highlight w:val="none"/>
              </w:rPr>
              <w:t>供应商</w:t>
            </w:r>
            <w:r>
              <w:rPr>
                <w:rFonts w:hint="eastAsia" w:cs="宋体"/>
                <w:b/>
                <w:bCs/>
                <w:szCs w:val="24"/>
                <w:highlight w:val="none"/>
              </w:rPr>
              <w:t>须知第13条（以代理机构财务查询为准）</w:t>
            </w:r>
          </w:p>
        </w:tc>
      </w:tr>
      <w:tr w14:paraId="1738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vAlign w:val="center"/>
          </w:tcPr>
          <w:p w14:paraId="049C9CAB">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4</w:t>
            </w:r>
          </w:p>
        </w:tc>
        <w:tc>
          <w:tcPr>
            <w:tcW w:w="1556" w:type="pct"/>
            <w:shd w:val="clear" w:color="auto" w:fill="auto"/>
            <w:vAlign w:val="center"/>
          </w:tcPr>
          <w:p w14:paraId="5B66EEA0">
            <w:pPr>
              <w:adjustRightInd w:val="0"/>
              <w:snapToGrid w:val="0"/>
              <w:ind w:firstLine="0" w:firstLineChars="0"/>
              <w:jc w:val="center"/>
              <w:rPr>
                <w:rFonts w:hint="eastAsia" w:ascii="宋体" w:hAnsi="宋体" w:eastAsia="宋体" w:cs="Times New Roman"/>
                <w:kern w:val="2"/>
                <w:highlight w:val="none"/>
                <w:lang w:val="en-US" w:eastAsia="zh-CN"/>
              </w:rPr>
            </w:pPr>
            <w:r>
              <w:rPr>
                <w:rFonts w:hint="eastAsia" w:ascii="宋体" w:hAnsi="宋体" w:eastAsia="宋体" w:cs="Times New Roman"/>
                <w:kern w:val="2"/>
                <w:highlight w:val="none"/>
              </w:rPr>
              <w:t>授权书</w:t>
            </w:r>
          </w:p>
        </w:tc>
        <w:tc>
          <w:tcPr>
            <w:tcW w:w="2963" w:type="pct"/>
            <w:shd w:val="clear" w:color="auto" w:fill="auto"/>
            <w:vAlign w:val="center"/>
          </w:tcPr>
          <w:p w14:paraId="25F7CE98">
            <w:pPr>
              <w:adjustRightInd w:val="0"/>
              <w:snapToGrid w:val="0"/>
              <w:ind w:firstLine="0" w:firstLineChars="0"/>
              <w:jc w:val="left"/>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62A1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vAlign w:val="center"/>
          </w:tcPr>
          <w:p w14:paraId="693D3993">
            <w:pPr>
              <w:adjustRightInd w:val="0"/>
              <w:snapToGrid w:val="0"/>
              <w:ind w:firstLine="0" w:firstLineChars="0"/>
              <w:jc w:val="center"/>
              <w:rPr>
                <w:rFonts w:hint="eastAsia" w:eastAsia="宋体" w:cs="Times New Roman"/>
                <w:kern w:val="2"/>
                <w:highlight w:val="none"/>
                <w:lang w:eastAsia="zh-CN"/>
              </w:rPr>
            </w:pPr>
            <w:r>
              <w:rPr>
                <w:rFonts w:hint="eastAsia" w:cs="Times New Roman"/>
                <w:kern w:val="2"/>
                <w:highlight w:val="none"/>
                <w:lang w:val="en-US" w:eastAsia="zh-CN"/>
              </w:rPr>
              <w:t>5</w:t>
            </w:r>
          </w:p>
        </w:tc>
        <w:tc>
          <w:tcPr>
            <w:tcW w:w="1556" w:type="pct"/>
            <w:shd w:val="clear" w:color="auto" w:fill="auto"/>
            <w:vAlign w:val="center"/>
          </w:tcPr>
          <w:p w14:paraId="78F9A235">
            <w:pPr>
              <w:adjustRightInd w:val="0"/>
              <w:snapToGrid w:val="0"/>
              <w:ind w:firstLine="0" w:firstLineChars="0"/>
              <w:jc w:val="center"/>
              <w:rPr>
                <w:rFonts w:hint="eastAsia" w:ascii="宋体" w:hAnsi="宋体" w:eastAsia="宋体" w:cs="Times New Roman"/>
                <w:kern w:val="2"/>
                <w:highlight w:val="none"/>
                <w:lang w:val="en-US" w:eastAsia="zh-CN"/>
              </w:rPr>
            </w:pPr>
            <w:r>
              <w:rPr>
                <w:rFonts w:hint="eastAsia" w:ascii="宋体" w:hAnsi="宋体" w:eastAsia="宋体" w:cs="Times New Roman"/>
                <w:kern w:val="2"/>
                <w:highlight w:val="none"/>
                <w:lang w:val="en-US" w:eastAsia="zh-CN"/>
              </w:rPr>
              <w:t>无不良信用记录声明函</w:t>
            </w:r>
          </w:p>
        </w:tc>
        <w:tc>
          <w:tcPr>
            <w:tcW w:w="2963" w:type="pct"/>
            <w:shd w:val="clear" w:color="auto" w:fill="auto"/>
            <w:vAlign w:val="center"/>
          </w:tcPr>
          <w:p w14:paraId="71D48CEB">
            <w:pPr>
              <w:ind w:firstLine="0" w:firstLineChars="0"/>
              <w:jc w:val="left"/>
              <w:rPr>
                <w:highlight w:val="none"/>
              </w:rPr>
            </w:pPr>
            <w:r>
              <w:rPr>
                <w:rFonts w:hint="eastAsia"/>
                <w:szCs w:val="18"/>
                <w:highlight w:val="none"/>
              </w:rPr>
              <w:t>供应商</w:t>
            </w:r>
            <w:r>
              <w:rPr>
                <w:rFonts w:hint="eastAsia"/>
                <w:highlight w:val="none"/>
              </w:rPr>
              <w:t>不得存在</w:t>
            </w:r>
            <w:r>
              <w:rPr>
                <w:rFonts w:hint="eastAsia"/>
                <w:szCs w:val="18"/>
                <w:highlight w:val="none"/>
              </w:rPr>
              <w:t>供应商</w:t>
            </w:r>
            <w:r>
              <w:rPr>
                <w:rFonts w:hint="eastAsia"/>
                <w:highlight w:val="none"/>
              </w:rPr>
              <w:t>须知第</w:t>
            </w:r>
            <w:r>
              <w:rPr>
                <w:highlight w:val="none"/>
              </w:rPr>
              <w:t>1</w:t>
            </w:r>
            <w:r>
              <w:rPr>
                <w:rFonts w:hint="eastAsia"/>
                <w:highlight w:val="none"/>
              </w:rPr>
              <w:t>3</w:t>
            </w:r>
            <w:r>
              <w:rPr>
                <w:highlight w:val="none"/>
              </w:rPr>
              <w:t>.3.1.1</w:t>
            </w:r>
            <w:r>
              <w:rPr>
                <w:rFonts w:hint="eastAsia"/>
                <w:highlight w:val="none"/>
              </w:rPr>
              <w:t>条中的不良信用记录情形。</w:t>
            </w:r>
          </w:p>
          <w:p w14:paraId="18CC73C7">
            <w:pPr>
              <w:ind w:firstLine="0" w:firstLineChars="0"/>
              <w:jc w:val="left"/>
              <w:rPr>
                <w:rFonts w:ascii="宋体" w:hAnsi="宋体" w:eastAsia="宋体" w:cs="Times New Roman"/>
                <w:kern w:val="2"/>
                <w:sz w:val="24"/>
                <w:szCs w:val="22"/>
                <w:highlight w:val="none"/>
                <w:lang w:val="en-US" w:eastAsia="zh-CN" w:bidi="ar-SA"/>
              </w:rPr>
            </w:pPr>
            <w:r>
              <w:rPr>
                <w:rFonts w:hint="eastAsia"/>
                <w:highlight w:val="none"/>
              </w:rPr>
              <w:t>注：提供无不良信用记录声明函，格式后附。</w:t>
            </w:r>
          </w:p>
        </w:tc>
      </w:tr>
      <w:tr w14:paraId="7B31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shd w:val="clear" w:color="auto" w:fill="auto"/>
            <w:vAlign w:val="center"/>
          </w:tcPr>
          <w:p w14:paraId="561620A8">
            <w:pPr>
              <w:adjustRightInd w:val="0"/>
              <w:snapToGrid w:val="0"/>
              <w:ind w:firstLine="0" w:firstLineChars="0"/>
              <w:jc w:val="center"/>
              <w:rPr>
                <w:rFonts w:hint="eastAsia" w:ascii="宋体" w:hAnsi="宋体" w:eastAsia="宋体" w:cs="Times New Roman"/>
                <w:kern w:val="2"/>
                <w:sz w:val="24"/>
                <w:highlight w:val="none"/>
                <w:lang w:val="en-US" w:eastAsia="zh-CN" w:bidi="ar-SA"/>
              </w:rPr>
            </w:pPr>
            <w:r>
              <w:rPr>
                <w:rFonts w:hint="eastAsia" w:cs="Times New Roman"/>
                <w:kern w:val="2"/>
                <w:highlight w:val="none"/>
                <w:lang w:val="en-US" w:eastAsia="zh-CN"/>
              </w:rPr>
              <w:t>6</w:t>
            </w:r>
          </w:p>
        </w:tc>
        <w:tc>
          <w:tcPr>
            <w:tcW w:w="1556" w:type="pct"/>
            <w:shd w:val="clear" w:color="auto" w:fill="auto"/>
            <w:vAlign w:val="center"/>
          </w:tcPr>
          <w:p w14:paraId="3E207014">
            <w:pPr>
              <w:adjustRightInd w:val="0"/>
              <w:snapToGrid w:val="0"/>
              <w:ind w:firstLine="0" w:firstLineChars="0"/>
              <w:jc w:val="center"/>
              <w:rPr>
                <w:rFonts w:hint="default" w:ascii="宋体" w:hAnsi="宋体" w:eastAsia="宋体" w:cs="Times New Roman"/>
                <w:kern w:val="2"/>
                <w:highlight w:val="none"/>
                <w:lang w:val="en-US" w:eastAsia="zh-CN"/>
              </w:rPr>
            </w:pPr>
            <w:r>
              <w:rPr>
                <w:rFonts w:hint="eastAsia" w:ascii="宋体" w:hAnsi="宋体" w:eastAsia="宋体" w:cs="Times New Roman"/>
                <w:kern w:val="2"/>
                <w:highlight w:val="none"/>
              </w:rPr>
              <w:t>供应商资格要求</w:t>
            </w:r>
          </w:p>
        </w:tc>
        <w:tc>
          <w:tcPr>
            <w:tcW w:w="2963" w:type="pct"/>
            <w:shd w:val="clear" w:color="auto" w:fill="auto"/>
            <w:vAlign w:val="center"/>
          </w:tcPr>
          <w:p w14:paraId="1DAA2257">
            <w:pPr>
              <w:ind w:firstLine="0" w:firstLineChars="0"/>
              <w:jc w:val="left"/>
              <w:rPr>
                <w:rFonts w:hint="eastAsia"/>
                <w:highlight w:val="none"/>
              </w:rPr>
            </w:pPr>
            <w:r>
              <w:rPr>
                <w:rFonts w:hint="eastAsia" w:cs="Times New Roman"/>
                <w:kern w:val="2"/>
                <w:szCs w:val="22"/>
                <w:highlight w:val="none"/>
              </w:rPr>
              <w:t>符合磋商文件要求。</w:t>
            </w:r>
          </w:p>
        </w:tc>
      </w:tr>
      <w:tr w14:paraId="2500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9" w:type="pct"/>
            <w:shd w:val="clear" w:color="auto" w:fill="auto"/>
            <w:vAlign w:val="center"/>
          </w:tcPr>
          <w:p w14:paraId="7AC282BA">
            <w:pPr>
              <w:adjustRightInd w:val="0"/>
              <w:snapToGrid w:val="0"/>
              <w:ind w:firstLine="0" w:firstLineChars="0"/>
              <w:jc w:val="center"/>
              <w:rPr>
                <w:rFonts w:hint="eastAsia" w:ascii="宋体" w:hAnsi="宋体" w:eastAsia="宋体" w:cs="Times New Roman"/>
                <w:kern w:val="2"/>
                <w:sz w:val="24"/>
                <w:highlight w:val="none"/>
                <w:lang w:val="en-US" w:eastAsia="zh-CN" w:bidi="ar-SA"/>
              </w:rPr>
            </w:pPr>
            <w:r>
              <w:rPr>
                <w:rFonts w:hint="eastAsia" w:cs="Times New Roman"/>
                <w:kern w:val="2"/>
                <w:highlight w:val="none"/>
                <w:lang w:val="en-US" w:eastAsia="zh-CN"/>
              </w:rPr>
              <w:t>7</w:t>
            </w:r>
          </w:p>
        </w:tc>
        <w:tc>
          <w:tcPr>
            <w:tcW w:w="1556" w:type="pct"/>
            <w:shd w:val="clear" w:color="auto" w:fill="auto"/>
            <w:vAlign w:val="center"/>
          </w:tcPr>
          <w:p w14:paraId="5BFAC14A">
            <w:pPr>
              <w:adjustRightInd w:val="0"/>
              <w:snapToGrid w:val="0"/>
              <w:ind w:firstLine="0" w:firstLineChars="0"/>
              <w:jc w:val="center"/>
              <w:rPr>
                <w:rFonts w:hint="eastAsia" w:ascii="宋体" w:hAnsi="宋体" w:eastAsia="宋体" w:cs="Times New Roman"/>
                <w:kern w:val="2"/>
                <w:highlight w:val="none"/>
                <w:lang w:val="en-US" w:eastAsia="zh-CN"/>
              </w:rPr>
            </w:pPr>
            <w:r>
              <w:rPr>
                <w:rFonts w:hint="eastAsia" w:ascii="宋体" w:hAnsi="宋体" w:eastAsia="宋体" w:cs="Times New Roman"/>
                <w:kern w:val="2"/>
                <w:highlight w:val="none"/>
              </w:rPr>
              <w:t>磋商报价</w:t>
            </w:r>
          </w:p>
        </w:tc>
        <w:tc>
          <w:tcPr>
            <w:tcW w:w="2963" w:type="pct"/>
            <w:shd w:val="clear" w:color="auto" w:fill="auto"/>
            <w:vAlign w:val="center"/>
          </w:tcPr>
          <w:p w14:paraId="404349D7">
            <w:pPr>
              <w:adjustRightInd w:val="0"/>
              <w:snapToGrid w:val="0"/>
              <w:ind w:firstLine="0" w:firstLineChars="0"/>
              <w:jc w:val="left"/>
              <w:rPr>
                <w:rFonts w:ascii="Calibri" w:hAnsi="Calibri" w:eastAsia="宋体" w:cs="Times New Roman"/>
                <w:kern w:val="2"/>
                <w:sz w:val="24"/>
                <w:szCs w:val="22"/>
                <w:highlight w:val="none"/>
                <w:lang w:val="en-US" w:eastAsia="zh-CN" w:bidi="ar-SA"/>
              </w:rPr>
            </w:pPr>
            <w:r>
              <w:rPr>
                <w:rFonts w:hint="eastAsia" w:cs="Times New Roman"/>
                <w:kern w:val="2"/>
                <w:szCs w:val="22"/>
                <w:highlight w:val="none"/>
              </w:rPr>
              <w:t>符合磋商文件要求。</w:t>
            </w:r>
          </w:p>
        </w:tc>
      </w:tr>
      <w:tr w14:paraId="5A00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79" w:type="pct"/>
            <w:vAlign w:val="center"/>
          </w:tcPr>
          <w:p w14:paraId="5D9DE108">
            <w:pPr>
              <w:adjustRightInd w:val="0"/>
              <w:snapToGrid w:val="0"/>
              <w:ind w:firstLine="0" w:firstLineChars="0"/>
              <w:jc w:val="center"/>
              <w:rPr>
                <w:rFonts w:hint="default" w:eastAsia="宋体" w:cs="Times New Roman"/>
                <w:kern w:val="2"/>
                <w:highlight w:val="none"/>
                <w:lang w:val="en-US" w:eastAsia="zh-CN"/>
              </w:rPr>
            </w:pPr>
            <w:r>
              <w:rPr>
                <w:rFonts w:hint="eastAsia" w:cs="Times New Roman"/>
                <w:kern w:val="2"/>
                <w:highlight w:val="none"/>
                <w:lang w:val="en-US" w:eastAsia="zh-CN"/>
              </w:rPr>
              <w:t>8</w:t>
            </w:r>
          </w:p>
        </w:tc>
        <w:tc>
          <w:tcPr>
            <w:tcW w:w="1556" w:type="pct"/>
            <w:shd w:val="clear" w:color="auto" w:fill="auto"/>
            <w:vAlign w:val="center"/>
          </w:tcPr>
          <w:p w14:paraId="69CB3F69">
            <w:pPr>
              <w:adjustRightInd w:val="0"/>
              <w:snapToGrid w:val="0"/>
              <w:ind w:firstLine="0" w:firstLineChars="0"/>
              <w:jc w:val="center"/>
              <w:rPr>
                <w:rFonts w:hint="eastAsia" w:ascii="宋体" w:hAnsi="宋体" w:eastAsia="宋体" w:cs="Times New Roman"/>
                <w:kern w:val="2"/>
                <w:highlight w:val="none"/>
                <w:lang w:val="en-US" w:eastAsia="zh-CN"/>
              </w:rPr>
            </w:pPr>
            <w:r>
              <w:rPr>
                <w:rFonts w:hint="eastAsia" w:ascii="宋体" w:hAnsi="宋体" w:eastAsia="宋体" w:cs="Times New Roman"/>
                <w:kern w:val="2"/>
                <w:highlight w:val="none"/>
              </w:rPr>
              <w:t>其他要求</w:t>
            </w:r>
          </w:p>
        </w:tc>
        <w:tc>
          <w:tcPr>
            <w:tcW w:w="2963" w:type="pct"/>
            <w:shd w:val="clear" w:color="auto" w:fill="auto"/>
            <w:vAlign w:val="center"/>
          </w:tcPr>
          <w:p w14:paraId="5225CFB0">
            <w:pPr>
              <w:adjustRightInd w:val="0"/>
              <w:snapToGrid w:val="0"/>
              <w:ind w:firstLine="0" w:firstLineChars="0"/>
              <w:jc w:val="left"/>
              <w:rPr>
                <w:rFonts w:ascii="宋体" w:hAnsi="宋体" w:eastAsia="宋体" w:cs="Times New Roman"/>
                <w:kern w:val="2"/>
                <w:sz w:val="24"/>
                <w:highlight w:val="none"/>
                <w:lang w:val="en-US" w:eastAsia="zh-CN" w:bidi="ar-SA"/>
              </w:rPr>
            </w:pPr>
            <w:r>
              <w:rPr>
                <w:rFonts w:hint="eastAsia"/>
                <w:szCs w:val="28"/>
                <w:highlight w:val="none"/>
              </w:rPr>
              <w:t>符合法律、行政法规规定的其他条件或磋商文件列明的其他要求。</w:t>
            </w:r>
          </w:p>
        </w:tc>
      </w:tr>
      <w:tr w14:paraId="0D49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vAlign w:val="center"/>
          </w:tcPr>
          <w:p w14:paraId="0DEA3FF9">
            <w:pPr>
              <w:adjustRightInd w:val="0"/>
              <w:snapToGrid w:val="0"/>
              <w:ind w:firstLine="0" w:firstLineChars="0"/>
              <w:jc w:val="left"/>
              <w:rPr>
                <w:rFonts w:ascii="Calibri" w:hAnsi="Calibri" w:cs="Times New Roman"/>
                <w:kern w:val="2"/>
                <w:szCs w:val="22"/>
                <w:highlight w:val="none"/>
              </w:rPr>
            </w:pPr>
            <w:r>
              <w:rPr>
                <w:rFonts w:hint="eastAsia" w:ascii="Calibri" w:hAnsi="Calibri" w:cs="Times New Roman"/>
                <w:kern w:val="2"/>
                <w:szCs w:val="22"/>
                <w:highlight w:val="none"/>
              </w:rPr>
              <w:t>评审指标通过标准：供应商必须通过上述全部指标。</w:t>
            </w:r>
          </w:p>
        </w:tc>
      </w:tr>
    </w:tbl>
    <w:p w14:paraId="34879D04">
      <w:pPr>
        <w:ind w:firstLine="482"/>
        <w:rPr>
          <w:rFonts w:asciiTheme="minorEastAsia" w:hAnsiTheme="minorEastAsia" w:eastAsiaTheme="minorEastAsia"/>
          <w:highlight w:val="none"/>
        </w:rPr>
      </w:pPr>
      <w:r>
        <w:rPr>
          <w:rFonts w:hint="eastAsia" w:asciiTheme="minorEastAsia" w:hAnsiTheme="minorEastAsia" w:eastAsiaTheme="minorEastAsia"/>
          <w:b/>
          <w:bCs/>
          <w:highlight w:val="none"/>
        </w:rPr>
        <w:t>初审指标通过标准：</w:t>
      </w:r>
      <w:r>
        <w:rPr>
          <w:rFonts w:hint="eastAsia" w:asciiTheme="minorEastAsia" w:hAnsiTheme="minorEastAsia" w:eastAsiaTheme="minorEastAsia"/>
          <w:highlight w:val="none"/>
        </w:rPr>
        <w:t>供应商必须通过初审表中的全部评审指标。</w:t>
      </w:r>
    </w:p>
    <w:p w14:paraId="49C80E10">
      <w:pPr>
        <w:ind w:firstLine="482"/>
        <w:rPr>
          <w:rFonts w:asciiTheme="minorEastAsia" w:hAnsiTheme="minorEastAsia" w:eastAsiaTheme="minorEastAsia"/>
          <w:b/>
          <w:highlight w:val="none"/>
        </w:rPr>
      </w:pPr>
      <w:r>
        <w:rPr>
          <w:rFonts w:hint="eastAsia" w:asciiTheme="minorEastAsia" w:hAnsiTheme="minorEastAsia" w:eastAsiaTheme="minorEastAsia"/>
          <w:b/>
          <w:highlight w:val="none"/>
        </w:rPr>
        <w:t>2.2综合评分</w:t>
      </w:r>
    </w:p>
    <w:p w14:paraId="6ED4F7B8">
      <w:pPr>
        <w:ind w:firstLine="480"/>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asciiTheme="minorEastAsia" w:hAnsiTheme="minorEastAsia" w:eastAsiaTheme="minorEastAsia"/>
          <w:highlight w:val="none"/>
        </w:rPr>
        <w:t>.</w:t>
      </w:r>
      <w:r>
        <w:rPr>
          <w:rFonts w:hint="eastAsia" w:asciiTheme="minorEastAsia" w:hAnsiTheme="minorEastAsia" w:eastAsiaTheme="minorEastAsia"/>
          <w:highlight w:val="none"/>
        </w:rPr>
        <w:t>2</w:t>
      </w:r>
      <w:r>
        <w:rPr>
          <w:rFonts w:asciiTheme="minorEastAsia" w:hAnsiTheme="minorEastAsia" w:eastAsiaTheme="minorEastAsia"/>
          <w:highlight w:val="none"/>
        </w:rPr>
        <w:t>.1</w:t>
      </w:r>
      <w:r>
        <w:rPr>
          <w:rFonts w:hint="eastAsia" w:asciiTheme="minorEastAsia" w:hAnsiTheme="minorEastAsia" w:eastAsiaTheme="minorEastAsia"/>
          <w:highlight w:val="none"/>
        </w:rPr>
        <w:t>评审委员会按照下表对</w:t>
      </w:r>
      <w:r>
        <w:rPr>
          <w:rFonts w:hint="eastAsia"/>
          <w:highlight w:val="none"/>
        </w:rPr>
        <w:t>进入综合评分的所有供应商的</w:t>
      </w:r>
      <w:r>
        <w:rPr>
          <w:rFonts w:hint="eastAsia" w:asciiTheme="minorEastAsia" w:hAnsiTheme="minorEastAsia" w:eastAsiaTheme="minorEastAsia"/>
          <w:highlight w:val="none"/>
        </w:rPr>
        <w:t>响应文件进行综合评分。</w:t>
      </w:r>
    </w:p>
    <w:p w14:paraId="2043F5BF">
      <w:pPr>
        <w:ind w:firstLine="480"/>
        <w:rPr>
          <w:rFonts w:hint="eastAsia" w:ascii="宋体" w:hAnsi="宋体" w:eastAsia="宋体" w:cs="宋体"/>
          <w:b/>
          <w:bCs/>
          <w:color w:val="000000"/>
          <w:kern w:val="0"/>
          <w:sz w:val="24"/>
          <w:szCs w:val="24"/>
          <w:highlight w:val="none"/>
          <w:lang w:val="en-US" w:eastAsia="zh-CN" w:bidi="ar"/>
        </w:rPr>
      </w:pPr>
      <w:r>
        <w:rPr>
          <w:rFonts w:hint="eastAsia" w:asciiTheme="minorEastAsia" w:hAnsiTheme="minorEastAsia" w:eastAsiaTheme="minorEastAsia"/>
          <w:b/>
          <w:bCs/>
          <w:highlight w:val="none"/>
        </w:rPr>
        <w:t>2</w:t>
      </w:r>
      <w:r>
        <w:rPr>
          <w:rFonts w:asciiTheme="minorEastAsia" w:hAnsiTheme="minorEastAsia" w:eastAsiaTheme="minorEastAsia"/>
          <w:b/>
          <w:bCs/>
          <w:highlight w:val="none"/>
        </w:rPr>
        <w:t>.</w:t>
      </w:r>
      <w:r>
        <w:rPr>
          <w:rFonts w:hint="eastAsia" w:asciiTheme="minorEastAsia" w:hAnsiTheme="minorEastAsia" w:eastAsiaTheme="minorEastAsia"/>
          <w:b/>
          <w:bCs/>
          <w:highlight w:val="none"/>
        </w:rPr>
        <w:t>2</w:t>
      </w:r>
      <w:r>
        <w:rPr>
          <w:rFonts w:asciiTheme="minorEastAsia" w:hAnsiTheme="minorEastAsia" w:eastAsiaTheme="minorEastAsia"/>
          <w:b/>
          <w:bCs/>
          <w:highlight w:val="none"/>
        </w:rPr>
        <w:t>.2</w:t>
      </w:r>
      <w:r>
        <w:rPr>
          <w:rFonts w:hint="eastAsia" w:ascii="宋体" w:hAnsi="宋体" w:eastAsia="宋体" w:cs="宋体"/>
          <w:b/>
          <w:bCs/>
          <w:color w:val="000000"/>
          <w:kern w:val="0"/>
          <w:sz w:val="24"/>
          <w:szCs w:val="24"/>
          <w:lang w:val="en-US" w:eastAsia="zh-CN" w:bidi="ar"/>
        </w:rPr>
        <w:t>本项目综合评分满分为100分，其中：技术资信分值占总分值的权重为</w:t>
      </w:r>
      <w:r>
        <w:rPr>
          <w:rFonts w:hint="eastAsia" w:cs="宋体"/>
          <w:b/>
          <w:bCs/>
          <w:color w:val="000000"/>
          <w:kern w:val="0"/>
          <w:sz w:val="24"/>
          <w:szCs w:val="24"/>
          <w:highlight w:val="none"/>
          <w:u w:val="single"/>
          <w:lang w:val="en-US" w:eastAsia="zh-CN" w:bidi="ar"/>
        </w:rPr>
        <w:t>80</w:t>
      </w:r>
      <w:r>
        <w:rPr>
          <w:rFonts w:hint="eastAsia" w:ascii="宋体" w:hAnsi="宋体" w:eastAsia="宋体" w:cs="宋体"/>
          <w:b/>
          <w:bCs/>
          <w:color w:val="000000"/>
          <w:kern w:val="0"/>
          <w:sz w:val="24"/>
          <w:szCs w:val="24"/>
          <w:highlight w:val="none"/>
          <w:lang w:val="en-US" w:eastAsia="zh-CN" w:bidi="ar"/>
        </w:rPr>
        <w:t>%，价格分值占总分值的权重为</w:t>
      </w:r>
      <w:r>
        <w:rPr>
          <w:rFonts w:hint="eastAsia" w:cs="宋体"/>
          <w:b/>
          <w:bCs/>
          <w:color w:val="000000"/>
          <w:kern w:val="0"/>
          <w:sz w:val="24"/>
          <w:szCs w:val="24"/>
          <w:highlight w:val="none"/>
          <w:u w:val="single"/>
          <w:lang w:val="en-US" w:eastAsia="zh-CN" w:bidi="ar"/>
        </w:rPr>
        <w:t>20</w:t>
      </w:r>
      <w:r>
        <w:rPr>
          <w:rFonts w:hint="eastAsia" w:ascii="宋体" w:hAnsi="宋体" w:eastAsia="宋体" w:cs="宋体"/>
          <w:b/>
          <w:bCs/>
          <w:color w:val="000000"/>
          <w:kern w:val="0"/>
          <w:sz w:val="24"/>
          <w:szCs w:val="24"/>
          <w:highlight w:val="none"/>
          <w:lang w:val="en-US" w:eastAsia="zh-CN" w:bidi="ar"/>
        </w:rPr>
        <w:t>%。具体评分细则如下：</w:t>
      </w:r>
    </w:p>
    <w:tbl>
      <w:tblPr>
        <w:tblStyle w:val="17"/>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467"/>
        <w:gridCol w:w="5412"/>
        <w:gridCol w:w="1205"/>
      </w:tblGrid>
      <w:tr w14:paraId="5EF8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Align w:val="center"/>
          </w:tcPr>
          <w:p w14:paraId="0C4D2E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color w:val="auto"/>
                <w:kern w:val="21"/>
                <w:sz w:val="24"/>
                <w:szCs w:val="24"/>
                <w:highlight w:val="none"/>
                <w:lang w:val="en-US" w:eastAsia="zh-CN"/>
              </w:rPr>
            </w:pPr>
            <w:r>
              <w:rPr>
                <w:rFonts w:hint="eastAsia" w:asciiTheme="minorEastAsia" w:hAnsiTheme="minorEastAsia" w:eastAsiaTheme="minorEastAsia" w:cstheme="minorEastAsia"/>
                <w:b/>
                <w:bCs/>
                <w:color w:val="auto"/>
                <w:kern w:val="21"/>
                <w:sz w:val="24"/>
                <w:szCs w:val="24"/>
                <w:highlight w:val="none"/>
                <w:lang w:val="en-US" w:eastAsia="zh-CN"/>
              </w:rPr>
              <w:t>类别</w:t>
            </w:r>
          </w:p>
        </w:tc>
        <w:tc>
          <w:tcPr>
            <w:tcW w:w="1467" w:type="dxa"/>
            <w:vAlign w:val="center"/>
          </w:tcPr>
          <w:p w14:paraId="4CAAB4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color w:val="auto"/>
                <w:kern w:val="21"/>
                <w:sz w:val="24"/>
                <w:szCs w:val="24"/>
                <w:highlight w:val="none"/>
                <w:lang w:val="en-US" w:eastAsia="zh-CN"/>
              </w:rPr>
            </w:pPr>
            <w:r>
              <w:rPr>
                <w:rFonts w:hint="eastAsia" w:asciiTheme="minorEastAsia" w:hAnsiTheme="minorEastAsia" w:eastAsiaTheme="minorEastAsia" w:cstheme="minorEastAsia"/>
                <w:b/>
                <w:bCs/>
                <w:color w:val="auto"/>
                <w:kern w:val="21"/>
                <w:sz w:val="24"/>
                <w:szCs w:val="24"/>
                <w:highlight w:val="none"/>
                <w:lang w:val="en-US" w:eastAsia="zh-CN"/>
              </w:rPr>
              <w:t>评分内容</w:t>
            </w:r>
          </w:p>
        </w:tc>
        <w:tc>
          <w:tcPr>
            <w:tcW w:w="5412" w:type="dxa"/>
            <w:vAlign w:val="center"/>
          </w:tcPr>
          <w:p w14:paraId="563179C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color w:val="auto"/>
                <w:kern w:val="21"/>
                <w:sz w:val="24"/>
                <w:szCs w:val="24"/>
                <w:highlight w:val="none"/>
                <w:lang w:val="en-US" w:eastAsia="zh-CN"/>
              </w:rPr>
            </w:pPr>
            <w:r>
              <w:rPr>
                <w:rFonts w:hint="eastAsia" w:asciiTheme="minorEastAsia" w:hAnsiTheme="minorEastAsia" w:eastAsiaTheme="minorEastAsia" w:cstheme="minorEastAsia"/>
                <w:b/>
                <w:bCs/>
                <w:color w:val="auto"/>
                <w:kern w:val="21"/>
                <w:sz w:val="24"/>
                <w:szCs w:val="24"/>
                <w:highlight w:val="none"/>
                <w:lang w:val="en-US" w:eastAsia="zh-CN"/>
              </w:rPr>
              <w:t>评分标准</w:t>
            </w:r>
          </w:p>
        </w:tc>
        <w:tc>
          <w:tcPr>
            <w:tcW w:w="1205" w:type="dxa"/>
            <w:vAlign w:val="center"/>
          </w:tcPr>
          <w:p w14:paraId="4B42E6E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bCs/>
                <w:color w:val="auto"/>
                <w:kern w:val="21"/>
                <w:sz w:val="24"/>
                <w:szCs w:val="24"/>
                <w:highlight w:val="none"/>
                <w:lang w:val="en-US" w:eastAsia="zh-CN"/>
              </w:rPr>
            </w:pPr>
            <w:r>
              <w:rPr>
                <w:rFonts w:hint="eastAsia" w:asciiTheme="minorEastAsia" w:hAnsiTheme="minorEastAsia" w:eastAsiaTheme="minorEastAsia" w:cstheme="minorEastAsia"/>
                <w:b/>
                <w:bCs/>
                <w:color w:val="auto"/>
                <w:kern w:val="21"/>
                <w:sz w:val="24"/>
                <w:szCs w:val="24"/>
                <w:highlight w:val="none"/>
                <w:lang w:val="en-US" w:eastAsia="zh-CN"/>
              </w:rPr>
              <w:t>分值范围</w:t>
            </w:r>
          </w:p>
        </w:tc>
      </w:tr>
      <w:tr w14:paraId="2DA1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restart"/>
            <w:vAlign w:val="center"/>
          </w:tcPr>
          <w:p w14:paraId="5877233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技术资信分（80分）</w:t>
            </w:r>
          </w:p>
        </w:tc>
        <w:tc>
          <w:tcPr>
            <w:tcW w:w="1467" w:type="dxa"/>
            <w:vAlign w:val="center"/>
          </w:tcPr>
          <w:p w14:paraId="17F189B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维护保养方案</w:t>
            </w:r>
          </w:p>
        </w:tc>
        <w:tc>
          <w:tcPr>
            <w:tcW w:w="5412" w:type="dxa"/>
            <w:vAlign w:val="center"/>
          </w:tcPr>
          <w:p w14:paraId="15076F4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磋商小组根据供应商提供的项目方案进行综合评审，内容包括但不限于理解本项目的实施背景和目标、提供维保服务方案等方面。</w:t>
            </w:r>
          </w:p>
          <w:p w14:paraId="35012D3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1</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所提供的方案完整，内容全面、清晰，具有针对性和可行性，方案内容规范严谨、重点突出、同时能够对项目要求进行深化和细化的，得</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p w14:paraId="6CD251A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所提供的方案完整，内容具有可行性，能够满足项目采购需求的，得</w:t>
            </w:r>
            <w:r>
              <w:rPr>
                <w:rFonts w:hint="eastAsia" w:asciiTheme="minorEastAsia" w:hAnsiTheme="minorEastAsia" w:eastAsiaTheme="minorEastAsia" w:cstheme="minorEastAsia"/>
                <w:color w:val="auto"/>
                <w:kern w:val="21"/>
                <w:sz w:val="24"/>
                <w:szCs w:val="24"/>
                <w:highlight w:val="none"/>
                <w:lang w:val="en-US" w:eastAsia="zh-CN"/>
              </w:rPr>
              <w:t>2</w:t>
            </w:r>
            <w:r>
              <w:rPr>
                <w:rFonts w:hint="eastAsia" w:asciiTheme="minorEastAsia" w:hAnsiTheme="minorEastAsia" w:eastAsiaTheme="minorEastAsia" w:cstheme="minorEastAsia"/>
                <w:color w:val="auto"/>
                <w:kern w:val="21"/>
                <w:sz w:val="24"/>
                <w:szCs w:val="24"/>
                <w:highlight w:val="none"/>
                <w:lang w:val="zh-CN" w:eastAsia="zh-CN"/>
              </w:rPr>
              <w:t>分；</w:t>
            </w:r>
          </w:p>
          <w:p w14:paraId="655A885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3</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所提供的方案内容简单和片面，不能满足本项目全部需求，内容有待完善的，得1分；</w:t>
            </w:r>
          </w:p>
          <w:p w14:paraId="3CCA3DF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4</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未提供的不得分。</w:t>
            </w:r>
          </w:p>
        </w:tc>
        <w:tc>
          <w:tcPr>
            <w:tcW w:w="1205" w:type="dxa"/>
            <w:vAlign w:val="center"/>
          </w:tcPr>
          <w:p w14:paraId="1DEBE30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tc>
      </w:tr>
      <w:tr w14:paraId="422F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23DA8C7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57F97EB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保障措施</w:t>
            </w:r>
          </w:p>
        </w:tc>
        <w:tc>
          <w:tcPr>
            <w:tcW w:w="5412" w:type="dxa"/>
            <w:vAlign w:val="center"/>
          </w:tcPr>
          <w:p w14:paraId="78771B9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根据供应商响应文件中提供的关于维保服务保障措施，由磋商小组进行综合评审。措施包括但不限于人员工作安排，服务响应时间等方面。</w:t>
            </w:r>
          </w:p>
          <w:p w14:paraId="08F3B7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lang w:val="zh-CN" w:eastAsia="zh-CN" w:bidi="ar-SA"/>
              </w:rPr>
              <w:t>1</w:t>
            </w:r>
            <w:r>
              <w:rPr>
                <w:rFonts w:hint="eastAsia" w:asciiTheme="minorEastAsia" w:hAnsiTheme="minorEastAsia" w:eastAsiaTheme="minorEastAsia" w:cstheme="minorEastAsia"/>
                <w:color w:val="auto"/>
                <w:kern w:val="21"/>
                <w:sz w:val="24"/>
                <w:szCs w:val="24"/>
                <w:lang w:val="en-US" w:eastAsia="zh-CN" w:bidi="ar-SA"/>
              </w:rPr>
              <w:t>.</w:t>
            </w:r>
            <w:r>
              <w:rPr>
                <w:rFonts w:hint="eastAsia" w:asciiTheme="minorEastAsia" w:hAnsiTheme="minorEastAsia" w:eastAsiaTheme="minorEastAsia" w:cstheme="minorEastAsia"/>
                <w:color w:val="auto"/>
                <w:kern w:val="21"/>
                <w:sz w:val="24"/>
                <w:szCs w:val="24"/>
                <w:highlight w:val="none"/>
                <w:lang w:val="zh-CN" w:eastAsia="zh-CN"/>
              </w:rPr>
              <w:t>人员工作安排详细具体,工作岗位安排及分工清晰针对性强，服务响应及时得</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p w14:paraId="0BD858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人员工作安排能满足项目需求，工作岗位安排及分工有具有可行性;服务响应能够保障项目需要，得</w:t>
            </w:r>
            <w:r>
              <w:rPr>
                <w:rFonts w:hint="eastAsia" w:asciiTheme="minorEastAsia" w:hAnsiTheme="minorEastAsia" w:eastAsiaTheme="minorEastAsia" w:cstheme="minorEastAsia"/>
                <w:color w:val="auto"/>
                <w:kern w:val="21"/>
                <w:sz w:val="24"/>
                <w:szCs w:val="24"/>
                <w:highlight w:val="none"/>
                <w:lang w:val="en-US" w:eastAsia="zh-CN"/>
              </w:rPr>
              <w:t>2</w:t>
            </w:r>
            <w:r>
              <w:rPr>
                <w:rFonts w:hint="eastAsia" w:asciiTheme="minorEastAsia" w:hAnsiTheme="minorEastAsia" w:eastAsiaTheme="minorEastAsia" w:cstheme="minorEastAsia"/>
                <w:color w:val="auto"/>
                <w:kern w:val="21"/>
                <w:sz w:val="24"/>
                <w:szCs w:val="24"/>
                <w:highlight w:val="none"/>
                <w:lang w:val="zh-CN" w:eastAsia="zh-CN"/>
              </w:rPr>
              <w:t>分；</w:t>
            </w:r>
            <w:r>
              <w:rPr>
                <w:rFonts w:hint="eastAsia" w:asciiTheme="minorEastAsia" w:hAnsiTheme="minorEastAsia" w:eastAsiaTheme="minorEastAsia" w:cstheme="minorEastAsia"/>
                <w:color w:val="auto"/>
                <w:kern w:val="21"/>
                <w:sz w:val="24"/>
                <w:szCs w:val="24"/>
                <w:highlight w:val="none"/>
                <w:lang w:val="zh-CN" w:eastAsia="zh-CN"/>
              </w:rPr>
              <w:br w:type="textWrapping"/>
            </w:r>
            <w:r>
              <w:rPr>
                <w:rFonts w:hint="eastAsia" w:asciiTheme="minorEastAsia" w:hAnsiTheme="minorEastAsia" w:eastAsiaTheme="minorEastAsia" w:cstheme="minorEastAsia"/>
                <w:color w:val="auto"/>
                <w:kern w:val="21"/>
                <w:sz w:val="24"/>
                <w:szCs w:val="24"/>
                <w:highlight w:val="none"/>
                <w:lang w:val="zh-CN" w:eastAsia="zh-CN"/>
              </w:rPr>
              <w:t>3</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能够提供人员服务，工作岗位安排及分工缺乏针对性，服务响应慢无法保证项目实际需求，得1分；</w:t>
            </w:r>
          </w:p>
          <w:p w14:paraId="64842B6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4</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未提供的不得分。</w:t>
            </w:r>
          </w:p>
        </w:tc>
        <w:tc>
          <w:tcPr>
            <w:tcW w:w="1205" w:type="dxa"/>
            <w:vAlign w:val="center"/>
          </w:tcPr>
          <w:p w14:paraId="77F07F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tc>
      </w:tr>
      <w:tr w14:paraId="792A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26094DB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0D794D3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资料收集及应急预案</w:t>
            </w:r>
          </w:p>
        </w:tc>
        <w:tc>
          <w:tcPr>
            <w:tcW w:w="5412" w:type="dxa"/>
            <w:vAlign w:val="center"/>
          </w:tcPr>
          <w:p w14:paraId="504777D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结合项目特点，安排专人，做好电梯维保服务期间项目资料的记录收集整理、安全生产管理台账、应急预案的制定和管理。磋商小组根据采购文件要求及供应商提供的项目资料收集管理方案情况，进行综合评分。</w:t>
            </w:r>
          </w:p>
          <w:p w14:paraId="25029BE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1</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所提供的方案完整，内容全面、清晰，具有针对性和可行性，方案内容规范严谨、重点突出、同时能够对项目要求进行深化和细化的，得</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p w14:paraId="03F111B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所提供的方案完整，内容具有可行性，能够满足项目采购需求的，得</w:t>
            </w:r>
            <w:r>
              <w:rPr>
                <w:rFonts w:hint="eastAsia" w:asciiTheme="minorEastAsia" w:hAnsiTheme="minorEastAsia" w:eastAsiaTheme="minorEastAsia" w:cstheme="minorEastAsia"/>
                <w:color w:val="auto"/>
                <w:kern w:val="21"/>
                <w:sz w:val="24"/>
                <w:szCs w:val="24"/>
                <w:highlight w:val="none"/>
                <w:lang w:val="en-US" w:eastAsia="zh-CN"/>
              </w:rPr>
              <w:t>2</w:t>
            </w:r>
            <w:r>
              <w:rPr>
                <w:rFonts w:hint="eastAsia" w:asciiTheme="minorEastAsia" w:hAnsiTheme="minorEastAsia" w:eastAsiaTheme="minorEastAsia" w:cstheme="minorEastAsia"/>
                <w:color w:val="auto"/>
                <w:kern w:val="21"/>
                <w:sz w:val="24"/>
                <w:szCs w:val="24"/>
                <w:highlight w:val="none"/>
                <w:lang w:val="zh-CN" w:eastAsia="zh-CN"/>
              </w:rPr>
              <w:t>分；</w:t>
            </w:r>
          </w:p>
          <w:p w14:paraId="6FDD224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3</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所提供的方案内容简单和片面，不能满足本项目全部需求，内容有待完善的，得1分；</w:t>
            </w:r>
          </w:p>
          <w:p w14:paraId="7078DC0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4</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未提供的不得分。</w:t>
            </w:r>
          </w:p>
        </w:tc>
        <w:tc>
          <w:tcPr>
            <w:tcW w:w="1205" w:type="dxa"/>
            <w:vAlign w:val="center"/>
          </w:tcPr>
          <w:p w14:paraId="0F6C2C8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tc>
      </w:tr>
      <w:tr w14:paraId="541C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552124E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315417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安全生产管理</w:t>
            </w:r>
          </w:p>
        </w:tc>
        <w:tc>
          <w:tcPr>
            <w:tcW w:w="5412" w:type="dxa"/>
            <w:vAlign w:val="center"/>
          </w:tcPr>
          <w:p w14:paraId="56CFD90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磋商小组根据采购文件要求及供应商提供的电梯维保安全生产管理方案情况，进行综合评分。</w:t>
            </w:r>
          </w:p>
          <w:p w14:paraId="66D84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lang w:val="zh-CN" w:eastAsia="zh-CN" w:bidi="ar-SA"/>
              </w:rPr>
              <w:t>1</w:t>
            </w:r>
            <w:r>
              <w:rPr>
                <w:rFonts w:hint="eastAsia" w:asciiTheme="minorEastAsia" w:hAnsiTheme="minorEastAsia" w:eastAsiaTheme="minorEastAsia" w:cstheme="minorEastAsia"/>
                <w:color w:val="auto"/>
                <w:kern w:val="21"/>
                <w:sz w:val="24"/>
                <w:szCs w:val="24"/>
                <w:lang w:val="en-US" w:eastAsia="zh-CN" w:bidi="ar-SA"/>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所提供的方案完整，内容全面、清晰，具有针对性和可行性，方案内容规范严谨、重点突出、同时能够对项目要求进行深化和细化的，得</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p w14:paraId="0CB8B8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所提供的方案完整，内容具有可行性，能够满足项目采购需求的，得</w:t>
            </w:r>
            <w:r>
              <w:rPr>
                <w:rFonts w:hint="eastAsia" w:asciiTheme="minorEastAsia" w:hAnsiTheme="minorEastAsia" w:eastAsiaTheme="minorEastAsia" w:cstheme="minorEastAsia"/>
                <w:color w:val="auto"/>
                <w:kern w:val="21"/>
                <w:sz w:val="24"/>
                <w:szCs w:val="24"/>
                <w:highlight w:val="none"/>
                <w:lang w:val="en-US" w:eastAsia="zh-CN"/>
              </w:rPr>
              <w:t>2</w:t>
            </w:r>
            <w:r>
              <w:rPr>
                <w:rFonts w:hint="eastAsia" w:asciiTheme="minorEastAsia" w:hAnsiTheme="minorEastAsia" w:eastAsiaTheme="minorEastAsia" w:cstheme="minorEastAsia"/>
                <w:color w:val="auto"/>
                <w:kern w:val="21"/>
                <w:sz w:val="24"/>
                <w:szCs w:val="24"/>
                <w:highlight w:val="none"/>
                <w:lang w:val="zh-CN" w:eastAsia="zh-CN"/>
              </w:rPr>
              <w:t>分；</w:t>
            </w:r>
          </w:p>
          <w:p w14:paraId="0CCC89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3</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所提供的方案内容简单和片面，不能满足本项目全部需求，内容有待完善的，得1分；</w:t>
            </w:r>
          </w:p>
          <w:p w14:paraId="67B47B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4</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未提供的不得分。</w:t>
            </w:r>
          </w:p>
        </w:tc>
        <w:tc>
          <w:tcPr>
            <w:tcW w:w="1205" w:type="dxa"/>
            <w:vAlign w:val="center"/>
          </w:tcPr>
          <w:p w14:paraId="6278811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en-US" w:eastAsia="zh-CN"/>
              </w:rPr>
              <w:t>0</w:t>
            </w:r>
            <w:r>
              <w:rPr>
                <w:rFonts w:hint="eastAsia" w:asciiTheme="minorEastAsia" w:hAnsiTheme="minorEastAsia" w:eastAsiaTheme="minorEastAsia" w:cstheme="minorEastAsia"/>
                <w:color w:val="auto"/>
                <w:kern w:val="21"/>
                <w:sz w:val="24"/>
                <w:szCs w:val="24"/>
                <w:highlight w:val="none"/>
                <w:lang w:val="zh-CN" w:eastAsia="zh-CN"/>
              </w:rPr>
              <w:t>-</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tc>
      </w:tr>
      <w:tr w14:paraId="44F6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2" w:hRule="atLeast"/>
          <w:jc w:val="center"/>
        </w:trPr>
        <w:tc>
          <w:tcPr>
            <w:tcW w:w="845" w:type="dxa"/>
            <w:vMerge w:val="continue"/>
            <w:vAlign w:val="center"/>
          </w:tcPr>
          <w:p w14:paraId="7AA9BED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2BC93C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供应商管理体系</w:t>
            </w:r>
          </w:p>
        </w:tc>
        <w:tc>
          <w:tcPr>
            <w:tcW w:w="5412" w:type="dxa"/>
            <w:vAlign w:val="center"/>
          </w:tcPr>
          <w:p w14:paraId="3B35625F">
            <w:pPr>
              <w:keepNext w:val="0"/>
              <w:keepLines w:val="0"/>
              <w:pageBreakBefore w:val="0"/>
              <w:widowControl/>
              <w:kinsoku/>
              <w:wordWrap/>
              <w:overflowPunct/>
              <w:topLinePunct w:val="0"/>
              <w:bidi w:val="0"/>
              <w:snapToGrid/>
              <w:spacing w:line="500" w:lineRule="exact"/>
              <w:ind w:left="0" w:leftChars="0" w:firstLine="0" w:firstLineChars="0"/>
              <w:textAlignment w:val="auto"/>
              <w:rPr>
                <w:rFonts w:hint="eastAsia" w:ascii="宋体" w:hAnsi="宋体" w:eastAsia="宋体" w:cs="宋体"/>
                <w:b/>
                <w:bCs/>
                <w:color w:val="auto"/>
                <w:kern w:val="0"/>
                <w:sz w:val="24"/>
                <w:szCs w:val="24"/>
                <w:lang w:val="zh-CN" w:bidi="ar"/>
              </w:rPr>
            </w:pPr>
            <w:r>
              <w:rPr>
                <w:rFonts w:hint="eastAsia" w:ascii="宋体" w:hAnsi="宋体" w:eastAsia="宋体" w:cs="宋体"/>
                <w:b/>
                <w:bCs/>
                <w:color w:val="auto"/>
                <w:kern w:val="0"/>
                <w:sz w:val="24"/>
                <w:szCs w:val="24"/>
                <w:lang w:bidi="ar"/>
              </w:rPr>
              <w:t>供应商具有经中国国家认证认可监督管理委员会认证机构颁发的有效的下列证书：</w:t>
            </w:r>
          </w:p>
          <w:p w14:paraId="4D840833">
            <w:pPr>
              <w:keepNext w:val="0"/>
              <w:keepLines w:val="0"/>
              <w:pageBreakBefore w:val="0"/>
              <w:widowControl/>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kern w:val="0"/>
                <w:sz w:val="24"/>
                <w:szCs w:val="24"/>
                <w:lang w:val="zh-CN" w:bidi="ar"/>
              </w:rPr>
            </w:pPr>
            <w:r>
              <w:rPr>
                <w:rFonts w:hint="eastAsia" w:ascii="宋体" w:hAnsi="宋体" w:eastAsia="宋体" w:cs="宋体"/>
                <w:color w:val="auto"/>
                <w:kern w:val="0"/>
                <w:sz w:val="24"/>
                <w:szCs w:val="24"/>
                <w:lang w:bidi="ar"/>
              </w:rPr>
              <w:t>质量管理体系认证；</w:t>
            </w:r>
          </w:p>
          <w:p w14:paraId="04F14864">
            <w:pPr>
              <w:keepNext w:val="0"/>
              <w:keepLines w:val="0"/>
              <w:pageBreakBefore w:val="0"/>
              <w:widowControl/>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环境管理体系认证；</w:t>
            </w:r>
          </w:p>
          <w:p w14:paraId="493C4C8B">
            <w:pPr>
              <w:keepNext w:val="0"/>
              <w:keepLines w:val="0"/>
              <w:pageBreakBefore w:val="0"/>
              <w:widowControl/>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职业健康管理体系认证；</w:t>
            </w:r>
          </w:p>
          <w:p w14:paraId="64A6FF36">
            <w:pPr>
              <w:keepNext w:val="0"/>
              <w:keepLines w:val="0"/>
              <w:pageBreakBefore w:val="0"/>
              <w:widowControl/>
              <w:kinsoku/>
              <w:wordWrap/>
              <w:overflowPunct/>
              <w:topLinePunct w:val="0"/>
              <w:bidi w:val="0"/>
              <w:snapToGrid/>
              <w:spacing w:line="500" w:lineRule="exact"/>
              <w:ind w:left="0" w:leftChars="0" w:firstLine="0" w:firstLineChars="0"/>
              <w:textAlignment w:val="auto"/>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每提供一项得2分，全部提供得6分。</w:t>
            </w:r>
          </w:p>
          <w:p w14:paraId="705C59F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宋体" w:hAnsi="宋体" w:eastAsia="宋体" w:cs="宋体"/>
                <w:b/>
                <w:bCs/>
                <w:color w:val="auto"/>
                <w:kern w:val="0"/>
                <w:sz w:val="24"/>
                <w:szCs w:val="24"/>
                <w:lang w:bidi="ar"/>
              </w:rPr>
              <w:t>注：响应文件中提供上述证书扫描件，还需提供全国认证认可信息公共服务平台网站证书信息查询截图，缺任意证明材料不得分。</w:t>
            </w:r>
            <w:r>
              <w:rPr>
                <w:rFonts w:hint="eastAsia" w:ascii="宋体" w:hAnsi="宋体" w:eastAsia="宋体" w:cs="宋体"/>
                <w:b/>
                <w:bCs/>
                <w:color w:val="auto"/>
                <w:sz w:val="24"/>
                <w:szCs w:val="24"/>
              </w:rPr>
              <w:t>证书状态为“有效”。</w:t>
            </w:r>
          </w:p>
        </w:tc>
        <w:tc>
          <w:tcPr>
            <w:tcW w:w="1205" w:type="dxa"/>
            <w:vAlign w:val="center"/>
          </w:tcPr>
          <w:p w14:paraId="4D2826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w:t>
            </w:r>
            <w:r>
              <w:rPr>
                <w:rFonts w:hint="eastAsia" w:asciiTheme="minorEastAsia" w:hAnsiTheme="minorEastAsia" w:eastAsiaTheme="minorEastAsia" w:cstheme="minorEastAsia"/>
                <w:color w:val="auto"/>
                <w:kern w:val="21"/>
                <w:sz w:val="24"/>
                <w:szCs w:val="24"/>
                <w:highlight w:val="none"/>
                <w:lang w:val="en-US" w:eastAsia="zh-CN"/>
              </w:rPr>
              <w:t>6</w:t>
            </w:r>
            <w:r>
              <w:rPr>
                <w:rFonts w:hint="eastAsia" w:asciiTheme="minorEastAsia" w:hAnsiTheme="minorEastAsia" w:eastAsiaTheme="minorEastAsia" w:cstheme="minorEastAsia"/>
                <w:color w:val="auto"/>
                <w:kern w:val="21"/>
                <w:sz w:val="24"/>
                <w:szCs w:val="24"/>
                <w:highlight w:val="none"/>
                <w:lang w:val="zh-CN" w:eastAsia="zh-CN"/>
              </w:rPr>
              <w:t>分</w:t>
            </w:r>
          </w:p>
        </w:tc>
      </w:tr>
      <w:tr w14:paraId="65C9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76E4FE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348E0E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人员配备</w:t>
            </w:r>
          </w:p>
        </w:tc>
        <w:tc>
          <w:tcPr>
            <w:tcW w:w="5412" w:type="dxa"/>
            <w:vAlign w:val="center"/>
          </w:tcPr>
          <w:p w14:paraId="5B91FBF7">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left"/>
              <w:textAlignment w:val="auto"/>
              <w:rPr>
                <w:b/>
                <w:bCs/>
                <w:color w:val="auto"/>
              </w:rPr>
            </w:pPr>
            <w:r>
              <w:rPr>
                <w:rFonts w:ascii="宋体" w:hAnsi="宋体" w:eastAsia="宋体" w:cstheme="minorBidi"/>
                <w:b/>
                <w:bCs/>
                <w:color w:val="auto"/>
                <w:kern w:val="0"/>
                <w:sz w:val="24"/>
                <w:lang w:val="en-US" w:eastAsia="zh-CN" w:bidi="ar"/>
              </w:rPr>
              <w:t>1</w:t>
            </w:r>
            <w:r>
              <w:rPr>
                <w:rFonts w:hint="eastAsia" w:cstheme="minorBidi"/>
                <w:b/>
                <w:bCs/>
                <w:color w:val="auto"/>
                <w:kern w:val="0"/>
                <w:sz w:val="24"/>
                <w:lang w:val="en-US" w:eastAsia="zh-CN" w:bidi="ar"/>
              </w:rPr>
              <w:t>.</w:t>
            </w:r>
            <w:r>
              <w:rPr>
                <w:rFonts w:hint="eastAsia" w:ascii="宋体" w:hAnsi="宋体" w:eastAsia="宋体" w:cs="宋体"/>
                <w:b/>
                <w:bCs/>
                <w:color w:val="auto"/>
                <w:spacing w:val="0"/>
                <w:position w:val="0"/>
                <w:sz w:val="24"/>
                <w:szCs w:val="24"/>
              </w:rPr>
              <w:t>供应商为本项目配备的项目负责人（1人</w:t>
            </w:r>
            <w:r>
              <w:rPr>
                <w:rFonts w:hint="eastAsia" w:cs="宋体"/>
                <w:b/>
                <w:bCs/>
                <w:color w:val="auto"/>
                <w:spacing w:val="0"/>
                <w:position w:val="0"/>
                <w:sz w:val="24"/>
                <w:szCs w:val="24"/>
                <w:lang w:eastAsia="zh-CN"/>
              </w:rPr>
              <w:t>，</w:t>
            </w:r>
            <w:r>
              <w:rPr>
                <w:rFonts w:hint="eastAsia" w:cs="宋体"/>
                <w:b/>
                <w:bCs/>
                <w:color w:val="auto"/>
                <w:spacing w:val="0"/>
                <w:position w:val="0"/>
                <w:sz w:val="24"/>
                <w:szCs w:val="24"/>
                <w:lang w:val="en-US" w:eastAsia="zh-CN"/>
              </w:rPr>
              <w:t>6分</w:t>
            </w:r>
            <w:r>
              <w:rPr>
                <w:rFonts w:hint="eastAsia" w:ascii="宋体" w:hAnsi="宋体" w:eastAsia="宋体" w:cs="宋体"/>
                <w:b/>
                <w:bCs/>
                <w:color w:val="auto"/>
                <w:spacing w:val="0"/>
                <w:position w:val="0"/>
                <w:sz w:val="24"/>
                <w:szCs w:val="24"/>
              </w:rPr>
              <w:t>）</w:t>
            </w:r>
          </w:p>
          <w:p w14:paraId="08878605">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firstLine="0" w:firstLineChars="0"/>
              <w:jc w:val="left"/>
              <w:textAlignment w:val="auto"/>
              <w:rPr>
                <w:rFonts w:hint="eastAsia" w:ascii="宋体" w:hAnsi="宋体" w:eastAsia="宋体" w:cs="宋体"/>
                <w:color w:val="auto"/>
                <w:spacing w:val="0"/>
                <w:position w:val="0"/>
                <w:sz w:val="24"/>
                <w:szCs w:val="24"/>
              </w:rPr>
            </w:pPr>
            <w:r>
              <w:rPr>
                <w:rFonts w:hint="eastAsia" w:ascii="宋体" w:hAnsi="宋体" w:eastAsia="宋体" w:cs="宋体"/>
                <w:color w:val="auto"/>
                <w:spacing w:val="0"/>
                <w:kern w:val="0"/>
                <w:position w:val="0"/>
                <w:sz w:val="24"/>
                <w:szCs w:val="24"/>
                <w:lang w:val="en-US" w:eastAsia="zh-CN" w:bidi="ar"/>
              </w:rPr>
              <w:t>（1）具有电梯安装维修工技能等</w:t>
            </w:r>
            <w:r>
              <w:rPr>
                <w:rFonts w:hint="eastAsia" w:ascii="宋体" w:hAnsi="宋体" w:eastAsia="宋体" w:cs="宋体"/>
                <w:color w:val="auto"/>
                <w:spacing w:val="0"/>
                <w:position w:val="0"/>
                <w:sz w:val="24"/>
                <w:szCs w:val="24"/>
              </w:rPr>
              <w:t>级证书</w:t>
            </w:r>
            <w:r>
              <w:rPr>
                <w:rFonts w:hint="eastAsia" w:cs="宋体"/>
                <w:b/>
                <w:bCs/>
                <w:color w:val="auto"/>
                <w:spacing w:val="0"/>
                <w:position w:val="0"/>
                <w:sz w:val="24"/>
                <w:szCs w:val="24"/>
                <w:lang w:eastAsia="zh-CN"/>
              </w:rPr>
              <w:t>（</w:t>
            </w:r>
            <w:r>
              <w:rPr>
                <w:rStyle w:val="19"/>
                <w:rFonts w:ascii="Arial" w:hAnsi="Arial" w:eastAsia="Arial" w:cs="Arial"/>
                <w:b/>
                <w:bCs/>
                <w:i w:val="0"/>
                <w:iCs w:val="0"/>
                <w:caps w:val="0"/>
                <w:color w:val="auto"/>
                <w:spacing w:val="0"/>
                <w:sz w:val="24"/>
                <w:szCs w:val="24"/>
                <w:shd w:val="clear" w:fill="FFFFFF"/>
              </w:rPr>
              <w:t>二级</w:t>
            </w:r>
            <w:r>
              <w:rPr>
                <w:rStyle w:val="19"/>
                <w:rFonts w:hint="eastAsia" w:ascii="Arial" w:hAnsi="Arial" w:cs="Arial"/>
                <w:b/>
                <w:bCs/>
                <w:i w:val="0"/>
                <w:iCs w:val="0"/>
                <w:caps w:val="0"/>
                <w:color w:val="auto"/>
                <w:spacing w:val="0"/>
                <w:sz w:val="24"/>
                <w:szCs w:val="24"/>
                <w:shd w:val="clear" w:fill="FFFFFF"/>
                <w:lang w:val="en-US" w:eastAsia="zh-CN"/>
              </w:rPr>
              <w:t>或</w:t>
            </w:r>
            <w:r>
              <w:rPr>
                <w:rStyle w:val="19"/>
                <w:rFonts w:ascii="Arial" w:hAnsi="Arial" w:eastAsia="Arial" w:cs="Arial"/>
                <w:b/>
                <w:bCs/>
                <w:i w:val="0"/>
                <w:iCs w:val="0"/>
                <w:caps w:val="0"/>
                <w:color w:val="auto"/>
                <w:spacing w:val="0"/>
                <w:sz w:val="24"/>
                <w:szCs w:val="24"/>
                <w:shd w:val="clear" w:fill="FFFFFF"/>
              </w:rPr>
              <w:t>技师</w:t>
            </w:r>
            <w:r>
              <w:rPr>
                <w:rStyle w:val="19"/>
                <w:rFonts w:hint="eastAsia" w:ascii="Arial" w:hAnsi="Arial" w:eastAsia="宋体" w:cs="Arial"/>
                <w:b/>
                <w:bCs/>
                <w:i w:val="0"/>
                <w:iCs w:val="0"/>
                <w:caps w:val="0"/>
                <w:color w:val="auto"/>
                <w:spacing w:val="0"/>
                <w:sz w:val="24"/>
                <w:szCs w:val="24"/>
                <w:shd w:val="clear" w:fill="FFFFFF"/>
                <w:lang w:val="en-US" w:eastAsia="zh-CN"/>
              </w:rPr>
              <w:t>级</w:t>
            </w:r>
            <w:r>
              <w:rPr>
                <w:rFonts w:hint="default" w:ascii="Arial" w:hAnsi="Arial" w:eastAsia="Arial" w:cs="Arial"/>
                <w:b/>
                <w:bCs/>
                <w:i w:val="0"/>
                <w:iCs w:val="0"/>
                <w:caps w:val="0"/>
                <w:color w:val="auto"/>
                <w:spacing w:val="0"/>
                <w:sz w:val="24"/>
                <w:szCs w:val="24"/>
                <w:shd w:val="clear" w:fill="FFFFFF"/>
              </w:rPr>
              <w:t>‌</w:t>
            </w:r>
            <w:r>
              <w:rPr>
                <w:rFonts w:hint="eastAsia" w:ascii="宋体" w:hAnsi="宋体" w:eastAsia="宋体" w:cs="宋体"/>
                <w:b/>
                <w:bCs/>
                <w:color w:val="auto"/>
                <w:spacing w:val="0"/>
                <w:position w:val="0"/>
                <w:sz w:val="24"/>
                <w:szCs w:val="24"/>
              </w:rPr>
              <w:t>及以上</w:t>
            </w:r>
            <w:r>
              <w:rPr>
                <w:rFonts w:hint="eastAsia" w:cs="宋体"/>
                <w:b/>
                <w:bCs/>
                <w:color w:val="auto"/>
                <w:spacing w:val="0"/>
                <w:position w:val="0"/>
                <w:sz w:val="24"/>
                <w:szCs w:val="24"/>
                <w:lang w:val="en-US" w:eastAsia="zh-CN"/>
              </w:rPr>
              <w:t>等级</w:t>
            </w:r>
            <w:r>
              <w:rPr>
                <w:rFonts w:hint="eastAsia" w:cs="宋体"/>
                <w:b/>
                <w:bCs/>
                <w:color w:val="auto"/>
                <w:spacing w:val="0"/>
                <w:position w:val="0"/>
                <w:sz w:val="24"/>
                <w:szCs w:val="24"/>
                <w:lang w:eastAsia="zh-CN"/>
              </w:rPr>
              <w:t>）</w:t>
            </w:r>
            <w:r>
              <w:rPr>
                <w:rFonts w:hint="eastAsia" w:ascii="宋体" w:hAnsi="宋体" w:eastAsia="宋体" w:cs="宋体"/>
                <w:color w:val="auto"/>
                <w:spacing w:val="0"/>
                <w:position w:val="0"/>
                <w:sz w:val="24"/>
                <w:szCs w:val="24"/>
              </w:rPr>
              <w:t>的，得3分，本小项满分3分。</w:t>
            </w:r>
          </w:p>
          <w:p w14:paraId="0A94BCD4">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Chars="0" w:right="0" w:rightChars="0" w:firstLine="0" w:firstLineChars="0"/>
              <w:jc w:val="left"/>
              <w:textAlignment w:val="auto"/>
              <w:rPr>
                <w:color w:val="auto"/>
              </w:rPr>
            </w:pPr>
            <w:r>
              <w:rPr>
                <w:rFonts w:hint="eastAsia" w:ascii="宋体" w:hAnsi="宋体" w:eastAsia="宋体" w:cs="宋体"/>
                <w:color w:val="auto"/>
                <w:spacing w:val="0"/>
                <w:position w:val="0"/>
                <w:sz w:val="24"/>
                <w:szCs w:val="24"/>
              </w:rPr>
              <w:t>（2）具有特种设备检验检测人员</w:t>
            </w:r>
            <w:r>
              <w:rPr>
                <w:rFonts w:hint="eastAsia" w:ascii="宋体" w:hAnsi="宋体" w:eastAsia="宋体" w:cs="宋体"/>
                <w:b/>
                <w:bCs/>
                <w:color w:val="auto"/>
                <w:spacing w:val="0"/>
                <w:position w:val="0"/>
                <w:sz w:val="24"/>
                <w:szCs w:val="24"/>
              </w:rPr>
              <w:t>（电梯）</w:t>
            </w:r>
            <w:r>
              <w:rPr>
                <w:rFonts w:hint="eastAsia" w:ascii="宋体" w:hAnsi="宋体" w:eastAsia="宋体" w:cs="宋体"/>
                <w:color w:val="auto"/>
                <w:spacing w:val="0"/>
                <w:position w:val="0"/>
                <w:sz w:val="24"/>
                <w:szCs w:val="24"/>
              </w:rPr>
              <w:t>证书</w:t>
            </w:r>
            <w:r>
              <w:rPr>
                <w:rFonts w:hint="eastAsia" w:ascii="宋体" w:hAnsi="宋体" w:eastAsia="宋体" w:cs="宋体"/>
                <w:b/>
                <w:bCs/>
                <w:color w:val="auto"/>
                <w:spacing w:val="0"/>
                <w:position w:val="0"/>
                <w:sz w:val="24"/>
                <w:szCs w:val="24"/>
              </w:rPr>
              <w:t>检验师及以上</w:t>
            </w:r>
            <w:r>
              <w:rPr>
                <w:rFonts w:hint="eastAsia" w:cs="宋体"/>
                <w:b/>
                <w:bCs/>
                <w:color w:val="auto"/>
                <w:spacing w:val="0"/>
                <w:position w:val="0"/>
                <w:sz w:val="24"/>
                <w:szCs w:val="24"/>
                <w:lang w:val="en-US" w:eastAsia="zh-CN"/>
              </w:rPr>
              <w:t>等级</w:t>
            </w:r>
            <w:r>
              <w:rPr>
                <w:rFonts w:hint="eastAsia" w:ascii="宋体" w:hAnsi="宋体" w:eastAsia="宋体" w:cs="宋体"/>
                <w:color w:val="auto"/>
                <w:spacing w:val="0"/>
                <w:position w:val="0"/>
                <w:sz w:val="24"/>
                <w:szCs w:val="24"/>
              </w:rPr>
              <w:t>的，得3分，本小项满分3分。</w:t>
            </w:r>
          </w:p>
          <w:p w14:paraId="5BAE8EA0">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left"/>
              <w:textAlignment w:val="auto"/>
              <w:rPr>
                <w:rFonts w:hint="eastAsia" w:ascii="宋体" w:hAnsi="宋体" w:eastAsia="宋体" w:cs="宋体"/>
                <w:b/>
                <w:bCs/>
                <w:color w:val="auto"/>
                <w:spacing w:val="0"/>
                <w:position w:val="0"/>
                <w:sz w:val="24"/>
                <w:szCs w:val="24"/>
              </w:rPr>
            </w:pPr>
            <w:r>
              <w:rPr>
                <w:rFonts w:ascii="宋体" w:hAnsi="宋体" w:eastAsia="宋体" w:cstheme="minorBidi"/>
                <w:b/>
                <w:bCs/>
                <w:color w:val="auto"/>
                <w:kern w:val="0"/>
                <w:sz w:val="24"/>
                <w:lang w:val="en-US" w:eastAsia="zh-CN" w:bidi="ar"/>
              </w:rPr>
              <w:t>2</w:t>
            </w:r>
            <w:r>
              <w:rPr>
                <w:rFonts w:hint="eastAsia" w:cstheme="minorBidi"/>
                <w:b/>
                <w:bCs/>
                <w:color w:val="auto"/>
                <w:kern w:val="0"/>
                <w:sz w:val="24"/>
                <w:lang w:val="en-US" w:eastAsia="zh-CN" w:bidi="ar"/>
              </w:rPr>
              <w:t>.</w:t>
            </w:r>
            <w:r>
              <w:rPr>
                <w:rFonts w:hint="eastAsia" w:ascii="宋体" w:hAnsi="宋体" w:eastAsia="宋体" w:cs="宋体"/>
                <w:b/>
                <w:bCs/>
                <w:color w:val="auto"/>
                <w:spacing w:val="0"/>
                <w:position w:val="0"/>
                <w:sz w:val="24"/>
                <w:szCs w:val="24"/>
              </w:rPr>
              <w:t>供应商为本项目配备的其他项目人员（不含项目负责人）</w:t>
            </w:r>
          </w:p>
          <w:p w14:paraId="3B2116BD">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left"/>
              <w:textAlignment w:val="auto"/>
              <w:rPr>
                <w:color w:val="auto"/>
              </w:rPr>
            </w:pPr>
            <w:r>
              <w:rPr>
                <w:rFonts w:hint="eastAsia" w:cs="宋体"/>
                <w:color w:val="auto"/>
                <w:spacing w:val="0"/>
                <w:position w:val="0"/>
                <w:sz w:val="24"/>
                <w:szCs w:val="24"/>
                <w:lang w:eastAsia="zh-CN"/>
              </w:rPr>
              <w:t>（</w:t>
            </w:r>
            <w:r>
              <w:rPr>
                <w:rFonts w:hint="eastAsia" w:cs="宋体"/>
                <w:color w:val="auto"/>
                <w:spacing w:val="0"/>
                <w:position w:val="0"/>
                <w:sz w:val="24"/>
                <w:szCs w:val="24"/>
                <w:lang w:val="en-US" w:eastAsia="zh-CN"/>
              </w:rPr>
              <w:t>1</w:t>
            </w:r>
            <w:r>
              <w:rPr>
                <w:rFonts w:hint="eastAsia" w:cs="宋体"/>
                <w:color w:val="auto"/>
                <w:spacing w:val="0"/>
                <w:position w:val="0"/>
                <w:sz w:val="24"/>
                <w:szCs w:val="24"/>
                <w:lang w:eastAsia="zh-CN"/>
              </w:rPr>
              <w:t>）</w:t>
            </w:r>
            <w:r>
              <w:rPr>
                <w:rFonts w:hint="eastAsia" w:ascii="宋体" w:hAnsi="宋体" w:eastAsia="宋体" w:cs="宋体"/>
                <w:color w:val="auto"/>
                <w:spacing w:val="0"/>
                <w:position w:val="0"/>
                <w:sz w:val="24"/>
                <w:szCs w:val="24"/>
              </w:rPr>
              <w:t>具有《特种设备作业人员证书（电梯作业）》</w:t>
            </w:r>
            <w:r>
              <w:rPr>
                <w:rFonts w:hint="eastAsia" w:ascii="宋体" w:hAnsi="宋体" w:eastAsia="宋体" w:cs="宋体"/>
                <w:b w:val="0"/>
                <w:bCs w:val="0"/>
                <w:color w:val="auto"/>
                <w:spacing w:val="0"/>
                <w:position w:val="0"/>
                <w:sz w:val="24"/>
                <w:szCs w:val="24"/>
              </w:rPr>
              <w:t>（电梯机械安装维修T1或电梯电气安装维修T2或电梯维修证T）</w:t>
            </w:r>
            <w:r>
              <w:rPr>
                <w:rFonts w:hint="eastAsia" w:ascii="宋体" w:hAnsi="宋体" w:eastAsia="宋体" w:cs="宋体"/>
                <w:color w:val="auto"/>
                <w:spacing w:val="0"/>
                <w:position w:val="0"/>
                <w:sz w:val="24"/>
                <w:szCs w:val="24"/>
              </w:rPr>
              <w:t>的，每提供一人得2.5分，本小项满分5分。</w:t>
            </w:r>
          </w:p>
          <w:p w14:paraId="5A1F38E1">
            <w:pPr>
              <w:pStyle w:val="1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left"/>
              <w:textAlignment w:val="auto"/>
              <w:rPr>
                <w:color w:val="auto"/>
              </w:rPr>
            </w:pPr>
            <w:r>
              <w:rPr>
                <w:rFonts w:hint="eastAsia" w:cs="宋体"/>
                <w:color w:val="auto"/>
                <w:spacing w:val="0"/>
                <w:position w:val="0"/>
                <w:sz w:val="24"/>
                <w:szCs w:val="24"/>
                <w:lang w:eastAsia="zh-CN"/>
              </w:rPr>
              <w:t>（</w:t>
            </w:r>
            <w:r>
              <w:rPr>
                <w:rFonts w:hint="eastAsia" w:cs="宋体"/>
                <w:color w:val="auto"/>
                <w:spacing w:val="0"/>
                <w:position w:val="0"/>
                <w:sz w:val="24"/>
                <w:szCs w:val="24"/>
                <w:lang w:val="en-US" w:eastAsia="zh-CN"/>
              </w:rPr>
              <w:t>2</w:t>
            </w:r>
            <w:r>
              <w:rPr>
                <w:rFonts w:hint="eastAsia" w:cs="宋体"/>
                <w:color w:val="auto"/>
                <w:spacing w:val="0"/>
                <w:position w:val="0"/>
                <w:sz w:val="24"/>
                <w:szCs w:val="24"/>
                <w:lang w:eastAsia="zh-CN"/>
              </w:rPr>
              <w:t>）</w:t>
            </w:r>
            <w:r>
              <w:rPr>
                <w:rFonts w:hint="eastAsia" w:ascii="宋体" w:hAnsi="宋体" w:eastAsia="宋体" w:cs="宋体"/>
                <w:b w:val="0"/>
                <w:bCs w:val="0"/>
                <w:color w:val="auto"/>
                <w:spacing w:val="0"/>
                <w:position w:val="0"/>
                <w:sz w:val="24"/>
                <w:szCs w:val="24"/>
              </w:rPr>
              <w:t>具有电梯安装维修工职业技能等级证书（三级或高级工及以上等级）的</w:t>
            </w:r>
            <w:r>
              <w:rPr>
                <w:rFonts w:hint="eastAsia" w:ascii="宋体" w:hAnsi="宋体" w:eastAsia="宋体" w:cs="宋体"/>
                <w:color w:val="auto"/>
                <w:spacing w:val="0"/>
                <w:position w:val="0"/>
                <w:sz w:val="24"/>
                <w:szCs w:val="24"/>
              </w:rPr>
              <w:t>，每提供一个人得3分，本小项满分3分。</w:t>
            </w:r>
          </w:p>
          <w:p w14:paraId="221827A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firstLine="0" w:firstLineChars="0"/>
              <w:jc w:val="left"/>
              <w:textAlignment w:val="auto"/>
              <w:rPr>
                <w:rFonts w:hint="eastAsia" w:asciiTheme="minorEastAsia" w:hAnsiTheme="minorEastAsia" w:eastAsiaTheme="minorEastAsia" w:cstheme="minorEastAsia"/>
                <w:b/>
                <w:color w:val="auto"/>
                <w:spacing w:val="0"/>
                <w:kern w:val="21"/>
                <w:sz w:val="24"/>
                <w:szCs w:val="24"/>
                <w:u w:val="none"/>
                <w:lang w:val="en-US" w:eastAsia="zh-CN"/>
              </w:rPr>
            </w:pPr>
            <w:r>
              <w:rPr>
                <w:rFonts w:hint="eastAsia" w:ascii="宋体" w:hAnsi="宋体" w:eastAsia="宋体" w:cs="宋体"/>
                <w:b/>
                <w:bCs/>
                <w:color w:val="auto"/>
                <w:spacing w:val="0"/>
                <w:kern w:val="0"/>
                <w:position w:val="0"/>
                <w:sz w:val="24"/>
                <w:szCs w:val="24"/>
                <w:lang w:val="en-US" w:eastAsia="zh-CN" w:bidi="ar"/>
              </w:rPr>
              <w:t>注：</w:t>
            </w:r>
            <w:r>
              <w:rPr>
                <w:rFonts w:hint="eastAsia" w:cs="宋体"/>
                <w:b/>
                <w:bCs/>
                <w:color w:val="auto"/>
                <w:spacing w:val="0"/>
                <w:kern w:val="0"/>
                <w:position w:val="0"/>
                <w:sz w:val="24"/>
                <w:szCs w:val="24"/>
                <w:lang w:val="en-US" w:eastAsia="zh-CN" w:bidi="ar"/>
              </w:rPr>
              <w:t>（1）</w:t>
            </w:r>
            <w:r>
              <w:rPr>
                <w:rFonts w:hint="eastAsia" w:ascii="宋体" w:hAnsi="宋体" w:eastAsia="宋体" w:cs="宋体"/>
                <w:b/>
                <w:bCs/>
                <w:color w:val="auto"/>
                <w:spacing w:val="0"/>
                <w:kern w:val="0"/>
                <w:position w:val="0"/>
                <w:sz w:val="24"/>
                <w:szCs w:val="24"/>
                <w:lang w:val="en-US" w:eastAsia="zh-CN" w:bidi="ar"/>
              </w:rPr>
              <w:t>同一人员具有多个证书的，仅计分一次。（2）响应文件中</w:t>
            </w:r>
            <w:r>
              <w:rPr>
                <w:rFonts w:hint="eastAsia" w:asciiTheme="minorEastAsia" w:hAnsiTheme="minorEastAsia" w:eastAsiaTheme="minorEastAsia" w:cstheme="minorEastAsia"/>
                <w:b/>
                <w:bCs/>
                <w:color w:val="auto"/>
                <w:spacing w:val="0"/>
                <w:kern w:val="21"/>
                <w:sz w:val="24"/>
                <w:szCs w:val="24"/>
                <w:u w:val="none"/>
              </w:rPr>
              <w:t>提供上述人员证书扫描件或影印件，同时提供供应商为其缴纳的近3个月内（任意一个月即可）社保证明材料扫描件或影印件</w:t>
            </w:r>
            <w:r>
              <w:rPr>
                <w:rFonts w:hint="eastAsia" w:asciiTheme="minorEastAsia" w:hAnsiTheme="minorEastAsia" w:eastAsiaTheme="minorEastAsia" w:cstheme="minorEastAsia"/>
                <w:b/>
                <w:bCs/>
                <w:color w:val="auto"/>
                <w:spacing w:val="0"/>
                <w:kern w:val="21"/>
                <w:sz w:val="24"/>
                <w:szCs w:val="24"/>
                <w:u w:val="none"/>
                <w:lang w:eastAsia="zh-CN"/>
              </w:rPr>
              <w:t>，</w:t>
            </w:r>
            <w:r>
              <w:rPr>
                <w:rFonts w:hint="eastAsia" w:asciiTheme="minorEastAsia" w:hAnsiTheme="minorEastAsia" w:eastAsiaTheme="minorEastAsia" w:cstheme="minorEastAsia"/>
                <w:b/>
                <w:color w:val="auto"/>
                <w:spacing w:val="0"/>
                <w:kern w:val="21"/>
                <w:sz w:val="24"/>
                <w:szCs w:val="24"/>
                <w:u w:val="none"/>
                <w:lang w:val="en-US" w:eastAsia="zh-CN"/>
              </w:rPr>
              <w:t>社保证明材料形式详见供应商须知前附表。（注：社保证明材料至少含养老保险）</w:t>
            </w:r>
          </w:p>
          <w:p w14:paraId="0534EB8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cs="宋体"/>
                <w:b/>
                <w:bCs/>
                <w:color w:val="auto"/>
                <w:spacing w:val="0"/>
                <w:kern w:val="0"/>
                <w:position w:val="0"/>
                <w:sz w:val="24"/>
                <w:szCs w:val="24"/>
                <w:lang w:val="en-US" w:eastAsia="zh-CN" w:bidi="ar"/>
              </w:rPr>
              <w:t>（3）</w:t>
            </w:r>
            <w:r>
              <w:rPr>
                <w:rFonts w:hint="eastAsia" w:ascii="宋体" w:hAnsi="宋体" w:eastAsia="宋体" w:cs="宋体"/>
                <w:b/>
                <w:bCs/>
                <w:color w:val="auto"/>
                <w:spacing w:val="0"/>
                <w:kern w:val="0"/>
                <w:position w:val="0"/>
                <w:sz w:val="24"/>
                <w:szCs w:val="24"/>
                <w:lang w:val="en-US" w:eastAsia="zh-CN" w:bidi="ar"/>
              </w:rPr>
              <w:t>如提供的为职业技能等级证书，响应文件中还须提供该证书在“技能人才评价工作网”网站查询截图为评审依据。</w:t>
            </w:r>
          </w:p>
        </w:tc>
        <w:tc>
          <w:tcPr>
            <w:tcW w:w="1205" w:type="dxa"/>
            <w:vAlign w:val="center"/>
          </w:tcPr>
          <w:p w14:paraId="51CCEB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0-1</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w:t>
            </w:r>
          </w:p>
        </w:tc>
      </w:tr>
      <w:tr w14:paraId="1E66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4A7FC9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6CFD0D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供应商综合实力</w:t>
            </w:r>
          </w:p>
        </w:tc>
        <w:tc>
          <w:tcPr>
            <w:tcW w:w="5412" w:type="dxa"/>
            <w:vAlign w:val="center"/>
          </w:tcPr>
          <w:p w14:paraId="1CBB18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lang w:val="zh-CN" w:eastAsia="zh-CN" w:bidi="ar-SA"/>
              </w:rPr>
              <w:t>1</w:t>
            </w:r>
            <w:r>
              <w:rPr>
                <w:rFonts w:hint="eastAsia" w:asciiTheme="minorEastAsia" w:hAnsiTheme="minorEastAsia" w:eastAsiaTheme="minorEastAsia" w:cstheme="minorEastAsia"/>
                <w:color w:val="auto"/>
                <w:kern w:val="21"/>
                <w:sz w:val="24"/>
                <w:szCs w:val="24"/>
                <w:lang w:val="en-US" w:eastAsia="zh-CN" w:bidi="ar-SA"/>
              </w:rPr>
              <w:t>.</w:t>
            </w:r>
            <w:r>
              <w:rPr>
                <w:rFonts w:hint="eastAsia" w:asciiTheme="minorEastAsia" w:hAnsiTheme="minorEastAsia" w:eastAsiaTheme="minorEastAsia" w:cstheme="minorEastAsia"/>
                <w:color w:val="auto"/>
                <w:kern w:val="21"/>
                <w:sz w:val="24"/>
                <w:szCs w:val="24"/>
                <w:highlight w:val="none"/>
                <w:lang w:val="zh-CN" w:eastAsia="zh-CN"/>
              </w:rPr>
              <w:t>具有政府相关部门或电梯行业协会颁发的电梯企业服务质量星级评定单位：</w:t>
            </w:r>
          </w:p>
          <w:p w14:paraId="7705DE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(1)五星级单位的，得</w:t>
            </w:r>
            <w:r>
              <w:rPr>
                <w:rFonts w:hint="eastAsia" w:asciiTheme="minorEastAsia" w:hAnsiTheme="minorEastAsia" w:eastAsiaTheme="minorEastAsia" w:cstheme="minorEastAsia"/>
                <w:color w:val="auto"/>
                <w:kern w:val="21"/>
                <w:sz w:val="24"/>
                <w:szCs w:val="24"/>
                <w:highlight w:val="none"/>
                <w:lang w:val="en-US" w:eastAsia="zh-CN"/>
              </w:rPr>
              <w:t>3</w:t>
            </w:r>
            <w:r>
              <w:rPr>
                <w:rFonts w:hint="eastAsia" w:asciiTheme="minorEastAsia" w:hAnsiTheme="minorEastAsia" w:eastAsiaTheme="minorEastAsia" w:cstheme="minorEastAsia"/>
                <w:color w:val="auto"/>
                <w:kern w:val="21"/>
                <w:sz w:val="24"/>
                <w:szCs w:val="24"/>
                <w:highlight w:val="none"/>
                <w:lang w:val="zh-CN" w:eastAsia="zh-CN"/>
              </w:rPr>
              <w:t>分；</w:t>
            </w:r>
          </w:p>
          <w:p w14:paraId="540621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(2)四星级单位的，得</w:t>
            </w:r>
            <w:r>
              <w:rPr>
                <w:rFonts w:hint="eastAsia" w:asciiTheme="minorEastAsia" w:hAnsiTheme="minorEastAsia" w:eastAsiaTheme="minorEastAsia" w:cstheme="minorEastAsia"/>
                <w:color w:val="auto"/>
                <w:kern w:val="21"/>
                <w:sz w:val="24"/>
                <w:szCs w:val="24"/>
                <w:highlight w:val="none"/>
                <w:lang w:val="en-US" w:eastAsia="zh-CN"/>
              </w:rPr>
              <w:t>2</w:t>
            </w:r>
            <w:r>
              <w:rPr>
                <w:rFonts w:hint="eastAsia" w:asciiTheme="minorEastAsia" w:hAnsiTheme="minorEastAsia" w:eastAsiaTheme="minorEastAsia" w:cstheme="minorEastAsia"/>
                <w:color w:val="auto"/>
                <w:kern w:val="21"/>
                <w:sz w:val="24"/>
                <w:szCs w:val="24"/>
                <w:highlight w:val="none"/>
                <w:lang w:val="zh-CN" w:eastAsia="zh-CN"/>
              </w:rPr>
              <w:t>分；</w:t>
            </w:r>
          </w:p>
          <w:p w14:paraId="2B6224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2</w:t>
            </w:r>
            <w:r>
              <w:rPr>
                <w:rFonts w:hint="eastAsia" w:asciiTheme="minorEastAsia" w:hAnsiTheme="minorEastAsia" w:eastAsiaTheme="minorEastAsia" w:cstheme="minorEastAsia"/>
                <w:color w:val="auto"/>
                <w:kern w:val="21"/>
                <w:sz w:val="24"/>
                <w:szCs w:val="24"/>
                <w:highlight w:val="none"/>
                <w:lang w:val="en-US" w:eastAsia="zh-CN"/>
              </w:rPr>
              <w:t>.</w:t>
            </w:r>
            <w:r>
              <w:rPr>
                <w:rFonts w:hint="eastAsia" w:asciiTheme="minorEastAsia" w:hAnsiTheme="minorEastAsia" w:eastAsiaTheme="minorEastAsia" w:cstheme="minorEastAsia"/>
                <w:color w:val="auto"/>
                <w:kern w:val="21"/>
                <w:sz w:val="24"/>
                <w:szCs w:val="24"/>
                <w:highlight w:val="none"/>
                <w:lang w:val="zh-CN" w:eastAsia="zh-CN"/>
              </w:rPr>
              <w:t>202</w:t>
            </w:r>
            <w:r>
              <w:rPr>
                <w:rFonts w:hint="eastAsia" w:asciiTheme="minorEastAsia" w:hAnsiTheme="minorEastAsia" w:eastAsiaTheme="minorEastAsia" w:cstheme="minorEastAsia"/>
                <w:color w:val="auto"/>
                <w:kern w:val="21"/>
                <w:sz w:val="24"/>
                <w:szCs w:val="24"/>
                <w:highlight w:val="none"/>
                <w:lang w:val="en-US" w:eastAsia="zh-CN"/>
              </w:rPr>
              <w:t>3</w:t>
            </w:r>
            <w:r>
              <w:rPr>
                <w:rFonts w:hint="eastAsia" w:asciiTheme="minorEastAsia" w:hAnsiTheme="minorEastAsia" w:eastAsiaTheme="minorEastAsia" w:cstheme="minorEastAsia"/>
                <w:color w:val="auto"/>
                <w:kern w:val="21"/>
                <w:sz w:val="24"/>
                <w:szCs w:val="24"/>
                <w:highlight w:val="none"/>
                <w:lang w:val="zh-CN" w:eastAsia="zh-CN"/>
              </w:rPr>
              <w:t>年1月1日以来</w:t>
            </w:r>
            <w:r>
              <w:rPr>
                <w:rFonts w:hint="eastAsia" w:asciiTheme="minorEastAsia" w:hAnsiTheme="minorEastAsia" w:eastAsiaTheme="minorEastAsia" w:cstheme="minorEastAsia"/>
                <w:b/>
                <w:bCs/>
                <w:color w:val="auto"/>
                <w:kern w:val="21"/>
                <w:sz w:val="24"/>
                <w:szCs w:val="24"/>
                <w:highlight w:val="none"/>
                <w:lang w:val="zh-CN" w:eastAsia="zh-CN"/>
              </w:rPr>
              <w:t>（</w:t>
            </w:r>
            <w:r>
              <w:rPr>
                <w:rFonts w:hint="eastAsia" w:asciiTheme="minorEastAsia" w:hAnsiTheme="minorEastAsia" w:eastAsiaTheme="minorEastAsia" w:cstheme="minorEastAsia"/>
                <w:b/>
                <w:bCs/>
                <w:color w:val="auto"/>
                <w:kern w:val="21"/>
                <w:sz w:val="24"/>
                <w:szCs w:val="24"/>
                <w:highlight w:val="none"/>
                <w:lang w:val="en-US" w:eastAsia="zh-CN"/>
              </w:rPr>
              <w:t>以颁奖时间为准</w:t>
            </w:r>
            <w:r>
              <w:rPr>
                <w:rFonts w:hint="eastAsia" w:asciiTheme="minorEastAsia" w:hAnsiTheme="minorEastAsia" w:eastAsiaTheme="minorEastAsia" w:cstheme="minorEastAsia"/>
                <w:b/>
                <w:bCs/>
                <w:color w:val="auto"/>
                <w:kern w:val="21"/>
                <w:sz w:val="24"/>
                <w:szCs w:val="24"/>
                <w:highlight w:val="none"/>
                <w:lang w:val="zh-CN" w:eastAsia="zh-CN"/>
              </w:rPr>
              <w:t>）</w:t>
            </w:r>
            <w:r>
              <w:rPr>
                <w:rFonts w:hint="eastAsia" w:asciiTheme="minorEastAsia" w:hAnsiTheme="minorEastAsia" w:eastAsiaTheme="minorEastAsia" w:cstheme="minorEastAsia"/>
                <w:color w:val="auto"/>
                <w:kern w:val="21"/>
                <w:sz w:val="24"/>
                <w:szCs w:val="24"/>
                <w:highlight w:val="none"/>
                <w:lang w:val="zh-CN" w:eastAsia="zh-CN"/>
              </w:rPr>
              <w:t>，具有政府部门或国内依法登记注册的协会（学会）颁发的相关荣誉的，每提供一个得</w:t>
            </w:r>
            <w:r>
              <w:rPr>
                <w:rFonts w:hint="eastAsia" w:asciiTheme="minorEastAsia" w:hAnsiTheme="minorEastAsia" w:eastAsiaTheme="minorEastAsia" w:cstheme="minorEastAsia"/>
                <w:color w:val="auto"/>
                <w:kern w:val="21"/>
                <w:sz w:val="24"/>
                <w:szCs w:val="24"/>
                <w:highlight w:val="none"/>
                <w:lang w:val="en-US" w:eastAsia="zh-CN"/>
              </w:rPr>
              <w:t>3</w:t>
            </w:r>
            <w:r>
              <w:rPr>
                <w:rFonts w:hint="eastAsia" w:asciiTheme="minorEastAsia" w:hAnsiTheme="minorEastAsia" w:eastAsiaTheme="minorEastAsia" w:cstheme="minorEastAsia"/>
                <w:color w:val="auto"/>
                <w:kern w:val="21"/>
                <w:sz w:val="24"/>
                <w:szCs w:val="24"/>
                <w:highlight w:val="none"/>
                <w:lang w:val="zh-CN" w:eastAsia="zh-CN"/>
              </w:rPr>
              <w:t>分，本小项满分</w:t>
            </w:r>
            <w:r>
              <w:rPr>
                <w:rFonts w:hint="eastAsia" w:asciiTheme="minorEastAsia" w:hAnsiTheme="minorEastAsia" w:eastAsiaTheme="minorEastAsia" w:cstheme="minorEastAsia"/>
                <w:color w:val="auto"/>
                <w:kern w:val="21"/>
                <w:sz w:val="24"/>
                <w:szCs w:val="24"/>
                <w:highlight w:val="none"/>
                <w:lang w:val="en-US" w:eastAsia="zh-CN"/>
              </w:rPr>
              <w:t>12</w:t>
            </w:r>
            <w:r>
              <w:rPr>
                <w:rFonts w:hint="eastAsia" w:asciiTheme="minorEastAsia" w:hAnsiTheme="minorEastAsia" w:eastAsiaTheme="minorEastAsia" w:cstheme="minorEastAsia"/>
                <w:color w:val="auto"/>
                <w:kern w:val="21"/>
                <w:sz w:val="24"/>
                <w:szCs w:val="24"/>
                <w:highlight w:val="none"/>
                <w:lang w:val="zh-CN" w:eastAsia="zh-CN"/>
              </w:rPr>
              <w:t>分。</w:t>
            </w:r>
          </w:p>
          <w:p w14:paraId="130C18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bCs/>
                <w:color w:val="auto"/>
                <w:kern w:val="21"/>
                <w:sz w:val="24"/>
                <w:szCs w:val="24"/>
                <w:highlight w:val="none"/>
                <w:lang w:val="zh-CN" w:eastAsia="zh-CN"/>
              </w:rPr>
            </w:pPr>
            <w:r>
              <w:rPr>
                <w:rFonts w:hint="eastAsia" w:asciiTheme="minorEastAsia" w:hAnsiTheme="minorEastAsia" w:eastAsiaTheme="minorEastAsia" w:cstheme="minorEastAsia"/>
                <w:b/>
                <w:bCs/>
                <w:color w:val="auto"/>
                <w:kern w:val="21"/>
                <w:sz w:val="24"/>
                <w:szCs w:val="24"/>
                <w:highlight w:val="none"/>
                <w:lang w:val="zh-CN" w:eastAsia="zh-CN"/>
              </w:rPr>
              <w:t>注：（1)响应文件中提供获奖证书、批复、颁奖单位颁奖文件、网上公示截图(具有其中之一即可)等证明材料。以上材料提供扫描件，须能体现供应商名称，如无法体现，须另附颁奖单位的相关证明材料，未提供或提供不全的不得分。</w:t>
            </w:r>
          </w:p>
          <w:p w14:paraId="612CA81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b/>
                <w:bCs/>
                <w:color w:val="auto"/>
                <w:kern w:val="21"/>
                <w:sz w:val="24"/>
                <w:szCs w:val="24"/>
                <w:highlight w:val="none"/>
                <w:lang w:val="zh-CN" w:eastAsia="zh-CN"/>
              </w:rPr>
              <w:t>（2)国内依法登记注册”以全国社会组织信用信息公示平台查询结果为准。响应文件中须</w:t>
            </w:r>
            <w:r>
              <w:rPr>
                <w:rFonts w:hint="eastAsia" w:asciiTheme="minorEastAsia" w:hAnsiTheme="minorEastAsia" w:eastAsiaTheme="minorEastAsia" w:cstheme="minorEastAsia"/>
                <w:b/>
                <w:bCs/>
                <w:color w:val="auto"/>
                <w:kern w:val="21"/>
                <w:sz w:val="24"/>
                <w:szCs w:val="24"/>
                <w:highlight w:val="none"/>
                <w:lang w:val="en-US" w:eastAsia="zh-CN"/>
              </w:rPr>
              <w:t>同时</w:t>
            </w:r>
            <w:r>
              <w:rPr>
                <w:rFonts w:hint="eastAsia" w:asciiTheme="minorEastAsia" w:hAnsiTheme="minorEastAsia" w:eastAsiaTheme="minorEastAsia" w:cstheme="minorEastAsia"/>
                <w:b/>
                <w:bCs/>
                <w:color w:val="auto"/>
                <w:kern w:val="21"/>
                <w:sz w:val="24"/>
                <w:szCs w:val="24"/>
                <w:highlight w:val="none"/>
                <w:lang w:val="zh-CN" w:eastAsia="zh-CN"/>
              </w:rPr>
              <w:t>提供该协会(学会)在全国社会组织信用信息公示平台查询结果截图。民政部公布的“离岸社团”、“山寨社团”颁发的荣誉、奖励均无效。</w:t>
            </w:r>
          </w:p>
        </w:tc>
        <w:tc>
          <w:tcPr>
            <w:tcW w:w="1205" w:type="dxa"/>
            <w:vAlign w:val="center"/>
          </w:tcPr>
          <w:p w14:paraId="688C958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0-1</w:t>
            </w:r>
            <w:r>
              <w:rPr>
                <w:rFonts w:hint="eastAsia" w:asciiTheme="minorEastAsia" w:hAnsiTheme="minorEastAsia" w:eastAsiaTheme="minorEastAsia" w:cstheme="minorEastAsia"/>
                <w:color w:val="auto"/>
                <w:kern w:val="21"/>
                <w:sz w:val="24"/>
                <w:szCs w:val="24"/>
                <w:highlight w:val="none"/>
                <w:lang w:val="en-US" w:eastAsia="zh-CN"/>
              </w:rPr>
              <w:t>5</w:t>
            </w:r>
            <w:r>
              <w:rPr>
                <w:rFonts w:hint="eastAsia" w:asciiTheme="minorEastAsia" w:hAnsiTheme="minorEastAsia" w:eastAsiaTheme="minorEastAsia" w:cstheme="minorEastAsia"/>
                <w:color w:val="auto"/>
                <w:kern w:val="21"/>
                <w:sz w:val="24"/>
                <w:szCs w:val="24"/>
                <w:highlight w:val="none"/>
                <w:lang w:val="zh-CN" w:eastAsia="zh-CN"/>
              </w:rPr>
              <w:t>分</w:t>
            </w:r>
          </w:p>
        </w:tc>
      </w:tr>
      <w:tr w14:paraId="47D4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dxa"/>
            <w:vMerge w:val="continue"/>
            <w:vAlign w:val="center"/>
          </w:tcPr>
          <w:p w14:paraId="0E56D0B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28C012F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供应商业绩</w:t>
            </w:r>
          </w:p>
        </w:tc>
        <w:tc>
          <w:tcPr>
            <w:tcW w:w="5412" w:type="dxa"/>
            <w:vAlign w:val="center"/>
          </w:tcPr>
          <w:p w14:paraId="76770E0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自202</w:t>
            </w:r>
            <w:r>
              <w:rPr>
                <w:rFonts w:hint="eastAsia" w:asciiTheme="minorEastAsia" w:hAnsiTheme="minorEastAsia" w:eastAsiaTheme="minorEastAsia" w:cstheme="minorEastAsia"/>
                <w:color w:val="auto"/>
                <w:kern w:val="21"/>
                <w:sz w:val="24"/>
                <w:szCs w:val="24"/>
                <w:highlight w:val="none"/>
                <w:lang w:val="en-US" w:eastAsia="zh-CN"/>
              </w:rPr>
              <w:t>3</w:t>
            </w:r>
            <w:r>
              <w:rPr>
                <w:rFonts w:hint="eastAsia" w:asciiTheme="minorEastAsia" w:hAnsiTheme="minorEastAsia" w:eastAsiaTheme="minorEastAsia" w:cstheme="minorEastAsia"/>
                <w:color w:val="auto"/>
                <w:kern w:val="21"/>
                <w:sz w:val="24"/>
                <w:szCs w:val="24"/>
                <w:highlight w:val="none"/>
                <w:lang w:val="zh-CN" w:eastAsia="zh-CN"/>
              </w:rPr>
              <w:t>年1月1日以来</w:t>
            </w:r>
            <w:r>
              <w:rPr>
                <w:rFonts w:hint="eastAsia" w:asciiTheme="minorEastAsia" w:hAnsiTheme="minorEastAsia" w:eastAsiaTheme="minorEastAsia" w:cstheme="minorEastAsia"/>
                <w:b/>
                <w:bCs/>
                <w:color w:val="auto"/>
                <w:kern w:val="21"/>
                <w:sz w:val="24"/>
                <w:szCs w:val="24"/>
                <w:highlight w:val="none"/>
                <w:lang w:val="zh-CN" w:eastAsia="zh-CN"/>
              </w:rPr>
              <w:t>（以合同签订时间为准）</w:t>
            </w:r>
            <w:r>
              <w:rPr>
                <w:rFonts w:hint="eastAsia" w:asciiTheme="minorEastAsia" w:hAnsiTheme="minorEastAsia" w:eastAsiaTheme="minorEastAsia" w:cstheme="minorEastAsia"/>
                <w:color w:val="auto"/>
                <w:kern w:val="21"/>
                <w:sz w:val="24"/>
                <w:szCs w:val="24"/>
                <w:highlight w:val="none"/>
                <w:lang w:val="zh-CN" w:eastAsia="zh-CN"/>
              </w:rPr>
              <w:t>，供应商具有党政机关</w:t>
            </w:r>
            <w:r>
              <w:rPr>
                <w:rFonts w:hint="eastAsia" w:asciiTheme="minorEastAsia" w:hAnsiTheme="minorEastAsia" w:eastAsiaTheme="minorEastAsia" w:cstheme="minorEastAsia"/>
                <w:color w:val="auto"/>
                <w:kern w:val="21"/>
                <w:sz w:val="24"/>
                <w:szCs w:val="24"/>
                <w:highlight w:val="none"/>
                <w:lang w:val="en-US" w:eastAsia="zh-CN"/>
              </w:rPr>
              <w:t>或事业单位</w:t>
            </w:r>
            <w:r>
              <w:rPr>
                <w:rFonts w:hint="eastAsia" w:asciiTheme="minorEastAsia" w:hAnsiTheme="minorEastAsia" w:eastAsiaTheme="minorEastAsia" w:cstheme="minorEastAsia"/>
                <w:color w:val="auto"/>
                <w:kern w:val="21"/>
                <w:sz w:val="24"/>
                <w:szCs w:val="24"/>
                <w:highlight w:val="none"/>
                <w:lang w:val="zh-CN" w:eastAsia="zh-CN"/>
              </w:rPr>
              <w:t>电梯维保业绩的（含正在履约的项目），每个业绩得</w:t>
            </w:r>
            <w:r>
              <w:rPr>
                <w:rFonts w:hint="eastAsia" w:asciiTheme="minorEastAsia" w:hAnsiTheme="minorEastAsia" w:eastAsiaTheme="minorEastAsia" w:cstheme="minorEastAsia"/>
                <w:color w:val="auto"/>
                <w:kern w:val="21"/>
                <w:sz w:val="24"/>
                <w:szCs w:val="24"/>
                <w:highlight w:val="none"/>
                <w:lang w:val="en-US" w:eastAsia="zh-CN"/>
              </w:rPr>
              <w:t>4</w:t>
            </w:r>
            <w:r>
              <w:rPr>
                <w:rFonts w:hint="eastAsia" w:asciiTheme="minorEastAsia" w:hAnsiTheme="minorEastAsia" w:eastAsiaTheme="minorEastAsia" w:cstheme="minorEastAsia"/>
                <w:color w:val="auto"/>
                <w:kern w:val="21"/>
                <w:sz w:val="24"/>
                <w:szCs w:val="24"/>
                <w:highlight w:val="none"/>
                <w:lang w:val="zh-CN" w:eastAsia="zh-CN"/>
              </w:rPr>
              <w:t>分，满分2</w:t>
            </w:r>
            <w:r>
              <w:rPr>
                <w:rFonts w:hint="eastAsia" w:asciiTheme="minorEastAsia" w:hAnsiTheme="minorEastAsia" w:eastAsiaTheme="minorEastAsia" w:cstheme="minorEastAsia"/>
                <w:color w:val="auto"/>
                <w:kern w:val="21"/>
                <w:sz w:val="24"/>
                <w:szCs w:val="24"/>
                <w:highlight w:val="none"/>
                <w:lang w:val="en-US" w:eastAsia="zh-CN"/>
              </w:rPr>
              <w:t>0</w:t>
            </w:r>
            <w:r>
              <w:rPr>
                <w:rFonts w:hint="eastAsia" w:asciiTheme="minorEastAsia" w:hAnsiTheme="minorEastAsia" w:eastAsiaTheme="minorEastAsia" w:cstheme="minorEastAsia"/>
                <w:color w:val="auto"/>
                <w:kern w:val="21"/>
                <w:sz w:val="24"/>
                <w:szCs w:val="24"/>
                <w:highlight w:val="none"/>
                <w:lang w:val="zh-CN" w:eastAsia="zh-CN"/>
              </w:rPr>
              <w:t>分。</w:t>
            </w:r>
          </w:p>
          <w:p w14:paraId="144FBA3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bCs/>
                <w:color w:val="auto"/>
                <w:kern w:val="21"/>
                <w:sz w:val="24"/>
                <w:szCs w:val="24"/>
                <w:highlight w:val="none"/>
                <w:lang w:val="zh-CN" w:eastAsia="zh-CN"/>
              </w:rPr>
            </w:pPr>
            <w:r>
              <w:rPr>
                <w:rFonts w:hint="eastAsia" w:asciiTheme="minorEastAsia" w:hAnsiTheme="minorEastAsia" w:eastAsiaTheme="minorEastAsia" w:cstheme="minorEastAsia"/>
                <w:b/>
                <w:bCs/>
                <w:color w:val="auto"/>
                <w:kern w:val="21"/>
                <w:sz w:val="24"/>
                <w:szCs w:val="24"/>
                <w:highlight w:val="none"/>
                <w:lang w:val="zh-CN" w:eastAsia="zh-CN"/>
              </w:rPr>
              <w:t>注：</w:t>
            </w:r>
            <w:r>
              <w:rPr>
                <w:rFonts w:hint="eastAsia" w:asciiTheme="minorEastAsia" w:hAnsiTheme="minorEastAsia" w:eastAsiaTheme="minorEastAsia" w:cstheme="minorEastAsia"/>
                <w:b/>
                <w:bCs/>
                <w:color w:val="auto"/>
                <w:kern w:val="21"/>
                <w:sz w:val="24"/>
                <w:szCs w:val="24"/>
                <w:highlight w:val="none"/>
                <w:lang w:val="en-US" w:eastAsia="zh-CN"/>
              </w:rPr>
              <w:t>1.</w:t>
            </w:r>
            <w:r>
              <w:rPr>
                <w:rFonts w:hint="eastAsia" w:asciiTheme="minorEastAsia" w:hAnsiTheme="minorEastAsia" w:eastAsiaTheme="minorEastAsia" w:cstheme="minorEastAsia"/>
                <w:b/>
                <w:bCs/>
                <w:color w:val="auto"/>
                <w:kern w:val="21"/>
                <w:sz w:val="24"/>
                <w:szCs w:val="24"/>
                <w:highlight w:val="none"/>
                <w:lang w:val="zh-CN" w:eastAsia="zh-CN"/>
              </w:rPr>
              <w:t>响应文件中须提供业绩合同扫描件，如合同中不能体现合同签订时间，项目类型等关键评审信息，应另附业主证明(业主单位加盖公章)材料扫描件。</w:t>
            </w:r>
          </w:p>
          <w:p w14:paraId="52028F9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heme="minorEastAsia" w:hAnsiTheme="minorEastAsia" w:eastAsiaTheme="minorEastAsia" w:cstheme="minorEastAsia"/>
                <w:b/>
                <w:bCs/>
                <w:color w:val="auto"/>
                <w:kern w:val="21"/>
                <w:sz w:val="24"/>
                <w:szCs w:val="24"/>
                <w:highlight w:val="none"/>
                <w:lang w:val="en-US" w:eastAsia="zh-CN"/>
              </w:rPr>
            </w:pPr>
            <w:r>
              <w:rPr>
                <w:rFonts w:hint="eastAsia" w:asciiTheme="minorEastAsia" w:hAnsiTheme="minorEastAsia" w:eastAsiaTheme="minorEastAsia" w:cstheme="minorEastAsia"/>
                <w:b/>
                <w:bCs/>
                <w:color w:val="auto"/>
                <w:kern w:val="21"/>
                <w:sz w:val="24"/>
                <w:szCs w:val="24"/>
                <w:highlight w:val="none"/>
                <w:lang w:val="en-US" w:eastAsia="zh-CN"/>
              </w:rPr>
              <w:t>2.党政机关包括党的机关、人大机关、行政机关、政协机关、审判机关、检察机关，及各级党政机关派出机构、直属事业单位及工会、共青团、妇联等。</w:t>
            </w:r>
          </w:p>
        </w:tc>
        <w:tc>
          <w:tcPr>
            <w:tcW w:w="1205" w:type="dxa"/>
            <w:vAlign w:val="center"/>
          </w:tcPr>
          <w:p w14:paraId="1DA664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0-2</w:t>
            </w:r>
            <w:r>
              <w:rPr>
                <w:rFonts w:hint="eastAsia" w:asciiTheme="minorEastAsia" w:hAnsiTheme="minorEastAsia" w:eastAsiaTheme="minorEastAsia" w:cstheme="minorEastAsia"/>
                <w:color w:val="auto"/>
                <w:kern w:val="21"/>
                <w:sz w:val="24"/>
                <w:szCs w:val="24"/>
                <w:highlight w:val="none"/>
                <w:lang w:val="en-US" w:eastAsia="zh-CN"/>
              </w:rPr>
              <w:t>0</w:t>
            </w:r>
            <w:r>
              <w:rPr>
                <w:rFonts w:hint="eastAsia" w:asciiTheme="minorEastAsia" w:hAnsiTheme="minorEastAsia" w:eastAsiaTheme="minorEastAsia" w:cstheme="minorEastAsia"/>
                <w:color w:val="auto"/>
                <w:kern w:val="21"/>
                <w:sz w:val="24"/>
                <w:szCs w:val="24"/>
                <w:highlight w:val="none"/>
                <w:lang w:val="zh-CN" w:eastAsia="zh-CN"/>
              </w:rPr>
              <w:t>分</w:t>
            </w:r>
          </w:p>
        </w:tc>
      </w:tr>
      <w:tr w14:paraId="6448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845" w:type="dxa"/>
            <w:vMerge w:val="continue"/>
            <w:vAlign w:val="center"/>
          </w:tcPr>
          <w:p w14:paraId="704949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p>
        </w:tc>
        <w:tc>
          <w:tcPr>
            <w:tcW w:w="1467" w:type="dxa"/>
            <w:vAlign w:val="center"/>
          </w:tcPr>
          <w:p w14:paraId="4D023CDB">
            <w:pPr>
              <w:keepNext w:val="0"/>
              <w:keepLines w:val="0"/>
              <w:widowControl/>
              <w:suppressLineNumbers w:val="0"/>
              <w:ind w:left="0" w:leftChars="0" w:firstLine="0" w:firstLineChars="0"/>
              <w:jc w:val="center"/>
              <w:rPr>
                <w:rFonts w:hint="eastAsia" w:asciiTheme="minorEastAsia" w:hAnsiTheme="minorEastAsia" w:eastAsiaTheme="minorEastAsia" w:cstheme="minorEastAsia"/>
                <w:color w:val="auto"/>
                <w:kern w:val="21"/>
                <w:sz w:val="24"/>
                <w:szCs w:val="24"/>
                <w:highlight w:val="none"/>
                <w:lang w:val="zh-CN" w:eastAsia="zh-CN"/>
              </w:rPr>
            </w:pPr>
            <w:r>
              <w:rPr>
                <w:rFonts w:hint="eastAsia" w:ascii="宋体" w:hAnsi="宋体" w:eastAsia="宋体" w:cs="宋体"/>
                <w:color w:val="auto"/>
                <w:kern w:val="0"/>
                <w:sz w:val="24"/>
                <w:szCs w:val="24"/>
                <w:lang w:val="en-US" w:eastAsia="zh-CN" w:bidi="ar"/>
              </w:rPr>
              <w:t>履约评价</w:t>
            </w:r>
          </w:p>
        </w:tc>
        <w:tc>
          <w:tcPr>
            <w:tcW w:w="5412" w:type="dxa"/>
            <w:vAlign w:val="center"/>
          </w:tcPr>
          <w:p w14:paraId="5F62F6A6">
            <w:pPr>
              <w:keepNext w:val="0"/>
              <w:keepLines w:val="0"/>
              <w:widowControl/>
              <w:suppressLineNumbers w:val="0"/>
              <w:ind w:left="0" w:leftChars="0" w:firstLine="0" w:firstLineChars="0"/>
              <w:jc w:val="left"/>
              <w:rPr>
                <w:color w:val="auto"/>
              </w:rPr>
            </w:pPr>
            <w:r>
              <w:rPr>
                <w:rFonts w:hint="eastAsia" w:ascii="宋体" w:hAnsi="宋体" w:eastAsia="宋体" w:cs="宋体"/>
                <w:color w:val="auto"/>
                <w:kern w:val="0"/>
                <w:sz w:val="24"/>
                <w:szCs w:val="24"/>
                <w:lang w:val="en-US" w:eastAsia="zh-CN" w:bidi="ar"/>
              </w:rPr>
              <w:t>上述经磋商小组认可得分的供应商业绩中，履约评价为良好或以上的（包括但不限于好、很好、良好、优异、优秀、满意等），每个业绩加</w:t>
            </w:r>
            <w:r>
              <w:rPr>
                <w:rFonts w:hint="eastAsia" w:cs="宋体"/>
                <w:color w:val="auto"/>
                <w:kern w:val="0"/>
                <w:sz w:val="24"/>
                <w:szCs w:val="24"/>
                <w:lang w:val="en-US" w:eastAsia="zh-CN" w:bidi="ar"/>
              </w:rPr>
              <w:t>3</w:t>
            </w:r>
            <w:r>
              <w:rPr>
                <w:rFonts w:hint="eastAsia" w:ascii="宋体" w:hAnsi="宋体" w:eastAsia="宋体" w:cs="宋体"/>
                <w:color w:val="auto"/>
                <w:kern w:val="0"/>
                <w:sz w:val="24"/>
                <w:szCs w:val="24"/>
                <w:lang w:val="en-US" w:eastAsia="zh-CN" w:bidi="ar"/>
              </w:rPr>
              <w:t>分，最多加</w:t>
            </w:r>
            <w:r>
              <w:rPr>
                <w:rFonts w:hint="eastAsia" w:cs="宋体"/>
                <w:color w:val="auto"/>
                <w:kern w:val="0"/>
                <w:sz w:val="24"/>
                <w:szCs w:val="24"/>
                <w:lang w:val="en-US" w:eastAsia="zh-CN" w:bidi="ar"/>
              </w:rPr>
              <w:t>9</w:t>
            </w:r>
            <w:r>
              <w:rPr>
                <w:rFonts w:hint="eastAsia" w:ascii="宋体" w:hAnsi="宋体" w:eastAsia="宋体" w:cs="宋体"/>
                <w:color w:val="auto"/>
                <w:kern w:val="0"/>
                <w:sz w:val="24"/>
                <w:szCs w:val="24"/>
                <w:lang w:val="en-US" w:eastAsia="zh-CN" w:bidi="ar"/>
              </w:rPr>
              <w:t>分。</w:t>
            </w:r>
          </w:p>
          <w:p w14:paraId="1EBE0B0C">
            <w:pPr>
              <w:keepNext w:val="0"/>
              <w:keepLines w:val="0"/>
              <w:widowControl/>
              <w:suppressLineNumbers w:val="0"/>
              <w:ind w:left="0" w:leftChars="0" w:firstLine="0" w:firstLineChars="0"/>
              <w:jc w:val="left"/>
              <w:rPr>
                <w:color w:val="auto"/>
              </w:rPr>
            </w:pPr>
            <w:r>
              <w:rPr>
                <w:rFonts w:hint="eastAsia" w:ascii="宋体" w:hAnsi="宋体" w:eastAsia="宋体" w:cs="宋体"/>
                <w:b/>
                <w:bCs/>
                <w:color w:val="auto"/>
                <w:kern w:val="0"/>
                <w:sz w:val="24"/>
                <w:szCs w:val="24"/>
                <w:lang w:val="en-US" w:eastAsia="zh-CN" w:bidi="ar"/>
              </w:rPr>
              <w:t>注：以响应文件中提供的履约评价材料为评审依据。履约评价材料需加盖合同甲方公章，否则不予认可。上述材料需能体现评价内容，未提供或提供的不符合要求的，不予认可。</w:t>
            </w:r>
          </w:p>
          <w:p w14:paraId="10D0CE8C">
            <w:pPr>
              <w:keepNext w:val="0"/>
              <w:keepLines w:val="0"/>
              <w:widowControl/>
              <w:suppressLineNumbers w:val="0"/>
              <w:ind w:left="0" w:leftChars="0" w:firstLine="0" w:firstLineChars="0"/>
              <w:jc w:val="left"/>
              <w:rPr>
                <w:rFonts w:hint="eastAsia" w:asciiTheme="minorEastAsia" w:hAnsiTheme="minorEastAsia" w:eastAsiaTheme="minorEastAsia" w:cstheme="minorEastAsia"/>
                <w:b/>
                <w:bCs/>
                <w:color w:val="auto"/>
                <w:kern w:val="21"/>
                <w:sz w:val="24"/>
                <w:szCs w:val="24"/>
                <w:highlight w:val="none"/>
                <w:lang w:val="en-US" w:eastAsia="zh-CN"/>
              </w:rPr>
            </w:pPr>
            <w:r>
              <w:rPr>
                <w:rFonts w:hint="eastAsia" w:ascii="宋体" w:hAnsi="宋体" w:eastAsia="宋体" w:cs="宋体"/>
                <w:b/>
                <w:bCs/>
                <w:color w:val="auto"/>
                <w:kern w:val="0"/>
                <w:sz w:val="24"/>
                <w:szCs w:val="24"/>
                <w:lang w:val="en-US" w:eastAsia="zh-CN" w:bidi="ar"/>
              </w:rPr>
              <w:t>同一业绩获得多个履约评价的，不累加计分，仅计分一次。</w:t>
            </w:r>
          </w:p>
        </w:tc>
        <w:tc>
          <w:tcPr>
            <w:tcW w:w="1205" w:type="dxa"/>
            <w:vAlign w:val="center"/>
          </w:tcPr>
          <w:p w14:paraId="1F8DF7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heme="minorEastAsia" w:hAnsiTheme="minorEastAsia" w:eastAsiaTheme="minorEastAsia" w:cstheme="minorEastAsia"/>
                <w:color w:val="auto"/>
                <w:kern w:val="21"/>
                <w:sz w:val="24"/>
                <w:szCs w:val="24"/>
                <w:highlight w:val="none"/>
                <w:lang w:val="en-US" w:eastAsia="zh-CN"/>
              </w:rPr>
            </w:pPr>
            <w:r>
              <w:rPr>
                <w:rFonts w:hint="eastAsia" w:asciiTheme="minorEastAsia" w:hAnsiTheme="minorEastAsia" w:eastAsiaTheme="minorEastAsia" w:cstheme="minorEastAsia"/>
                <w:color w:val="auto"/>
                <w:kern w:val="21"/>
                <w:sz w:val="24"/>
                <w:szCs w:val="24"/>
                <w:highlight w:val="none"/>
                <w:lang w:val="en-US" w:eastAsia="zh-CN"/>
              </w:rPr>
              <w:t>0-9分</w:t>
            </w:r>
          </w:p>
        </w:tc>
      </w:tr>
      <w:tr w14:paraId="6211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845" w:type="dxa"/>
            <w:vAlign w:val="center"/>
          </w:tcPr>
          <w:p w14:paraId="7EE8334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stheme="minorEastAsia"/>
                <w:color w:val="auto"/>
                <w:kern w:val="21"/>
                <w:sz w:val="24"/>
                <w:szCs w:val="24"/>
                <w:highlight w:val="none"/>
                <w:lang w:val="zh-CN" w:eastAsia="zh-CN"/>
              </w:rPr>
              <w:t>价格分（20分）</w:t>
            </w:r>
          </w:p>
        </w:tc>
        <w:tc>
          <w:tcPr>
            <w:tcW w:w="8084" w:type="dxa"/>
            <w:gridSpan w:val="3"/>
            <w:vAlign w:val="center"/>
          </w:tcPr>
          <w:p w14:paraId="6237184B">
            <w:pPr>
              <w:spacing w:line="360" w:lineRule="auto"/>
              <w:ind w:left="0" w:leftChars="0" w:firstLine="0" w:firstLineChars="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分。其他供应商的价格分统一按照下列公式计算：</w:t>
            </w:r>
          </w:p>
          <w:p w14:paraId="68965060">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heme="minorEastAsia" w:hAnsiTheme="minorEastAsia" w:eastAsiaTheme="minorEastAsia" w:cstheme="minorEastAsia"/>
                <w:color w:val="auto"/>
                <w:kern w:val="21"/>
                <w:sz w:val="24"/>
                <w:szCs w:val="24"/>
                <w:highlight w:val="none"/>
                <w:lang w:val="zh-CN" w:eastAsia="zh-CN"/>
              </w:rPr>
            </w:pPr>
            <w:r>
              <w:rPr>
                <w:rFonts w:hint="eastAsia" w:asciiTheme="minorEastAsia" w:hAnsiTheme="minorEastAsia" w:eastAsiaTheme="minorEastAsia"/>
                <w:color w:val="auto"/>
                <w:sz w:val="24"/>
                <w:highlight w:val="none"/>
              </w:rPr>
              <w:t>磋商报价得分＝（磋商基准价/</w:t>
            </w:r>
            <w:r>
              <w:rPr>
                <w:rFonts w:hint="eastAsia" w:ascii="宋体" w:hAnsi="宋体" w:eastAsia="宋体"/>
                <w:color w:val="auto"/>
                <w:sz w:val="24"/>
                <w:highlight w:val="none"/>
              </w:rPr>
              <w:t>最后磋商</w:t>
            </w:r>
            <w:r>
              <w:rPr>
                <w:rFonts w:hint="eastAsia" w:asciiTheme="minorEastAsia" w:hAnsiTheme="minorEastAsia" w:eastAsiaTheme="minorEastAsia"/>
                <w:color w:val="auto"/>
                <w:sz w:val="24"/>
                <w:highlight w:val="none"/>
              </w:rPr>
              <w:t>报价）×</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％×100</w:t>
            </w:r>
          </w:p>
        </w:tc>
      </w:tr>
    </w:tbl>
    <w:p w14:paraId="5F52C503">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asciiTheme="minorEastAsia" w:hAnsiTheme="minorEastAsia" w:eastAsiaTheme="minorEastAsia"/>
          <w:highlight w:val="none"/>
        </w:rPr>
        <w:t>.</w:t>
      </w:r>
      <w:r>
        <w:rPr>
          <w:rFonts w:hint="eastAsia" w:asciiTheme="minorEastAsia" w:hAnsiTheme="minorEastAsia" w:eastAsiaTheme="minorEastAsia"/>
          <w:highlight w:val="none"/>
        </w:rPr>
        <w:t>2</w:t>
      </w:r>
      <w:r>
        <w:rPr>
          <w:rFonts w:asciiTheme="minorEastAsia" w:hAnsiTheme="minorEastAsia" w:eastAsiaTheme="minorEastAsia"/>
          <w:highlight w:val="none"/>
        </w:rPr>
        <w:t>.3</w:t>
      </w:r>
      <w:r>
        <w:rPr>
          <w:rFonts w:hint="eastAsia" w:asciiTheme="minorEastAsia" w:hAnsiTheme="minorEastAsia" w:eastAsiaTheme="minorEastAsia"/>
          <w:highlight w:val="none"/>
        </w:rPr>
        <w:t>分值汇总</w:t>
      </w:r>
    </w:p>
    <w:p w14:paraId="3C429E13">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asciiTheme="minorEastAsia" w:hAnsiTheme="minorEastAsia" w:eastAsiaTheme="minorEastAsia"/>
          <w:highlight w:val="none"/>
        </w:rPr>
        <w:t>1）</w:t>
      </w:r>
      <w:r>
        <w:rPr>
          <w:rFonts w:hint="eastAsia" w:asciiTheme="minorEastAsia" w:hAnsiTheme="minorEastAsia" w:eastAsiaTheme="minorEastAsia"/>
          <w:highlight w:val="none"/>
        </w:rPr>
        <w:t>评审委员会</w:t>
      </w:r>
      <w:r>
        <w:rPr>
          <w:rFonts w:asciiTheme="minorEastAsia" w:hAnsiTheme="minorEastAsia" w:eastAsiaTheme="minorEastAsia"/>
          <w:highlight w:val="none"/>
        </w:rPr>
        <w:t>各成员应当独立对每个有效响应的文件进行评价、打分，然后汇总每个</w:t>
      </w:r>
      <w:r>
        <w:rPr>
          <w:rFonts w:hint="eastAsia" w:asciiTheme="minorEastAsia" w:hAnsiTheme="minorEastAsia" w:eastAsiaTheme="minorEastAsia"/>
          <w:highlight w:val="none"/>
        </w:rPr>
        <w:t>供应商</w:t>
      </w:r>
      <w:r>
        <w:rPr>
          <w:rFonts w:asciiTheme="minorEastAsia" w:hAnsiTheme="minorEastAsia" w:eastAsiaTheme="minorEastAsia"/>
          <w:highlight w:val="none"/>
        </w:rPr>
        <w:t>每项评分因素的得分，再取各位评委评分之平均值，四舍五入保留至小数点后两位数，得到该</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的技术资信分。</w:t>
      </w:r>
    </w:p>
    <w:p w14:paraId="462C802B">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asciiTheme="minorEastAsia" w:hAnsiTheme="minorEastAsia" w:eastAsiaTheme="minorEastAsia"/>
          <w:highlight w:val="none"/>
        </w:rPr>
        <w:t>2）将每个</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的技术资信分加上根据上述标准计算出的价格分，即为该</w:t>
      </w:r>
      <w:r>
        <w:rPr>
          <w:rFonts w:hint="eastAsia" w:asciiTheme="minorEastAsia" w:hAnsiTheme="minorEastAsia" w:eastAsiaTheme="minorEastAsia"/>
          <w:highlight w:val="none"/>
        </w:rPr>
        <w:t>供应商</w:t>
      </w:r>
      <w:r>
        <w:rPr>
          <w:rFonts w:asciiTheme="minorEastAsia" w:hAnsiTheme="minorEastAsia" w:eastAsiaTheme="minorEastAsia"/>
          <w:highlight w:val="none"/>
        </w:rPr>
        <w:t>的综合总得分。</w:t>
      </w:r>
    </w:p>
    <w:p w14:paraId="35B7DE53">
      <w:pPr>
        <w:widowControl/>
        <w:ind w:left="0" w:leftChars="0" w:firstLine="0" w:firstLineChars="0"/>
        <w:jc w:val="center"/>
        <w:rPr>
          <w:rFonts w:hint="eastAsia" w:asciiTheme="minorEastAsia" w:hAnsiTheme="minorEastAsia" w:eastAsiaTheme="minorEastAsia"/>
          <w:b/>
          <w:sz w:val="28"/>
          <w:highlight w:val="none"/>
        </w:rPr>
      </w:pPr>
      <w:r>
        <w:rPr>
          <w:rFonts w:asciiTheme="minorEastAsia" w:hAnsiTheme="minorEastAsia" w:eastAsiaTheme="minorEastAsia"/>
          <w:highlight w:val="none"/>
        </w:rPr>
        <w:br w:type="page"/>
      </w:r>
      <w:bookmarkStart w:id="12" w:name="_Toc11803"/>
      <w:r>
        <w:rPr>
          <w:rFonts w:hint="eastAsia" w:asciiTheme="minorEastAsia" w:hAnsiTheme="minorEastAsia" w:eastAsiaTheme="minorEastAsia"/>
          <w:b/>
          <w:sz w:val="28"/>
          <w:highlight w:val="none"/>
        </w:rPr>
        <w:t>第五章  合同</w:t>
      </w:r>
      <w:bookmarkEnd w:id="12"/>
    </w:p>
    <w:p w14:paraId="7B52CD2B">
      <w:pPr>
        <w:widowControl/>
        <w:spacing w:line="240" w:lineRule="auto"/>
        <w:ind w:firstLine="0" w:firstLineChars="0"/>
        <w:jc w:val="center"/>
        <w:rPr>
          <w:rFonts w:cs="宋体"/>
          <w:b/>
          <w:bCs/>
          <w:kern w:val="2"/>
          <w:sz w:val="28"/>
          <w:szCs w:val="28"/>
          <w:highlight w:val="none"/>
        </w:rPr>
      </w:pPr>
      <w:bookmarkStart w:id="13" w:name="OLE_LINK3"/>
      <w:r>
        <w:rPr>
          <w:rFonts w:hint="eastAsia" w:cs="宋体"/>
          <w:b/>
          <w:bCs/>
          <w:kern w:val="2"/>
          <w:sz w:val="28"/>
          <w:szCs w:val="28"/>
          <w:highlight w:val="none"/>
        </w:rPr>
        <w:t>（双方依法签订）</w:t>
      </w:r>
    </w:p>
    <w:p w14:paraId="411EFE84">
      <w:pPr>
        <w:widowControl/>
        <w:spacing w:line="240" w:lineRule="auto"/>
        <w:ind w:firstLine="0" w:firstLineChars="0"/>
        <w:jc w:val="left"/>
        <w:rPr>
          <w:rFonts w:cs="宋体"/>
          <w:b/>
          <w:bCs/>
          <w:kern w:val="2"/>
          <w:sz w:val="32"/>
          <w:szCs w:val="40"/>
          <w:highlight w:val="none"/>
        </w:rPr>
      </w:pPr>
    </w:p>
    <w:p w14:paraId="48B41B5F">
      <w:pPr>
        <w:widowControl/>
        <w:spacing w:line="240" w:lineRule="auto"/>
        <w:ind w:firstLine="0" w:firstLineChars="0"/>
        <w:jc w:val="left"/>
        <w:rPr>
          <w:rFonts w:cs="宋体"/>
          <w:b/>
          <w:bCs/>
          <w:kern w:val="2"/>
          <w:sz w:val="32"/>
          <w:szCs w:val="40"/>
          <w:highlight w:val="none"/>
        </w:rPr>
      </w:pPr>
      <w:r>
        <w:rPr>
          <w:rFonts w:hint="eastAsia" w:cs="宋体"/>
          <w:b/>
          <w:bCs/>
          <w:kern w:val="2"/>
          <w:sz w:val="32"/>
          <w:szCs w:val="40"/>
          <w:highlight w:val="none"/>
        </w:rPr>
        <w:br w:type="page"/>
      </w:r>
    </w:p>
    <w:bookmarkEnd w:id="13"/>
    <w:p w14:paraId="106CD6A0">
      <w:pPr>
        <w:spacing w:before="312" w:beforeLines="100"/>
        <w:ind w:left="0" w:leftChars="0" w:firstLine="0" w:firstLineChars="0"/>
        <w:jc w:val="center"/>
        <w:outlineLvl w:val="1"/>
        <w:rPr>
          <w:rFonts w:hint="eastAsia" w:asciiTheme="minorEastAsia" w:hAnsiTheme="minorEastAsia" w:eastAsiaTheme="minorEastAsia"/>
          <w:b/>
          <w:sz w:val="28"/>
          <w:highlight w:val="none"/>
        </w:rPr>
      </w:pPr>
      <w:bookmarkStart w:id="14" w:name="_Toc13101"/>
      <w:r>
        <w:rPr>
          <w:rFonts w:hint="eastAsia" w:asciiTheme="minorEastAsia" w:hAnsiTheme="minorEastAsia" w:eastAsiaTheme="minorEastAsia"/>
          <w:b/>
          <w:sz w:val="28"/>
          <w:highlight w:val="none"/>
        </w:rPr>
        <w:t>第六章  响应文件格式</w:t>
      </w:r>
      <w:bookmarkEnd w:id="14"/>
    </w:p>
    <w:p w14:paraId="25922F73">
      <w:pPr>
        <w:spacing w:line="900" w:lineRule="exact"/>
        <w:ind w:firstLine="723"/>
        <w:jc w:val="center"/>
        <w:rPr>
          <w:rFonts w:hint="eastAsia" w:asciiTheme="minorEastAsia" w:hAnsiTheme="minorEastAsia" w:eastAsiaTheme="minorEastAsia"/>
          <w:b/>
          <w:sz w:val="36"/>
          <w:szCs w:val="21"/>
          <w:highlight w:val="none"/>
          <w:lang w:eastAsia="zh-CN"/>
        </w:rPr>
      </w:pPr>
      <w:r>
        <w:rPr>
          <w:rFonts w:hint="eastAsia" w:asciiTheme="minorEastAsia" w:hAnsiTheme="minorEastAsia" w:eastAsiaTheme="minorEastAsia"/>
          <w:b/>
          <w:sz w:val="36"/>
          <w:szCs w:val="21"/>
          <w:highlight w:val="none"/>
          <w:lang w:eastAsia="zh-CN"/>
        </w:rPr>
        <w:t>肥西县中医院电梯维保（2026-2027）</w:t>
      </w:r>
    </w:p>
    <w:p w14:paraId="6483E87F">
      <w:pPr>
        <w:spacing w:line="900" w:lineRule="exact"/>
        <w:ind w:firstLine="1446"/>
        <w:jc w:val="center"/>
        <w:rPr>
          <w:rFonts w:asciiTheme="minorEastAsia" w:hAnsiTheme="minorEastAsia" w:eastAsiaTheme="minorEastAsia"/>
          <w:b/>
          <w:sz w:val="72"/>
          <w:highlight w:val="none"/>
        </w:rPr>
      </w:pPr>
    </w:p>
    <w:p w14:paraId="1F1811DF">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响</w:t>
      </w:r>
    </w:p>
    <w:p w14:paraId="7CEA9CD9">
      <w:pPr>
        <w:spacing w:line="900" w:lineRule="exact"/>
        <w:ind w:firstLine="1446"/>
        <w:jc w:val="center"/>
        <w:rPr>
          <w:rFonts w:asciiTheme="minorEastAsia" w:hAnsiTheme="minorEastAsia" w:eastAsiaTheme="minorEastAsia"/>
          <w:b/>
          <w:sz w:val="72"/>
          <w:highlight w:val="none"/>
        </w:rPr>
      </w:pPr>
    </w:p>
    <w:p w14:paraId="6EDA97C6">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应</w:t>
      </w:r>
    </w:p>
    <w:p w14:paraId="578917BB">
      <w:pPr>
        <w:spacing w:line="900" w:lineRule="exact"/>
        <w:ind w:firstLine="1446"/>
        <w:jc w:val="center"/>
        <w:rPr>
          <w:rFonts w:asciiTheme="minorEastAsia" w:hAnsiTheme="minorEastAsia" w:eastAsiaTheme="minorEastAsia"/>
          <w:b/>
          <w:sz w:val="72"/>
          <w:highlight w:val="none"/>
        </w:rPr>
      </w:pPr>
    </w:p>
    <w:p w14:paraId="1BAE5E6F">
      <w:pPr>
        <w:spacing w:line="900" w:lineRule="exact"/>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文</w:t>
      </w:r>
    </w:p>
    <w:p w14:paraId="017FD623">
      <w:pPr>
        <w:spacing w:line="900" w:lineRule="exact"/>
        <w:ind w:firstLine="1446"/>
        <w:jc w:val="center"/>
        <w:rPr>
          <w:rFonts w:asciiTheme="minorEastAsia" w:hAnsiTheme="minorEastAsia" w:eastAsiaTheme="minorEastAsia"/>
          <w:b/>
          <w:sz w:val="72"/>
          <w:highlight w:val="none"/>
        </w:rPr>
      </w:pPr>
    </w:p>
    <w:p w14:paraId="09E2DDB9">
      <w:pPr>
        <w:ind w:firstLine="3614" w:firstLineChars="500"/>
        <w:rPr>
          <w:rFonts w:asciiTheme="minorEastAsia" w:hAnsiTheme="minorEastAsia" w:eastAsiaTheme="minorEastAsia"/>
          <w:b/>
          <w:sz w:val="72"/>
          <w:highlight w:val="none"/>
        </w:rPr>
      </w:pPr>
      <w:r>
        <w:rPr>
          <w:rFonts w:hint="eastAsia" w:asciiTheme="minorEastAsia" w:hAnsiTheme="minorEastAsia" w:eastAsiaTheme="minorEastAsia"/>
          <w:b/>
          <w:sz w:val="72"/>
          <w:highlight w:val="none"/>
        </w:rPr>
        <w:t>件</w:t>
      </w:r>
    </w:p>
    <w:p w14:paraId="32674A50">
      <w:pPr>
        <w:spacing w:after="156" w:afterLines="50"/>
        <w:ind w:firstLine="1446"/>
        <w:jc w:val="center"/>
        <w:rPr>
          <w:rFonts w:asciiTheme="minorEastAsia" w:hAnsiTheme="minorEastAsia" w:eastAsiaTheme="minorEastAsia"/>
          <w:b/>
          <w:sz w:val="72"/>
          <w:highlight w:val="none"/>
        </w:rPr>
      </w:pPr>
    </w:p>
    <w:p w14:paraId="13D6CAED">
      <w:pPr>
        <w:spacing w:after="156" w:afterLines="50" w:line="500" w:lineRule="exact"/>
        <w:ind w:firstLine="562"/>
        <w:jc w:val="center"/>
        <w:rPr>
          <w:rFonts w:asciiTheme="minorEastAsia" w:hAnsiTheme="minorEastAsia" w:eastAsiaTheme="minorEastAsia"/>
          <w:b/>
          <w:sz w:val="28"/>
          <w:szCs w:val="28"/>
          <w:highlight w:val="none"/>
        </w:rPr>
      </w:pPr>
    </w:p>
    <w:p w14:paraId="28D8D087">
      <w:pPr>
        <w:spacing w:after="156" w:afterLines="50" w:line="500" w:lineRule="exact"/>
        <w:ind w:firstLine="1446"/>
        <w:jc w:val="center"/>
        <w:rPr>
          <w:rFonts w:asciiTheme="minorEastAsia" w:hAnsiTheme="minorEastAsia" w:eastAsiaTheme="minorEastAsia"/>
          <w:b/>
          <w:sz w:val="72"/>
          <w:highlight w:val="none"/>
        </w:rPr>
      </w:pPr>
    </w:p>
    <w:p w14:paraId="100AD675">
      <w:pPr>
        <w:spacing w:after="156" w:afterLines="50" w:line="500" w:lineRule="exact"/>
        <w:ind w:firstLine="2522" w:firstLineChars="785"/>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供应商：</w:t>
      </w:r>
      <w:r>
        <w:rPr>
          <w:rFonts w:hint="eastAsia" w:asciiTheme="minorEastAsia" w:hAnsiTheme="minorEastAsia" w:eastAsiaTheme="minorEastAsia"/>
          <w:b/>
          <w:sz w:val="32"/>
          <w:highlight w:val="none"/>
          <w:u w:val="single"/>
        </w:rPr>
        <w:t xml:space="preserve">               </w:t>
      </w:r>
    </w:p>
    <w:p w14:paraId="120A30E0">
      <w:pPr>
        <w:spacing w:after="156" w:afterLines="50" w:line="500" w:lineRule="exact"/>
        <w:ind w:firstLine="643"/>
        <w:jc w:val="center"/>
        <w:rPr>
          <w:rFonts w:asciiTheme="minorEastAsia" w:hAnsiTheme="minorEastAsia" w:eastAsiaTheme="minorEastAsia"/>
          <w:b/>
          <w:sz w:val="32"/>
          <w:highlight w:val="none"/>
        </w:rPr>
      </w:pP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年</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月</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日</w:t>
      </w:r>
    </w:p>
    <w:p w14:paraId="32C67895">
      <w:pPr>
        <w:widowControl/>
        <w:ind w:firstLine="562"/>
        <w:jc w:val="left"/>
        <w:rPr>
          <w:rFonts w:asciiTheme="minorEastAsia" w:hAnsiTheme="minorEastAsia" w:eastAsiaTheme="minorEastAsia"/>
          <w:b/>
          <w:sz w:val="28"/>
          <w:highlight w:val="none"/>
        </w:rPr>
      </w:pPr>
      <w:r>
        <w:rPr>
          <w:rFonts w:asciiTheme="minorEastAsia" w:hAnsiTheme="minorEastAsia" w:eastAsiaTheme="minorEastAsia"/>
          <w:b/>
          <w:sz w:val="28"/>
          <w:highlight w:val="none"/>
        </w:rPr>
        <w:br w:type="page"/>
      </w:r>
    </w:p>
    <w:p w14:paraId="30F59B17">
      <w:pPr>
        <w:ind w:left="0" w:leftChars="0" w:firstLine="0" w:firstLineChars="0"/>
        <w:jc w:val="center"/>
        <w:outlineLvl w:val="2"/>
        <w:rPr>
          <w:rFonts w:hint="eastAsia" w:asciiTheme="minorEastAsia" w:hAnsiTheme="minorEastAsia" w:eastAsiaTheme="minorEastAsia"/>
          <w:b/>
          <w:highlight w:val="none"/>
        </w:rPr>
      </w:pPr>
      <w:bookmarkStart w:id="15" w:name="_Toc461053086"/>
      <w:bookmarkStart w:id="16" w:name="_Toc461056631"/>
      <w:bookmarkStart w:id="17" w:name="_Toc520983587"/>
      <w:r>
        <w:rPr>
          <w:rFonts w:hint="eastAsia" w:asciiTheme="minorEastAsia" w:hAnsiTheme="minorEastAsia" w:eastAsiaTheme="minorEastAsia"/>
          <w:b/>
          <w:highlight w:val="none"/>
        </w:rPr>
        <w:t>一</w:t>
      </w:r>
      <w:bookmarkEnd w:id="15"/>
      <w:bookmarkEnd w:id="16"/>
      <w:r>
        <w:rPr>
          <w:rFonts w:hint="eastAsia" w:asciiTheme="minorEastAsia" w:hAnsiTheme="minorEastAsia" w:eastAsiaTheme="minorEastAsia"/>
          <w:b/>
          <w:highlight w:val="none"/>
        </w:rPr>
        <w:t>、报价表格式</w:t>
      </w:r>
      <w:bookmarkEnd w:id="17"/>
    </w:p>
    <w:p w14:paraId="23A1494C">
      <w:pPr>
        <w:spacing w:before="156" w:beforeLines="50" w:after="156" w:afterLines="50"/>
        <w:ind w:firstLine="482"/>
        <w:jc w:val="left"/>
        <w:rPr>
          <w:rFonts w:cs="@仿宋_GB2312" w:asciiTheme="minorEastAsia" w:hAnsiTheme="minorEastAsia" w:eastAsiaTheme="minorEastAsia"/>
          <w:b/>
          <w:kern w:val="2"/>
          <w:szCs w:val="24"/>
          <w:highlight w:val="none"/>
        </w:rPr>
      </w:pPr>
      <w:r>
        <w:rPr>
          <w:rFonts w:hint="eastAsia" w:cs="@仿宋_GB2312" w:asciiTheme="minorEastAsia" w:hAnsiTheme="minorEastAsia" w:eastAsiaTheme="minorEastAsia"/>
          <w:b/>
          <w:kern w:val="2"/>
          <w:szCs w:val="24"/>
          <w:highlight w:val="none"/>
        </w:rPr>
        <w:t>1-1 报价表</w:t>
      </w:r>
    </w:p>
    <w:p w14:paraId="6AEDBFC0">
      <w:pPr>
        <w:snapToGrid w:val="0"/>
        <w:ind w:firstLine="482"/>
        <w:jc w:val="left"/>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项目名称：</w:t>
      </w:r>
      <w:r>
        <w:rPr>
          <w:rFonts w:hint="eastAsia" w:cs="宋体" w:asciiTheme="minorEastAsia" w:hAnsiTheme="minorEastAsia" w:eastAsiaTheme="minorEastAsia"/>
          <w:b/>
          <w:kern w:val="2"/>
          <w:szCs w:val="24"/>
          <w:highlight w:val="none"/>
          <w:u w:val="single"/>
        </w:rPr>
        <w:t xml:space="preserve"> </w:t>
      </w:r>
      <w:r>
        <w:rPr>
          <w:rFonts w:hint="eastAsia" w:cs="宋体" w:asciiTheme="minorEastAsia" w:hAnsiTheme="minorEastAsia" w:eastAsiaTheme="minorEastAsia"/>
          <w:b/>
          <w:kern w:val="2"/>
          <w:szCs w:val="24"/>
          <w:highlight w:val="none"/>
          <w:u w:val="single"/>
          <w:lang w:eastAsia="zh-CN"/>
        </w:rPr>
        <w:t>肥西县中医院电梯维保（2026-2027）</w:t>
      </w:r>
      <w:r>
        <w:rPr>
          <w:rFonts w:hint="eastAsia" w:cs="宋体" w:asciiTheme="minorEastAsia" w:hAnsiTheme="minorEastAsia" w:eastAsiaTheme="minorEastAsia"/>
          <w:b/>
          <w:kern w:val="2"/>
          <w:szCs w:val="24"/>
          <w:highlight w:val="none"/>
          <w:u w:val="single"/>
        </w:rPr>
        <w:t xml:space="preserve">  </w:t>
      </w:r>
    </w:p>
    <w:p w14:paraId="2C3BE5EE">
      <w:pPr>
        <w:snapToGrid w:val="0"/>
        <w:spacing w:after="156" w:afterLines="50"/>
        <w:ind w:firstLine="482"/>
        <w:jc w:val="left"/>
        <w:rPr>
          <w:rFonts w:cs="宋体" w:asciiTheme="minorEastAsia" w:hAnsiTheme="minorEastAsia" w:eastAsiaTheme="minorEastAsia"/>
          <w:b/>
          <w:bCs/>
          <w:kern w:val="2"/>
          <w:szCs w:val="24"/>
          <w:highlight w:val="none"/>
          <w:u w:val="single"/>
        </w:rPr>
      </w:pPr>
      <w:r>
        <w:rPr>
          <w:rFonts w:hint="eastAsia" w:cs="宋体" w:asciiTheme="minorEastAsia" w:hAnsiTheme="minorEastAsia" w:eastAsiaTheme="minorEastAsia"/>
          <w:b/>
          <w:kern w:val="2"/>
          <w:szCs w:val="24"/>
          <w:highlight w:val="none"/>
        </w:rPr>
        <w:t>项目编号：</w:t>
      </w:r>
      <w:r>
        <w:rPr>
          <w:rFonts w:hint="eastAsia" w:cs="宋体" w:asciiTheme="minorEastAsia" w:hAnsiTheme="minorEastAsia" w:eastAsiaTheme="minorEastAsia"/>
          <w:b/>
          <w:kern w:val="2"/>
          <w:szCs w:val="24"/>
          <w:highlight w:val="none"/>
          <w:u w:val="single"/>
        </w:rPr>
        <w:t xml:space="preserve"> </w:t>
      </w:r>
      <w:r>
        <w:rPr>
          <w:rFonts w:hint="eastAsia" w:cs="宋体" w:asciiTheme="minorEastAsia" w:hAnsiTheme="minorEastAsia" w:eastAsiaTheme="minorEastAsia"/>
          <w:b/>
          <w:kern w:val="2"/>
          <w:szCs w:val="24"/>
          <w:highlight w:val="none"/>
          <w:u w:val="single"/>
          <w:lang w:eastAsia="zh-CN"/>
        </w:rPr>
        <w:t>2026GSFN0010</w:t>
      </w:r>
      <w:r>
        <w:rPr>
          <w:rFonts w:hint="eastAsia" w:cs="宋体" w:asciiTheme="minorEastAsia" w:hAnsiTheme="minorEastAsia" w:eastAsiaTheme="minorEastAsia"/>
          <w:b/>
          <w:kern w:val="2"/>
          <w:szCs w:val="24"/>
          <w:highlight w:val="none"/>
          <w:u w:val="single"/>
        </w:rPr>
        <w:t xml:space="preserve">    </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8"/>
        <w:gridCol w:w="6064"/>
      </w:tblGrid>
      <w:tr w14:paraId="5E0E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2A4E0AED">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供应商名称</w:t>
            </w:r>
          </w:p>
        </w:tc>
        <w:tc>
          <w:tcPr>
            <w:tcW w:w="3558" w:type="pct"/>
            <w:tcBorders>
              <w:left w:val="single" w:color="auto" w:sz="4" w:space="0"/>
            </w:tcBorders>
          </w:tcPr>
          <w:p w14:paraId="2FE6592E">
            <w:pPr>
              <w:ind w:left="0" w:leftChars="0" w:firstLine="0" w:firstLineChars="0"/>
              <w:rPr>
                <w:rFonts w:cs="宋体" w:asciiTheme="minorEastAsia" w:hAnsiTheme="minorEastAsia" w:eastAsiaTheme="minorEastAsia"/>
                <w:b/>
                <w:kern w:val="2"/>
                <w:szCs w:val="24"/>
                <w:highlight w:val="none"/>
              </w:rPr>
            </w:pPr>
          </w:p>
        </w:tc>
      </w:tr>
      <w:tr w14:paraId="0327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587AAB7C">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bCs/>
                <w:kern w:val="2"/>
                <w:szCs w:val="24"/>
                <w:highlight w:val="none"/>
              </w:rPr>
              <w:t>磋商</w:t>
            </w:r>
            <w:r>
              <w:rPr>
                <w:rFonts w:hint="eastAsia" w:cs="宋体" w:asciiTheme="minorEastAsia" w:hAnsiTheme="minorEastAsia" w:eastAsiaTheme="minorEastAsia"/>
                <w:b/>
                <w:kern w:val="2"/>
                <w:szCs w:val="24"/>
                <w:highlight w:val="none"/>
              </w:rPr>
              <w:t>范围</w:t>
            </w:r>
          </w:p>
        </w:tc>
        <w:tc>
          <w:tcPr>
            <w:tcW w:w="3558" w:type="pct"/>
            <w:tcBorders>
              <w:left w:val="single" w:color="auto" w:sz="4" w:space="0"/>
            </w:tcBorders>
            <w:vAlign w:val="center"/>
          </w:tcPr>
          <w:p w14:paraId="4E50AF54">
            <w:pPr>
              <w:widowControl/>
              <w:ind w:left="0" w:leftChars="0" w:firstLine="0" w:firstLineChars="0"/>
              <w:rPr>
                <w:rFonts w:cs="宋体" w:asciiTheme="minorEastAsia" w:hAnsiTheme="minorEastAsia" w:eastAsiaTheme="minorEastAsia"/>
                <w:b/>
                <w:kern w:val="2"/>
                <w:szCs w:val="24"/>
                <w:highlight w:val="none"/>
              </w:rPr>
            </w:pPr>
            <w:r>
              <w:rPr>
                <w:rFonts w:hint="eastAsia" w:cs="@仿宋_GB2312" w:asciiTheme="minorEastAsia" w:hAnsiTheme="minorEastAsia" w:eastAsiaTheme="minorEastAsia"/>
                <w:kern w:val="2"/>
                <w:szCs w:val="28"/>
                <w:highlight w:val="none"/>
              </w:rPr>
              <w:t>全部</w:t>
            </w:r>
          </w:p>
        </w:tc>
      </w:tr>
      <w:tr w14:paraId="3937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2" w:type="pct"/>
            <w:tcBorders>
              <w:top w:val="single" w:color="auto" w:sz="4" w:space="0"/>
            </w:tcBorders>
            <w:vAlign w:val="center"/>
          </w:tcPr>
          <w:p w14:paraId="11F10DF1">
            <w:pPr>
              <w:ind w:left="0" w:leftChars="0" w:firstLine="0" w:firstLineChars="0"/>
              <w:jc w:val="center"/>
              <w:rPr>
                <w:rFonts w:cs="宋体" w:asciiTheme="minorEastAsia" w:hAnsiTheme="minorEastAsia" w:eastAsiaTheme="minorEastAsia"/>
                <w:b/>
                <w:kern w:val="2"/>
                <w:szCs w:val="24"/>
                <w:highlight w:val="none"/>
              </w:rPr>
            </w:pPr>
            <w:r>
              <w:rPr>
                <w:rFonts w:hint="eastAsia" w:cs="@仿宋_GB2312"/>
                <w:b/>
                <w:kern w:val="2"/>
                <w:highlight w:val="none"/>
              </w:rPr>
              <w:t>报价</w:t>
            </w:r>
          </w:p>
        </w:tc>
        <w:tc>
          <w:tcPr>
            <w:tcW w:w="3558" w:type="pct"/>
            <w:vAlign w:val="center"/>
          </w:tcPr>
          <w:p w14:paraId="3E62776F">
            <w:pPr>
              <w:snapToGrid w:val="0"/>
              <w:ind w:firstLine="0" w:firstLineChars="0"/>
              <w:rPr>
                <w:rFonts w:hint="default" w:eastAsia="宋体" w:cs="宋体"/>
                <w:kern w:val="2"/>
                <w:szCs w:val="24"/>
                <w:highlight w:val="none"/>
                <w:u w:val="single"/>
                <w:lang w:val="en-US" w:eastAsia="zh-CN"/>
              </w:rPr>
            </w:pPr>
            <w:r>
              <w:rPr>
                <w:rFonts w:hint="eastAsia" w:cs="宋体"/>
                <w:kern w:val="2"/>
                <w:szCs w:val="24"/>
                <w:highlight w:val="none"/>
              </w:rPr>
              <w:t>人民币大写：</w:t>
            </w:r>
            <w:r>
              <w:rPr>
                <w:rFonts w:hint="eastAsia" w:cs="宋体"/>
                <w:kern w:val="2"/>
                <w:szCs w:val="24"/>
                <w:highlight w:val="none"/>
                <w:u w:val="single"/>
                <w:lang w:val="en-US" w:eastAsia="zh-CN"/>
              </w:rPr>
              <w:t xml:space="preserve">                 </w:t>
            </w:r>
          </w:p>
          <w:p w14:paraId="082EE995">
            <w:pPr>
              <w:pStyle w:val="40"/>
              <w:spacing w:line="360" w:lineRule="auto"/>
              <w:ind w:left="0" w:leftChars="0" w:firstLine="0" w:firstLineChars="0"/>
              <w:rPr>
                <w:rFonts w:hint="default" w:cs="宋体" w:asciiTheme="minorEastAsia" w:hAnsiTheme="minorEastAsia"/>
                <w:b/>
                <w:kern w:val="2"/>
                <w:highlight w:val="none"/>
                <w:u w:val="none"/>
                <w:lang w:val="en-US" w:eastAsia="zh-CN"/>
              </w:rPr>
            </w:pPr>
            <w:r>
              <w:rPr>
                <w:rFonts w:hint="eastAsia"/>
                <w:highlight w:val="none"/>
                <w:lang w:val="en-US" w:eastAsia="zh-CN"/>
              </w:rPr>
              <w:t>人民币</w:t>
            </w:r>
            <w:r>
              <w:rPr>
                <w:rFonts w:hint="eastAsia"/>
                <w:highlight w:val="none"/>
                <w:lang w:val="en-US"/>
              </w:rPr>
              <w:t>小写：</w:t>
            </w:r>
            <w:r>
              <w:rPr>
                <w:rFonts w:hint="eastAsia"/>
                <w:highlight w:val="none"/>
                <w:u w:val="single"/>
                <w:lang w:val="en-US" w:eastAsia="zh-CN"/>
              </w:rPr>
              <w:t xml:space="preserve">                 </w:t>
            </w:r>
          </w:p>
        </w:tc>
      </w:tr>
      <w:tr w14:paraId="379E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442" w:type="pct"/>
            <w:tcBorders>
              <w:top w:val="single" w:color="auto" w:sz="4" w:space="0"/>
            </w:tcBorders>
            <w:vAlign w:val="center"/>
          </w:tcPr>
          <w:p w14:paraId="536C36CF">
            <w:pPr>
              <w:snapToGrid w:val="0"/>
              <w:ind w:left="0" w:leftChars="0" w:firstLine="0" w:firstLineChars="0"/>
              <w:jc w:val="center"/>
              <w:rPr>
                <w:rFonts w:cs="宋体" w:asciiTheme="minorEastAsia" w:hAnsiTheme="minorEastAsia" w:eastAsiaTheme="minorEastAsia"/>
                <w:b/>
                <w:strike/>
                <w:kern w:val="2"/>
                <w:szCs w:val="24"/>
                <w:highlight w:val="none"/>
              </w:rPr>
            </w:pPr>
            <w:r>
              <w:rPr>
                <w:rFonts w:hint="eastAsia" w:cs="宋体" w:asciiTheme="minorEastAsia" w:hAnsiTheme="minorEastAsia" w:eastAsiaTheme="minorEastAsia"/>
                <w:b/>
                <w:kern w:val="2"/>
                <w:szCs w:val="24"/>
                <w:highlight w:val="none"/>
              </w:rPr>
              <w:t>服务期限</w:t>
            </w:r>
          </w:p>
        </w:tc>
        <w:tc>
          <w:tcPr>
            <w:tcW w:w="3558" w:type="pct"/>
            <w:vAlign w:val="center"/>
          </w:tcPr>
          <w:p w14:paraId="666B6362">
            <w:pPr>
              <w:snapToGrid w:val="0"/>
              <w:ind w:left="0" w:leftChars="0" w:firstLine="0" w:firstLineChars="0"/>
              <w:rPr>
                <w:rFonts w:cs="宋体" w:asciiTheme="minorEastAsia" w:hAnsiTheme="minorEastAsia" w:eastAsiaTheme="minorEastAsia"/>
                <w:b/>
                <w:strike/>
                <w:kern w:val="2"/>
                <w:szCs w:val="24"/>
                <w:highlight w:val="none"/>
              </w:rPr>
            </w:pPr>
          </w:p>
        </w:tc>
      </w:tr>
      <w:tr w14:paraId="1253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442" w:type="pct"/>
            <w:vAlign w:val="center"/>
          </w:tcPr>
          <w:p w14:paraId="320551BB">
            <w:pPr>
              <w:ind w:left="0" w:leftChars="0"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备注说明</w:t>
            </w:r>
          </w:p>
        </w:tc>
        <w:tc>
          <w:tcPr>
            <w:tcW w:w="3558" w:type="pct"/>
          </w:tcPr>
          <w:p w14:paraId="181F61E7">
            <w:pPr>
              <w:ind w:left="0" w:leftChars="0" w:firstLine="0" w:firstLineChars="0"/>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本项目无二次报价</w:t>
            </w:r>
          </w:p>
        </w:tc>
      </w:tr>
    </w:tbl>
    <w:p w14:paraId="6F8B3870">
      <w:pPr>
        <w:spacing w:line="440" w:lineRule="exact"/>
        <w:ind w:firstLine="4800" w:firstLineChars="2000"/>
        <w:rPr>
          <w:rFonts w:cs="@仿宋_GB2312"/>
          <w:kern w:val="2"/>
          <w:szCs w:val="24"/>
          <w:highlight w:val="none"/>
          <w:u w:val="single"/>
        </w:rPr>
      </w:pPr>
      <w:r>
        <w:rPr>
          <w:rFonts w:hint="eastAsia" w:cs="@仿宋_GB2312"/>
          <w:kern w:val="2"/>
          <w:szCs w:val="24"/>
          <w:highlight w:val="none"/>
        </w:rPr>
        <w:t>供应商电子签章或公章：</w:t>
      </w:r>
      <w:r>
        <w:rPr>
          <w:rFonts w:hint="eastAsia" w:cs="@仿宋_GB2312"/>
          <w:kern w:val="2"/>
          <w:szCs w:val="24"/>
          <w:highlight w:val="none"/>
          <w:u w:val="single"/>
        </w:rPr>
        <w:t xml:space="preserve">     </w:t>
      </w:r>
      <w:r>
        <w:rPr>
          <w:rFonts w:cs="@仿宋_GB2312"/>
          <w:kern w:val="2"/>
          <w:szCs w:val="24"/>
          <w:highlight w:val="none"/>
          <w:u w:val="single"/>
        </w:rPr>
        <w:t xml:space="preserve">    </w:t>
      </w:r>
      <w:r>
        <w:rPr>
          <w:rFonts w:hint="eastAsia" w:cs="@仿宋_GB2312"/>
          <w:kern w:val="2"/>
          <w:szCs w:val="24"/>
          <w:highlight w:val="none"/>
          <w:u w:val="single"/>
        </w:rPr>
        <w:t xml:space="preserve">    </w:t>
      </w:r>
    </w:p>
    <w:p w14:paraId="65A9E8DB">
      <w:pPr>
        <w:spacing w:line="440" w:lineRule="exact"/>
        <w:ind w:firstLine="4800" w:firstLineChars="2000"/>
        <w:rPr>
          <w:rFonts w:cs="@仿宋_GB2312"/>
          <w:kern w:val="2"/>
          <w:szCs w:val="24"/>
          <w:highlight w:val="none"/>
          <w:u w:val="single"/>
        </w:rPr>
      </w:pPr>
      <w:r>
        <w:rPr>
          <w:rFonts w:hint="eastAsia" w:cs="@仿宋_GB2312"/>
          <w:kern w:val="2"/>
          <w:szCs w:val="24"/>
          <w:highlight w:val="none"/>
        </w:rPr>
        <w:t xml:space="preserve">日     </w:t>
      </w:r>
      <w:r>
        <w:rPr>
          <w:rFonts w:cs="@仿宋_GB2312"/>
          <w:kern w:val="2"/>
          <w:szCs w:val="24"/>
          <w:highlight w:val="none"/>
        </w:rPr>
        <w:t xml:space="preserve">    </w:t>
      </w:r>
      <w:r>
        <w:rPr>
          <w:rFonts w:hint="eastAsia" w:cs="@仿宋_GB2312"/>
          <w:kern w:val="2"/>
          <w:szCs w:val="24"/>
          <w:highlight w:val="none"/>
        </w:rPr>
        <w:t xml:space="preserve"> 期：</w:t>
      </w:r>
      <w:r>
        <w:rPr>
          <w:rFonts w:hint="eastAsia" w:cs="@仿宋_GB2312"/>
          <w:kern w:val="2"/>
          <w:szCs w:val="24"/>
          <w:highlight w:val="none"/>
          <w:u w:val="single"/>
        </w:rPr>
        <w:t xml:space="preserve">             </w:t>
      </w:r>
    </w:p>
    <w:p w14:paraId="42961E49">
      <w:pPr>
        <w:adjustRightInd w:val="0"/>
        <w:snapToGrid w:val="0"/>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注：</w:t>
      </w:r>
    </w:p>
    <w:p w14:paraId="0977216E">
      <w:pPr>
        <w:adjustRightInd w:val="0"/>
        <w:snapToGrid w:val="0"/>
        <w:ind w:firstLine="482"/>
        <w:rPr>
          <w:rFonts w:cs="宋体" w:asciiTheme="minorEastAsia" w:hAnsiTheme="minorEastAsia" w:eastAsiaTheme="minorEastAsia"/>
          <w:kern w:val="2"/>
          <w:szCs w:val="24"/>
          <w:highlight w:val="none"/>
        </w:rPr>
      </w:pPr>
      <w:r>
        <w:rPr>
          <w:rFonts w:hint="eastAsia" w:cs="宋体" w:asciiTheme="minorEastAsia" w:hAnsiTheme="minorEastAsia" w:eastAsiaTheme="minorEastAsia"/>
          <w:b/>
          <w:bCs/>
          <w:kern w:val="2"/>
          <w:szCs w:val="24"/>
          <w:highlight w:val="none"/>
        </w:rPr>
        <w:t>1.本表内容根据磋商文件要求包括了磋商文件要求提供的全部内容的所有费用。</w:t>
      </w:r>
    </w:p>
    <w:p w14:paraId="5A836388">
      <w:pPr>
        <w:adjustRightInd w:val="0"/>
        <w:snapToGrid w:val="0"/>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2.特殊事项在备注</w:t>
      </w:r>
      <w:r>
        <w:rPr>
          <w:rFonts w:hint="eastAsia" w:cs="宋体" w:asciiTheme="minorEastAsia" w:hAnsiTheme="minorEastAsia" w:eastAsiaTheme="minorEastAsia"/>
          <w:b/>
          <w:kern w:val="2"/>
          <w:szCs w:val="24"/>
          <w:highlight w:val="none"/>
        </w:rPr>
        <w:t>说明</w:t>
      </w:r>
      <w:r>
        <w:rPr>
          <w:rFonts w:hint="eastAsia" w:cs="宋体" w:asciiTheme="minorEastAsia" w:hAnsiTheme="minorEastAsia" w:eastAsiaTheme="minorEastAsia"/>
          <w:b/>
          <w:bCs/>
          <w:kern w:val="2"/>
          <w:szCs w:val="24"/>
          <w:highlight w:val="none"/>
        </w:rPr>
        <w:t>中注明。</w:t>
      </w:r>
    </w:p>
    <w:p w14:paraId="0DBFA324">
      <w:pPr>
        <w:adjustRightInd w:val="0"/>
        <w:snapToGrid w:val="0"/>
        <w:ind w:firstLine="482"/>
        <w:rPr>
          <w:rFonts w:cs="宋体" w:asciiTheme="minorEastAsia" w:hAnsiTheme="minorEastAsia" w:eastAsiaTheme="minorEastAsia"/>
          <w:b/>
          <w:bCs/>
          <w:kern w:val="2"/>
          <w:szCs w:val="24"/>
          <w:highlight w:val="none"/>
        </w:rPr>
      </w:pPr>
      <w:r>
        <w:rPr>
          <w:rFonts w:cs="宋体" w:asciiTheme="minorEastAsia" w:hAnsiTheme="minorEastAsia" w:eastAsiaTheme="minorEastAsia"/>
          <w:b/>
          <w:bCs/>
          <w:kern w:val="2"/>
          <w:szCs w:val="24"/>
          <w:highlight w:val="none"/>
        </w:rPr>
        <w:br w:type="page"/>
      </w:r>
    </w:p>
    <w:p w14:paraId="2A415AD0">
      <w:pPr>
        <w:ind w:left="0" w:leftChars="0" w:firstLine="0" w:firstLineChars="0"/>
        <w:jc w:val="center"/>
        <w:outlineLvl w:val="2"/>
        <w:rPr>
          <w:rFonts w:hint="eastAsia" w:asciiTheme="minorEastAsia" w:hAnsiTheme="minorEastAsia" w:eastAsiaTheme="minorEastAsia"/>
          <w:b/>
          <w:highlight w:val="none"/>
        </w:rPr>
      </w:pPr>
      <w:bookmarkStart w:id="18" w:name="_Toc520983591"/>
      <w:r>
        <w:rPr>
          <w:rFonts w:hint="eastAsia" w:asciiTheme="minorEastAsia" w:hAnsiTheme="minorEastAsia" w:eastAsiaTheme="minorEastAsia"/>
          <w:b/>
          <w:highlight w:val="none"/>
        </w:rPr>
        <w:t>二、供应商综合情况简介</w:t>
      </w:r>
    </w:p>
    <w:p w14:paraId="4669B6B0">
      <w:pPr>
        <w:spacing w:before="156" w:beforeLines="50" w:after="156" w:afterLines="50"/>
        <w:ind w:firstLine="235" w:firstLineChars="98"/>
        <w:jc w:val="center"/>
        <w:rPr>
          <w:rFonts w:cs="Times New Roman"/>
          <w:szCs w:val="28"/>
          <w:highlight w:val="none"/>
        </w:rPr>
      </w:pPr>
      <w:r>
        <w:rPr>
          <w:rFonts w:hint="eastAsia" w:cs="Times New Roman"/>
          <w:szCs w:val="28"/>
          <w:highlight w:val="none"/>
        </w:rPr>
        <w:t>（</w:t>
      </w:r>
      <w:r>
        <w:rPr>
          <w:rFonts w:hint="eastAsia" w:cs="Times New Roman"/>
          <w:szCs w:val="18"/>
          <w:highlight w:val="none"/>
        </w:rPr>
        <w:t>供应商</w:t>
      </w:r>
      <w:r>
        <w:rPr>
          <w:rFonts w:hint="eastAsia" w:cs="Times New Roman"/>
          <w:szCs w:val="28"/>
          <w:highlight w:val="none"/>
        </w:rPr>
        <w:t>可自行制作格式）</w:t>
      </w:r>
    </w:p>
    <w:p w14:paraId="66EE537F">
      <w:pPr>
        <w:widowControl/>
        <w:ind w:firstLine="482"/>
        <w:jc w:val="left"/>
        <w:rPr>
          <w:rFonts w:asciiTheme="minorEastAsia" w:hAnsiTheme="minorEastAsia" w:eastAsiaTheme="minorEastAsia"/>
          <w:b/>
          <w:highlight w:val="none"/>
        </w:rPr>
      </w:pPr>
    </w:p>
    <w:p w14:paraId="7C3DD53F">
      <w:pPr>
        <w:widowControl/>
        <w:ind w:firstLine="482"/>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p w14:paraId="0B095133">
      <w:pPr>
        <w:ind w:left="0" w:leftChars="0" w:firstLine="0" w:firstLineChars="0"/>
        <w:jc w:val="center"/>
        <w:outlineLvl w:val="2"/>
        <w:rPr>
          <w:rFonts w:hint="eastAsia" w:asciiTheme="minorEastAsia" w:hAnsiTheme="minorEastAsia" w:eastAsiaTheme="minorEastAsia"/>
          <w:b/>
          <w:highlight w:val="none"/>
        </w:rPr>
      </w:pPr>
      <w:r>
        <w:rPr>
          <w:rFonts w:hint="eastAsia" w:asciiTheme="minorEastAsia" w:hAnsiTheme="minorEastAsia" w:eastAsiaTheme="minorEastAsia"/>
          <w:b/>
          <w:highlight w:val="none"/>
        </w:rPr>
        <w:t>三、磋商响应函</w:t>
      </w:r>
    </w:p>
    <w:p w14:paraId="18BCA12D">
      <w:pPr>
        <w:ind w:left="0" w:leftChars="0" w:firstLine="0" w:firstLineChars="0"/>
        <w:rPr>
          <w:rFonts w:hint="eastAsia" w:cs="宋体" w:asciiTheme="minorEastAsia" w:hAnsiTheme="minorEastAsia" w:eastAsiaTheme="minorEastAsia"/>
          <w:b/>
          <w:kern w:val="2"/>
          <w:szCs w:val="24"/>
          <w:highlight w:val="none"/>
          <w:u w:val="single"/>
          <w:lang w:eastAsia="zh-CN"/>
        </w:rPr>
      </w:pPr>
      <w:r>
        <w:rPr>
          <w:rFonts w:hint="eastAsia" w:cs="宋体" w:asciiTheme="minorEastAsia" w:hAnsiTheme="minorEastAsia" w:eastAsiaTheme="minorEastAsia"/>
          <w:b/>
          <w:kern w:val="2"/>
          <w:szCs w:val="24"/>
          <w:highlight w:val="none"/>
        </w:rPr>
        <w:t>致：</w:t>
      </w:r>
      <w:r>
        <w:rPr>
          <w:rFonts w:hint="eastAsia" w:cs="宋体" w:asciiTheme="minorEastAsia" w:hAnsiTheme="minorEastAsia" w:eastAsiaTheme="minorEastAsia"/>
          <w:b/>
          <w:kern w:val="2"/>
          <w:szCs w:val="24"/>
          <w:highlight w:val="none"/>
          <w:u w:val="single"/>
          <w:lang w:eastAsia="zh-CN"/>
        </w:rPr>
        <w:t>肥西县中医院</w:t>
      </w:r>
    </w:p>
    <w:p w14:paraId="530C9AE4">
      <w:pPr>
        <w:ind w:left="0" w:leftChars="0" w:firstLine="482" w:firstLineChars="200"/>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u w:val="single"/>
        </w:rPr>
        <w:t>肥西县公共资源交易有限责任公司</w:t>
      </w:r>
    </w:p>
    <w:p w14:paraId="4CA62473">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根据贵方的磋商文件，我方承诺如下：</w:t>
      </w:r>
    </w:p>
    <w:p w14:paraId="0810E1F2">
      <w:pPr>
        <w:ind w:firstLine="480"/>
        <w:rPr>
          <w:rFonts w:cs="宋体" w:asciiTheme="minorEastAsia" w:hAnsiTheme="minorEastAsia" w:eastAsiaTheme="minorEastAsia"/>
          <w:kern w:val="2"/>
          <w:szCs w:val="24"/>
          <w:highlight w:val="none"/>
          <w:u w:val="single"/>
        </w:rPr>
      </w:pPr>
      <w:r>
        <w:rPr>
          <w:rFonts w:hint="eastAsia" w:cs="宋体" w:asciiTheme="minorEastAsia" w:hAnsiTheme="minorEastAsia" w:eastAsiaTheme="minorEastAsia"/>
          <w:kern w:val="2"/>
          <w:szCs w:val="24"/>
          <w:highlight w:val="none"/>
        </w:rPr>
        <w:t>1.经踏勘项目现场和研究上述磋商文件的磋商须知、合同条款、业主单位要求及其他有关文件后，我方接受上述文件要求。我方</w:t>
      </w:r>
      <w:r>
        <w:rPr>
          <w:rFonts w:hint="eastAsia" w:cs="宋体" w:asciiTheme="minorEastAsia" w:hAnsiTheme="minorEastAsia" w:eastAsiaTheme="minorEastAsia"/>
          <w:bCs/>
          <w:kern w:val="2"/>
          <w:szCs w:val="24"/>
          <w:highlight w:val="none"/>
        </w:rPr>
        <w:t>承诺按本磋商文件、合同条款和业主单位要求承担上述项目的全部内容。</w:t>
      </w:r>
    </w:p>
    <w:p w14:paraId="0CF1F498">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2.我方已详细审核全部磋商文件，包括磋商文件的补疑、澄清、变更或补充（如有），参考资料及有关附件，我方正式认可并遵守本次磋商文件，并对磋商文件各项条款（包括磋商时间）、规定及要求均无异议。且我方自愿放弃针对上述各项条款提出异议的权利。</w:t>
      </w:r>
    </w:p>
    <w:p w14:paraId="62773EFF">
      <w:pPr>
        <w:ind w:firstLine="480"/>
        <w:rPr>
          <w:highlight w:val="none"/>
        </w:rPr>
      </w:pPr>
      <w:r>
        <w:rPr>
          <w:rFonts w:hint="eastAsia"/>
          <w:highlight w:val="none"/>
        </w:rPr>
        <w:t>3.如我方成交，我方承诺愿意按磋商文件规定缴纳履约保证金和代理费用。按本次磋商文件规定及</w:t>
      </w:r>
      <w:r>
        <w:rPr>
          <w:rFonts w:cs="宋体"/>
          <w:szCs w:val="24"/>
          <w:highlight w:val="none"/>
        </w:rPr>
        <w:t>最终报价</w:t>
      </w:r>
      <w:r>
        <w:rPr>
          <w:rFonts w:hint="eastAsia"/>
          <w:highlight w:val="none"/>
        </w:rPr>
        <w:t>承诺提供服务。</w:t>
      </w:r>
    </w:p>
    <w:p w14:paraId="3D58C025">
      <w:pPr>
        <w:ind w:firstLine="480"/>
        <w:rPr>
          <w:highlight w:val="none"/>
        </w:rPr>
      </w:pPr>
      <w:r>
        <w:rPr>
          <w:rFonts w:hint="eastAsia"/>
          <w:highlight w:val="none"/>
        </w:rPr>
        <w:t>4.我方根据本次磋商文件的规定，严格履行合同的责任和义务</w:t>
      </w:r>
      <w:r>
        <w:rPr>
          <w:highlight w:val="none"/>
        </w:rPr>
        <w:t>,</w:t>
      </w:r>
      <w:r>
        <w:rPr>
          <w:rFonts w:hint="eastAsia"/>
          <w:highlight w:val="none"/>
        </w:rPr>
        <w:t>并保证于你方要求的日期内完成合同规定的全部义务。</w:t>
      </w:r>
    </w:p>
    <w:p w14:paraId="59E431E2">
      <w:pPr>
        <w:ind w:firstLine="480"/>
        <w:rPr>
          <w:highlight w:val="none"/>
        </w:rPr>
      </w:pPr>
      <w:r>
        <w:rPr>
          <w:rFonts w:hint="eastAsia"/>
          <w:highlight w:val="none"/>
        </w:rPr>
        <w:t>5.我方同意按你方要求在磋商规定时间内向你方提供与其磋商有关的任何证据或补充资料，否则，我方的响应文件可被你方拒绝。</w:t>
      </w:r>
    </w:p>
    <w:p w14:paraId="461DBFC3">
      <w:pPr>
        <w:ind w:firstLine="480"/>
        <w:rPr>
          <w:highlight w:val="none"/>
        </w:rPr>
      </w:pPr>
      <w:r>
        <w:rPr>
          <w:rFonts w:hint="eastAsia"/>
          <w:highlight w:val="none"/>
        </w:rPr>
        <w:t>6.我方完全理解你方不一定接受最低报价的磋商。</w:t>
      </w:r>
    </w:p>
    <w:p w14:paraId="02B6C71D">
      <w:pPr>
        <w:ind w:firstLine="480"/>
        <w:rPr>
          <w:highlight w:val="none"/>
        </w:rPr>
      </w:pPr>
      <w:r>
        <w:rPr>
          <w:rFonts w:hint="eastAsia"/>
          <w:highlight w:val="none"/>
        </w:rPr>
        <w:t>7.我方同意磋商文件规定的付款方式、服务期限。</w:t>
      </w:r>
    </w:p>
    <w:p w14:paraId="5CA8E0C7">
      <w:pPr>
        <w:ind w:firstLine="480"/>
        <w:rPr>
          <w:highlight w:val="none"/>
        </w:rPr>
      </w:pPr>
      <w:r>
        <w:rPr>
          <w:rFonts w:hint="eastAsia"/>
          <w:highlight w:val="none"/>
        </w:rPr>
        <w:t>8.我方对响应文件中所提供资料、文件、证书及证件的真实性和有效性负责。</w:t>
      </w:r>
    </w:p>
    <w:p w14:paraId="100DAB60">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9.我方同意所提交的响应文件在磋商文件规定的磋商有效期内有效，在此期间内如果成交，我方将受此约束。</w:t>
      </w:r>
    </w:p>
    <w:p w14:paraId="4C8C97A3">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10.除非另外达成协议并生效，你方的成交通知书和本响应文件以及磋商文件、磋商文件澄清、修改、补充将成为约束双方的合同文件的组成部分。</w:t>
      </w:r>
    </w:p>
    <w:p w14:paraId="13893AD4">
      <w:pPr>
        <w:ind w:firstLine="480"/>
        <w:rPr>
          <w:rFonts w:cs="宋体" w:asciiTheme="minorEastAsia" w:hAnsiTheme="minorEastAsia" w:eastAsiaTheme="minorEastAsia"/>
          <w:kern w:val="2"/>
          <w:szCs w:val="24"/>
          <w:highlight w:val="none"/>
        </w:rPr>
      </w:pPr>
      <w:r>
        <w:rPr>
          <w:rFonts w:hint="eastAsia" w:cs="宋体" w:asciiTheme="minorEastAsia" w:hAnsiTheme="minorEastAsia" w:eastAsiaTheme="minorEastAsia"/>
          <w:kern w:val="2"/>
          <w:szCs w:val="24"/>
          <w:highlight w:val="none"/>
        </w:rPr>
        <w:t>11.我方不存在磋商公告中“供应商资格要求”的“不良信用记录情形”规定的任何一种情形。</w:t>
      </w:r>
    </w:p>
    <w:p w14:paraId="1044CB65">
      <w:pPr>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12.我方声明下述内容真实有效，如有虚假，将依法承担相应责任：</w:t>
      </w:r>
    </w:p>
    <w:p w14:paraId="393E81B0">
      <w:pPr>
        <w:ind w:firstLine="482"/>
        <w:rPr>
          <w:rFonts w:cs="宋体" w:asciiTheme="minorEastAsia" w:hAnsiTheme="minorEastAsia" w:eastAsiaTheme="minorEastAsia"/>
          <w:b/>
          <w:bCs/>
          <w:kern w:val="2"/>
          <w:szCs w:val="24"/>
          <w:highlight w:val="none"/>
        </w:rPr>
      </w:pPr>
      <w:r>
        <w:rPr>
          <w:rFonts w:hint="eastAsia" w:cs="宋体" w:asciiTheme="minorEastAsia" w:hAnsiTheme="minorEastAsia" w:eastAsiaTheme="minorEastAsia"/>
          <w:b/>
          <w:bCs/>
          <w:kern w:val="2"/>
          <w:szCs w:val="24"/>
          <w:highlight w:val="none"/>
        </w:rPr>
        <w:t>与我单位存在单位负责人为同一人或者存在直接控股、管理关系的其他法人单位信息如下：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1C7D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B538079">
            <w:pPr>
              <w:keepNext w:val="0"/>
              <w:keepLines w:val="0"/>
              <w:pageBreakBefore w:val="0"/>
              <w:widowControl w:val="0"/>
              <w:kinsoku/>
              <w:wordWrap/>
              <w:overflowPunct/>
              <w:topLinePunct w:val="0"/>
              <w:autoSpaceDE/>
              <w:autoSpaceDN/>
              <w:bidi w:val="0"/>
              <w:adjustRightInd/>
              <w:snapToGrid/>
              <w:ind w:left="240" w:leftChars="100" w:firstLine="0" w:firstLineChars="0"/>
              <w:jc w:val="center"/>
              <w:textAlignment w:val="auto"/>
              <w:rPr>
                <w:rFonts w:cs="宋体"/>
                <w:color w:val="000000"/>
                <w:sz w:val="24"/>
                <w:szCs w:val="24"/>
                <w:highlight w:val="none"/>
                <w:lang w:bidi="ar"/>
              </w:rPr>
            </w:pPr>
            <w:r>
              <w:rPr>
                <w:rFonts w:hint="eastAsia" w:cs="宋体"/>
                <w:color w:val="000000"/>
                <w:sz w:val="24"/>
                <w:szCs w:val="24"/>
                <w:highlight w:val="none"/>
                <w:lang w:bidi="ar"/>
              </w:rPr>
              <w:t>序号</w:t>
            </w:r>
          </w:p>
        </w:tc>
        <w:tc>
          <w:tcPr>
            <w:tcW w:w="2841" w:type="dxa"/>
            <w:vAlign w:val="center"/>
          </w:tcPr>
          <w:p w14:paraId="32707EB3">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r>
              <w:rPr>
                <w:rFonts w:hint="eastAsia" w:ascii="宋体" w:hAnsi="宋体" w:eastAsia="宋体" w:cs="宋体"/>
                <w:color w:val="000000"/>
                <w:sz w:val="24"/>
                <w:szCs w:val="24"/>
                <w:highlight w:val="none"/>
                <w:lang w:val="en-US" w:bidi="ar"/>
              </w:rPr>
              <w:t>单位名称</w:t>
            </w:r>
          </w:p>
        </w:tc>
        <w:tc>
          <w:tcPr>
            <w:tcW w:w="2841" w:type="dxa"/>
            <w:vAlign w:val="center"/>
          </w:tcPr>
          <w:p w14:paraId="26D780A0">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r>
              <w:rPr>
                <w:rFonts w:hint="eastAsia" w:ascii="宋体" w:hAnsi="宋体" w:eastAsia="宋体" w:cs="宋体"/>
                <w:color w:val="000000"/>
                <w:sz w:val="24"/>
                <w:szCs w:val="24"/>
                <w:highlight w:val="none"/>
                <w:lang w:val="en-US" w:bidi="ar"/>
              </w:rPr>
              <w:t>相互关系</w:t>
            </w:r>
          </w:p>
        </w:tc>
      </w:tr>
      <w:tr w14:paraId="472B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47F6200">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r>
              <w:rPr>
                <w:rFonts w:hint="eastAsia" w:ascii="宋体" w:hAnsi="宋体" w:eastAsia="宋体" w:cs="宋体"/>
                <w:color w:val="000000"/>
                <w:sz w:val="24"/>
                <w:szCs w:val="24"/>
                <w:highlight w:val="none"/>
                <w:lang w:val="en-US" w:bidi="ar"/>
              </w:rPr>
              <w:t>1</w:t>
            </w:r>
          </w:p>
        </w:tc>
        <w:tc>
          <w:tcPr>
            <w:tcW w:w="2841" w:type="dxa"/>
            <w:vAlign w:val="center"/>
          </w:tcPr>
          <w:p w14:paraId="030E0EB3">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c>
          <w:tcPr>
            <w:tcW w:w="2841" w:type="dxa"/>
            <w:vAlign w:val="center"/>
          </w:tcPr>
          <w:p w14:paraId="6CA744C8">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r>
      <w:tr w14:paraId="6CFC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F15CDD6">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r>
              <w:rPr>
                <w:rFonts w:hint="eastAsia" w:ascii="宋体" w:hAnsi="宋体" w:eastAsia="宋体" w:cs="宋体"/>
                <w:color w:val="000000"/>
                <w:sz w:val="24"/>
                <w:szCs w:val="24"/>
                <w:highlight w:val="none"/>
                <w:lang w:val="en-US" w:bidi="ar"/>
              </w:rPr>
              <w:t>2</w:t>
            </w:r>
          </w:p>
        </w:tc>
        <w:tc>
          <w:tcPr>
            <w:tcW w:w="2841" w:type="dxa"/>
            <w:vAlign w:val="center"/>
          </w:tcPr>
          <w:p w14:paraId="0C12425A">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c>
          <w:tcPr>
            <w:tcW w:w="2841" w:type="dxa"/>
            <w:vAlign w:val="center"/>
          </w:tcPr>
          <w:p w14:paraId="2B7D5BF4">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r>
      <w:tr w14:paraId="107C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33A176E">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c>
          <w:tcPr>
            <w:tcW w:w="2841" w:type="dxa"/>
            <w:vAlign w:val="center"/>
          </w:tcPr>
          <w:p w14:paraId="5B6A0C27">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c>
          <w:tcPr>
            <w:tcW w:w="2841" w:type="dxa"/>
            <w:vAlign w:val="center"/>
          </w:tcPr>
          <w:p w14:paraId="3B67C44E">
            <w:pPr>
              <w:pStyle w:val="4"/>
              <w:keepNext w:val="0"/>
              <w:keepLines w:val="0"/>
              <w:pageBreakBefore w:val="0"/>
              <w:widowControl w:val="0"/>
              <w:kinsoku/>
              <w:wordWrap/>
              <w:overflowPunct/>
              <w:topLinePunct w:val="0"/>
              <w:autoSpaceDE/>
              <w:autoSpaceDN/>
              <w:bidi w:val="0"/>
              <w:adjustRightInd/>
              <w:snapToGrid/>
              <w:spacing w:after="0"/>
              <w:ind w:left="240" w:leftChars="100" w:firstLine="0" w:firstLineChars="0"/>
              <w:jc w:val="center"/>
              <w:textAlignment w:val="auto"/>
              <w:rPr>
                <w:rFonts w:ascii="宋体" w:hAnsi="宋体" w:eastAsia="宋体" w:cs="宋体"/>
                <w:color w:val="000000"/>
                <w:sz w:val="24"/>
                <w:szCs w:val="24"/>
                <w:highlight w:val="none"/>
                <w:lang w:val="en-US" w:bidi="ar"/>
              </w:rPr>
            </w:pPr>
          </w:p>
        </w:tc>
      </w:tr>
    </w:tbl>
    <w:p w14:paraId="755B0944">
      <w:pPr>
        <w:ind w:firstLine="480"/>
        <w:rPr>
          <w:rFonts w:cs="宋体" w:asciiTheme="minorEastAsia" w:hAnsiTheme="minorEastAsia" w:eastAsiaTheme="minorEastAsia"/>
          <w:kern w:val="2"/>
          <w:szCs w:val="24"/>
          <w:highlight w:val="none"/>
        </w:rPr>
      </w:pPr>
    </w:p>
    <w:p w14:paraId="78B49361">
      <w:pPr>
        <w:ind w:firstLine="480"/>
        <w:rPr>
          <w:highlight w:val="none"/>
        </w:rPr>
      </w:pPr>
      <w:r>
        <w:rPr>
          <w:rFonts w:cs="宋体" w:asciiTheme="minorEastAsia" w:hAnsiTheme="minorEastAsia" w:eastAsiaTheme="minorEastAsia"/>
          <w:kern w:val="2"/>
          <w:szCs w:val="24"/>
          <w:highlight w:val="none"/>
        </w:rPr>
        <w:t>1</w:t>
      </w:r>
      <w:r>
        <w:rPr>
          <w:rFonts w:hint="eastAsia" w:cs="宋体" w:asciiTheme="minorEastAsia" w:hAnsiTheme="minorEastAsia" w:eastAsiaTheme="minorEastAsia"/>
          <w:kern w:val="2"/>
          <w:szCs w:val="24"/>
          <w:highlight w:val="none"/>
        </w:rPr>
        <w:t>3.其他补充说明：</w:t>
      </w:r>
      <w:r>
        <w:rPr>
          <w:rFonts w:hint="eastAsia" w:cs="宋体" w:asciiTheme="minorEastAsia" w:hAnsiTheme="minorEastAsia" w:eastAsiaTheme="minorEastAsia"/>
          <w:kern w:val="2"/>
          <w:szCs w:val="24"/>
          <w:highlight w:val="none"/>
          <w:u w:val="single"/>
        </w:rPr>
        <w:t xml:space="preserve">             补充说明事项（如有）       </w:t>
      </w:r>
    </w:p>
    <w:p w14:paraId="6FCE4092">
      <w:pPr>
        <w:pStyle w:val="5"/>
        <w:ind w:firstLine="240"/>
        <w:rPr>
          <w:highlight w:val="none"/>
        </w:rPr>
      </w:pPr>
    </w:p>
    <w:p w14:paraId="68C44FBC">
      <w:pPr>
        <w:ind w:firstLine="4800" w:firstLineChars="2000"/>
        <w:rPr>
          <w:rFonts w:cs="@仿宋_GB2312"/>
          <w:kern w:val="2"/>
          <w:highlight w:val="none"/>
        </w:rPr>
      </w:pPr>
      <w:r>
        <w:rPr>
          <w:rFonts w:hint="eastAsia" w:cs="@仿宋_GB2312"/>
          <w:kern w:val="2"/>
          <w:szCs w:val="24"/>
          <w:highlight w:val="none"/>
        </w:rPr>
        <w:t>供应商电子签章或公章</w:t>
      </w:r>
      <w:r>
        <w:rPr>
          <w:rFonts w:hint="eastAsia" w:cs="@仿宋_GB2312"/>
          <w:kern w:val="2"/>
          <w:highlight w:val="none"/>
        </w:rPr>
        <w:t>：</w:t>
      </w:r>
      <w:r>
        <w:rPr>
          <w:rFonts w:hint="eastAsia" w:cs="@仿宋_GB2312"/>
          <w:kern w:val="2"/>
          <w:highlight w:val="none"/>
          <w:u w:val="single"/>
        </w:rPr>
        <w:t xml:space="preserve">             </w:t>
      </w:r>
    </w:p>
    <w:p w14:paraId="47775770">
      <w:pPr>
        <w:ind w:firstLine="4800" w:firstLineChars="2000"/>
        <w:rPr>
          <w:rFonts w:cs="@仿宋_GB2312"/>
          <w:kern w:val="2"/>
          <w:highlight w:val="none"/>
          <w:u w:val="single"/>
        </w:rPr>
      </w:pPr>
      <w:r>
        <w:rPr>
          <w:rFonts w:hint="eastAsia" w:cs="@仿宋_GB2312"/>
          <w:kern w:val="2"/>
          <w:highlight w:val="none"/>
        </w:rPr>
        <w:t>日          期：</w:t>
      </w:r>
      <w:r>
        <w:rPr>
          <w:rFonts w:hint="eastAsia" w:cs="@仿宋_GB2312"/>
          <w:kern w:val="2"/>
          <w:highlight w:val="none"/>
          <w:u w:val="single"/>
        </w:rPr>
        <w:t xml:space="preserve">             </w:t>
      </w:r>
    </w:p>
    <w:p w14:paraId="276F3309">
      <w:pPr>
        <w:widowControl/>
        <w:ind w:firstLine="480"/>
        <w:jc w:val="left"/>
        <w:rPr>
          <w:highlight w:val="none"/>
        </w:rPr>
      </w:pPr>
      <w:r>
        <w:rPr>
          <w:highlight w:val="none"/>
        </w:rPr>
        <w:br w:type="page"/>
      </w:r>
    </w:p>
    <w:p w14:paraId="46E1BE23">
      <w:pPr>
        <w:ind w:left="0" w:leftChars="0" w:firstLine="0" w:firstLineChars="0"/>
        <w:jc w:val="center"/>
        <w:outlineLvl w:val="2"/>
        <w:rPr>
          <w:rFonts w:asciiTheme="minorEastAsia" w:hAnsiTheme="minorEastAsia" w:eastAsiaTheme="minorEastAsia"/>
          <w:b/>
          <w:highlight w:val="none"/>
        </w:rPr>
      </w:pPr>
      <w:r>
        <w:rPr>
          <w:rFonts w:hint="eastAsia" w:asciiTheme="minorEastAsia" w:hAnsiTheme="minorEastAsia" w:eastAsiaTheme="minorEastAsia"/>
          <w:b/>
          <w:highlight w:val="none"/>
        </w:rPr>
        <w:t>四、无不良信用记录声明函</w:t>
      </w:r>
    </w:p>
    <w:p w14:paraId="0DF0CFE7">
      <w:pPr>
        <w:ind w:firstLine="480"/>
        <w:jc w:val="center"/>
        <w:rPr>
          <w:szCs w:val="24"/>
          <w:highlight w:val="none"/>
        </w:rPr>
      </w:pPr>
      <w:r>
        <w:rPr>
          <w:rFonts w:hint="eastAsia"/>
          <w:szCs w:val="24"/>
          <w:highlight w:val="none"/>
        </w:rPr>
        <w:t>（联合体参加磋商的，联合体双方均须提供）</w:t>
      </w:r>
    </w:p>
    <w:p w14:paraId="3017CA09">
      <w:pPr>
        <w:ind w:firstLine="480"/>
        <w:rPr>
          <w:szCs w:val="24"/>
          <w:highlight w:val="none"/>
        </w:rPr>
      </w:pPr>
      <w:r>
        <w:rPr>
          <w:rFonts w:hint="eastAsia"/>
          <w:szCs w:val="24"/>
          <w:highlight w:val="none"/>
        </w:rPr>
        <w:t>1、本单位郑重声明，我单位无以下不良信用记录情形：</w:t>
      </w:r>
    </w:p>
    <w:p w14:paraId="1FB9EC6B">
      <w:pPr>
        <w:ind w:firstLine="480"/>
        <w:rPr>
          <w:szCs w:val="24"/>
          <w:highlight w:val="none"/>
        </w:rPr>
      </w:pPr>
      <w:r>
        <w:rPr>
          <w:rFonts w:hint="eastAsia"/>
          <w:szCs w:val="24"/>
          <w:highlight w:val="none"/>
        </w:rPr>
        <w:t>（1）在最近三年内（自磋商截止之日向前追溯3年，下同）有骗取成交或严重违约或重大工程质量事故或重大生产安全事故的（以相关行业主管部门的行政处罚决定或司法机关出具的有关法律文书为准），但前述行政处罚已完成信用修复的，自行政处罚作出机关或信用修复主管部门同意修复之日起满一年的，不受三年期限限制；</w:t>
      </w:r>
    </w:p>
    <w:p w14:paraId="3BB05767">
      <w:pPr>
        <w:ind w:firstLine="480"/>
        <w:rPr>
          <w:szCs w:val="24"/>
          <w:highlight w:val="none"/>
        </w:rPr>
      </w:pPr>
      <w:r>
        <w:rPr>
          <w:rFonts w:hint="eastAsia"/>
          <w:szCs w:val="24"/>
          <w:highlight w:val="none"/>
        </w:rPr>
        <w:t>（2）被责令停业，暂扣或吊销执照，或吊销资质证书；</w:t>
      </w:r>
    </w:p>
    <w:p w14:paraId="745A21DF">
      <w:pPr>
        <w:ind w:firstLine="480"/>
        <w:rPr>
          <w:szCs w:val="24"/>
          <w:highlight w:val="none"/>
        </w:rPr>
      </w:pPr>
      <w:r>
        <w:rPr>
          <w:rFonts w:hint="eastAsia"/>
          <w:szCs w:val="24"/>
          <w:highlight w:val="none"/>
        </w:rPr>
        <w:t>（3）进入清算程序，或被宣告破产，或其他丧失履约能力的情形；</w:t>
      </w:r>
    </w:p>
    <w:p w14:paraId="43F3601C">
      <w:pPr>
        <w:ind w:firstLine="480"/>
        <w:rPr>
          <w:szCs w:val="24"/>
          <w:highlight w:val="none"/>
        </w:rPr>
      </w:pPr>
      <w:r>
        <w:rPr>
          <w:rFonts w:hint="eastAsia"/>
          <w:szCs w:val="24"/>
          <w:highlight w:val="none"/>
        </w:rPr>
        <w:t>（4）在国家企业信用信息公示系统（http://www.gsxt.gov.cn/）中被列入严重违法失信企业名单；</w:t>
      </w:r>
    </w:p>
    <w:p w14:paraId="33FAD3B2">
      <w:pPr>
        <w:ind w:firstLine="480"/>
        <w:rPr>
          <w:szCs w:val="24"/>
          <w:highlight w:val="none"/>
        </w:rPr>
      </w:pPr>
      <w:r>
        <w:rPr>
          <w:rFonts w:hint="eastAsia"/>
          <w:szCs w:val="24"/>
          <w:highlight w:val="none"/>
        </w:rPr>
        <w:t>（5）在“信用中国”网站（http://www.creditchina.gov.cn/）中被列入失信被执行人名单；</w:t>
      </w:r>
    </w:p>
    <w:p w14:paraId="06DA2CE5">
      <w:pPr>
        <w:ind w:firstLine="480"/>
        <w:rPr>
          <w:szCs w:val="24"/>
          <w:highlight w:val="none"/>
        </w:rPr>
      </w:pPr>
      <w:r>
        <w:rPr>
          <w:rFonts w:hint="eastAsia"/>
          <w:szCs w:val="24"/>
          <w:highlight w:val="none"/>
        </w:rPr>
        <w:t>（6）在“信用中国”网站（http://www.creditchina.gov.cn/）中被列入重大税收违法案件当事人名单；</w:t>
      </w:r>
    </w:p>
    <w:p w14:paraId="0B581A38">
      <w:pPr>
        <w:ind w:firstLine="480"/>
        <w:rPr>
          <w:szCs w:val="24"/>
          <w:highlight w:val="none"/>
        </w:rPr>
      </w:pPr>
      <w:r>
        <w:rPr>
          <w:rFonts w:hint="eastAsia"/>
          <w:szCs w:val="24"/>
          <w:highlight w:val="none"/>
        </w:rPr>
        <w:t>（7）供应商被设区的市级及以上建设行政主管部门/房屋建筑和市政基础设施工程招标投标活动的监督部门因安全生产责任事故限制本次磋商项目工程所在地或公共资源交易平台所在地承接新的工程项目且在限制期内。</w:t>
      </w:r>
    </w:p>
    <w:p w14:paraId="0D09CC4B">
      <w:pPr>
        <w:ind w:firstLine="480"/>
        <w:rPr>
          <w:szCs w:val="24"/>
          <w:highlight w:val="none"/>
        </w:rPr>
      </w:pPr>
      <w:r>
        <w:rPr>
          <w:rFonts w:hint="eastAsia"/>
          <w:szCs w:val="24"/>
          <w:highlight w:val="none"/>
        </w:rPr>
        <w:t>本单位对上述声明的真实性负责。如有虚假，将依法承担相应责任。</w:t>
      </w:r>
    </w:p>
    <w:p w14:paraId="42C7DE76">
      <w:pPr>
        <w:ind w:firstLine="480"/>
        <w:rPr>
          <w:szCs w:val="24"/>
          <w:highlight w:val="none"/>
        </w:rPr>
      </w:pPr>
    </w:p>
    <w:p w14:paraId="663EFD6C">
      <w:pPr>
        <w:ind w:firstLine="560"/>
        <w:jc w:val="right"/>
        <w:rPr>
          <w:sz w:val="28"/>
          <w:szCs w:val="28"/>
          <w:highlight w:val="none"/>
        </w:rPr>
      </w:pPr>
    </w:p>
    <w:p w14:paraId="0F9890CC">
      <w:pPr>
        <w:ind w:left="5280" w:leftChars="2200" w:firstLine="480"/>
        <w:jc w:val="left"/>
        <w:rPr>
          <w:szCs w:val="24"/>
          <w:highlight w:val="none"/>
        </w:rPr>
      </w:pPr>
      <w:r>
        <w:rPr>
          <w:rFonts w:hint="eastAsia"/>
          <w:szCs w:val="24"/>
          <w:highlight w:val="none"/>
        </w:rPr>
        <w:t>供应商电子签章：</w:t>
      </w:r>
      <w:r>
        <w:rPr>
          <w:rFonts w:hint="eastAsia"/>
          <w:szCs w:val="24"/>
          <w:highlight w:val="none"/>
          <w:u w:val="single"/>
          <w:lang w:val="en-US" w:eastAsia="zh-CN"/>
        </w:rPr>
        <w:t xml:space="preserve">        </w:t>
      </w:r>
      <w:r>
        <w:rPr>
          <w:rFonts w:hint="eastAsia"/>
          <w:szCs w:val="24"/>
          <w:highlight w:val="none"/>
        </w:rPr>
        <w:t xml:space="preserve">                     </w:t>
      </w:r>
    </w:p>
    <w:p w14:paraId="1B556866">
      <w:pPr>
        <w:ind w:left="5280" w:leftChars="2200" w:firstLine="480"/>
        <w:jc w:val="left"/>
        <w:rPr>
          <w:rFonts w:asciiTheme="minorEastAsia" w:hAnsiTheme="minorEastAsia" w:eastAsiaTheme="minorEastAsia"/>
          <w:b/>
          <w:highlight w:val="none"/>
        </w:rPr>
      </w:pPr>
      <w:r>
        <w:rPr>
          <w:rFonts w:hint="eastAsia"/>
          <w:szCs w:val="24"/>
          <w:highlight w:val="none"/>
        </w:rPr>
        <w:t>日期：</w:t>
      </w:r>
      <w:r>
        <w:rPr>
          <w:rFonts w:hint="eastAsia"/>
          <w:szCs w:val="24"/>
          <w:highlight w:val="none"/>
          <w:u w:val="single"/>
          <w:lang w:val="en-US" w:eastAsia="zh-CN"/>
        </w:rPr>
        <w:t xml:space="preserve">                </w:t>
      </w:r>
      <w:r>
        <w:rPr>
          <w:rFonts w:hint="eastAsia" w:asciiTheme="minorEastAsia" w:hAnsiTheme="minorEastAsia" w:eastAsiaTheme="minorEastAsia"/>
          <w:b/>
          <w:szCs w:val="24"/>
          <w:highlight w:val="none"/>
        </w:rPr>
        <w:t xml:space="preserve">                 </w:t>
      </w:r>
      <w:r>
        <w:rPr>
          <w:rFonts w:hint="eastAsia" w:asciiTheme="minorEastAsia" w:hAnsiTheme="minorEastAsia" w:eastAsiaTheme="minorEastAsia"/>
          <w:b/>
          <w:highlight w:val="none"/>
        </w:rPr>
        <w:t xml:space="preserve">    </w:t>
      </w:r>
    </w:p>
    <w:p w14:paraId="57FE9F14">
      <w:pPr>
        <w:widowControl/>
        <w:ind w:firstLine="482"/>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bookmarkEnd w:id="18"/>
    <w:p w14:paraId="55E0C82C">
      <w:pPr>
        <w:ind w:left="0" w:leftChars="0" w:firstLine="0" w:firstLineChars="0"/>
        <w:jc w:val="center"/>
        <w:outlineLvl w:val="2"/>
        <w:rPr>
          <w:rFonts w:hint="eastAsia" w:asciiTheme="minorEastAsia" w:hAnsiTheme="minorEastAsia" w:eastAsiaTheme="minorEastAsia"/>
          <w:b/>
          <w:highlight w:val="none"/>
        </w:rPr>
      </w:pPr>
      <w:bookmarkStart w:id="19" w:name="_Toc520983594"/>
      <w:bookmarkStart w:id="20" w:name="_Toc516969106"/>
      <w:bookmarkStart w:id="21" w:name="_Toc121626298"/>
      <w:bookmarkStart w:id="22" w:name="_Toc204594911"/>
      <w:r>
        <w:rPr>
          <w:rFonts w:hint="eastAsia" w:asciiTheme="minorEastAsia" w:hAnsiTheme="minorEastAsia" w:eastAsiaTheme="minorEastAsia"/>
          <w:b/>
          <w:highlight w:val="none"/>
        </w:rPr>
        <w:t>五、授权书</w:t>
      </w:r>
      <w:bookmarkEnd w:id="19"/>
      <w:bookmarkEnd w:id="20"/>
      <w:bookmarkEnd w:id="21"/>
      <w:bookmarkEnd w:id="22"/>
    </w:p>
    <w:p w14:paraId="272A6787">
      <w:pPr>
        <w:ind w:firstLine="482"/>
        <w:jc w:val="center"/>
        <w:rPr>
          <w:rFonts w:asciiTheme="minorEastAsia" w:hAnsiTheme="minorEastAsia" w:eastAsiaTheme="minorEastAsia"/>
          <w:b/>
          <w:highlight w:val="none"/>
        </w:rPr>
      </w:pPr>
    </w:p>
    <w:p w14:paraId="3C41EBA8">
      <w:pPr>
        <w:pStyle w:val="9"/>
        <w:snapToGrid w:val="0"/>
        <w:ind w:firstLine="480"/>
        <w:jc w:val="left"/>
        <w:rPr>
          <w:rFonts w:hAnsi="宋体" w:eastAsia="宋体"/>
          <w:szCs w:val="28"/>
          <w:highlight w:val="none"/>
        </w:rPr>
      </w:pPr>
      <w:r>
        <w:rPr>
          <w:rFonts w:hint="eastAsia" w:hAnsi="宋体" w:eastAsia="宋体"/>
          <w:szCs w:val="28"/>
          <w:highlight w:val="none"/>
        </w:rPr>
        <w:t>本授权书声明：</w:t>
      </w:r>
      <w:r>
        <w:rPr>
          <w:rFonts w:hint="eastAsia" w:hAnsi="宋体" w:eastAsia="宋体"/>
          <w:szCs w:val="28"/>
          <w:highlight w:val="none"/>
          <w:u w:val="single"/>
        </w:rPr>
        <w:t xml:space="preserve">           </w:t>
      </w:r>
      <w:r>
        <w:rPr>
          <w:rFonts w:hint="eastAsia" w:hAnsi="宋体" w:eastAsia="宋体"/>
          <w:szCs w:val="28"/>
          <w:highlight w:val="none"/>
        </w:rPr>
        <w:t>（供应商名称）授权</w:t>
      </w:r>
      <w:r>
        <w:rPr>
          <w:rFonts w:hint="eastAsia" w:hAnsi="宋体" w:eastAsia="宋体"/>
          <w:szCs w:val="28"/>
          <w:highlight w:val="none"/>
          <w:u w:val="single"/>
        </w:rPr>
        <w:t xml:space="preserve">       </w:t>
      </w:r>
      <w:r>
        <w:rPr>
          <w:rFonts w:hint="eastAsia" w:hAnsi="宋体" w:eastAsia="宋体"/>
          <w:szCs w:val="28"/>
          <w:highlight w:val="none"/>
        </w:rPr>
        <w:t>（供应商授权代表姓名）代表我方参加本项目</w:t>
      </w:r>
      <w:r>
        <w:rPr>
          <w:rFonts w:hint="eastAsia" w:hAnsi="宋体" w:eastAsia="宋体"/>
          <w:bCs/>
          <w:szCs w:val="28"/>
          <w:highlight w:val="none"/>
        </w:rPr>
        <w:t>磋商活动</w:t>
      </w:r>
      <w:r>
        <w:rPr>
          <w:rFonts w:hint="eastAsia" w:hAnsi="宋体" w:eastAsia="宋体"/>
          <w:szCs w:val="28"/>
          <w:highlight w:val="none"/>
        </w:rPr>
        <w:t>，全权代表我方处理磋商过程的一切事宜，包括但不限于：提交响应文件、参与磋商、签约等。供应商授权代表在磋商活动过程中所签署的一切文件和处理与之有关的一切事务，本公司均予以认可并对此承担责任。供应商授权代表无转委托权。特此授权。</w:t>
      </w:r>
    </w:p>
    <w:p w14:paraId="16B303A4">
      <w:pPr>
        <w:pStyle w:val="9"/>
        <w:snapToGrid w:val="0"/>
        <w:ind w:firstLine="480"/>
        <w:jc w:val="left"/>
        <w:rPr>
          <w:rFonts w:hAnsi="宋体" w:eastAsia="宋体"/>
          <w:szCs w:val="28"/>
          <w:highlight w:val="none"/>
        </w:rPr>
      </w:pPr>
      <w:r>
        <w:rPr>
          <w:rFonts w:hint="eastAsia" w:hAnsi="宋体" w:eastAsia="宋体"/>
          <w:szCs w:val="28"/>
          <w:highlight w:val="none"/>
        </w:rPr>
        <w:t>本授权书自出具之日起生效。</w:t>
      </w:r>
    </w:p>
    <w:p w14:paraId="7612D91C">
      <w:pPr>
        <w:pStyle w:val="9"/>
        <w:snapToGrid w:val="0"/>
        <w:ind w:firstLine="480"/>
        <w:jc w:val="left"/>
        <w:rPr>
          <w:rFonts w:hAnsi="宋体" w:eastAsia="宋体"/>
          <w:highlight w:val="none"/>
        </w:rPr>
      </w:pPr>
      <w:r>
        <w:rPr>
          <w:rFonts w:hint="eastAsia" w:ascii="宋体" w:hAnsi="宋体" w:eastAsia="宋体" w:cs="宋体"/>
          <w:sz w:val="24"/>
          <w:szCs w:val="28"/>
          <w:highlight w:val="none"/>
        </w:rPr>
        <w:t>授权代表</w:t>
      </w:r>
      <w:r>
        <w:rPr>
          <w:rFonts w:hint="eastAsia" w:ascii="宋体" w:hAnsi="宋体" w:eastAsia="宋体" w:cs="宋体"/>
          <w:sz w:val="24"/>
          <w:highlight w:val="none"/>
        </w:rPr>
        <w:t>身份证明扫描件：</w:t>
      </w:r>
    </w:p>
    <w:p w14:paraId="4874C6E1">
      <w:pPr>
        <w:pStyle w:val="9"/>
        <w:snapToGrid w:val="0"/>
        <w:ind w:firstLine="480"/>
        <w:jc w:val="left"/>
        <w:rPr>
          <w:rFonts w:hAnsi="宋体" w:eastAsia="宋体"/>
          <w:highlight w:val="none"/>
        </w:rPr>
      </w:pPr>
    </w:p>
    <w:p w14:paraId="0340EC1B">
      <w:pPr>
        <w:pStyle w:val="9"/>
        <w:snapToGrid w:val="0"/>
        <w:ind w:firstLine="480"/>
        <w:jc w:val="left"/>
        <w:rPr>
          <w:rFonts w:hAnsi="宋体" w:eastAsia="宋体"/>
          <w:highlight w:val="none"/>
        </w:rPr>
      </w:pPr>
    </w:p>
    <w:p w14:paraId="7B8E2746">
      <w:pPr>
        <w:pStyle w:val="9"/>
        <w:snapToGrid w:val="0"/>
        <w:ind w:firstLine="480"/>
        <w:jc w:val="left"/>
        <w:rPr>
          <w:rFonts w:hAnsi="宋体" w:eastAsia="宋体"/>
          <w:highlight w:val="none"/>
        </w:rPr>
      </w:pPr>
    </w:p>
    <w:p w14:paraId="5CA79EB9">
      <w:pPr>
        <w:pStyle w:val="9"/>
        <w:snapToGrid w:val="0"/>
        <w:ind w:firstLine="480"/>
        <w:jc w:val="left"/>
        <w:rPr>
          <w:rFonts w:hAnsi="宋体" w:eastAsia="宋体"/>
          <w:highlight w:val="none"/>
        </w:rPr>
      </w:pPr>
    </w:p>
    <w:p w14:paraId="540AE922">
      <w:pPr>
        <w:pStyle w:val="9"/>
        <w:snapToGrid w:val="0"/>
        <w:ind w:firstLine="480"/>
        <w:jc w:val="left"/>
        <w:rPr>
          <w:rFonts w:hAnsi="宋体" w:eastAsia="宋体"/>
          <w:szCs w:val="28"/>
          <w:highlight w:val="none"/>
          <w:u w:val="single"/>
        </w:rPr>
      </w:pPr>
      <w:r>
        <w:rPr>
          <w:rFonts w:hint="eastAsia" w:hAnsi="宋体" w:eastAsia="宋体"/>
          <w:szCs w:val="28"/>
          <w:highlight w:val="none"/>
        </w:rPr>
        <w:t>授权代表联系方式：</w:t>
      </w:r>
      <w:r>
        <w:rPr>
          <w:rFonts w:hint="eastAsia" w:hAnsi="宋体" w:eastAsia="宋体"/>
          <w:szCs w:val="28"/>
          <w:highlight w:val="none"/>
          <w:u w:val="single"/>
        </w:rPr>
        <w:t xml:space="preserve">          （请填写手机号码）</w:t>
      </w:r>
    </w:p>
    <w:p w14:paraId="3B340885">
      <w:pPr>
        <w:pStyle w:val="9"/>
        <w:snapToGrid w:val="0"/>
        <w:ind w:firstLine="480"/>
        <w:jc w:val="left"/>
        <w:rPr>
          <w:rFonts w:hAnsi="宋体" w:eastAsia="宋体"/>
          <w:szCs w:val="28"/>
          <w:highlight w:val="none"/>
        </w:rPr>
      </w:pPr>
    </w:p>
    <w:p w14:paraId="4087948B">
      <w:pPr>
        <w:ind w:firstLine="360" w:firstLineChars="150"/>
        <w:rPr>
          <w:szCs w:val="28"/>
          <w:highlight w:val="none"/>
        </w:rPr>
      </w:pPr>
      <w:r>
        <w:rPr>
          <w:rFonts w:hint="eastAsia"/>
          <w:szCs w:val="28"/>
          <w:highlight w:val="none"/>
        </w:rPr>
        <w:t>特此声明。</w:t>
      </w:r>
    </w:p>
    <w:p w14:paraId="442CD1DD">
      <w:pPr>
        <w:ind w:firstLine="480"/>
        <w:rPr>
          <w:szCs w:val="28"/>
          <w:highlight w:val="none"/>
        </w:rPr>
      </w:pPr>
    </w:p>
    <w:p w14:paraId="53E6A931">
      <w:pPr>
        <w:ind w:firstLine="480"/>
        <w:rPr>
          <w:bCs/>
          <w:szCs w:val="28"/>
          <w:highlight w:val="none"/>
        </w:rPr>
      </w:pPr>
      <w:r>
        <w:rPr>
          <w:rFonts w:hint="eastAsia" w:cs="@仿宋_GB2312"/>
          <w:kern w:val="2"/>
          <w:szCs w:val="24"/>
          <w:highlight w:val="none"/>
        </w:rPr>
        <w:t>供应商电子签章或公章</w:t>
      </w:r>
      <w:r>
        <w:rPr>
          <w:rFonts w:hint="eastAsia"/>
          <w:bCs/>
          <w:szCs w:val="28"/>
          <w:highlight w:val="none"/>
        </w:rPr>
        <w:t>：</w:t>
      </w:r>
      <w:r>
        <w:rPr>
          <w:rFonts w:hint="eastAsia"/>
          <w:bCs/>
          <w:szCs w:val="28"/>
          <w:highlight w:val="none"/>
          <w:u w:val="single"/>
        </w:rPr>
        <w:t xml:space="preserve">                    </w:t>
      </w:r>
    </w:p>
    <w:p w14:paraId="3D0792F2">
      <w:pPr>
        <w:ind w:firstLine="480"/>
        <w:rPr>
          <w:szCs w:val="28"/>
          <w:highlight w:val="none"/>
        </w:rPr>
      </w:pPr>
      <w:r>
        <w:rPr>
          <w:rFonts w:hint="eastAsia"/>
          <w:szCs w:val="28"/>
          <w:highlight w:val="none"/>
        </w:rPr>
        <w:t>日      期：</w:t>
      </w:r>
      <w:r>
        <w:rPr>
          <w:rFonts w:hint="eastAsia"/>
          <w:szCs w:val="28"/>
          <w:highlight w:val="none"/>
          <w:u w:val="single"/>
        </w:rPr>
        <w:t xml:space="preserve">          </w:t>
      </w:r>
      <w:r>
        <w:rPr>
          <w:rFonts w:hint="eastAsia"/>
          <w:szCs w:val="28"/>
          <w:highlight w:val="none"/>
          <w:u w:val="single"/>
          <w:lang w:val="en-US" w:eastAsia="zh-CN"/>
        </w:rPr>
        <w:t xml:space="preserve">          </w:t>
      </w:r>
      <w:r>
        <w:rPr>
          <w:rFonts w:hint="eastAsia"/>
          <w:szCs w:val="28"/>
          <w:highlight w:val="none"/>
          <w:u w:val="single"/>
        </w:rPr>
        <w:t xml:space="preserve">          </w:t>
      </w:r>
    </w:p>
    <w:p w14:paraId="0ADB79C9">
      <w:pPr>
        <w:ind w:firstLine="480"/>
        <w:rPr>
          <w:szCs w:val="28"/>
          <w:highlight w:val="none"/>
        </w:rPr>
      </w:pPr>
    </w:p>
    <w:p w14:paraId="03814665">
      <w:pPr>
        <w:ind w:firstLine="480"/>
        <w:rPr>
          <w:szCs w:val="28"/>
          <w:highlight w:val="none"/>
        </w:rPr>
      </w:pPr>
    </w:p>
    <w:p w14:paraId="75AE7632">
      <w:pPr>
        <w:pStyle w:val="9"/>
        <w:snapToGrid w:val="0"/>
        <w:ind w:firstLine="480"/>
        <w:jc w:val="left"/>
        <w:rPr>
          <w:rFonts w:hAnsi="宋体" w:eastAsia="宋体"/>
          <w:szCs w:val="28"/>
          <w:highlight w:val="none"/>
        </w:rPr>
      </w:pPr>
      <w:r>
        <w:rPr>
          <w:rFonts w:hint="eastAsia" w:hAnsi="宋体" w:eastAsia="宋体"/>
          <w:szCs w:val="28"/>
          <w:highlight w:val="none"/>
        </w:rPr>
        <w:t>注：</w:t>
      </w:r>
    </w:p>
    <w:p w14:paraId="006DCD2D">
      <w:pPr>
        <w:pStyle w:val="9"/>
        <w:snapToGrid w:val="0"/>
        <w:ind w:firstLine="480"/>
        <w:jc w:val="left"/>
        <w:rPr>
          <w:rFonts w:hAnsi="宋体" w:eastAsia="宋体"/>
          <w:szCs w:val="28"/>
          <w:highlight w:val="none"/>
        </w:rPr>
      </w:pPr>
      <w:r>
        <w:rPr>
          <w:rFonts w:hint="eastAsia" w:hAnsi="宋体" w:eastAsia="宋体"/>
          <w:szCs w:val="28"/>
          <w:highlight w:val="none"/>
        </w:rPr>
        <w:t>1.本项目只允许有唯一的供应商授权代表；</w:t>
      </w:r>
    </w:p>
    <w:p w14:paraId="2DDEEF5A">
      <w:pPr>
        <w:ind w:firstLine="480"/>
        <w:jc w:val="left"/>
        <w:rPr>
          <w:highlight w:val="none"/>
        </w:rPr>
      </w:pPr>
      <w:r>
        <w:rPr>
          <w:rFonts w:hint="eastAsia"/>
          <w:highlight w:val="none"/>
        </w:rPr>
        <w:t>2.法定代表人参加磋商的无需提供授权书，仅提供法定代表人身份证明书。</w:t>
      </w:r>
    </w:p>
    <w:p w14:paraId="6CA727C9">
      <w:pPr>
        <w:widowControl/>
        <w:ind w:firstLine="480"/>
        <w:jc w:val="left"/>
        <w:rPr>
          <w:highlight w:val="none"/>
        </w:rPr>
      </w:pPr>
      <w:r>
        <w:rPr>
          <w:highlight w:val="none"/>
        </w:rPr>
        <w:br w:type="page"/>
      </w:r>
    </w:p>
    <w:p w14:paraId="11846561">
      <w:pPr>
        <w:ind w:left="0" w:leftChars="0" w:firstLine="0" w:firstLineChars="0"/>
        <w:jc w:val="center"/>
        <w:outlineLvl w:val="2"/>
        <w:rPr>
          <w:rFonts w:hint="eastAsia" w:asciiTheme="minorEastAsia" w:hAnsiTheme="minorEastAsia" w:eastAsiaTheme="minorEastAsia"/>
          <w:b/>
          <w:highlight w:val="none"/>
        </w:rPr>
      </w:pPr>
      <w:r>
        <w:rPr>
          <w:rFonts w:hint="eastAsia" w:asciiTheme="minorEastAsia" w:hAnsiTheme="minorEastAsia" w:eastAsiaTheme="minorEastAsia"/>
          <w:b/>
          <w:highlight w:val="none"/>
        </w:rPr>
        <w:t>六、法定代表人身份证明书</w:t>
      </w:r>
    </w:p>
    <w:p w14:paraId="1F5C027E">
      <w:pPr>
        <w:autoSpaceDE w:val="0"/>
        <w:autoSpaceDN w:val="0"/>
        <w:adjustRightInd w:val="0"/>
        <w:ind w:firstLine="413"/>
        <w:jc w:val="center"/>
        <w:rPr>
          <w:rFonts w:ascii="@仿宋_GB2312" w:eastAsia="@仿宋_GB2312" w:cs="宋体"/>
          <w:b/>
          <w:kern w:val="2"/>
          <w:sz w:val="21"/>
          <w:szCs w:val="24"/>
          <w:highlight w:val="none"/>
          <w:lang w:val="zh-CN"/>
        </w:rPr>
      </w:pPr>
    </w:p>
    <w:p w14:paraId="0B192A9D">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单位名称：</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694AB2F8">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单位性质：</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2482B366">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地    址：</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24397C15">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成立时间：</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年</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月</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日</w:t>
      </w:r>
    </w:p>
    <w:p w14:paraId="242FC977">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经营期限：</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r>
        <w:rPr>
          <w:rFonts w:ascii="Calibri" w:hAnsi="Calibri" w:cs="Times New Roman"/>
          <w:kern w:val="2"/>
          <w:szCs w:val="28"/>
          <w:highlight w:val="none"/>
          <w:u w:val="single"/>
        </w:rPr>
        <w:t xml:space="preserve"> </w:t>
      </w:r>
      <w:r>
        <w:rPr>
          <w:rFonts w:hint="eastAsia" w:ascii="Calibri" w:hAnsi="Calibri" w:cs="Times New Roman"/>
          <w:kern w:val="2"/>
          <w:szCs w:val="28"/>
          <w:highlight w:val="none"/>
          <w:u w:val="single"/>
        </w:rPr>
        <w:t xml:space="preserve">     </w:t>
      </w:r>
    </w:p>
    <w:p w14:paraId="23F8BAA5">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姓    名：</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性 </w:t>
      </w:r>
      <w:r>
        <w:rPr>
          <w:rFonts w:ascii="Calibri" w:hAnsi="Calibri" w:cs="Times New Roman"/>
          <w:kern w:val="2"/>
          <w:szCs w:val="28"/>
          <w:highlight w:val="none"/>
        </w:rPr>
        <w:t xml:space="preserve">  </w:t>
      </w:r>
      <w:r>
        <w:rPr>
          <w:rFonts w:hint="eastAsia" w:ascii="Calibri" w:hAnsi="Calibri" w:cs="Times New Roman"/>
          <w:kern w:val="2"/>
          <w:szCs w:val="28"/>
          <w:highlight w:val="none"/>
        </w:rPr>
        <w:t xml:space="preserve"> 别：</w:t>
      </w:r>
      <w:r>
        <w:rPr>
          <w:rFonts w:hint="eastAsia" w:ascii="Calibri" w:hAnsi="Calibri" w:cs="Times New Roman"/>
          <w:kern w:val="2"/>
          <w:szCs w:val="28"/>
          <w:highlight w:val="none"/>
          <w:u w:val="single"/>
        </w:rPr>
        <w:t xml:space="preserve">             </w:t>
      </w:r>
    </w:p>
    <w:p w14:paraId="65F74D5E">
      <w:pPr>
        <w:snapToGrid w:val="0"/>
        <w:ind w:firstLine="480"/>
        <w:jc w:val="left"/>
        <w:rPr>
          <w:rFonts w:ascii="Calibri" w:hAnsi="Calibri" w:cs="Times New Roman"/>
          <w:kern w:val="2"/>
          <w:szCs w:val="28"/>
          <w:highlight w:val="none"/>
          <w:u w:val="single"/>
        </w:rPr>
      </w:pPr>
      <w:r>
        <w:rPr>
          <w:rFonts w:hint="eastAsia" w:ascii="Calibri" w:hAnsi="Calibri" w:cs="Times New Roman"/>
          <w:kern w:val="2"/>
          <w:szCs w:val="28"/>
          <w:highlight w:val="none"/>
        </w:rPr>
        <w:t>年    龄：</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职    务：</w:t>
      </w:r>
      <w:r>
        <w:rPr>
          <w:rFonts w:hint="eastAsia" w:ascii="Calibri" w:hAnsi="Calibri" w:cs="Times New Roman"/>
          <w:kern w:val="2"/>
          <w:szCs w:val="28"/>
          <w:highlight w:val="none"/>
          <w:u w:val="single"/>
        </w:rPr>
        <w:t xml:space="preserve">             </w:t>
      </w:r>
    </w:p>
    <w:p w14:paraId="6A0E5522">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rPr>
        <w:t>联系</w:t>
      </w:r>
      <w:r>
        <w:rPr>
          <w:rFonts w:ascii="Calibri" w:hAnsi="Calibri" w:cs="Times New Roman"/>
          <w:kern w:val="2"/>
          <w:szCs w:val="28"/>
          <w:highlight w:val="none"/>
        </w:rPr>
        <w:t>电话</w:t>
      </w:r>
      <w:r>
        <w:rPr>
          <w:rFonts w:hint="eastAsia" w:ascii="Calibri" w:hAnsi="Calibri" w:cs="Times New Roman"/>
          <w:kern w:val="2"/>
          <w:szCs w:val="28"/>
          <w:highlight w:val="none"/>
        </w:rPr>
        <w:t>：</w:t>
      </w: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 手机号码：</w:t>
      </w:r>
      <w:r>
        <w:rPr>
          <w:rFonts w:hint="eastAsia" w:ascii="Calibri" w:hAnsi="Calibri" w:cs="Times New Roman"/>
          <w:kern w:val="2"/>
          <w:szCs w:val="28"/>
          <w:highlight w:val="none"/>
          <w:u w:val="single"/>
        </w:rPr>
        <w:t xml:space="preserve">             </w:t>
      </w:r>
    </w:p>
    <w:p w14:paraId="75989FAE">
      <w:pPr>
        <w:snapToGrid w:val="0"/>
        <w:ind w:firstLine="480"/>
        <w:jc w:val="left"/>
        <w:rPr>
          <w:rFonts w:ascii="Calibri" w:hAnsi="Calibri" w:cs="Times New Roman"/>
          <w:kern w:val="2"/>
          <w:szCs w:val="28"/>
          <w:highlight w:val="none"/>
        </w:rPr>
      </w:pPr>
      <w:r>
        <w:rPr>
          <w:rFonts w:hint="eastAsia" w:ascii="Calibri" w:hAnsi="Calibri" w:cs="Times New Roman"/>
          <w:kern w:val="2"/>
          <w:szCs w:val="28"/>
          <w:highlight w:val="none"/>
          <w:u w:val="single"/>
        </w:rPr>
        <w:t xml:space="preserve">        </w:t>
      </w:r>
      <w:r>
        <w:rPr>
          <w:rFonts w:hint="eastAsia" w:ascii="Calibri" w:hAnsi="Calibri" w:cs="Times New Roman"/>
          <w:kern w:val="2"/>
          <w:szCs w:val="28"/>
          <w:highlight w:val="none"/>
        </w:rPr>
        <w:t xml:space="preserve">系  </w:t>
      </w:r>
      <w:r>
        <w:rPr>
          <w:rFonts w:hint="eastAsia" w:ascii="Calibri" w:hAnsi="Calibri" w:cs="Times New Roman"/>
          <w:kern w:val="2"/>
          <w:szCs w:val="28"/>
          <w:highlight w:val="none"/>
          <w:u w:val="single"/>
        </w:rPr>
        <w:t xml:space="preserve">   （供应商单位名称）       </w:t>
      </w:r>
      <w:r>
        <w:rPr>
          <w:rFonts w:hint="eastAsia" w:ascii="Calibri" w:hAnsi="Calibri" w:cs="Times New Roman"/>
          <w:kern w:val="2"/>
          <w:szCs w:val="28"/>
          <w:highlight w:val="none"/>
        </w:rPr>
        <w:t>的法定代表人。</w:t>
      </w:r>
    </w:p>
    <w:p w14:paraId="47ACAC43">
      <w:pPr>
        <w:spacing w:before="62" w:beforeLines="20" w:after="62" w:afterLines="20" w:line="540" w:lineRule="exact"/>
        <w:ind w:firstLine="480"/>
        <w:rPr>
          <w:rFonts w:ascii="@仿宋_GB2312" w:hAnsi="Calibri" w:eastAsia="@仿宋_GB2312" w:cs="宋体"/>
          <w:kern w:val="2"/>
          <w:szCs w:val="24"/>
          <w:highlight w:val="none"/>
        </w:rPr>
      </w:pPr>
    </w:p>
    <w:p w14:paraId="723BFCAE">
      <w:pPr>
        <w:spacing w:before="62" w:beforeLines="20" w:after="62" w:afterLines="20" w:line="540" w:lineRule="exact"/>
        <w:ind w:left="480" w:leftChars="200" w:firstLine="240" w:firstLineChars="100"/>
        <w:rPr>
          <w:rFonts w:ascii="Calibri" w:hAnsi="Calibri" w:cs="宋体"/>
          <w:kern w:val="2"/>
          <w:szCs w:val="24"/>
          <w:highlight w:val="none"/>
        </w:rPr>
      </w:pPr>
      <w:r>
        <w:rPr>
          <w:rFonts w:hint="eastAsia" w:ascii="Calibri" w:hAnsi="Calibri" w:cs="宋体"/>
          <w:kern w:val="2"/>
          <w:szCs w:val="24"/>
          <w:highlight w:val="none"/>
        </w:rPr>
        <w:t>特此证明。</w:t>
      </w:r>
    </w:p>
    <w:p w14:paraId="398755A3">
      <w:pPr>
        <w:tabs>
          <w:tab w:val="left" w:pos="720"/>
          <w:tab w:val="left" w:pos="900"/>
        </w:tabs>
        <w:spacing w:before="62" w:beforeLines="20" w:after="62" w:afterLines="20" w:line="540" w:lineRule="exact"/>
        <w:ind w:firstLine="480"/>
        <w:rPr>
          <w:rFonts w:ascii="Calibri" w:hAnsi="Calibri" w:cs="宋体"/>
          <w:kern w:val="2"/>
          <w:szCs w:val="24"/>
          <w:highlight w:val="none"/>
        </w:rPr>
      </w:pPr>
      <w:r>
        <w:rPr>
          <w:rFonts w:hint="eastAsia" w:ascii="Calibri" w:hAnsi="Calibri" w:cs="宋体"/>
          <w:kern w:val="2"/>
          <w:szCs w:val="24"/>
          <w:highlight w:val="none"/>
        </w:rPr>
        <w:t>附：法定代表人身份证扫描件</w:t>
      </w:r>
    </w:p>
    <w:p w14:paraId="0DBE04E5">
      <w:pPr>
        <w:tabs>
          <w:tab w:val="left" w:pos="720"/>
          <w:tab w:val="left" w:pos="900"/>
        </w:tabs>
        <w:spacing w:before="62" w:beforeLines="20" w:after="62" w:afterLines="20" w:line="540" w:lineRule="exact"/>
        <w:ind w:firstLine="480"/>
        <w:rPr>
          <w:rFonts w:ascii="@仿宋_GB2312" w:hAnsi="Calibri" w:eastAsia="@仿宋_GB2312" w:cs="宋体"/>
          <w:kern w:val="2"/>
          <w:szCs w:val="24"/>
          <w:highlight w:val="none"/>
        </w:rPr>
      </w:pPr>
    </w:p>
    <w:p w14:paraId="53C1A6C1">
      <w:pPr>
        <w:tabs>
          <w:tab w:val="left" w:pos="720"/>
          <w:tab w:val="left" w:pos="900"/>
        </w:tabs>
        <w:spacing w:before="62" w:beforeLines="20" w:after="62" w:afterLines="20" w:line="540" w:lineRule="exact"/>
        <w:ind w:firstLine="4560" w:firstLineChars="1900"/>
        <w:rPr>
          <w:rFonts w:ascii="@仿宋_GB2312" w:hAnsi="Calibri" w:eastAsia="@仿宋_GB2312" w:cs="宋体"/>
          <w:kern w:val="2"/>
          <w:szCs w:val="24"/>
          <w:highlight w:val="none"/>
        </w:rPr>
      </w:pPr>
    </w:p>
    <w:p w14:paraId="2919D434">
      <w:pPr>
        <w:ind w:firstLine="3840" w:firstLineChars="1600"/>
        <w:rPr>
          <w:rFonts w:cs="宋体"/>
          <w:kern w:val="2"/>
          <w:szCs w:val="24"/>
          <w:highlight w:val="none"/>
        </w:rPr>
      </w:pPr>
      <w:r>
        <w:rPr>
          <w:rFonts w:hint="eastAsia" w:cs="@仿宋_GB2312"/>
          <w:kern w:val="2"/>
          <w:szCs w:val="24"/>
          <w:highlight w:val="none"/>
        </w:rPr>
        <w:t>供应商电子签章或公章</w:t>
      </w:r>
      <w:r>
        <w:rPr>
          <w:rFonts w:hint="eastAsia" w:cs="宋体"/>
          <w:kern w:val="2"/>
          <w:szCs w:val="24"/>
          <w:highlight w:val="none"/>
        </w:rPr>
        <w:t>：</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p>
    <w:p w14:paraId="4F82048E">
      <w:pPr>
        <w:ind w:firstLine="3840" w:firstLineChars="1600"/>
        <w:rPr>
          <w:rFonts w:cs="宋体"/>
          <w:kern w:val="2"/>
          <w:szCs w:val="24"/>
          <w:highlight w:val="none"/>
        </w:rPr>
      </w:pPr>
      <w:r>
        <w:rPr>
          <w:rFonts w:hint="eastAsia" w:cs="宋体"/>
          <w:kern w:val="2"/>
          <w:szCs w:val="24"/>
          <w:highlight w:val="none"/>
        </w:rPr>
        <w:t>日</w:t>
      </w:r>
      <w:r>
        <w:rPr>
          <w:rFonts w:cs="宋体"/>
          <w:kern w:val="2"/>
          <w:szCs w:val="24"/>
          <w:highlight w:val="none"/>
        </w:rPr>
        <w:t xml:space="preserve">   </w:t>
      </w:r>
      <w:r>
        <w:rPr>
          <w:rFonts w:hint="eastAsia" w:cs="宋体"/>
          <w:kern w:val="2"/>
          <w:szCs w:val="24"/>
          <w:highlight w:val="none"/>
        </w:rPr>
        <w:t xml:space="preserve">    </w:t>
      </w:r>
      <w:r>
        <w:rPr>
          <w:rFonts w:cs="宋体"/>
          <w:kern w:val="2"/>
          <w:szCs w:val="24"/>
          <w:highlight w:val="none"/>
        </w:rPr>
        <w:t xml:space="preserve">   </w:t>
      </w:r>
      <w:r>
        <w:rPr>
          <w:rFonts w:hint="eastAsia" w:cs="宋体"/>
          <w:kern w:val="2"/>
          <w:szCs w:val="24"/>
          <w:highlight w:val="none"/>
        </w:rPr>
        <w:t>期：</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r>
        <w:rPr>
          <w:rFonts w:hint="eastAsia" w:cs="宋体"/>
          <w:kern w:val="2"/>
          <w:szCs w:val="24"/>
          <w:highlight w:val="none"/>
          <w:u w:val="single"/>
        </w:rPr>
        <w:t xml:space="preserve">  </w:t>
      </w:r>
      <w:r>
        <w:rPr>
          <w:rFonts w:cs="宋体"/>
          <w:kern w:val="2"/>
          <w:szCs w:val="24"/>
          <w:highlight w:val="none"/>
          <w:u w:val="single"/>
        </w:rPr>
        <w:t xml:space="preserve">   </w:t>
      </w:r>
    </w:p>
    <w:p w14:paraId="3A88BFC9">
      <w:pPr>
        <w:widowControl/>
        <w:ind w:firstLine="480"/>
        <w:jc w:val="left"/>
        <w:rPr>
          <w:rFonts w:cs="@仿宋_GB2312" w:asciiTheme="minorEastAsia" w:hAnsiTheme="minorEastAsia" w:eastAsiaTheme="minorEastAsia"/>
          <w:b/>
          <w:bCs/>
          <w:kern w:val="2"/>
          <w:szCs w:val="24"/>
          <w:highlight w:val="none"/>
        </w:rPr>
      </w:pPr>
      <w:r>
        <w:rPr>
          <w:rFonts w:cs="@仿宋_GB2312" w:asciiTheme="minorEastAsia" w:hAnsiTheme="minorEastAsia" w:eastAsiaTheme="minorEastAsia"/>
          <w:kern w:val="2"/>
          <w:szCs w:val="24"/>
          <w:highlight w:val="none"/>
        </w:rPr>
        <w:br w:type="page"/>
      </w:r>
    </w:p>
    <w:p w14:paraId="2288B7B2">
      <w:pPr>
        <w:ind w:left="0" w:leftChars="0" w:firstLine="0" w:firstLineChars="0"/>
        <w:jc w:val="center"/>
        <w:outlineLvl w:val="2"/>
        <w:rPr>
          <w:rFonts w:hint="eastAsia" w:asciiTheme="minorEastAsia" w:hAnsiTheme="minorEastAsia" w:eastAsiaTheme="minorEastAsia"/>
          <w:b/>
          <w:highlight w:val="none"/>
        </w:rPr>
      </w:pPr>
      <w:r>
        <w:rPr>
          <w:rFonts w:hint="eastAsia" w:asciiTheme="minorEastAsia" w:hAnsiTheme="minorEastAsia" w:eastAsiaTheme="minorEastAsia"/>
          <w:b/>
          <w:highlight w:val="none"/>
        </w:rPr>
        <w:t>七、业绩及证明材料</w:t>
      </w:r>
    </w:p>
    <w:p w14:paraId="2D1551F9">
      <w:pPr>
        <w:keepNext/>
        <w:keepLines/>
        <w:numPr>
          <w:ilvl w:val="0"/>
          <w:numId w:val="6"/>
        </w:numPr>
        <w:ind w:firstLine="480"/>
        <w:jc w:val="center"/>
        <w:rPr>
          <w:szCs w:val="24"/>
          <w:highlight w:val="none"/>
        </w:rPr>
      </w:pPr>
      <w:r>
        <w:rPr>
          <w:rFonts w:hint="eastAsia"/>
          <w:szCs w:val="24"/>
          <w:highlight w:val="none"/>
        </w:rPr>
        <w:t>业绩表</w:t>
      </w:r>
    </w:p>
    <w:p w14:paraId="3D349FB2">
      <w:pPr>
        <w:keepNext/>
        <w:keepLines/>
        <w:ind w:firstLine="480"/>
        <w:jc w:val="center"/>
        <w:rPr>
          <w:szCs w:val="24"/>
          <w:highlight w:val="none"/>
        </w:rPr>
      </w:pPr>
      <w:r>
        <w:rPr>
          <w:rFonts w:hint="eastAsia"/>
          <w:szCs w:val="24"/>
          <w:highlight w:val="none"/>
        </w:rPr>
        <w:t>（格式仅供参考）</w:t>
      </w:r>
    </w:p>
    <w:p w14:paraId="61FC1765">
      <w:pPr>
        <w:ind w:firstLine="420"/>
        <w:rPr>
          <w:rFonts w:eastAsia="@仿宋_GB2312" w:cs="@仿宋_GB2312"/>
          <w:kern w:val="2"/>
          <w:sz w:val="21"/>
          <w:highlight w:val="none"/>
        </w:rPr>
      </w:pP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655"/>
        <w:gridCol w:w="1490"/>
        <w:gridCol w:w="1565"/>
        <w:gridCol w:w="1778"/>
        <w:gridCol w:w="1086"/>
      </w:tblGrid>
      <w:tr w14:paraId="260D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57" w:type="pct"/>
            <w:vAlign w:val="center"/>
          </w:tcPr>
          <w:p w14:paraId="0FA35990">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序号</w:t>
            </w:r>
          </w:p>
        </w:tc>
        <w:tc>
          <w:tcPr>
            <w:tcW w:w="971" w:type="pct"/>
            <w:vAlign w:val="center"/>
          </w:tcPr>
          <w:p w14:paraId="0B7A728C">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项目名称</w:t>
            </w:r>
          </w:p>
        </w:tc>
        <w:tc>
          <w:tcPr>
            <w:tcW w:w="874" w:type="pct"/>
            <w:vAlign w:val="center"/>
          </w:tcPr>
          <w:p w14:paraId="5F399128">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项目内容</w:t>
            </w:r>
          </w:p>
        </w:tc>
        <w:tc>
          <w:tcPr>
            <w:tcW w:w="918" w:type="pct"/>
            <w:vAlign w:val="center"/>
          </w:tcPr>
          <w:p w14:paraId="633C8848">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合同总金额</w:t>
            </w:r>
          </w:p>
        </w:tc>
        <w:tc>
          <w:tcPr>
            <w:tcW w:w="1043" w:type="pct"/>
            <w:vAlign w:val="center"/>
          </w:tcPr>
          <w:p w14:paraId="36AB300E">
            <w:pPr>
              <w:widowControl/>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业绩合同甲方及联系电话</w:t>
            </w:r>
          </w:p>
        </w:tc>
        <w:tc>
          <w:tcPr>
            <w:tcW w:w="636" w:type="pct"/>
            <w:vAlign w:val="center"/>
          </w:tcPr>
          <w:p w14:paraId="2BBECDB7">
            <w:pPr>
              <w:ind w:firstLine="0" w:firstLineChars="0"/>
              <w:jc w:val="center"/>
              <w:rPr>
                <w:rFonts w:cs="宋体" w:asciiTheme="minorEastAsia" w:hAnsiTheme="minorEastAsia" w:eastAsiaTheme="minorEastAsia"/>
                <w:b/>
                <w:kern w:val="2"/>
                <w:szCs w:val="24"/>
                <w:highlight w:val="none"/>
              </w:rPr>
            </w:pPr>
            <w:r>
              <w:rPr>
                <w:rFonts w:hint="eastAsia" w:cs="宋体" w:asciiTheme="minorEastAsia" w:hAnsiTheme="minorEastAsia" w:eastAsiaTheme="minorEastAsia"/>
                <w:b/>
                <w:kern w:val="2"/>
                <w:szCs w:val="24"/>
                <w:highlight w:val="none"/>
              </w:rPr>
              <w:t>备注</w:t>
            </w:r>
          </w:p>
        </w:tc>
      </w:tr>
      <w:tr w14:paraId="13C7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6"/>
            <w:vAlign w:val="center"/>
          </w:tcPr>
          <w:p w14:paraId="420AAF38">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供应商初审业绩（资格门槛业绩，如有）</w:t>
            </w:r>
          </w:p>
        </w:tc>
      </w:tr>
      <w:tr w14:paraId="4427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2F94247D">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18F8F272">
            <w:pPr>
              <w:ind w:firstLine="0" w:firstLineChars="0"/>
              <w:rPr>
                <w:rFonts w:cs="宋体" w:asciiTheme="minorEastAsia" w:hAnsiTheme="minorEastAsia" w:eastAsiaTheme="minorEastAsia"/>
                <w:bCs/>
                <w:kern w:val="2"/>
                <w:szCs w:val="24"/>
                <w:highlight w:val="none"/>
              </w:rPr>
            </w:pPr>
          </w:p>
        </w:tc>
        <w:tc>
          <w:tcPr>
            <w:tcW w:w="874" w:type="pct"/>
            <w:vAlign w:val="center"/>
          </w:tcPr>
          <w:p w14:paraId="4B2BC4D0">
            <w:pPr>
              <w:ind w:firstLine="0" w:firstLineChars="0"/>
              <w:rPr>
                <w:rFonts w:cs="宋体" w:asciiTheme="minorEastAsia" w:hAnsiTheme="minorEastAsia" w:eastAsiaTheme="minorEastAsia"/>
                <w:bCs/>
                <w:kern w:val="2"/>
                <w:szCs w:val="24"/>
                <w:highlight w:val="none"/>
              </w:rPr>
            </w:pPr>
          </w:p>
        </w:tc>
        <w:tc>
          <w:tcPr>
            <w:tcW w:w="918" w:type="pct"/>
            <w:vAlign w:val="center"/>
          </w:tcPr>
          <w:p w14:paraId="1E2B307A">
            <w:pPr>
              <w:ind w:firstLine="0" w:firstLineChars="0"/>
              <w:rPr>
                <w:rFonts w:cs="宋体" w:asciiTheme="minorEastAsia" w:hAnsiTheme="minorEastAsia" w:eastAsiaTheme="minorEastAsia"/>
                <w:bCs/>
                <w:kern w:val="2"/>
                <w:szCs w:val="24"/>
                <w:highlight w:val="none"/>
              </w:rPr>
            </w:pPr>
          </w:p>
        </w:tc>
        <w:tc>
          <w:tcPr>
            <w:tcW w:w="1043" w:type="pct"/>
            <w:vAlign w:val="center"/>
          </w:tcPr>
          <w:p w14:paraId="2E380D89">
            <w:pPr>
              <w:ind w:firstLine="0" w:firstLineChars="0"/>
              <w:rPr>
                <w:rFonts w:cs="宋体" w:asciiTheme="minorEastAsia" w:hAnsiTheme="minorEastAsia" w:eastAsiaTheme="minorEastAsia"/>
                <w:bCs/>
                <w:kern w:val="2"/>
                <w:szCs w:val="24"/>
                <w:highlight w:val="none"/>
              </w:rPr>
            </w:pPr>
          </w:p>
        </w:tc>
        <w:tc>
          <w:tcPr>
            <w:tcW w:w="636" w:type="pct"/>
            <w:vAlign w:val="center"/>
          </w:tcPr>
          <w:p w14:paraId="19990AF8">
            <w:pPr>
              <w:ind w:firstLine="0" w:firstLineChars="0"/>
              <w:rPr>
                <w:rFonts w:cs="宋体" w:asciiTheme="minorEastAsia" w:hAnsiTheme="minorEastAsia" w:eastAsiaTheme="minorEastAsia"/>
                <w:bCs/>
                <w:kern w:val="2"/>
                <w:szCs w:val="24"/>
                <w:highlight w:val="none"/>
              </w:rPr>
            </w:pPr>
          </w:p>
        </w:tc>
      </w:tr>
      <w:tr w14:paraId="68B3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5793217B">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项目负责人初审业绩（资格门槛业绩，如有）</w:t>
            </w:r>
          </w:p>
        </w:tc>
      </w:tr>
      <w:tr w14:paraId="607F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679A3192">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514931CD">
            <w:pPr>
              <w:ind w:firstLine="0" w:firstLineChars="0"/>
              <w:rPr>
                <w:rFonts w:cs="宋体" w:asciiTheme="minorEastAsia" w:hAnsiTheme="minorEastAsia" w:eastAsiaTheme="minorEastAsia"/>
                <w:bCs/>
                <w:kern w:val="2"/>
                <w:szCs w:val="24"/>
                <w:highlight w:val="none"/>
              </w:rPr>
            </w:pPr>
          </w:p>
        </w:tc>
        <w:tc>
          <w:tcPr>
            <w:tcW w:w="874" w:type="pct"/>
            <w:vAlign w:val="center"/>
          </w:tcPr>
          <w:p w14:paraId="5400C3FF">
            <w:pPr>
              <w:ind w:firstLine="0" w:firstLineChars="0"/>
              <w:rPr>
                <w:rFonts w:cs="宋体" w:asciiTheme="minorEastAsia" w:hAnsiTheme="minorEastAsia" w:eastAsiaTheme="minorEastAsia"/>
                <w:bCs/>
                <w:kern w:val="2"/>
                <w:szCs w:val="24"/>
                <w:highlight w:val="none"/>
              </w:rPr>
            </w:pPr>
          </w:p>
        </w:tc>
        <w:tc>
          <w:tcPr>
            <w:tcW w:w="918" w:type="pct"/>
            <w:vAlign w:val="center"/>
          </w:tcPr>
          <w:p w14:paraId="02293EBA">
            <w:pPr>
              <w:ind w:firstLine="0" w:firstLineChars="0"/>
              <w:rPr>
                <w:rFonts w:cs="宋体" w:asciiTheme="minorEastAsia" w:hAnsiTheme="minorEastAsia" w:eastAsiaTheme="minorEastAsia"/>
                <w:bCs/>
                <w:kern w:val="2"/>
                <w:szCs w:val="24"/>
                <w:highlight w:val="none"/>
              </w:rPr>
            </w:pPr>
          </w:p>
        </w:tc>
        <w:tc>
          <w:tcPr>
            <w:tcW w:w="1043" w:type="pct"/>
            <w:vAlign w:val="center"/>
          </w:tcPr>
          <w:p w14:paraId="6D70CB46">
            <w:pPr>
              <w:ind w:firstLine="0" w:firstLineChars="0"/>
              <w:rPr>
                <w:rFonts w:cs="宋体" w:asciiTheme="minorEastAsia" w:hAnsiTheme="minorEastAsia" w:eastAsiaTheme="minorEastAsia"/>
                <w:bCs/>
                <w:kern w:val="2"/>
                <w:szCs w:val="24"/>
                <w:highlight w:val="none"/>
              </w:rPr>
            </w:pPr>
          </w:p>
        </w:tc>
        <w:tc>
          <w:tcPr>
            <w:tcW w:w="636" w:type="pct"/>
            <w:vAlign w:val="center"/>
          </w:tcPr>
          <w:p w14:paraId="33CF3B76">
            <w:pPr>
              <w:ind w:firstLine="0" w:firstLineChars="0"/>
              <w:rPr>
                <w:rFonts w:cs="宋体" w:asciiTheme="minorEastAsia" w:hAnsiTheme="minorEastAsia" w:eastAsiaTheme="minorEastAsia"/>
                <w:bCs/>
                <w:kern w:val="2"/>
                <w:szCs w:val="24"/>
                <w:highlight w:val="none"/>
              </w:rPr>
            </w:pPr>
          </w:p>
        </w:tc>
      </w:tr>
      <w:tr w14:paraId="7ADC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01C273AA">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供应商评审业绩（打分业绩，如有）</w:t>
            </w:r>
          </w:p>
        </w:tc>
      </w:tr>
      <w:tr w14:paraId="48B0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01A9A8BC">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33D153D4">
            <w:pPr>
              <w:ind w:firstLine="0" w:firstLineChars="0"/>
              <w:rPr>
                <w:rFonts w:cs="宋体" w:asciiTheme="minorEastAsia" w:hAnsiTheme="minorEastAsia" w:eastAsiaTheme="minorEastAsia"/>
                <w:bCs/>
                <w:kern w:val="2"/>
                <w:szCs w:val="24"/>
                <w:highlight w:val="none"/>
              </w:rPr>
            </w:pPr>
          </w:p>
        </w:tc>
        <w:tc>
          <w:tcPr>
            <w:tcW w:w="874" w:type="pct"/>
            <w:vAlign w:val="center"/>
          </w:tcPr>
          <w:p w14:paraId="596F8680">
            <w:pPr>
              <w:ind w:firstLine="0" w:firstLineChars="0"/>
              <w:rPr>
                <w:rFonts w:cs="宋体" w:asciiTheme="minorEastAsia" w:hAnsiTheme="minorEastAsia" w:eastAsiaTheme="minorEastAsia"/>
                <w:bCs/>
                <w:kern w:val="2"/>
                <w:szCs w:val="24"/>
                <w:highlight w:val="none"/>
              </w:rPr>
            </w:pPr>
          </w:p>
        </w:tc>
        <w:tc>
          <w:tcPr>
            <w:tcW w:w="918" w:type="pct"/>
            <w:vAlign w:val="center"/>
          </w:tcPr>
          <w:p w14:paraId="69909AE0">
            <w:pPr>
              <w:ind w:firstLine="0" w:firstLineChars="0"/>
              <w:rPr>
                <w:rFonts w:cs="宋体" w:asciiTheme="minorEastAsia" w:hAnsiTheme="minorEastAsia" w:eastAsiaTheme="minorEastAsia"/>
                <w:bCs/>
                <w:kern w:val="2"/>
                <w:szCs w:val="24"/>
                <w:highlight w:val="none"/>
              </w:rPr>
            </w:pPr>
          </w:p>
        </w:tc>
        <w:tc>
          <w:tcPr>
            <w:tcW w:w="1043" w:type="pct"/>
            <w:vAlign w:val="center"/>
          </w:tcPr>
          <w:p w14:paraId="3080CEFC">
            <w:pPr>
              <w:ind w:firstLine="0" w:firstLineChars="0"/>
              <w:rPr>
                <w:rFonts w:cs="宋体" w:asciiTheme="minorEastAsia" w:hAnsiTheme="minorEastAsia" w:eastAsiaTheme="minorEastAsia"/>
                <w:bCs/>
                <w:kern w:val="2"/>
                <w:szCs w:val="24"/>
                <w:highlight w:val="none"/>
              </w:rPr>
            </w:pPr>
          </w:p>
        </w:tc>
        <w:tc>
          <w:tcPr>
            <w:tcW w:w="636" w:type="pct"/>
            <w:vAlign w:val="center"/>
          </w:tcPr>
          <w:p w14:paraId="526C43B6">
            <w:pPr>
              <w:ind w:firstLine="0" w:firstLineChars="0"/>
              <w:rPr>
                <w:rFonts w:cs="宋体" w:asciiTheme="minorEastAsia" w:hAnsiTheme="minorEastAsia" w:eastAsiaTheme="minorEastAsia"/>
                <w:bCs/>
                <w:kern w:val="2"/>
                <w:szCs w:val="24"/>
                <w:highlight w:val="none"/>
              </w:rPr>
            </w:pPr>
          </w:p>
        </w:tc>
      </w:tr>
      <w:tr w14:paraId="0BA5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4530EC6A">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2</w:t>
            </w:r>
          </w:p>
        </w:tc>
        <w:tc>
          <w:tcPr>
            <w:tcW w:w="971" w:type="pct"/>
            <w:vAlign w:val="center"/>
          </w:tcPr>
          <w:p w14:paraId="3E8E8CB7">
            <w:pPr>
              <w:ind w:firstLine="0" w:firstLineChars="0"/>
              <w:rPr>
                <w:rFonts w:cs="宋体" w:asciiTheme="minorEastAsia" w:hAnsiTheme="minorEastAsia" w:eastAsiaTheme="minorEastAsia"/>
                <w:bCs/>
                <w:kern w:val="2"/>
                <w:szCs w:val="24"/>
                <w:highlight w:val="none"/>
              </w:rPr>
            </w:pPr>
          </w:p>
        </w:tc>
        <w:tc>
          <w:tcPr>
            <w:tcW w:w="874" w:type="pct"/>
            <w:vAlign w:val="center"/>
          </w:tcPr>
          <w:p w14:paraId="09DE2740">
            <w:pPr>
              <w:ind w:firstLine="0" w:firstLineChars="0"/>
              <w:rPr>
                <w:rFonts w:cs="宋体" w:asciiTheme="minorEastAsia" w:hAnsiTheme="minorEastAsia" w:eastAsiaTheme="minorEastAsia"/>
                <w:bCs/>
                <w:kern w:val="2"/>
                <w:szCs w:val="24"/>
                <w:highlight w:val="none"/>
              </w:rPr>
            </w:pPr>
          </w:p>
        </w:tc>
        <w:tc>
          <w:tcPr>
            <w:tcW w:w="918" w:type="pct"/>
            <w:vAlign w:val="center"/>
          </w:tcPr>
          <w:p w14:paraId="612E53D0">
            <w:pPr>
              <w:ind w:firstLine="0" w:firstLineChars="0"/>
              <w:rPr>
                <w:rFonts w:cs="宋体" w:asciiTheme="minorEastAsia" w:hAnsiTheme="minorEastAsia" w:eastAsiaTheme="minorEastAsia"/>
                <w:bCs/>
                <w:kern w:val="2"/>
                <w:szCs w:val="24"/>
                <w:highlight w:val="none"/>
              </w:rPr>
            </w:pPr>
          </w:p>
        </w:tc>
        <w:tc>
          <w:tcPr>
            <w:tcW w:w="1043" w:type="pct"/>
            <w:vAlign w:val="center"/>
          </w:tcPr>
          <w:p w14:paraId="53B95FEA">
            <w:pPr>
              <w:ind w:firstLine="0" w:firstLineChars="0"/>
              <w:rPr>
                <w:rFonts w:cs="宋体" w:asciiTheme="minorEastAsia" w:hAnsiTheme="minorEastAsia" w:eastAsiaTheme="minorEastAsia"/>
                <w:bCs/>
                <w:kern w:val="2"/>
                <w:szCs w:val="24"/>
                <w:highlight w:val="none"/>
              </w:rPr>
            </w:pPr>
          </w:p>
        </w:tc>
        <w:tc>
          <w:tcPr>
            <w:tcW w:w="636" w:type="pct"/>
            <w:vAlign w:val="center"/>
          </w:tcPr>
          <w:p w14:paraId="0BB2F395">
            <w:pPr>
              <w:ind w:firstLine="0" w:firstLineChars="0"/>
              <w:rPr>
                <w:rFonts w:cs="宋体" w:asciiTheme="minorEastAsia" w:hAnsiTheme="minorEastAsia" w:eastAsiaTheme="minorEastAsia"/>
                <w:bCs/>
                <w:kern w:val="2"/>
                <w:szCs w:val="24"/>
                <w:highlight w:val="none"/>
              </w:rPr>
            </w:pPr>
          </w:p>
        </w:tc>
      </w:tr>
      <w:tr w14:paraId="5CC8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2ECD5B6">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项目负责人评审业绩（打分业绩，如有）</w:t>
            </w:r>
          </w:p>
        </w:tc>
      </w:tr>
      <w:tr w14:paraId="7556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6EC606E2">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1</w:t>
            </w:r>
          </w:p>
        </w:tc>
        <w:tc>
          <w:tcPr>
            <w:tcW w:w="971" w:type="pct"/>
            <w:vAlign w:val="center"/>
          </w:tcPr>
          <w:p w14:paraId="7067FCCA">
            <w:pPr>
              <w:ind w:firstLine="0" w:firstLineChars="0"/>
              <w:rPr>
                <w:rFonts w:cs="宋体" w:asciiTheme="minorEastAsia" w:hAnsiTheme="minorEastAsia" w:eastAsiaTheme="minorEastAsia"/>
                <w:b/>
                <w:kern w:val="2"/>
                <w:szCs w:val="24"/>
                <w:highlight w:val="none"/>
              </w:rPr>
            </w:pPr>
          </w:p>
        </w:tc>
        <w:tc>
          <w:tcPr>
            <w:tcW w:w="874" w:type="pct"/>
            <w:vAlign w:val="center"/>
          </w:tcPr>
          <w:p w14:paraId="10389887">
            <w:pPr>
              <w:ind w:firstLine="0" w:firstLineChars="0"/>
              <w:rPr>
                <w:rFonts w:cs="宋体" w:asciiTheme="minorEastAsia" w:hAnsiTheme="minorEastAsia" w:eastAsiaTheme="minorEastAsia"/>
                <w:b/>
                <w:kern w:val="2"/>
                <w:szCs w:val="24"/>
                <w:highlight w:val="none"/>
              </w:rPr>
            </w:pPr>
          </w:p>
        </w:tc>
        <w:tc>
          <w:tcPr>
            <w:tcW w:w="918" w:type="pct"/>
            <w:vAlign w:val="center"/>
          </w:tcPr>
          <w:p w14:paraId="7EF812B0">
            <w:pPr>
              <w:ind w:firstLine="0" w:firstLineChars="0"/>
              <w:rPr>
                <w:rFonts w:cs="宋体" w:asciiTheme="minorEastAsia" w:hAnsiTheme="minorEastAsia" w:eastAsiaTheme="minorEastAsia"/>
                <w:b/>
                <w:kern w:val="2"/>
                <w:szCs w:val="24"/>
                <w:highlight w:val="none"/>
              </w:rPr>
            </w:pPr>
          </w:p>
        </w:tc>
        <w:tc>
          <w:tcPr>
            <w:tcW w:w="1043" w:type="pct"/>
            <w:vAlign w:val="center"/>
          </w:tcPr>
          <w:p w14:paraId="6221A2FC">
            <w:pPr>
              <w:ind w:firstLine="0" w:firstLineChars="0"/>
              <w:rPr>
                <w:rFonts w:cs="宋体" w:asciiTheme="minorEastAsia" w:hAnsiTheme="minorEastAsia" w:eastAsiaTheme="minorEastAsia"/>
                <w:b/>
                <w:kern w:val="2"/>
                <w:szCs w:val="24"/>
                <w:highlight w:val="none"/>
              </w:rPr>
            </w:pPr>
          </w:p>
        </w:tc>
        <w:tc>
          <w:tcPr>
            <w:tcW w:w="636" w:type="pct"/>
            <w:vAlign w:val="center"/>
          </w:tcPr>
          <w:p w14:paraId="6FB4B3A9">
            <w:pPr>
              <w:ind w:firstLine="0" w:firstLineChars="0"/>
              <w:rPr>
                <w:rFonts w:cs="宋体" w:asciiTheme="minorEastAsia" w:hAnsiTheme="minorEastAsia" w:eastAsiaTheme="minorEastAsia"/>
                <w:b/>
                <w:kern w:val="2"/>
                <w:szCs w:val="24"/>
                <w:highlight w:val="none"/>
              </w:rPr>
            </w:pPr>
          </w:p>
        </w:tc>
      </w:tr>
      <w:tr w14:paraId="5BE8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6A47585A">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2</w:t>
            </w:r>
          </w:p>
        </w:tc>
        <w:tc>
          <w:tcPr>
            <w:tcW w:w="971" w:type="pct"/>
            <w:vAlign w:val="center"/>
          </w:tcPr>
          <w:p w14:paraId="1C99982F">
            <w:pPr>
              <w:ind w:firstLine="0" w:firstLineChars="0"/>
              <w:rPr>
                <w:rFonts w:cs="宋体" w:asciiTheme="minorEastAsia" w:hAnsiTheme="minorEastAsia" w:eastAsiaTheme="minorEastAsia"/>
                <w:b/>
                <w:kern w:val="2"/>
                <w:szCs w:val="24"/>
                <w:highlight w:val="none"/>
              </w:rPr>
            </w:pPr>
          </w:p>
        </w:tc>
        <w:tc>
          <w:tcPr>
            <w:tcW w:w="874" w:type="pct"/>
            <w:vAlign w:val="center"/>
          </w:tcPr>
          <w:p w14:paraId="7DDBBE92">
            <w:pPr>
              <w:ind w:firstLine="0" w:firstLineChars="0"/>
              <w:rPr>
                <w:rFonts w:cs="宋体" w:asciiTheme="minorEastAsia" w:hAnsiTheme="minorEastAsia" w:eastAsiaTheme="minorEastAsia"/>
                <w:b/>
                <w:kern w:val="2"/>
                <w:szCs w:val="24"/>
                <w:highlight w:val="none"/>
              </w:rPr>
            </w:pPr>
          </w:p>
        </w:tc>
        <w:tc>
          <w:tcPr>
            <w:tcW w:w="918" w:type="pct"/>
            <w:vAlign w:val="center"/>
          </w:tcPr>
          <w:p w14:paraId="081EE318">
            <w:pPr>
              <w:ind w:firstLine="0" w:firstLineChars="0"/>
              <w:rPr>
                <w:rFonts w:cs="宋体" w:asciiTheme="minorEastAsia" w:hAnsiTheme="minorEastAsia" w:eastAsiaTheme="minorEastAsia"/>
                <w:b/>
                <w:kern w:val="2"/>
                <w:szCs w:val="24"/>
                <w:highlight w:val="none"/>
              </w:rPr>
            </w:pPr>
          </w:p>
        </w:tc>
        <w:tc>
          <w:tcPr>
            <w:tcW w:w="1043" w:type="pct"/>
            <w:vAlign w:val="center"/>
          </w:tcPr>
          <w:p w14:paraId="0A58BB1C">
            <w:pPr>
              <w:ind w:firstLine="0" w:firstLineChars="0"/>
              <w:rPr>
                <w:rFonts w:cs="宋体" w:asciiTheme="minorEastAsia" w:hAnsiTheme="minorEastAsia" w:eastAsiaTheme="minorEastAsia"/>
                <w:b/>
                <w:kern w:val="2"/>
                <w:szCs w:val="24"/>
                <w:highlight w:val="none"/>
              </w:rPr>
            </w:pPr>
          </w:p>
        </w:tc>
        <w:tc>
          <w:tcPr>
            <w:tcW w:w="636" w:type="pct"/>
            <w:vAlign w:val="center"/>
          </w:tcPr>
          <w:p w14:paraId="3E084475">
            <w:pPr>
              <w:ind w:firstLine="0" w:firstLineChars="0"/>
              <w:rPr>
                <w:rFonts w:cs="宋体" w:asciiTheme="minorEastAsia" w:hAnsiTheme="minorEastAsia" w:eastAsiaTheme="minorEastAsia"/>
                <w:b/>
                <w:kern w:val="2"/>
                <w:szCs w:val="24"/>
                <w:highlight w:val="none"/>
              </w:rPr>
            </w:pPr>
          </w:p>
        </w:tc>
      </w:tr>
      <w:tr w14:paraId="69D9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Align w:val="center"/>
          </w:tcPr>
          <w:p w14:paraId="46BE4AC0">
            <w:pPr>
              <w:ind w:firstLine="0" w:firstLineChars="0"/>
              <w:jc w:val="center"/>
              <w:rPr>
                <w:rFonts w:cs="宋体" w:asciiTheme="minorEastAsia" w:hAnsiTheme="minorEastAsia" w:eastAsiaTheme="minorEastAsia"/>
                <w:bCs/>
                <w:kern w:val="2"/>
                <w:szCs w:val="24"/>
                <w:highlight w:val="none"/>
              </w:rPr>
            </w:pPr>
            <w:r>
              <w:rPr>
                <w:rFonts w:hint="eastAsia" w:cs="宋体" w:asciiTheme="minorEastAsia" w:hAnsiTheme="minorEastAsia" w:eastAsiaTheme="minorEastAsia"/>
                <w:bCs/>
                <w:kern w:val="2"/>
                <w:szCs w:val="24"/>
                <w:highlight w:val="none"/>
              </w:rPr>
              <w:t>……</w:t>
            </w:r>
          </w:p>
        </w:tc>
        <w:tc>
          <w:tcPr>
            <w:tcW w:w="971" w:type="pct"/>
            <w:vAlign w:val="center"/>
          </w:tcPr>
          <w:p w14:paraId="39936C16">
            <w:pPr>
              <w:ind w:firstLine="0" w:firstLineChars="0"/>
              <w:rPr>
                <w:rFonts w:cs="宋体" w:asciiTheme="minorEastAsia" w:hAnsiTheme="minorEastAsia" w:eastAsiaTheme="minorEastAsia"/>
                <w:b/>
                <w:kern w:val="2"/>
                <w:szCs w:val="24"/>
                <w:highlight w:val="none"/>
              </w:rPr>
            </w:pPr>
          </w:p>
        </w:tc>
        <w:tc>
          <w:tcPr>
            <w:tcW w:w="874" w:type="pct"/>
            <w:vAlign w:val="center"/>
          </w:tcPr>
          <w:p w14:paraId="006286CA">
            <w:pPr>
              <w:ind w:firstLine="0" w:firstLineChars="0"/>
              <w:rPr>
                <w:rFonts w:cs="宋体" w:asciiTheme="minorEastAsia" w:hAnsiTheme="minorEastAsia" w:eastAsiaTheme="minorEastAsia"/>
                <w:b/>
                <w:kern w:val="2"/>
                <w:szCs w:val="24"/>
                <w:highlight w:val="none"/>
              </w:rPr>
            </w:pPr>
          </w:p>
        </w:tc>
        <w:tc>
          <w:tcPr>
            <w:tcW w:w="918" w:type="pct"/>
            <w:vAlign w:val="center"/>
          </w:tcPr>
          <w:p w14:paraId="4EE7A6FD">
            <w:pPr>
              <w:ind w:firstLine="0" w:firstLineChars="0"/>
              <w:rPr>
                <w:rFonts w:cs="宋体" w:asciiTheme="minorEastAsia" w:hAnsiTheme="minorEastAsia" w:eastAsiaTheme="minorEastAsia"/>
                <w:b/>
                <w:kern w:val="2"/>
                <w:szCs w:val="24"/>
                <w:highlight w:val="none"/>
              </w:rPr>
            </w:pPr>
          </w:p>
        </w:tc>
        <w:tc>
          <w:tcPr>
            <w:tcW w:w="1043" w:type="pct"/>
            <w:vAlign w:val="center"/>
          </w:tcPr>
          <w:p w14:paraId="2CA3E5B8">
            <w:pPr>
              <w:ind w:firstLine="0" w:firstLineChars="0"/>
              <w:rPr>
                <w:rFonts w:cs="宋体" w:asciiTheme="minorEastAsia" w:hAnsiTheme="minorEastAsia" w:eastAsiaTheme="minorEastAsia"/>
                <w:b/>
                <w:kern w:val="2"/>
                <w:szCs w:val="24"/>
                <w:highlight w:val="none"/>
              </w:rPr>
            </w:pPr>
          </w:p>
        </w:tc>
        <w:tc>
          <w:tcPr>
            <w:tcW w:w="636" w:type="pct"/>
            <w:vAlign w:val="center"/>
          </w:tcPr>
          <w:p w14:paraId="7C05BC29">
            <w:pPr>
              <w:ind w:firstLine="0" w:firstLineChars="0"/>
              <w:rPr>
                <w:rFonts w:cs="宋体" w:asciiTheme="minorEastAsia" w:hAnsiTheme="minorEastAsia" w:eastAsiaTheme="minorEastAsia"/>
                <w:b/>
                <w:kern w:val="2"/>
                <w:szCs w:val="24"/>
                <w:highlight w:val="none"/>
              </w:rPr>
            </w:pPr>
          </w:p>
        </w:tc>
      </w:tr>
    </w:tbl>
    <w:p w14:paraId="7D885636">
      <w:pPr>
        <w:widowControl/>
        <w:ind w:firstLine="482"/>
        <w:jc w:val="left"/>
        <w:rPr>
          <w:rFonts w:asciiTheme="minorEastAsia" w:hAnsiTheme="minorEastAsia" w:eastAsiaTheme="minorEastAsia"/>
          <w:b/>
          <w:highlight w:val="none"/>
        </w:rPr>
      </w:pPr>
    </w:p>
    <w:p w14:paraId="428C28B1">
      <w:pPr>
        <w:keepNext/>
        <w:keepLines/>
        <w:ind w:firstLine="480"/>
        <w:rPr>
          <w:szCs w:val="24"/>
          <w:highlight w:val="none"/>
        </w:rPr>
      </w:pPr>
    </w:p>
    <w:p w14:paraId="46189849">
      <w:pPr>
        <w:keepNext/>
        <w:keepLines/>
        <w:numPr>
          <w:ilvl w:val="0"/>
          <w:numId w:val="6"/>
        </w:numPr>
        <w:ind w:firstLine="480"/>
        <w:jc w:val="center"/>
        <w:rPr>
          <w:szCs w:val="24"/>
          <w:highlight w:val="none"/>
        </w:rPr>
      </w:pPr>
      <w:r>
        <w:rPr>
          <w:rFonts w:hint="eastAsia"/>
          <w:szCs w:val="24"/>
          <w:highlight w:val="none"/>
        </w:rPr>
        <w:t>业绩证明材料</w:t>
      </w:r>
    </w:p>
    <w:p w14:paraId="2F018B70">
      <w:pPr>
        <w:keepNext/>
        <w:keepLines/>
        <w:ind w:firstLine="480"/>
        <w:jc w:val="center"/>
        <w:rPr>
          <w:rFonts w:hint="eastAsia"/>
          <w:szCs w:val="24"/>
          <w:highlight w:val="none"/>
        </w:rPr>
      </w:pPr>
      <w:r>
        <w:rPr>
          <w:rFonts w:hint="eastAsia"/>
          <w:szCs w:val="24"/>
          <w:highlight w:val="none"/>
        </w:rPr>
        <w:t>（建议与上述“（一）业绩表”填写的业绩一一对应）</w:t>
      </w:r>
    </w:p>
    <w:p w14:paraId="1ECE725F">
      <w:pPr>
        <w:keepNext/>
        <w:keepLines/>
        <w:ind w:firstLine="480"/>
        <w:jc w:val="center"/>
        <w:rPr>
          <w:highlight w:val="none"/>
        </w:rPr>
      </w:pPr>
      <w:r>
        <w:rPr>
          <w:rFonts w:asciiTheme="minorEastAsia" w:hAnsiTheme="minorEastAsia" w:eastAsiaTheme="minorEastAsia"/>
          <w:b/>
          <w:highlight w:val="none"/>
        </w:rPr>
        <w:br w:type="page"/>
      </w:r>
    </w:p>
    <w:p w14:paraId="7DA6370D">
      <w:pPr>
        <w:ind w:left="0" w:leftChars="0" w:firstLine="0" w:firstLineChars="0"/>
        <w:jc w:val="center"/>
        <w:outlineLvl w:val="2"/>
        <w:rPr>
          <w:rFonts w:hint="eastAsia" w:asciiTheme="minorEastAsia" w:hAnsiTheme="minorEastAsia" w:eastAsiaTheme="minorEastAsia"/>
          <w:b/>
          <w:highlight w:val="none"/>
        </w:rPr>
      </w:pPr>
      <w:r>
        <w:rPr>
          <w:rFonts w:hint="eastAsia" w:asciiTheme="minorEastAsia" w:hAnsiTheme="minorEastAsia" w:eastAsiaTheme="minorEastAsia"/>
          <w:b/>
          <w:highlight w:val="none"/>
          <w:lang w:val="en-US" w:eastAsia="zh-CN"/>
        </w:rPr>
        <w:t>八</w:t>
      </w:r>
      <w:r>
        <w:rPr>
          <w:rFonts w:hint="eastAsia" w:asciiTheme="minorEastAsia" w:hAnsiTheme="minorEastAsia" w:eastAsiaTheme="minorEastAsia"/>
          <w:b/>
          <w:highlight w:val="none"/>
        </w:rPr>
        <w:t>、磋商保证金及电子交易服务费用</w:t>
      </w:r>
    </w:p>
    <w:p w14:paraId="142B982E">
      <w:pPr>
        <w:snapToGrid w:val="0"/>
        <w:ind w:firstLine="0" w:firstLineChars="0"/>
        <w:jc w:val="center"/>
        <w:rPr>
          <w:rFonts w:cs="Times New Roman"/>
          <w:szCs w:val="28"/>
          <w:highlight w:val="none"/>
        </w:rPr>
      </w:pPr>
      <w:r>
        <w:rPr>
          <w:rFonts w:hint="eastAsia" w:cs="Times New Roman"/>
          <w:szCs w:val="28"/>
          <w:highlight w:val="none"/>
        </w:rPr>
        <w:t>供应商应在此提供银行回单的扫描件。</w:t>
      </w:r>
    </w:p>
    <w:p w14:paraId="2845F771">
      <w:pPr>
        <w:widowControl/>
        <w:spacing w:line="240" w:lineRule="auto"/>
        <w:ind w:firstLine="0" w:firstLineChars="0"/>
        <w:jc w:val="center"/>
        <w:rPr>
          <w:rFonts w:cs="@仿宋_GB2312"/>
          <w:b/>
          <w:bCs/>
          <w:kern w:val="2"/>
          <w:szCs w:val="24"/>
          <w:highlight w:val="none"/>
        </w:rPr>
      </w:pPr>
    </w:p>
    <w:p w14:paraId="02BF8814">
      <w:pPr>
        <w:widowControl/>
        <w:spacing w:line="240" w:lineRule="auto"/>
        <w:ind w:firstLine="0" w:firstLineChars="0"/>
        <w:jc w:val="center"/>
        <w:rPr>
          <w:rFonts w:cs="@仿宋_GB2312"/>
          <w:b/>
          <w:bCs/>
          <w:kern w:val="2"/>
          <w:szCs w:val="24"/>
          <w:highlight w:val="none"/>
        </w:rPr>
      </w:pPr>
    </w:p>
    <w:p w14:paraId="11949EA8">
      <w:pPr>
        <w:widowControl/>
        <w:spacing w:line="240" w:lineRule="auto"/>
        <w:ind w:firstLine="0" w:firstLineChars="0"/>
        <w:jc w:val="center"/>
        <w:rPr>
          <w:rFonts w:cs="@仿宋_GB2312"/>
          <w:b/>
          <w:bCs/>
          <w:kern w:val="2"/>
          <w:szCs w:val="24"/>
          <w:highlight w:val="none"/>
        </w:rPr>
      </w:pPr>
    </w:p>
    <w:p w14:paraId="32190C75">
      <w:pPr>
        <w:widowControl/>
        <w:spacing w:line="240" w:lineRule="auto"/>
        <w:ind w:firstLine="0" w:firstLineChars="0"/>
        <w:jc w:val="center"/>
        <w:rPr>
          <w:rFonts w:cs="@仿宋_GB2312"/>
          <w:b/>
          <w:bCs/>
          <w:kern w:val="2"/>
          <w:szCs w:val="24"/>
          <w:highlight w:val="none"/>
        </w:rPr>
      </w:pPr>
    </w:p>
    <w:p w14:paraId="66D87144">
      <w:pPr>
        <w:widowControl/>
        <w:spacing w:line="240" w:lineRule="auto"/>
        <w:ind w:firstLine="0" w:firstLineChars="0"/>
        <w:jc w:val="center"/>
        <w:rPr>
          <w:rFonts w:cs="@仿宋_GB2312"/>
          <w:b/>
          <w:bCs/>
          <w:kern w:val="2"/>
          <w:szCs w:val="24"/>
          <w:highlight w:val="none"/>
        </w:rPr>
      </w:pPr>
    </w:p>
    <w:p w14:paraId="4E7B70FA">
      <w:pPr>
        <w:widowControl/>
        <w:spacing w:line="240" w:lineRule="auto"/>
        <w:ind w:firstLine="0" w:firstLineChars="0"/>
        <w:jc w:val="center"/>
        <w:rPr>
          <w:rFonts w:cs="@仿宋_GB2312"/>
          <w:b/>
          <w:bCs/>
          <w:kern w:val="2"/>
          <w:szCs w:val="24"/>
          <w:highlight w:val="none"/>
        </w:rPr>
      </w:pPr>
    </w:p>
    <w:p w14:paraId="2F0E8B47">
      <w:pPr>
        <w:widowControl/>
        <w:spacing w:line="240" w:lineRule="auto"/>
        <w:ind w:firstLine="0" w:firstLineChars="0"/>
        <w:jc w:val="center"/>
        <w:rPr>
          <w:rFonts w:cs="@仿宋_GB2312"/>
          <w:b/>
          <w:bCs/>
          <w:kern w:val="2"/>
          <w:szCs w:val="24"/>
          <w:highlight w:val="none"/>
        </w:rPr>
      </w:pPr>
    </w:p>
    <w:p w14:paraId="09B58B6C">
      <w:pPr>
        <w:widowControl/>
        <w:spacing w:line="240" w:lineRule="auto"/>
        <w:ind w:firstLine="0" w:firstLineChars="0"/>
        <w:jc w:val="center"/>
        <w:rPr>
          <w:rFonts w:cs="@仿宋_GB2312"/>
          <w:b/>
          <w:bCs/>
          <w:kern w:val="2"/>
          <w:szCs w:val="24"/>
          <w:highlight w:val="none"/>
        </w:rPr>
      </w:pPr>
    </w:p>
    <w:p w14:paraId="27FAC653">
      <w:pPr>
        <w:widowControl/>
        <w:spacing w:line="240" w:lineRule="auto"/>
        <w:ind w:firstLine="0" w:firstLineChars="0"/>
        <w:jc w:val="center"/>
        <w:rPr>
          <w:rFonts w:cs="@仿宋_GB2312"/>
          <w:b/>
          <w:bCs/>
          <w:kern w:val="2"/>
          <w:szCs w:val="24"/>
          <w:highlight w:val="none"/>
        </w:rPr>
      </w:pPr>
    </w:p>
    <w:p w14:paraId="21A7556F">
      <w:pPr>
        <w:widowControl/>
        <w:spacing w:line="240" w:lineRule="auto"/>
        <w:ind w:firstLine="0" w:firstLineChars="0"/>
        <w:jc w:val="center"/>
        <w:rPr>
          <w:rFonts w:cs="@仿宋_GB2312"/>
          <w:b/>
          <w:bCs/>
          <w:kern w:val="2"/>
          <w:szCs w:val="24"/>
          <w:highlight w:val="none"/>
        </w:rPr>
      </w:pPr>
    </w:p>
    <w:p w14:paraId="6B29386B">
      <w:pPr>
        <w:widowControl/>
        <w:spacing w:line="240" w:lineRule="auto"/>
        <w:ind w:firstLine="0" w:firstLineChars="0"/>
        <w:jc w:val="center"/>
        <w:rPr>
          <w:rFonts w:cs="@仿宋_GB2312"/>
          <w:b/>
          <w:bCs/>
          <w:kern w:val="2"/>
          <w:szCs w:val="24"/>
          <w:highlight w:val="none"/>
        </w:rPr>
      </w:pPr>
    </w:p>
    <w:p w14:paraId="1F0DF3B0">
      <w:pPr>
        <w:widowControl/>
        <w:spacing w:line="240" w:lineRule="auto"/>
        <w:ind w:firstLine="0" w:firstLineChars="0"/>
        <w:jc w:val="center"/>
        <w:rPr>
          <w:rFonts w:cs="@仿宋_GB2312"/>
          <w:b/>
          <w:bCs/>
          <w:kern w:val="2"/>
          <w:szCs w:val="24"/>
          <w:highlight w:val="none"/>
        </w:rPr>
      </w:pPr>
    </w:p>
    <w:p w14:paraId="059AF13C">
      <w:pPr>
        <w:widowControl/>
        <w:spacing w:line="240" w:lineRule="auto"/>
        <w:ind w:firstLine="0" w:firstLineChars="0"/>
        <w:jc w:val="center"/>
        <w:rPr>
          <w:rFonts w:cs="@仿宋_GB2312"/>
          <w:b/>
          <w:bCs/>
          <w:kern w:val="2"/>
          <w:szCs w:val="24"/>
          <w:highlight w:val="none"/>
        </w:rPr>
      </w:pPr>
    </w:p>
    <w:p w14:paraId="385E7945">
      <w:pPr>
        <w:spacing w:after="120" w:line="480" w:lineRule="auto"/>
        <w:ind w:firstLine="482"/>
        <w:rPr>
          <w:rFonts w:cs="宋体"/>
          <w:b/>
          <w:bCs/>
          <w:kern w:val="2"/>
          <w:szCs w:val="24"/>
          <w:highlight w:val="none"/>
        </w:rPr>
      </w:pPr>
      <w:r>
        <w:rPr>
          <w:rFonts w:hint="eastAsia" w:cs="宋体"/>
          <w:b/>
          <w:bCs/>
          <w:kern w:val="2"/>
          <w:szCs w:val="24"/>
          <w:highlight w:val="none"/>
        </w:rPr>
        <w:t>如需开具电子交易服务费用发票请在本页附上开票信息，开票信息按照下列格式填写，发票开具后可在单位税务数字账户中查收，如未填写或填写不完整后期自行带转账回单至肥光办公区3号楼2楼窗口开具。</w:t>
      </w:r>
    </w:p>
    <w:p w14:paraId="732F1EDB">
      <w:pPr>
        <w:ind w:firstLine="0" w:firstLineChars="0"/>
        <w:rPr>
          <w:rFonts w:cs="宋体"/>
          <w:b/>
          <w:kern w:val="2"/>
          <w:szCs w:val="24"/>
          <w:highlight w:val="none"/>
        </w:rPr>
      </w:pPr>
      <w:r>
        <w:rPr>
          <w:rFonts w:hint="eastAsia" w:cs="宋体"/>
          <w:b/>
          <w:kern w:val="2"/>
          <w:szCs w:val="24"/>
          <w:highlight w:val="none"/>
        </w:rPr>
        <w:t>开票信息：</w:t>
      </w:r>
    </w:p>
    <w:p w14:paraId="40FE51F7">
      <w:pPr>
        <w:spacing w:after="120"/>
        <w:ind w:firstLine="0" w:firstLineChars="0"/>
        <w:rPr>
          <w:rFonts w:cs="宋体"/>
          <w:b/>
          <w:kern w:val="2"/>
          <w:szCs w:val="24"/>
          <w:highlight w:val="none"/>
        </w:rPr>
      </w:pPr>
      <w:r>
        <w:rPr>
          <w:rFonts w:hint="eastAsia" w:cs="宋体"/>
          <w:b/>
          <w:kern w:val="2"/>
          <w:szCs w:val="24"/>
          <w:highlight w:val="none"/>
        </w:rPr>
        <w:t>发票类型：</w:t>
      </w:r>
      <w:r>
        <w:rPr>
          <w:rFonts w:hint="eastAsia" w:cs="宋体"/>
          <w:b/>
          <w:kern w:val="2"/>
          <w:szCs w:val="24"/>
          <w:highlight w:val="none"/>
          <w:u w:val="single"/>
        </w:rPr>
        <w:t xml:space="preserve">               </w:t>
      </w:r>
      <w:r>
        <w:rPr>
          <w:rFonts w:hint="eastAsia" w:cs="宋体"/>
          <w:b/>
          <w:kern w:val="2"/>
          <w:szCs w:val="24"/>
          <w:highlight w:val="none"/>
        </w:rPr>
        <w:t>（专票或普票）</w:t>
      </w:r>
    </w:p>
    <w:p w14:paraId="751FC09C">
      <w:pPr>
        <w:ind w:firstLine="0" w:firstLineChars="0"/>
        <w:rPr>
          <w:rFonts w:cs="宋体"/>
          <w:b/>
          <w:kern w:val="2"/>
          <w:szCs w:val="24"/>
          <w:highlight w:val="none"/>
        </w:rPr>
      </w:pPr>
      <w:r>
        <w:rPr>
          <w:rFonts w:hint="eastAsia" w:cs="宋体"/>
          <w:b/>
          <w:kern w:val="2"/>
          <w:szCs w:val="24"/>
          <w:highlight w:val="none"/>
        </w:rPr>
        <w:t>公司名称：</w:t>
      </w:r>
      <w:r>
        <w:rPr>
          <w:rFonts w:hint="eastAsia" w:cs="宋体"/>
          <w:kern w:val="1"/>
          <w:szCs w:val="24"/>
          <w:highlight w:val="none"/>
        </w:rPr>
        <w:t xml:space="preserve"> </w:t>
      </w:r>
      <w:r>
        <w:rPr>
          <w:rFonts w:hint="eastAsia" w:cs="宋体"/>
          <w:kern w:val="1"/>
          <w:szCs w:val="24"/>
          <w:highlight w:val="none"/>
          <w:u w:val="single"/>
        </w:rPr>
        <w:t xml:space="preserve">                           </w:t>
      </w:r>
      <w:r>
        <w:rPr>
          <w:rFonts w:hint="eastAsia" w:cs="宋体"/>
          <w:kern w:val="1"/>
          <w:szCs w:val="24"/>
          <w:highlight w:val="none"/>
        </w:rPr>
        <w:t xml:space="preserve">     </w:t>
      </w:r>
    </w:p>
    <w:p w14:paraId="070950B6">
      <w:pPr>
        <w:widowControl/>
        <w:ind w:firstLine="0" w:firstLineChars="0"/>
        <w:jc w:val="left"/>
        <w:rPr>
          <w:rFonts w:cs="宋体"/>
          <w:b/>
          <w:kern w:val="2"/>
          <w:szCs w:val="24"/>
          <w:highlight w:val="none"/>
          <w:u w:val="single"/>
        </w:rPr>
      </w:pPr>
      <w:r>
        <w:rPr>
          <w:rFonts w:hint="eastAsia" w:cs="宋体"/>
          <w:b/>
          <w:kern w:val="2"/>
          <w:szCs w:val="24"/>
          <w:highlight w:val="none"/>
        </w:rPr>
        <w:t>纳税识别号：</w:t>
      </w:r>
      <w:r>
        <w:rPr>
          <w:rFonts w:hint="eastAsia" w:cs="宋体"/>
          <w:b/>
          <w:kern w:val="2"/>
          <w:szCs w:val="24"/>
          <w:highlight w:val="none"/>
          <w:u w:val="single"/>
        </w:rPr>
        <w:t xml:space="preserve">                          </w:t>
      </w:r>
    </w:p>
    <w:p w14:paraId="380A9F8E">
      <w:pPr>
        <w:widowControl/>
        <w:ind w:firstLine="0" w:firstLineChars="0"/>
        <w:jc w:val="left"/>
        <w:rPr>
          <w:rFonts w:cs="宋体"/>
          <w:b/>
          <w:kern w:val="2"/>
          <w:szCs w:val="24"/>
          <w:highlight w:val="none"/>
          <w:u w:val="single"/>
        </w:rPr>
      </w:pPr>
      <w:r>
        <w:rPr>
          <w:rFonts w:hint="eastAsia" w:cs="宋体"/>
          <w:b/>
          <w:kern w:val="2"/>
          <w:szCs w:val="24"/>
          <w:highlight w:val="none"/>
        </w:rPr>
        <w:t>开户行名称：</w:t>
      </w:r>
      <w:r>
        <w:rPr>
          <w:rFonts w:hint="eastAsia" w:cs="宋体"/>
          <w:b/>
          <w:kern w:val="2"/>
          <w:szCs w:val="24"/>
          <w:highlight w:val="none"/>
          <w:u w:val="single"/>
        </w:rPr>
        <w:t xml:space="preserve">                          </w:t>
      </w:r>
    </w:p>
    <w:p w14:paraId="6E7985A5">
      <w:pPr>
        <w:widowControl/>
        <w:spacing w:line="240" w:lineRule="auto"/>
        <w:ind w:firstLine="0" w:firstLineChars="0"/>
        <w:jc w:val="left"/>
        <w:rPr>
          <w:rFonts w:cs="宋体"/>
          <w:b/>
          <w:bCs/>
          <w:kern w:val="2"/>
          <w:szCs w:val="24"/>
          <w:highlight w:val="none"/>
        </w:rPr>
      </w:pPr>
      <w:r>
        <w:rPr>
          <w:rFonts w:hint="eastAsia" w:cs="宋体"/>
          <w:b/>
          <w:kern w:val="2"/>
          <w:szCs w:val="24"/>
          <w:highlight w:val="none"/>
        </w:rPr>
        <w:t>开户行账号：</w:t>
      </w:r>
      <w:r>
        <w:rPr>
          <w:rFonts w:hint="eastAsia" w:cs="宋体"/>
          <w:b/>
          <w:kern w:val="2"/>
          <w:szCs w:val="24"/>
          <w:highlight w:val="none"/>
          <w:u w:val="single"/>
        </w:rPr>
        <w:t xml:space="preserve">                          </w:t>
      </w:r>
    </w:p>
    <w:p w14:paraId="654E1AE1">
      <w:pPr>
        <w:widowControl/>
        <w:spacing w:line="240" w:lineRule="auto"/>
        <w:ind w:firstLine="0" w:firstLineChars="0"/>
        <w:rPr>
          <w:rFonts w:cs="@仿宋_GB2312"/>
          <w:b/>
          <w:bCs/>
          <w:kern w:val="2"/>
          <w:szCs w:val="24"/>
          <w:highlight w:val="none"/>
        </w:rPr>
      </w:pPr>
    </w:p>
    <w:p w14:paraId="1D074C14">
      <w:pPr>
        <w:widowControl/>
        <w:spacing w:line="240" w:lineRule="auto"/>
        <w:ind w:firstLine="0" w:firstLineChars="0"/>
        <w:jc w:val="center"/>
        <w:rPr>
          <w:rFonts w:cs="@仿宋_GB2312"/>
          <w:b/>
          <w:bCs/>
          <w:kern w:val="2"/>
          <w:szCs w:val="24"/>
          <w:highlight w:val="none"/>
        </w:rPr>
      </w:pPr>
    </w:p>
    <w:p w14:paraId="6B8F2973">
      <w:pPr>
        <w:widowControl/>
        <w:spacing w:line="240" w:lineRule="auto"/>
        <w:ind w:firstLine="0" w:firstLineChars="0"/>
        <w:jc w:val="left"/>
        <w:rPr>
          <w:rFonts w:asciiTheme="minorEastAsia" w:hAnsiTheme="minorEastAsia" w:eastAsiaTheme="minorEastAsia"/>
          <w:b/>
          <w:highlight w:val="none"/>
        </w:rPr>
      </w:pPr>
      <w:r>
        <w:rPr>
          <w:rFonts w:hint="eastAsia" w:asciiTheme="minorEastAsia" w:hAnsiTheme="minorEastAsia" w:eastAsiaTheme="minorEastAsia"/>
          <w:b/>
          <w:highlight w:val="none"/>
        </w:rPr>
        <w:br w:type="page"/>
      </w:r>
    </w:p>
    <w:p w14:paraId="2A1A40C0">
      <w:pPr>
        <w:ind w:left="0" w:leftChars="0" w:firstLine="0" w:firstLineChars="0"/>
        <w:jc w:val="center"/>
        <w:outlineLvl w:val="2"/>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t>九、人员配备</w:t>
      </w:r>
    </w:p>
    <w:p w14:paraId="28B80F4C">
      <w:pPr>
        <w:ind w:firstLine="482"/>
        <w:jc w:val="center"/>
        <w:outlineLvl w:val="2"/>
        <w:rPr>
          <w:rFonts w:hint="eastAsia" w:asciiTheme="minorEastAsia" w:hAnsiTheme="minorEastAsia" w:eastAsiaTheme="minorEastAsia"/>
          <w:b/>
          <w:highlight w:val="none"/>
          <w:lang w:val="en-US" w:eastAsia="zh-CN"/>
        </w:rPr>
      </w:pPr>
    </w:p>
    <w:p w14:paraId="1264682F">
      <w:pPr>
        <w:ind w:firstLine="482"/>
        <w:jc w:val="center"/>
        <w:outlineLvl w:val="2"/>
        <w:rPr>
          <w:rFonts w:hint="eastAsia" w:asciiTheme="minorEastAsia" w:hAnsiTheme="minorEastAsia" w:eastAsiaTheme="minorEastAsia"/>
          <w:b/>
          <w:highlight w:val="none"/>
          <w:lang w:val="en-US" w:eastAsia="zh-CN"/>
        </w:rPr>
      </w:pPr>
    </w:p>
    <w:p w14:paraId="1696B9A3">
      <w:pPr>
        <w:ind w:firstLine="482"/>
        <w:jc w:val="center"/>
        <w:outlineLvl w:val="2"/>
        <w:rPr>
          <w:rFonts w:hint="eastAsia" w:asciiTheme="minorEastAsia" w:hAnsiTheme="minorEastAsia" w:eastAsiaTheme="minorEastAsia"/>
          <w:b/>
          <w:highlight w:val="none"/>
          <w:lang w:val="en-US" w:eastAsia="zh-CN"/>
        </w:rPr>
      </w:pPr>
    </w:p>
    <w:p w14:paraId="64B8D77E">
      <w:pPr>
        <w:ind w:firstLine="482"/>
        <w:jc w:val="center"/>
        <w:outlineLvl w:val="2"/>
        <w:rPr>
          <w:rFonts w:hint="eastAsia" w:asciiTheme="minorEastAsia" w:hAnsiTheme="minorEastAsia" w:eastAsiaTheme="minorEastAsia"/>
          <w:b/>
          <w:highlight w:val="none"/>
          <w:lang w:val="en-US" w:eastAsia="zh-CN"/>
        </w:rPr>
      </w:pPr>
    </w:p>
    <w:p w14:paraId="16EDFC0A">
      <w:pPr>
        <w:ind w:firstLine="482"/>
        <w:jc w:val="center"/>
        <w:outlineLvl w:val="2"/>
        <w:rPr>
          <w:rFonts w:hint="eastAsia" w:asciiTheme="minorEastAsia" w:hAnsiTheme="minorEastAsia" w:eastAsiaTheme="minorEastAsia"/>
          <w:b/>
          <w:highlight w:val="none"/>
          <w:lang w:val="en-US" w:eastAsia="zh-CN"/>
        </w:rPr>
      </w:pPr>
    </w:p>
    <w:p w14:paraId="5684A7F5">
      <w:pPr>
        <w:ind w:firstLine="482"/>
        <w:jc w:val="center"/>
        <w:outlineLvl w:val="2"/>
        <w:rPr>
          <w:rFonts w:hint="eastAsia" w:asciiTheme="minorEastAsia" w:hAnsiTheme="minorEastAsia" w:eastAsiaTheme="minorEastAsia"/>
          <w:b/>
          <w:highlight w:val="none"/>
          <w:lang w:val="en-US" w:eastAsia="zh-CN"/>
        </w:rPr>
      </w:pPr>
    </w:p>
    <w:p w14:paraId="27FB2A8D">
      <w:pPr>
        <w:ind w:firstLine="482"/>
        <w:jc w:val="center"/>
        <w:outlineLvl w:val="2"/>
        <w:rPr>
          <w:rFonts w:hint="eastAsia" w:asciiTheme="minorEastAsia" w:hAnsiTheme="minorEastAsia" w:eastAsiaTheme="minorEastAsia"/>
          <w:b/>
          <w:highlight w:val="none"/>
          <w:lang w:val="en-US" w:eastAsia="zh-CN"/>
        </w:rPr>
      </w:pPr>
    </w:p>
    <w:p w14:paraId="27F10B43">
      <w:pPr>
        <w:ind w:firstLine="482"/>
        <w:jc w:val="center"/>
        <w:outlineLvl w:val="2"/>
        <w:rPr>
          <w:rFonts w:hint="eastAsia" w:asciiTheme="minorEastAsia" w:hAnsiTheme="minorEastAsia" w:eastAsiaTheme="minorEastAsia"/>
          <w:b/>
          <w:highlight w:val="none"/>
          <w:lang w:val="en-US" w:eastAsia="zh-CN"/>
        </w:rPr>
      </w:pPr>
    </w:p>
    <w:p w14:paraId="673F7670">
      <w:pPr>
        <w:ind w:firstLine="482"/>
        <w:jc w:val="center"/>
        <w:outlineLvl w:val="2"/>
        <w:rPr>
          <w:rFonts w:hint="eastAsia" w:asciiTheme="minorEastAsia" w:hAnsiTheme="minorEastAsia" w:eastAsiaTheme="minorEastAsia"/>
          <w:b/>
          <w:highlight w:val="none"/>
          <w:lang w:val="en-US" w:eastAsia="zh-CN"/>
        </w:rPr>
      </w:pPr>
    </w:p>
    <w:p w14:paraId="5E9AA33E">
      <w:pPr>
        <w:ind w:firstLine="482"/>
        <w:jc w:val="center"/>
        <w:outlineLvl w:val="2"/>
        <w:rPr>
          <w:rFonts w:hint="eastAsia" w:asciiTheme="minorEastAsia" w:hAnsiTheme="minorEastAsia" w:eastAsiaTheme="minorEastAsia"/>
          <w:b/>
          <w:highlight w:val="none"/>
          <w:lang w:val="en-US" w:eastAsia="zh-CN"/>
        </w:rPr>
      </w:pPr>
    </w:p>
    <w:p w14:paraId="1D546189">
      <w:pPr>
        <w:ind w:firstLine="482"/>
        <w:jc w:val="center"/>
        <w:outlineLvl w:val="2"/>
        <w:rPr>
          <w:rFonts w:hint="eastAsia" w:asciiTheme="minorEastAsia" w:hAnsiTheme="minorEastAsia" w:eastAsiaTheme="minorEastAsia"/>
          <w:b/>
          <w:highlight w:val="none"/>
          <w:lang w:val="en-US" w:eastAsia="zh-CN"/>
        </w:rPr>
      </w:pPr>
    </w:p>
    <w:p w14:paraId="0DF758C2">
      <w:pPr>
        <w:ind w:firstLine="482"/>
        <w:jc w:val="center"/>
        <w:outlineLvl w:val="2"/>
        <w:rPr>
          <w:rFonts w:hint="eastAsia" w:asciiTheme="minorEastAsia" w:hAnsiTheme="minorEastAsia" w:eastAsiaTheme="minorEastAsia"/>
          <w:b/>
          <w:highlight w:val="none"/>
          <w:lang w:val="en-US" w:eastAsia="zh-CN"/>
        </w:rPr>
      </w:pPr>
    </w:p>
    <w:p w14:paraId="1D8F8A82">
      <w:pPr>
        <w:ind w:firstLine="482"/>
        <w:jc w:val="center"/>
        <w:outlineLvl w:val="2"/>
        <w:rPr>
          <w:rFonts w:hint="eastAsia" w:asciiTheme="minorEastAsia" w:hAnsiTheme="minorEastAsia" w:eastAsiaTheme="minorEastAsia"/>
          <w:b/>
          <w:highlight w:val="none"/>
          <w:lang w:val="en-US" w:eastAsia="zh-CN"/>
        </w:rPr>
      </w:pPr>
    </w:p>
    <w:p w14:paraId="4C4540F8">
      <w:pPr>
        <w:ind w:firstLine="482"/>
        <w:jc w:val="center"/>
        <w:outlineLvl w:val="2"/>
        <w:rPr>
          <w:rFonts w:hint="eastAsia" w:asciiTheme="minorEastAsia" w:hAnsiTheme="minorEastAsia" w:eastAsiaTheme="minorEastAsia"/>
          <w:b/>
          <w:highlight w:val="none"/>
          <w:lang w:val="en-US" w:eastAsia="zh-CN"/>
        </w:rPr>
      </w:pPr>
    </w:p>
    <w:p w14:paraId="4F2FA698">
      <w:pPr>
        <w:ind w:firstLine="482"/>
        <w:jc w:val="center"/>
        <w:outlineLvl w:val="2"/>
        <w:rPr>
          <w:rFonts w:hint="eastAsia" w:asciiTheme="minorEastAsia" w:hAnsiTheme="minorEastAsia" w:eastAsiaTheme="minorEastAsia"/>
          <w:b/>
          <w:highlight w:val="none"/>
          <w:lang w:val="en-US" w:eastAsia="zh-CN"/>
        </w:rPr>
      </w:pPr>
    </w:p>
    <w:p w14:paraId="1C6464AE">
      <w:pPr>
        <w:ind w:firstLine="482"/>
        <w:jc w:val="center"/>
        <w:outlineLvl w:val="2"/>
        <w:rPr>
          <w:rFonts w:hint="eastAsia" w:asciiTheme="minorEastAsia" w:hAnsiTheme="minorEastAsia" w:eastAsiaTheme="minorEastAsia"/>
          <w:b/>
          <w:highlight w:val="none"/>
          <w:lang w:val="en-US" w:eastAsia="zh-CN"/>
        </w:rPr>
      </w:pPr>
    </w:p>
    <w:p w14:paraId="11F57797">
      <w:pPr>
        <w:ind w:firstLine="482"/>
        <w:jc w:val="center"/>
        <w:outlineLvl w:val="2"/>
        <w:rPr>
          <w:rFonts w:hint="eastAsia" w:asciiTheme="minorEastAsia" w:hAnsiTheme="minorEastAsia" w:eastAsiaTheme="minorEastAsia"/>
          <w:b/>
          <w:highlight w:val="none"/>
          <w:lang w:val="en-US" w:eastAsia="zh-CN"/>
        </w:rPr>
      </w:pPr>
    </w:p>
    <w:p w14:paraId="77D42264">
      <w:pPr>
        <w:ind w:firstLine="482"/>
        <w:jc w:val="center"/>
        <w:outlineLvl w:val="2"/>
        <w:rPr>
          <w:rFonts w:hint="eastAsia" w:asciiTheme="minorEastAsia" w:hAnsiTheme="minorEastAsia" w:eastAsiaTheme="minorEastAsia"/>
          <w:b/>
          <w:highlight w:val="none"/>
          <w:lang w:val="en-US" w:eastAsia="zh-CN"/>
        </w:rPr>
      </w:pPr>
    </w:p>
    <w:p w14:paraId="39022012">
      <w:pPr>
        <w:ind w:firstLine="482"/>
        <w:jc w:val="center"/>
        <w:outlineLvl w:val="2"/>
        <w:rPr>
          <w:rFonts w:hint="eastAsia" w:asciiTheme="minorEastAsia" w:hAnsiTheme="minorEastAsia" w:eastAsiaTheme="minorEastAsia"/>
          <w:b/>
          <w:highlight w:val="none"/>
          <w:lang w:val="en-US" w:eastAsia="zh-CN"/>
        </w:rPr>
      </w:pPr>
    </w:p>
    <w:p w14:paraId="44412A07">
      <w:pPr>
        <w:ind w:firstLine="482"/>
        <w:jc w:val="center"/>
        <w:outlineLvl w:val="2"/>
        <w:rPr>
          <w:rFonts w:hint="eastAsia" w:asciiTheme="minorEastAsia" w:hAnsiTheme="minorEastAsia" w:eastAsiaTheme="minorEastAsia"/>
          <w:b/>
          <w:highlight w:val="none"/>
          <w:lang w:val="en-US" w:eastAsia="zh-CN"/>
        </w:rPr>
      </w:pPr>
    </w:p>
    <w:p w14:paraId="05464FAC">
      <w:pPr>
        <w:ind w:firstLine="482"/>
        <w:jc w:val="center"/>
        <w:outlineLvl w:val="2"/>
        <w:rPr>
          <w:rFonts w:hint="eastAsia" w:asciiTheme="minorEastAsia" w:hAnsiTheme="minorEastAsia" w:eastAsiaTheme="minorEastAsia"/>
          <w:b/>
          <w:highlight w:val="none"/>
          <w:lang w:val="en-US" w:eastAsia="zh-CN"/>
        </w:rPr>
      </w:pPr>
    </w:p>
    <w:p w14:paraId="1B709BD5">
      <w:pPr>
        <w:ind w:firstLine="482"/>
        <w:jc w:val="center"/>
        <w:outlineLvl w:val="2"/>
        <w:rPr>
          <w:rFonts w:hint="eastAsia" w:asciiTheme="minorEastAsia" w:hAnsiTheme="minorEastAsia" w:eastAsiaTheme="minorEastAsia"/>
          <w:b/>
          <w:highlight w:val="none"/>
          <w:lang w:val="en-US" w:eastAsia="zh-CN"/>
        </w:rPr>
      </w:pPr>
    </w:p>
    <w:p w14:paraId="0256AB89">
      <w:pPr>
        <w:ind w:firstLine="482"/>
        <w:jc w:val="center"/>
        <w:outlineLvl w:val="2"/>
        <w:rPr>
          <w:rFonts w:hint="eastAsia" w:asciiTheme="minorEastAsia" w:hAnsiTheme="minorEastAsia" w:eastAsiaTheme="minorEastAsia"/>
          <w:b/>
          <w:highlight w:val="none"/>
          <w:lang w:val="en-US" w:eastAsia="zh-CN"/>
        </w:rPr>
      </w:pPr>
    </w:p>
    <w:p w14:paraId="099162FC">
      <w:pPr>
        <w:ind w:firstLine="482"/>
        <w:jc w:val="center"/>
        <w:outlineLvl w:val="2"/>
        <w:rPr>
          <w:rFonts w:hint="eastAsia" w:asciiTheme="minorEastAsia" w:hAnsiTheme="minorEastAsia" w:eastAsiaTheme="minorEastAsia"/>
          <w:b/>
          <w:highlight w:val="none"/>
          <w:lang w:val="en-US" w:eastAsia="zh-CN"/>
        </w:rPr>
      </w:pPr>
    </w:p>
    <w:p w14:paraId="56454D79">
      <w:pPr>
        <w:ind w:firstLine="482"/>
        <w:jc w:val="center"/>
        <w:outlineLvl w:val="2"/>
        <w:rPr>
          <w:rFonts w:hint="eastAsia" w:asciiTheme="minorEastAsia" w:hAnsiTheme="minorEastAsia" w:eastAsiaTheme="minorEastAsia"/>
          <w:b/>
          <w:highlight w:val="none"/>
          <w:lang w:val="en-US" w:eastAsia="zh-CN"/>
        </w:rPr>
      </w:pPr>
    </w:p>
    <w:p w14:paraId="00352418">
      <w:pPr>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br w:type="page"/>
      </w:r>
    </w:p>
    <w:p w14:paraId="15526E35">
      <w:pPr>
        <w:ind w:left="0" w:leftChars="0" w:firstLine="0" w:firstLineChars="0"/>
        <w:jc w:val="center"/>
        <w:outlineLvl w:val="2"/>
        <w:rPr>
          <w:rFonts w:hint="default"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t>十、</w:t>
      </w:r>
      <w:r>
        <w:rPr>
          <w:rFonts w:hint="eastAsia" w:asciiTheme="minorEastAsia" w:hAnsiTheme="minorEastAsia" w:eastAsiaTheme="minorEastAsia"/>
          <w:b/>
          <w:highlight w:val="none"/>
          <w:lang w:val="zh-CN" w:eastAsia="zh-CN"/>
        </w:rPr>
        <w:t>供应商综合实力</w:t>
      </w:r>
    </w:p>
    <w:p w14:paraId="08014922">
      <w:pPr>
        <w:ind w:firstLine="482"/>
        <w:jc w:val="center"/>
        <w:outlineLvl w:val="2"/>
        <w:rPr>
          <w:rFonts w:hint="eastAsia" w:asciiTheme="minorEastAsia" w:hAnsiTheme="minorEastAsia" w:eastAsiaTheme="minorEastAsia"/>
          <w:b/>
          <w:highlight w:val="none"/>
          <w:lang w:val="en-US" w:eastAsia="zh-CN"/>
        </w:rPr>
      </w:pPr>
    </w:p>
    <w:p w14:paraId="0A3A0CBE">
      <w:pPr>
        <w:ind w:firstLine="482"/>
        <w:jc w:val="center"/>
        <w:outlineLvl w:val="2"/>
        <w:rPr>
          <w:rFonts w:hint="eastAsia" w:asciiTheme="minorEastAsia" w:hAnsiTheme="minorEastAsia" w:eastAsiaTheme="minorEastAsia"/>
          <w:b/>
          <w:highlight w:val="none"/>
          <w:lang w:val="en-US" w:eastAsia="zh-CN"/>
        </w:rPr>
      </w:pPr>
    </w:p>
    <w:p w14:paraId="1AF43DEA">
      <w:pPr>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br w:type="page"/>
      </w:r>
    </w:p>
    <w:p w14:paraId="6237F8A8">
      <w:pPr>
        <w:ind w:left="0" w:leftChars="0" w:firstLine="0" w:firstLineChars="0"/>
        <w:jc w:val="center"/>
        <w:outlineLvl w:val="2"/>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t>十一、</w:t>
      </w:r>
      <w:r>
        <w:rPr>
          <w:rFonts w:hint="eastAsia" w:asciiTheme="minorEastAsia" w:hAnsiTheme="minorEastAsia" w:eastAsiaTheme="minorEastAsia"/>
          <w:b/>
          <w:highlight w:val="none"/>
          <w:lang w:val="zh-CN" w:eastAsia="zh-CN"/>
        </w:rPr>
        <w:t>供应商管理体系</w:t>
      </w:r>
    </w:p>
    <w:p w14:paraId="76FB19CA">
      <w:pPr>
        <w:ind w:left="0" w:leftChars="0" w:firstLine="0" w:firstLineChars="0"/>
        <w:jc w:val="center"/>
        <w:outlineLvl w:val="2"/>
        <w:rPr>
          <w:rFonts w:hint="eastAsia" w:asciiTheme="minorEastAsia" w:hAnsiTheme="minorEastAsia" w:eastAsiaTheme="minorEastAsia"/>
          <w:b/>
          <w:highlight w:val="none"/>
          <w:lang w:val="en-US" w:eastAsia="zh-CN"/>
        </w:rPr>
      </w:pPr>
    </w:p>
    <w:p w14:paraId="018EE98F">
      <w:pPr>
        <w:ind w:firstLine="482"/>
        <w:jc w:val="center"/>
        <w:outlineLvl w:val="2"/>
        <w:rPr>
          <w:rFonts w:hint="eastAsia" w:asciiTheme="minorEastAsia" w:hAnsiTheme="minorEastAsia" w:eastAsiaTheme="minorEastAsia"/>
          <w:b/>
          <w:highlight w:val="none"/>
          <w:lang w:val="en-US" w:eastAsia="zh-CN"/>
        </w:rPr>
      </w:pPr>
    </w:p>
    <w:p w14:paraId="0D3988C5">
      <w:pPr>
        <w:ind w:firstLine="482"/>
        <w:jc w:val="center"/>
        <w:outlineLvl w:val="2"/>
        <w:rPr>
          <w:rFonts w:hint="eastAsia" w:asciiTheme="minorEastAsia" w:hAnsiTheme="minorEastAsia" w:eastAsiaTheme="minorEastAsia"/>
          <w:b/>
          <w:highlight w:val="none"/>
          <w:lang w:val="en-US" w:eastAsia="zh-CN"/>
        </w:rPr>
      </w:pPr>
    </w:p>
    <w:p w14:paraId="206D3A62">
      <w:pPr>
        <w:ind w:firstLine="482"/>
        <w:jc w:val="center"/>
        <w:outlineLvl w:val="2"/>
        <w:rPr>
          <w:rFonts w:hint="eastAsia" w:asciiTheme="minorEastAsia" w:hAnsiTheme="minorEastAsia" w:eastAsiaTheme="minorEastAsia"/>
          <w:b/>
          <w:highlight w:val="none"/>
          <w:lang w:val="en-US" w:eastAsia="zh-CN"/>
        </w:rPr>
      </w:pPr>
    </w:p>
    <w:p w14:paraId="7FC8AC98">
      <w:pPr>
        <w:ind w:firstLine="482"/>
        <w:jc w:val="center"/>
        <w:outlineLvl w:val="2"/>
        <w:rPr>
          <w:rFonts w:hint="eastAsia" w:asciiTheme="minorEastAsia" w:hAnsiTheme="minorEastAsia" w:eastAsiaTheme="minorEastAsia"/>
          <w:b/>
          <w:highlight w:val="none"/>
          <w:lang w:val="en-US" w:eastAsia="zh-CN"/>
        </w:rPr>
      </w:pPr>
    </w:p>
    <w:p w14:paraId="2D56E138">
      <w:pPr>
        <w:ind w:firstLine="482"/>
        <w:jc w:val="center"/>
        <w:outlineLvl w:val="2"/>
        <w:rPr>
          <w:rFonts w:hint="eastAsia" w:asciiTheme="minorEastAsia" w:hAnsiTheme="minorEastAsia" w:eastAsiaTheme="minorEastAsia"/>
          <w:b/>
          <w:highlight w:val="none"/>
          <w:lang w:val="en-US" w:eastAsia="zh-CN"/>
        </w:rPr>
      </w:pPr>
    </w:p>
    <w:p w14:paraId="5487D18F">
      <w:pPr>
        <w:ind w:firstLine="482"/>
        <w:jc w:val="center"/>
        <w:outlineLvl w:val="2"/>
        <w:rPr>
          <w:rFonts w:hint="eastAsia" w:asciiTheme="minorEastAsia" w:hAnsiTheme="minorEastAsia" w:eastAsiaTheme="minorEastAsia"/>
          <w:b/>
          <w:highlight w:val="none"/>
          <w:lang w:val="en-US" w:eastAsia="zh-CN"/>
        </w:rPr>
      </w:pPr>
    </w:p>
    <w:p w14:paraId="24A935EA">
      <w:pPr>
        <w:ind w:firstLine="482"/>
        <w:jc w:val="center"/>
        <w:outlineLvl w:val="2"/>
        <w:rPr>
          <w:rFonts w:hint="eastAsia" w:asciiTheme="minorEastAsia" w:hAnsiTheme="minorEastAsia" w:eastAsiaTheme="minorEastAsia"/>
          <w:b/>
          <w:highlight w:val="none"/>
          <w:lang w:val="en-US" w:eastAsia="zh-CN"/>
        </w:rPr>
      </w:pPr>
    </w:p>
    <w:p w14:paraId="5383D2D8">
      <w:pPr>
        <w:ind w:firstLine="482"/>
        <w:jc w:val="center"/>
        <w:outlineLvl w:val="2"/>
        <w:rPr>
          <w:rFonts w:hint="eastAsia" w:asciiTheme="minorEastAsia" w:hAnsiTheme="minorEastAsia" w:eastAsiaTheme="minorEastAsia"/>
          <w:b/>
          <w:highlight w:val="none"/>
          <w:lang w:val="en-US" w:eastAsia="zh-CN"/>
        </w:rPr>
      </w:pPr>
    </w:p>
    <w:p w14:paraId="507E016E">
      <w:pPr>
        <w:ind w:firstLine="482"/>
        <w:jc w:val="center"/>
        <w:outlineLvl w:val="2"/>
        <w:rPr>
          <w:rFonts w:hint="eastAsia" w:asciiTheme="minorEastAsia" w:hAnsiTheme="minorEastAsia" w:eastAsiaTheme="minorEastAsia"/>
          <w:b/>
          <w:highlight w:val="none"/>
          <w:lang w:val="en-US" w:eastAsia="zh-CN"/>
        </w:rPr>
      </w:pPr>
    </w:p>
    <w:p w14:paraId="4D9080CD">
      <w:pPr>
        <w:ind w:firstLine="482"/>
        <w:jc w:val="center"/>
        <w:outlineLvl w:val="2"/>
        <w:rPr>
          <w:rFonts w:hint="eastAsia" w:asciiTheme="minorEastAsia" w:hAnsiTheme="minorEastAsia" w:eastAsiaTheme="minorEastAsia"/>
          <w:b/>
          <w:highlight w:val="none"/>
          <w:lang w:val="en-US" w:eastAsia="zh-CN"/>
        </w:rPr>
      </w:pPr>
    </w:p>
    <w:p w14:paraId="455213AA">
      <w:pPr>
        <w:ind w:firstLine="482"/>
        <w:jc w:val="center"/>
        <w:outlineLvl w:val="2"/>
        <w:rPr>
          <w:rFonts w:hint="eastAsia" w:asciiTheme="minorEastAsia" w:hAnsiTheme="minorEastAsia" w:eastAsiaTheme="minorEastAsia"/>
          <w:b/>
          <w:highlight w:val="none"/>
          <w:lang w:val="en-US" w:eastAsia="zh-CN"/>
        </w:rPr>
      </w:pPr>
    </w:p>
    <w:p w14:paraId="57ABF430">
      <w:pPr>
        <w:ind w:firstLine="482"/>
        <w:jc w:val="center"/>
        <w:outlineLvl w:val="2"/>
        <w:rPr>
          <w:rFonts w:hint="eastAsia" w:asciiTheme="minorEastAsia" w:hAnsiTheme="minorEastAsia" w:eastAsiaTheme="minorEastAsia"/>
          <w:b/>
          <w:highlight w:val="none"/>
          <w:lang w:val="en-US" w:eastAsia="zh-CN"/>
        </w:rPr>
      </w:pPr>
    </w:p>
    <w:p w14:paraId="7F4AD56E">
      <w:pPr>
        <w:ind w:firstLine="482"/>
        <w:jc w:val="center"/>
        <w:outlineLvl w:val="2"/>
        <w:rPr>
          <w:rFonts w:hint="eastAsia" w:asciiTheme="minorEastAsia" w:hAnsiTheme="minorEastAsia" w:eastAsiaTheme="minorEastAsia"/>
          <w:b/>
          <w:highlight w:val="none"/>
          <w:lang w:val="en-US" w:eastAsia="zh-CN"/>
        </w:rPr>
      </w:pPr>
    </w:p>
    <w:p w14:paraId="45205450">
      <w:pPr>
        <w:ind w:firstLine="482"/>
        <w:jc w:val="center"/>
        <w:outlineLvl w:val="2"/>
        <w:rPr>
          <w:rFonts w:hint="eastAsia" w:asciiTheme="minorEastAsia" w:hAnsiTheme="minorEastAsia" w:eastAsiaTheme="minorEastAsia"/>
          <w:b/>
          <w:highlight w:val="none"/>
          <w:lang w:val="en-US" w:eastAsia="zh-CN"/>
        </w:rPr>
      </w:pPr>
    </w:p>
    <w:p w14:paraId="475EDDEE">
      <w:pPr>
        <w:ind w:firstLine="482"/>
        <w:jc w:val="center"/>
        <w:outlineLvl w:val="2"/>
        <w:rPr>
          <w:rFonts w:hint="eastAsia" w:asciiTheme="minorEastAsia" w:hAnsiTheme="minorEastAsia" w:eastAsiaTheme="minorEastAsia"/>
          <w:b/>
          <w:highlight w:val="none"/>
          <w:lang w:val="en-US" w:eastAsia="zh-CN"/>
        </w:rPr>
      </w:pPr>
    </w:p>
    <w:p w14:paraId="7E55E45F">
      <w:pPr>
        <w:ind w:firstLine="482"/>
        <w:jc w:val="center"/>
        <w:outlineLvl w:val="2"/>
        <w:rPr>
          <w:rFonts w:hint="eastAsia" w:asciiTheme="minorEastAsia" w:hAnsiTheme="minorEastAsia" w:eastAsiaTheme="minorEastAsia"/>
          <w:b/>
          <w:highlight w:val="none"/>
          <w:lang w:val="en-US" w:eastAsia="zh-CN"/>
        </w:rPr>
      </w:pPr>
    </w:p>
    <w:p w14:paraId="2EA6CDF0">
      <w:pPr>
        <w:ind w:firstLine="482"/>
        <w:jc w:val="center"/>
        <w:outlineLvl w:val="2"/>
        <w:rPr>
          <w:rFonts w:hint="eastAsia" w:asciiTheme="minorEastAsia" w:hAnsiTheme="minorEastAsia" w:eastAsiaTheme="minorEastAsia"/>
          <w:b/>
          <w:highlight w:val="none"/>
          <w:lang w:val="en-US" w:eastAsia="zh-CN"/>
        </w:rPr>
      </w:pPr>
    </w:p>
    <w:p w14:paraId="1115E482">
      <w:pPr>
        <w:ind w:firstLine="482"/>
        <w:jc w:val="center"/>
        <w:outlineLvl w:val="2"/>
        <w:rPr>
          <w:rFonts w:hint="eastAsia" w:asciiTheme="minorEastAsia" w:hAnsiTheme="minorEastAsia" w:eastAsiaTheme="minorEastAsia"/>
          <w:b/>
          <w:highlight w:val="none"/>
          <w:lang w:val="en-US" w:eastAsia="zh-CN"/>
        </w:rPr>
      </w:pPr>
    </w:p>
    <w:p w14:paraId="376079FC">
      <w:pPr>
        <w:ind w:firstLine="482"/>
        <w:jc w:val="center"/>
        <w:outlineLvl w:val="2"/>
        <w:rPr>
          <w:rFonts w:hint="eastAsia" w:asciiTheme="minorEastAsia" w:hAnsiTheme="minorEastAsia" w:eastAsiaTheme="minorEastAsia"/>
          <w:b/>
          <w:highlight w:val="none"/>
          <w:lang w:val="en-US" w:eastAsia="zh-CN"/>
        </w:rPr>
      </w:pPr>
    </w:p>
    <w:p w14:paraId="79943411">
      <w:pPr>
        <w:ind w:firstLine="482"/>
        <w:jc w:val="center"/>
        <w:outlineLvl w:val="2"/>
        <w:rPr>
          <w:rFonts w:hint="eastAsia" w:asciiTheme="minorEastAsia" w:hAnsiTheme="minorEastAsia" w:eastAsiaTheme="minorEastAsia"/>
          <w:b/>
          <w:highlight w:val="none"/>
          <w:lang w:val="en-US" w:eastAsia="zh-CN"/>
        </w:rPr>
      </w:pPr>
    </w:p>
    <w:p w14:paraId="77043BA8">
      <w:pPr>
        <w:ind w:firstLine="482"/>
        <w:jc w:val="center"/>
        <w:outlineLvl w:val="2"/>
        <w:rPr>
          <w:rFonts w:hint="eastAsia" w:asciiTheme="minorEastAsia" w:hAnsiTheme="minorEastAsia" w:eastAsiaTheme="minorEastAsia"/>
          <w:b/>
          <w:highlight w:val="none"/>
          <w:lang w:val="en-US" w:eastAsia="zh-CN"/>
        </w:rPr>
      </w:pPr>
    </w:p>
    <w:p w14:paraId="29FEF23F">
      <w:pPr>
        <w:ind w:firstLine="482"/>
        <w:jc w:val="center"/>
        <w:outlineLvl w:val="2"/>
        <w:rPr>
          <w:rFonts w:hint="eastAsia" w:asciiTheme="minorEastAsia" w:hAnsiTheme="minorEastAsia" w:eastAsiaTheme="minorEastAsia"/>
          <w:b/>
          <w:highlight w:val="none"/>
          <w:lang w:val="en-US" w:eastAsia="zh-CN"/>
        </w:rPr>
      </w:pPr>
    </w:p>
    <w:p w14:paraId="4C957284">
      <w:pPr>
        <w:rPr>
          <w:rFonts w:hint="eastAsia" w:asciiTheme="minorEastAsia" w:hAnsiTheme="minorEastAsia" w:eastAsiaTheme="minorEastAsia"/>
          <w:b/>
          <w:highlight w:val="none"/>
          <w:lang w:val="en-US" w:eastAsia="zh-CN"/>
        </w:rPr>
      </w:pPr>
      <w:r>
        <w:rPr>
          <w:rFonts w:hint="eastAsia" w:asciiTheme="minorEastAsia" w:hAnsiTheme="minorEastAsia" w:eastAsiaTheme="minorEastAsia"/>
          <w:b/>
          <w:highlight w:val="none"/>
          <w:lang w:val="en-US" w:eastAsia="zh-CN"/>
        </w:rPr>
        <w:br w:type="page"/>
      </w:r>
    </w:p>
    <w:p w14:paraId="351048FD">
      <w:pPr>
        <w:ind w:left="0" w:leftChars="0" w:firstLine="0" w:firstLineChars="0"/>
        <w:jc w:val="center"/>
        <w:outlineLvl w:val="2"/>
        <w:rPr>
          <w:rFonts w:hint="eastAsia" w:asciiTheme="minorEastAsia" w:hAnsiTheme="minorEastAsia" w:eastAsiaTheme="minorEastAsia"/>
          <w:b/>
          <w:highlight w:val="none"/>
        </w:rPr>
      </w:pPr>
      <w:r>
        <w:rPr>
          <w:rFonts w:hint="eastAsia" w:asciiTheme="minorEastAsia" w:hAnsiTheme="minorEastAsia" w:eastAsiaTheme="minorEastAsia"/>
          <w:b/>
          <w:highlight w:val="none"/>
          <w:lang w:val="en-US" w:eastAsia="zh-CN"/>
        </w:rPr>
        <w:t>十二</w:t>
      </w:r>
      <w:r>
        <w:rPr>
          <w:rFonts w:hint="eastAsia" w:asciiTheme="minorEastAsia" w:hAnsiTheme="minorEastAsia" w:eastAsiaTheme="minorEastAsia"/>
          <w:b/>
          <w:highlight w:val="none"/>
        </w:rPr>
        <w:t>、其他相关证明材料</w:t>
      </w:r>
    </w:p>
    <w:p w14:paraId="08FB9765">
      <w:pPr>
        <w:ind w:firstLine="480"/>
        <w:jc w:val="center"/>
        <w:rPr>
          <w:szCs w:val="24"/>
          <w:highlight w:val="none"/>
        </w:rPr>
      </w:pPr>
      <w:bookmarkStart w:id="23" w:name="_Toc29973"/>
      <w:bookmarkStart w:id="24" w:name="_Toc19685"/>
      <w:r>
        <w:rPr>
          <w:rFonts w:hint="eastAsia"/>
          <w:szCs w:val="24"/>
          <w:highlight w:val="none"/>
        </w:rPr>
        <w:t>供应商按照第四章评审方法和标准放置的其他资料。</w:t>
      </w:r>
      <w:bookmarkEnd w:id="23"/>
      <w:bookmarkEnd w:id="24"/>
    </w:p>
    <w:p w14:paraId="2F8C84DA">
      <w:pPr>
        <w:ind w:firstLine="480"/>
        <w:rPr>
          <w:szCs w:val="22"/>
          <w:highlight w:val="none"/>
        </w:rPr>
      </w:pPr>
      <w:r>
        <w:rPr>
          <w:rFonts w:hint="eastAsia"/>
          <w:szCs w:val="22"/>
          <w:highlight w:val="none"/>
        </w:rPr>
        <w:br w:type="page"/>
      </w:r>
    </w:p>
    <w:p w14:paraId="2DEC06B9">
      <w:pPr>
        <w:ind w:firstLine="883"/>
        <w:rPr>
          <w:rFonts w:cs="宋体"/>
          <w:b/>
          <w:bCs/>
          <w:sz w:val="44"/>
          <w:szCs w:val="44"/>
          <w:highlight w:val="none"/>
        </w:rPr>
      </w:pPr>
      <w:r>
        <w:rPr>
          <w:rFonts w:hint="eastAsia" w:cs="宋体"/>
          <w:b/>
          <w:bCs/>
          <w:sz w:val="44"/>
          <w:szCs w:val="44"/>
          <w:highlight w:val="none"/>
        </w:rPr>
        <w:t>附件：全流程电子招标采购具体要求</w:t>
      </w:r>
      <w:r>
        <w:rPr>
          <w:rStyle w:val="29"/>
          <w:rFonts w:hint="eastAsia" w:cs="宋体"/>
          <w:b/>
          <w:bCs/>
          <w:sz w:val="44"/>
          <w:szCs w:val="44"/>
          <w:highlight w:val="none"/>
        </w:rPr>
        <w:footnoteReference w:id="0"/>
      </w:r>
    </w:p>
    <w:p w14:paraId="4DEC45C4">
      <w:pPr>
        <w:spacing w:line="400" w:lineRule="exact"/>
        <w:ind w:firstLine="480"/>
        <w:rPr>
          <w:rFonts w:cs="宋体"/>
          <w:szCs w:val="24"/>
          <w:highlight w:val="none"/>
        </w:rPr>
      </w:pPr>
      <w:r>
        <w:rPr>
          <w:rFonts w:hint="eastAsia" w:cs="宋体"/>
          <w:szCs w:val="24"/>
          <w:highlight w:val="none"/>
        </w:rPr>
        <w:t>说明：当采用非招标方式进行全流程电子采购活动时，按照本规定执行，其中本要求“供应商”按“</w:t>
      </w:r>
      <w:r>
        <w:rPr>
          <w:rFonts w:hint="eastAsia"/>
          <w:szCs w:val="18"/>
          <w:highlight w:val="none"/>
        </w:rPr>
        <w:t>供应商</w:t>
      </w:r>
      <w:r>
        <w:rPr>
          <w:rFonts w:hint="eastAsia" w:cs="宋体"/>
          <w:szCs w:val="24"/>
          <w:highlight w:val="none"/>
        </w:rPr>
        <w:t>”理解，“投标文件”按“响应文件”理解，“招标文件”按“采购文件”理解，“投标文件递交截止时间”按“首次递交响应文件截止时间”理解，“开标”按“开启响应文件”理解，“评审委员会”按“评审小组”理解，“投标无效”按“响应文件无效”理解。</w:t>
      </w:r>
    </w:p>
    <w:p w14:paraId="3EF3D604">
      <w:pPr>
        <w:spacing w:line="400" w:lineRule="exact"/>
        <w:ind w:firstLine="480"/>
        <w:rPr>
          <w:rFonts w:cs="宋体"/>
          <w:szCs w:val="24"/>
          <w:highlight w:val="none"/>
        </w:rPr>
      </w:pPr>
    </w:p>
    <w:p w14:paraId="6467D399">
      <w:pPr>
        <w:spacing w:line="400" w:lineRule="exact"/>
        <w:ind w:firstLine="480"/>
        <w:rPr>
          <w:rFonts w:cs="宋体"/>
          <w:szCs w:val="24"/>
          <w:highlight w:val="none"/>
        </w:rPr>
      </w:pPr>
      <w:r>
        <w:rPr>
          <w:rFonts w:hint="eastAsia" w:cs="宋体"/>
          <w:szCs w:val="24"/>
          <w:highlight w:val="none"/>
        </w:rPr>
        <w:t>一、</w:t>
      </w:r>
      <w:r>
        <w:rPr>
          <w:rFonts w:hint="eastAsia" w:cs="宋体"/>
          <w:highlight w:val="none"/>
        </w:rPr>
        <w:t>CA</w:t>
      </w:r>
      <w:r>
        <w:rPr>
          <w:rFonts w:hint="eastAsia" w:cs="宋体"/>
          <w:szCs w:val="24"/>
          <w:highlight w:val="none"/>
        </w:rPr>
        <w:t>证书办理和注意事项</w:t>
      </w:r>
    </w:p>
    <w:p w14:paraId="22941297">
      <w:pPr>
        <w:spacing w:line="400" w:lineRule="exact"/>
        <w:ind w:firstLine="480"/>
        <w:rPr>
          <w:rFonts w:cs="宋体"/>
          <w:highlight w:val="none"/>
        </w:rPr>
      </w:pPr>
      <w:r>
        <w:rPr>
          <w:rFonts w:hint="eastAsia" w:cs="宋体"/>
          <w:szCs w:val="24"/>
          <w:highlight w:val="none"/>
        </w:rPr>
        <w:t>1.本项目采用全流程电子招标采购方式，</w:t>
      </w:r>
      <w:r>
        <w:rPr>
          <w:rFonts w:hint="eastAsia" w:cs="宋体"/>
          <w:highlight w:val="none"/>
        </w:rPr>
        <w:t>潜在</w:t>
      </w:r>
      <w:r>
        <w:rPr>
          <w:rFonts w:hint="eastAsia"/>
          <w:szCs w:val="18"/>
          <w:highlight w:val="none"/>
        </w:rPr>
        <w:t>供应商</w:t>
      </w:r>
      <w:r>
        <w:rPr>
          <w:rFonts w:hint="eastAsia" w:cs="宋体"/>
          <w:highlight w:val="none"/>
        </w:rPr>
        <w:t>应及时办理CA证书，用于对投标文件进行电子签章及加、解密。</w:t>
      </w:r>
    </w:p>
    <w:p w14:paraId="55A444BA">
      <w:pPr>
        <w:spacing w:line="400" w:lineRule="exact"/>
        <w:ind w:firstLine="480"/>
        <w:rPr>
          <w:rFonts w:cs="宋体"/>
          <w:bCs/>
          <w:highlight w:val="none"/>
        </w:rPr>
      </w:pPr>
      <w:r>
        <w:rPr>
          <w:rFonts w:hint="eastAsia" w:cs="宋体"/>
          <w:szCs w:val="24"/>
          <w:highlight w:val="none"/>
        </w:rPr>
        <w:t>2.CA</w:t>
      </w:r>
      <w:r>
        <w:rPr>
          <w:rFonts w:hint="eastAsia" w:cs="宋体"/>
          <w:highlight w:val="none"/>
        </w:rPr>
        <w:t>证书</w:t>
      </w:r>
      <w:r>
        <w:rPr>
          <w:rFonts w:hint="eastAsia" w:cs="宋体"/>
          <w:szCs w:val="24"/>
          <w:highlight w:val="none"/>
        </w:rPr>
        <w:t>办理详见</w:t>
      </w:r>
      <w:r>
        <w:rPr>
          <w:rFonts w:hint="eastAsia" w:cs="宋体"/>
          <w:bCs/>
          <w:highlight w:val="none"/>
        </w:rPr>
        <w:t>《优质采平台CA数字证书办理说明》：</w:t>
      </w:r>
    </w:p>
    <w:p w14:paraId="78AECCF3">
      <w:pPr>
        <w:spacing w:line="400" w:lineRule="exact"/>
        <w:ind w:firstLine="480"/>
        <w:rPr>
          <w:rFonts w:cs="宋体"/>
          <w:b/>
          <w:bCs/>
          <w:highlight w:val="none"/>
        </w:rPr>
      </w:pPr>
      <w:r>
        <w:rPr>
          <w:highlight w:val="none"/>
        </w:rPr>
        <w:fldChar w:fldCharType="begin"/>
      </w:r>
      <w:r>
        <w:rPr>
          <w:highlight w:val="none"/>
        </w:rPr>
        <w:instrText xml:space="preserve"> HYPERLINK "http://www.youzhicai.com/ActivityTopic/AdviceDetail/8f80a7ec-911f-4c4d-a123-f8849880f045" </w:instrText>
      </w:r>
      <w:r>
        <w:rPr>
          <w:highlight w:val="none"/>
        </w:rPr>
        <w:fldChar w:fldCharType="separate"/>
      </w:r>
      <w:r>
        <w:rPr>
          <w:rStyle w:val="26"/>
          <w:rFonts w:hint="eastAsia" w:cs="宋体"/>
          <w:bCs/>
          <w:color w:val="auto"/>
          <w:highlight w:val="none"/>
        </w:rPr>
        <w:t>http://www.youzhicai.com/ActivityTopic/AdviceDetail/8f80a7ec-911f-4c4d-a123-f</w:t>
      </w:r>
      <w:bookmarkStart w:id="25" w:name="_Hlt105085548"/>
      <w:bookmarkStart w:id="26" w:name="_Hlt105085547"/>
      <w:r>
        <w:rPr>
          <w:rStyle w:val="26"/>
          <w:rFonts w:hint="eastAsia" w:cs="宋体"/>
          <w:bCs/>
          <w:color w:val="auto"/>
          <w:highlight w:val="none"/>
        </w:rPr>
        <w:t>8</w:t>
      </w:r>
      <w:bookmarkEnd w:id="25"/>
      <w:bookmarkEnd w:id="26"/>
      <w:r>
        <w:rPr>
          <w:rStyle w:val="26"/>
          <w:rFonts w:hint="eastAsia" w:cs="宋体"/>
          <w:bCs/>
          <w:color w:val="auto"/>
          <w:highlight w:val="none"/>
        </w:rPr>
        <w:t>849880f045</w:t>
      </w:r>
      <w:r>
        <w:rPr>
          <w:rStyle w:val="26"/>
          <w:rFonts w:hint="eastAsia" w:cs="宋体"/>
          <w:bCs/>
          <w:color w:val="auto"/>
          <w:highlight w:val="none"/>
        </w:rPr>
        <w:fldChar w:fldCharType="end"/>
      </w:r>
      <w:r>
        <w:rPr>
          <w:rFonts w:hint="eastAsia" w:cs="宋体"/>
          <w:bCs/>
          <w:highlight w:val="none"/>
        </w:rPr>
        <w:t>。</w:t>
      </w:r>
    </w:p>
    <w:p w14:paraId="328EC523">
      <w:pPr>
        <w:spacing w:line="400" w:lineRule="exact"/>
        <w:ind w:firstLine="480"/>
        <w:rPr>
          <w:rFonts w:cs="宋体"/>
          <w:highlight w:val="none"/>
        </w:rPr>
      </w:pPr>
      <w:r>
        <w:rPr>
          <w:rFonts w:hint="eastAsia" w:cs="宋体"/>
          <w:szCs w:val="24"/>
          <w:highlight w:val="none"/>
        </w:rPr>
        <w:t>3.CA</w:t>
      </w:r>
      <w:r>
        <w:rPr>
          <w:rFonts w:hint="eastAsia" w:cs="宋体"/>
          <w:highlight w:val="none"/>
        </w:rPr>
        <w:t>证书</w:t>
      </w:r>
      <w:r>
        <w:rPr>
          <w:rFonts w:hint="eastAsia" w:cs="宋体"/>
          <w:szCs w:val="24"/>
          <w:highlight w:val="none"/>
        </w:rPr>
        <w:t>到期或即将到期，须在递交投标文件前办理续期。</w:t>
      </w:r>
    </w:p>
    <w:p w14:paraId="7E7979CF">
      <w:pPr>
        <w:spacing w:line="400" w:lineRule="exact"/>
        <w:ind w:firstLine="480"/>
        <w:rPr>
          <w:rFonts w:cs="宋体"/>
          <w:highlight w:val="none"/>
        </w:rPr>
      </w:pPr>
      <w:r>
        <w:rPr>
          <w:rFonts w:hint="eastAsia" w:cs="宋体"/>
          <w:szCs w:val="24"/>
          <w:highlight w:val="none"/>
        </w:rPr>
        <w:t>4.CA锁</w:t>
      </w:r>
      <w:r>
        <w:rPr>
          <w:rFonts w:hint="eastAsia" w:cs="宋体"/>
          <w:highlight w:val="none"/>
        </w:rPr>
        <w:t>遗失、损坏等无法使用，须在递交投标文件前补办CA锁。</w:t>
      </w:r>
    </w:p>
    <w:p w14:paraId="66002DC2">
      <w:pPr>
        <w:spacing w:line="400" w:lineRule="exact"/>
        <w:ind w:firstLine="480"/>
        <w:rPr>
          <w:rFonts w:cs="宋体"/>
          <w:highlight w:val="none"/>
        </w:rPr>
      </w:pPr>
      <w:r>
        <w:rPr>
          <w:rFonts w:hint="eastAsia" w:cs="宋体"/>
          <w:szCs w:val="24"/>
          <w:highlight w:val="none"/>
        </w:rPr>
        <w:t>5.企业</w:t>
      </w:r>
      <w:r>
        <w:rPr>
          <w:rFonts w:hint="eastAsia" w:cs="宋体"/>
          <w:highlight w:val="none"/>
        </w:rPr>
        <w:t>信息（包括但不限于企业名称和法定代表人信息）发生变更的，须在递交投标文件前变更CA证书。</w:t>
      </w:r>
    </w:p>
    <w:p w14:paraId="0E487AF2">
      <w:pPr>
        <w:spacing w:line="400" w:lineRule="exact"/>
        <w:ind w:firstLine="480"/>
        <w:rPr>
          <w:rFonts w:cs="宋体"/>
          <w:szCs w:val="24"/>
          <w:highlight w:val="none"/>
        </w:rPr>
      </w:pPr>
      <w:r>
        <w:rPr>
          <w:rFonts w:hint="eastAsia" w:cs="宋体"/>
          <w:szCs w:val="24"/>
          <w:highlight w:val="none"/>
        </w:rPr>
        <w:tab/>
      </w:r>
      <w:r>
        <w:rPr>
          <w:rFonts w:hint="eastAsia" w:cs="宋体"/>
          <w:szCs w:val="24"/>
          <w:highlight w:val="none"/>
        </w:rPr>
        <w:t>6.</w:t>
      </w:r>
      <w:r>
        <w:rPr>
          <w:rFonts w:hint="eastAsia"/>
          <w:szCs w:val="18"/>
          <w:highlight w:val="none"/>
        </w:rPr>
        <w:t xml:space="preserve"> 供应商</w:t>
      </w:r>
      <w:r>
        <w:rPr>
          <w:rFonts w:hint="eastAsia" w:cs="宋体"/>
          <w:szCs w:val="24"/>
          <w:highlight w:val="none"/>
        </w:rPr>
        <w:t>由于</w:t>
      </w:r>
      <w:r>
        <w:rPr>
          <w:rFonts w:hint="eastAsia" w:cs="宋体"/>
          <w:highlight w:val="none"/>
        </w:rPr>
        <w:t>CA证书</w:t>
      </w:r>
      <w:r>
        <w:rPr>
          <w:rFonts w:hint="eastAsia" w:cs="宋体"/>
          <w:szCs w:val="24"/>
          <w:highlight w:val="none"/>
        </w:rPr>
        <w:t>遗失、损坏、更换、续期、企业信息变更等情况导致投标文件无法解密的，由</w:t>
      </w:r>
      <w:r>
        <w:rPr>
          <w:rFonts w:hint="eastAsia"/>
          <w:szCs w:val="18"/>
          <w:highlight w:val="none"/>
        </w:rPr>
        <w:t>供应商</w:t>
      </w:r>
      <w:r>
        <w:rPr>
          <w:rFonts w:hint="eastAsia" w:cs="宋体"/>
          <w:szCs w:val="24"/>
          <w:highlight w:val="none"/>
        </w:rPr>
        <w:t>自行承担责任；</w:t>
      </w:r>
    </w:p>
    <w:p w14:paraId="7F04FD18">
      <w:pPr>
        <w:spacing w:line="400" w:lineRule="exact"/>
        <w:ind w:firstLine="480"/>
        <w:rPr>
          <w:rFonts w:cs="宋体"/>
          <w:szCs w:val="24"/>
          <w:highlight w:val="none"/>
        </w:rPr>
      </w:pPr>
      <w:r>
        <w:rPr>
          <w:rFonts w:hint="eastAsia" w:cs="宋体"/>
          <w:szCs w:val="24"/>
          <w:highlight w:val="none"/>
        </w:rPr>
        <w:t>7.加密和解密投标文件</w:t>
      </w:r>
      <w:r>
        <w:rPr>
          <w:rFonts w:hint="eastAsia" w:cs="宋体"/>
          <w:highlight w:val="none"/>
        </w:rPr>
        <w:t>必须使用同一个CA证书</w:t>
      </w:r>
      <w:r>
        <w:rPr>
          <w:rFonts w:hint="eastAsia" w:cs="宋体"/>
          <w:szCs w:val="24"/>
          <w:highlight w:val="none"/>
        </w:rPr>
        <w:t>。</w:t>
      </w:r>
    </w:p>
    <w:p w14:paraId="262229ED">
      <w:pPr>
        <w:spacing w:line="400" w:lineRule="exact"/>
        <w:ind w:firstLine="480"/>
        <w:rPr>
          <w:rFonts w:cs="宋体"/>
          <w:szCs w:val="24"/>
          <w:highlight w:val="none"/>
        </w:rPr>
      </w:pPr>
      <w:r>
        <w:rPr>
          <w:rFonts w:hint="eastAsia" w:cs="宋体"/>
          <w:szCs w:val="24"/>
          <w:highlight w:val="none"/>
        </w:rPr>
        <w:t>二、制作、签章、加密、上传电子投标文件</w:t>
      </w:r>
    </w:p>
    <w:p w14:paraId="34A002EC">
      <w:pPr>
        <w:spacing w:line="400" w:lineRule="exact"/>
        <w:ind w:firstLine="480"/>
        <w:rPr>
          <w:rStyle w:val="26"/>
          <w:rFonts w:cs="宋体"/>
          <w:color w:val="auto"/>
          <w:highlight w:val="none"/>
        </w:rPr>
      </w:pPr>
      <w:r>
        <w:rPr>
          <w:rFonts w:hint="eastAsia" w:cs="宋体"/>
          <w:szCs w:val="24"/>
          <w:highlight w:val="none"/>
        </w:rPr>
        <w:t>8.本项目采用全流程电子化招标采购方式，潜在</w:t>
      </w:r>
      <w:r>
        <w:rPr>
          <w:rFonts w:hint="eastAsia"/>
          <w:szCs w:val="18"/>
          <w:highlight w:val="none"/>
        </w:rPr>
        <w:t>供应商</w:t>
      </w:r>
      <w:r>
        <w:rPr>
          <w:rFonts w:hint="eastAsia" w:cs="宋体"/>
          <w:highlight w:val="none"/>
        </w:rPr>
        <w:t>需使用</w:t>
      </w:r>
      <w:r>
        <w:rPr>
          <w:rFonts w:hint="eastAsia" w:cs="宋体"/>
          <w:szCs w:val="24"/>
          <w:highlight w:val="none"/>
        </w:rPr>
        <w:t>“优质采投标工具客户端”（以下简称“投标工具”）制作</w:t>
      </w:r>
      <w:r>
        <w:rPr>
          <w:rFonts w:hint="eastAsia" w:cs="宋体"/>
          <w:highlight w:val="none"/>
        </w:rPr>
        <w:t>电子投标文件，</w:t>
      </w:r>
      <w:r>
        <w:rPr>
          <w:rFonts w:hint="eastAsia" w:cs="宋体"/>
          <w:szCs w:val="24"/>
          <w:highlight w:val="none"/>
        </w:rPr>
        <w:t>投标工具及操作说明下载地址：</w:t>
      </w:r>
      <w:r>
        <w:rPr>
          <w:highlight w:val="none"/>
        </w:rPr>
        <w:fldChar w:fldCharType="begin"/>
      </w:r>
      <w:r>
        <w:rPr>
          <w:highlight w:val="none"/>
        </w:rPr>
        <w:instrText xml:space="preserve"> HYPERLINK "https://toolcdn.youzhicai.com/tools/BidderTools.zip" </w:instrText>
      </w:r>
      <w:r>
        <w:rPr>
          <w:highlight w:val="none"/>
        </w:rPr>
        <w:fldChar w:fldCharType="separate"/>
      </w:r>
      <w:r>
        <w:rPr>
          <w:rStyle w:val="26"/>
          <w:rFonts w:hint="eastAsia" w:cs="宋体"/>
          <w:color w:val="auto"/>
          <w:highlight w:val="none"/>
        </w:rPr>
        <w:t>https://toolcdn.youzhicai.com/tools/BidderTools.zip</w:t>
      </w:r>
      <w:r>
        <w:rPr>
          <w:rStyle w:val="26"/>
          <w:rFonts w:hint="eastAsia" w:cs="宋体"/>
          <w:color w:val="auto"/>
          <w:highlight w:val="none"/>
        </w:rPr>
        <w:fldChar w:fldCharType="end"/>
      </w:r>
      <w:r>
        <w:rPr>
          <w:rStyle w:val="26"/>
          <w:rFonts w:hint="eastAsia" w:cs="宋体"/>
          <w:color w:val="auto"/>
          <w:highlight w:val="none"/>
        </w:rPr>
        <w:t>。</w:t>
      </w:r>
    </w:p>
    <w:p w14:paraId="555BC6C9">
      <w:pPr>
        <w:spacing w:line="400" w:lineRule="exact"/>
        <w:ind w:firstLine="480"/>
        <w:rPr>
          <w:rStyle w:val="26"/>
          <w:rFonts w:cs="宋体"/>
          <w:color w:val="auto"/>
          <w:highlight w:val="none"/>
          <w:u w:val="none"/>
        </w:rPr>
      </w:pPr>
      <w:r>
        <w:rPr>
          <w:rStyle w:val="26"/>
          <w:rFonts w:hint="eastAsia" w:cs="宋体"/>
          <w:color w:val="auto"/>
          <w:highlight w:val="none"/>
          <w:u w:val="none"/>
        </w:rPr>
        <w:tab/>
      </w:r>
      <w:r>
        <w:rPr>
          <w:rStyle w:val="26"/>
          <w:rFonts w:hint="eastAsia" w:cs="宋体"/>
          <w:color w:val="auto"/>
          <w:highlight w:val="none"/>
          <w:u w:val="none"/>
        </w:rPr>
        <w:t>8.1.投标工具建议在window7或windows10操作系统下使用；</w:t>
      </w:r>
    </w:p>
    <w:p w14:paraId="237B33DA">
      <w:pPr>
        <w:spacing w:line="400" w:lineRule="exact"/>
        <w:ind w:firstLine="480"/>
        <w:rPr>
          <w:rFonts w:cs="宋体"/>
          <w:bCs/>
          <w:sz w:val="18"/>
          <w:highlight w:val="none"/>
        </w:rPr>
      </w:pPr>
      <w:r>
        <w:rPr>
          <w:rStyle w:val="26"/>
          <w:rFonts w:hint="eastAsia" w:cs="宋体"/>
          <w:color w:val="auto"/>
          <w:highlight w:val="none"/>
          <w:u w:val="none"/>
        </w:rPr>
        <w:tab/>
      </w:r>
      <w:r>
        <w:rPr>
          <w:rStyle w:val="26"/>
          <w:rFonts w:hint="eastAsia" w:cs="宋体"/>
          <w:color w:val="auto"/>
          <w:highlight w:val="none"/>
          <w:u w:val="none"/>
        </w:rPr>
        <w:t>8.2.电子投标文件编制建议使用</w:t>
      </w:r>
      <w:r>
        <w:rPr>
          <w:rFonts w:hint="eastAsia" w:cs="宋体"/>
          <w:highlight w:val="none"/>
        </w:rPr>
        <w:t>office2010版本。</w:t>
      </w:r>
    </w:p>
    <w:p w14:paraId="301A0A39">
      <w:pPr>
        <w:wordWrap w:val="0"/>
        <w:spacing w:line="400" w:lineRule="exact"/>
        <w:ind w:firstLine="480"/>
        <w:rPr>
          <w:rFonts w:cs="宋体"/>
          <w:bCs/>
          <w:highlight w:val="none"/>
          <w:u w:val="single"/>
        </w:rPr>
      </w:pPr>
      <w:r>
        <w:rPr>
          <w:rFonts w:hint="eastAsia" w:cs="宋体"/>
          <w:szCs w:val="24"/>
          <w:highlight w:val="none"/>
        </w:rPr>
        <w:tab/>
      </w:r>
      <w:r>
        <w:rPr>
          <w:rFonts w:hint="eastAsia" w:cs="宋体"/>
          <w:szCs w:val="24"/>
          <w:highlight w:val="none"/>
        </w:rPr>
        <w:t>9.</w:t>
      </w:r>
      <w:r>
        <w:rPr>
          <w:rFonts w:hint="eastAsia" w:cs="宋体"/>
          <w:highlight w:val="none"/>
        </w:rPr>
        <w:t>潜在</w:t>
      </w:r>
      <w:r>
        <w:rPr>
          <w:rFonts w:hint="eastAsia"/>
          <w:szCs w:val="18"/>
          <w:highlight w:val="none"/>
        </w:rPr>
        <w:t>供应商</w:t>
      </w:r>
      <w:r>
        <w:rPr>
          <w:rFonts w:hint="eastAsia" w:cs="宋体"/>
          <w:highlight w:val="none"/>
        </w:rPr>
        <w:t>制作电子投标文件后，需在</w:t>
      </w:r>
      <w:r>
        <w:rPr>
          <w:rFonts w:hint="eastAsia" w:cs="宋体"/>
          <w:szCs w:val="24"/>
          <w:highlight w:val="none"/>
        </w:rPr>
        <w:t>投标工具</w:t>
      </w:r>
      <w:r>
        <w:rPr>
          <w:rFonts w:hint="eastAsia" w:cs="宋体"/>
          <w:highlight w:val="none"/>
        </w:rPr>
        <w:t>对电子投标文件进行电子签章（项目有特殊说明的除外），并使用CA</w:t>
      </w:r>
      <w:r>
        <w:rPr>
          <w:rFonts w:hint="eastAsia" w:cs="宋体"/>
          <w:szCs w:val="24"/>
          <w:highlight w:val="none"/>
        </w:rPr>
        <w:t>证书进行</w:t>
      </w:r>
      <w:r>
        <w:rPr>
          <w:rFonts w:hint="eastAsia" w:cs="宋体"/>
          <w:highlight w:val="none"/>
        </w:rPr>
        <w:t>加密。在</w:t>
      </w:r>
      <w:r>
        <w:rPr>
          <w:rFonts w:hint="eastAsia" w:cs="宋体"/>
          <w:szCs w:val="24"/>
          <w:highlight w:val="none"/>
        </w:rPr>
        <w:t>投标工具使用CA证书</w:t>
      </w:r>
      <w:r>
        <w:rPr>
          <w:rFonts w:hint="eastAsia" w:cs="宋体"/>
          <w:highlight w:val="none"/>
        </w:rPr>
        <w:t>时需安装“优质采数字证书助手”</w:t>
      </w:r>
      <w:r>
        <w:rPr>
          <w:rFonts w:hint="eastAsia" w:cs="宋体"/>
          <w:szCs w:val="24"/>
          <w:highlight w:val="none"/>
        </w:rPr>
        <w:t xml:space="preserve"> （即数字证书驱动）</w:t>
      </w:r>
      <w:r>
        <w:rPr>
          <w:rFonts w:hint="eastAsia" w:cs="宋体"/>
          <w:highlight w:val="none"/>
        </w:rPr>
        <w:t>，下载地址：</w:t>
      </w:r>
      <w:r>
        <w:rPr>
          <w:highlight w:val="none"/>
        </w:rPr>
        <w:fldChar w:fldCharType="begin"/>
      </w:r>
      <w:r>
        <w:rPr>
          <w:highlight w:val="none"/>
        </w:rPr>
        <w:instrText xml:space="preserve"> HYPERLINK "https://toolcdn.youzhicai.com/ca.zip" </w:instrText>
      </w:r>
      <w:r>
        <w:rPr>
          <w:highlight w:val="none"/>
        </w:rPr>
        <w:fldChar w:fldCharType="separate"/>
      </w:r>
      <w:r>
        <w:rPr>
          <w:rStyle w:val="26"/>
          <w:rFonts w:hint="eastAsia" w:cs="宋体"/>
          <w:color w:val="auto"/>
          <w:highlight w:val="none"/>
        </w:rPr>
        <w:t>https://toolcdn.youzhicai.com/ca.zip</w:t>
      </w:r>
      <w:r>
        <w:rPr>
          <w:rStyle w:val="26"/>
          <w:rFonts w:hint="eastAsia" w:cs="宋体"/>
          <w:color w:val="auto"/>
          <w:highlight w:val="none"/>
        </w:rPr>
        <w:fldChar w:fldCharType="end"/>
      </w:r>
      <w:r>
        <w:rPr>
          <w:rStyle w:val="26"/>
          <w:rFonts w:hint="eastAsia" w:cs="宋体"/>
          <w:color w:val="auto"/>
          <w:highlight w:val="none"/>
        </w:rPr>
        <w:t>。</w:t>
      </w:r>
    </w:p>
    <w:p w14:paraId="220DF888">
      <w:pPr>
        <w:wordWrap w:val="0"/>
        <w:spacing w:line="400" w:lineRule="exact"/>
        <w:ind w:firstLine="480"/>
        <w:rPr>
          <w:rFonts w:cs="宋体"/>
          <w:szCs w:val="24"/>
          <w:highlight w:val="none"/>
        </w:rPr>
      </w:pPr>
      <w:r>
        <w:rPr>
          <w:rFonts w:hint="eastAsia" w:cs="宋体"/>
          <w:highlight w:val="none"/>
        </w:rPr>
        <w:tab/>
      </w:r>
      <w:r>
        <w:rPr>
          <w:rFonts w:hint="eastAsia" w:cs="宋体"/>
          <w:szCs w:val="24"/>
          <w:highlight w:val="none"/>
        </w:rPr>
        <w:t>10.潜在</w:t>
      </w:r>
      <w:r>
        <w:rPr>
          <w:rFonts w:hint="eastAsia"/>
          <w:szCs w:val="18"/>
          <w:highlight w:val="none"/>
        </w:rPr>
        <w:t>供应商</w:t>
      </w:r>
      <w:r>
        <w:rPr>
          <w:rFonts w:hint="eastAsia" w:cs="宋体"/>
          <w:szCs w:val="24"/>
          <w:highlight w:val="none"/>
        </w:rPr>
        <w:t>完成制作、签章、加密投标文件后，需在</w:t>
      </w:r>
      <w:r>
        <w:rPr>
          <w:rFonts w:hint="eastAsia" w:cs="宋体"/>
          <w:highlight w:val="none"/>
        </w:rPr>
        <w:t>招标文件规定的投标截止时间前在</w:t>
      </w:r>
      <w:r>
        <w:rPr>
          <w:rFonts w:hint="eastAsia" w:cs="宋体"/>
          <w:szCs w:val="24"/>
          <w:highlight w:val="none"/>
        </w:rPr>
        <w:t>投标工具</w:t>
      </w:r>
      <w:r>
        <w:rPr>
          <w:rFonts w:hint="eastAsia" w:cs="宋体"/>
          <w:highlight w:val="none"/>
        </w:rPr>
        <w:t>完成上传。</w:t>
      </w:r>
      <w:r>
        <w:rPr>
          <w:rFonts w:hint="eastAsia" w:cs="宋体"/>
          <w:szCs w:val="24"/>
          <w:highlight w:val="none"/>
        </w:rPr>
        <w:t>投标截止时间以优质采云采购平台（</w:t>
      </w:r>
      <w:r>
        <w:rPr>
          <w:rFonts w:cs="宋体"/>
          <w:szCs w:val="24"/>
          <w:highlight w:val="none"/>
        </w:rPr>
        <w:t>http://www.youzhicai.com/</w:t>
      </w:r>
      <w:r>
        <w:rPr>
          <w:rFonts w:hint="eastAsia" w:cs="宋体"/>
          <w:szCs w:val="24"/>
          <w:highlight w:val="none"/>
        </w:rPr>
        <w:t>）系统的时间为准，如未在投标截止时间前完成电子投标文件上传，系统将自动关闭上传通道。潜在</w:t>
      </w:r>
      <w:r>
        <w:rPr>
          <w:rFonts w:hint="eastAsia"/>
          <w:szCs w:val="18"/>
          <w:highlight w:val="none"/>
        </w:rPr>
        <w:t>供应商</w:t>
      </w:r>
      <w:r>
        <w:rPr>
          <w:rFonts w:hint="eastAsia" w:cs="宋体"/>
          <w:szCs w:val="24"/>
          <w:highlight w:val="none"/>
        </w:rPr>
        <w:t>未完成电子投标文件上传的，视为没有递交投标文件。</w:t>
      </w:r>
    </w:p>
    <w:p w14:paraId="0570BA9D">
      <w:pPr>
        <w:wordWrap w:val="0"/>
        <w:spacing w:line="400" w:lineRule="exact"/>
        <w:ind w:firstLine="480"/>
        <w:rPr>
          <w:rFonts w:cs="宋体"/>
          <w:szCs w:val="24"/>
          <w:highlight w:val="none"/>
        </w:rPr>
      </w:pPr>
      <w:r>
        <w:rPr>
          <w:rFonts w:hint="eastAsia" w:cs="宋体"/>
          <w:szCs w:val="24"/>
          <w:highlight w:val="none"/>
        </w:rPr>
        <w:t>11.潜在</w:t>
      </w:r>
      <w:r>
        <w:rPr>
          <w:rFonts w:hint="eastAsia"/>
          <w:szCs w:val="18"/>
          <w:highlight w:val="none"/>
        </w:rPr>
        <w:t>供应商</w:t>
      </w:r>
      <w:r>
        <w:rPr>
          <w:rFonts w:hint="eastAsia" w:cs="宋体"/>
          <w:szCs w:val="24"/>
          <w:highlight w:val="none"/>
        </w:rPr>
        <w:t>在投标文件递交截止时间前，可以对其所递交的电子投标文件进行撤回，修改后重新上传。</w:t>
      </w:r>
    </w:p>
    <w:p w14:paraId="13905671">
      <w:pPr>
        <w:spacing w:line="400" w:lineRule="exact"/>
        <w:ind w:firstLine="480"/>
        <w:rPr>
          <w:rFonts w:cs="宋体"/>
          <w:szCs w:val="24"/>
          <w:highlight w:val="none"/>
        </w:rPr>
      </w:pPr>
      <w:r>
        <w:rPr>
          <w:rFonts w:hint="eastAsia" w:cs="宋体"/>
          <w:szCs w:val="24"/>
          <w:highlight w:val="none"/>
        </w:rPr>
        <w:t>12.潜在</w:t>
      </w:r>
      <w:r>
        <w:rPr>
          <w:rFonts w:hint="eastAsia"/>
          <w:szCs w:val="18"/>
          <w:highlight w:val="none"/>
        </w:rPr>
        <w:t>供应商</w:t>
      </w:r>
      <w:r>
        <w:rPr>
          <w:rFonts w:hint="eastAsia" w:cs="宋体"/>
          <w:szCs w:val="24"/>
          <w:highlight w:val="none"/>
        </w:rPr>
        <w:t>在制作、签章、加密、上传电子投标文件过程中，若存在技术操作问题，请及时联系优质采云采购平台客服人员，客服电话：400-0099-555，0551-62220164。</w:t>
      </w:r>
    </w:p>
    <w:p w14:paraId="6598C53A">
      <w:pPr>
        <w:spacing w:line="400" w:lineRule="exact"/>
        <w:ind w:firstLine="480"/>
        <w:rPr>
          <w:rFonts w:cs="宋体"/>
          <w:szCs w:val="24"/>
          <w:highlight w:val="none"/>
        </w:rPr>
      </w:pPr>
      <w:r>
        <w:rPr>
          <w:rFonts w:hint="eastAsia" w:cs="宋体"/>
          <w:szCs w:val="24"/>
          <w:highlight w:val="none"/>
        </w:rPr>
        <w:t>三、开标和解密</w:t>
      </w:r>
    </w:p>
    <w:p w14:paraId="66A1BE17">
      <w:pPr>
        <w:spacing w:line="400" w:lineRule="exact"/>
        <w:ind w:firstLine="480"/>
        <w:rPr>
          <w:rFonts w:cs="宋体"/>
          <w:szCs w:val="24"/>
          <w:highlight w:val="none"/>
        </w:rPr>
      </w:pPr>
      <w:r>
        <w:rPr>
          <w:rFonts w:hint="eastAsia" w:cs="宋体"/>
          <w:szCs w:val="24"/>
          <w:highlight w:val="none"/>
        </w:rPr>
        <w:t>13.</w:t>
      </w:r>
      <w:r>
        <w:rPr>
          <w:rFonts w:hint="eastAsia"/>
          <w:szCs w:val="18"/>
          <w:highlight w:val="none"/>
        </w:rPr>
        <w:t>业主单位</w:t>
      </w:r>
      <w:r>
        <w:rPr>
          <w:rFonts w:hint="eastAsia" w:cs="宋体"/>
          <w:szCs w:val="24"/>
          <w:highlight w:val="none"/>
        </w:rPr>
        <w:t>或代理机构工作人员（以下简称工作人员）根据有关规定登录系统组织开标。投标文件递交截止时间后由</w:t>
      </w:r>
      <w:r>
        <w:rPr>
          <w:rFonts w:hint="eastAsia"/>
          <w:szCs w:val="18"/>
          <w:highlight w:val="none"/>
        </w:rPr>
        <w:t>供应商</w:t>
      </w:r>
      <w:r>
        <w:rPr>
          <w:rFonts w:hint="eastAsia" w:cs="宋体"/>
          <w:szCs w:val="24"/>
          <w:highlight w:val="none"/>
        </w:rPr>
        <w:t>使用</w:t>
      </w:r>
      <w:r>
        <w:rPr>
          <w:rFonts w:hint="eastAsia" w:cs="宋体"/>
          <w:highlight w:val="none"/>
        </w:rPr>
        <w:t>CA证书</w:t>
      </w:r>
      <w:r>
        <w:rPr>
          <w:rFonts w:hint="eastAsia" w:cs="宋体"/>
          <w:szCs w:val="24"/>
          <w:highlight w:val="none"/>
        </w:rPr>
        <w:t>解密投标文件，工作人员导入已解密投标文件并公布开标结果。</w:t>
      </w:r>
    </w:p>
    <w:p w14:paraId="7688F8F8">
      <w:pPr>
        <w:spacing w:line="400" w:lineRule="exact"/>
        <w:ind w:firstLine="480"/>
        <w:rPr>
          <w:rFonts w:cs="宋体"/>
          <w:szCs w:val="24"/>
          <w:highlight w:val="none"/>
        </w:rPr>
      </w:pPr>
      <w:r>
        <w:rPr>
          <w:rFonts w:hint="eastAsia" w:cs="宋体"/>
          <w:szCs w:val="24"/>
          <w:highlight w:val="none"/>
        </w:rPr>
        <w:t>14.投标文件可远程解密，</w:t>
      </w:r>
      <w:r>
        <w:rPr>
          <w:rFonts w:hint="eastAsia"/>
          <w:szCs w:val="18"/>
          <w:highlight w:val="none"/>
        </w:rPr>
        <w:t>供应商</w:t>
      </w:r>
      <w:r>
        <w:rPr>
          <w:rFonts w:hint="eastAsia" w:cs="宋体"/>
          <w:szCs w:val="24"/>
          <w:highlight w:val="none"/>
        </w:rPr>
        <w:t>无需到达开标现场。招标文件“</w:t>
      </w:r>
      <w:r>
        <w:rPr>
          <w:rFonts w:hint="eastAsia"/>
          <w:szCs w:val="18"/>
          <w:highlight w:val="none"/>
        </w:rPr>
        <w:t>供应商</w:t>
      </w:r>
      <w:r>
        <w:rPr>
          <w:rFonts w:hint="eastAsia" w:cs="宋体"/>
          <w:szCs w:val="24"/>
          <w:highlight w:val="none"/>
        </w:rPr>
        <w:t>须知”中另有规定的，从其规定。</w:t>
      </w:r>
    </w:p>
    <w:p w14:paraId="1AC43BD5">
      <w:pPr>
        <w:spacing w:line="400" w:lineRule="exact"/>
        <w:ind w:firstLine="480"/>
        <w:rPr>
          <w:rFonts w:cs="宋体"/>
          <w:szCs w:val="24"/>
          <w:highlight w:val="none"/>
        </w:rPr>
      </w:pPr>
      <w:r>
        <w:rPr>
          <w:rFonts w:hint="eastAsia" w:cs="宋体"/>
          <w:szCs w:val="24"/>
          <w:highlight w:val="none"/>
        </w:rPr>
        <w:t>15.潜在</w:t>
      </w:r>
      <w:r>
        <w:rPr>
          <w:rFonts w:hint="eastAsia"/>
          <w:szCs w:val="18"/>
          <w:highlight w:val="none"/>
        </w:rPr>
        <w:t>供应商</w:t>
      </w:r>
      <w:r>
        <w:rPr>
          <w:rFonts w:hint="eastAsia" w:cs="宋体"/>
          <w:szCs w:val="24"/>
          <w:highlight w:val="none"/>
        </w:rPr>
        <w:t>须按照招标文件的要求在投标文件递交截止时间前登录投标工具并保持在线，关注开标互动大厅消息直到项目评审结束。</w:t>
      </w:r>
    </w:p>
    <w:p w14:paraId="5D1FB22A">
      <w:pPr>
        <w:spacing w:line="400" w:lineRule="exact"/>
        <w:ind w:firstLine="480"/>
        <w:rPr>
          <w:rFonts w:cs="宋体"/>
          <w:szCs w:val="24"/>
          <w:highlight w:val="none"/>
        </w:rPr>
      </w:pPr>
      <w:r>
        <w:rPr>
          <w:rFonts w:hint="eastAsia" w:cs="宋体"/>
          <w:szCs w:val="24"/>
          <w:highlight w:val="none"/>
        </w:rPr>
        <w:t>16.投标文件解密时限为投标文件递交截止时间后30分钟（招标文件“</w:t>
      </w:r>
      <w:r>
        <w:rPr>
          <w:rFonts w:hint="eastAsia"/>
          <w:szCs w:val="18"/>
          <w:highlight w:val="none"/>
        </w:rPr>
        <w:t>供应商</w:t>
      </w:r>
      <w:r>
        <w:rPr>
          <w:rFonts w:hint="eastAsia" w:cs="宋体"/>
          <w:szCs w:val="24"/>
          <w:highlight w:val="none"/>
        </w:rPr>
        <w:t>须知”中另有规定的，从其规定）。潜在</w:t>
      </w:r>
      <w:r>
        <w:rPr>
          <w:rFonts w:hint="eastAsia"/>
          <w:szCs w:val="18"/>
          <w:highlight w:val="none"/>
        </w:rPr>
        <w:t>供应商</w:t>
      </w:r>
      <w:r>
        <w:rPr>
          <w:rFonts w:hint="eastAsia" w:cs="宋体"/>
          <w:szCs w:val="24"/>
          <w:highlight w:val="none"/>
        </w:rPr>
        <w:t>须在投标文件解密时限内完成投标文件解密，未能成功解密的视为放弃投标。招标文件“</w:t>
      </w:r>
      <w:r>
        <w:rPr>
          <w:rFonts w:hint="eastAsia"/>
          <w:szCs w:val="18"/>
          <w:highlight w:val="none"/>
        </w:rPr>
        <w:t>供应商</w:t>
      </w:r>
      <w:r>
        <w:rPr>
          <w:rFonts w:hint="eastAsia" w:cs="宋体"/>
          <w:szCs w:val="24"/>
          <w:highlight w:val="none"/>
        </w:rPr>
        <w:t>须知”中对投标文件解密设有线下补救方案的，执行该补救方案。</w:t>
      </w:r>
    </w:p>
    <w:p w14:paraId="5D3BCE37">
      <w:pPr>
        <w:spacing w:line="400" w:lineRule="exact"/>
        <w:ind w:firstLine="480"/>
        <w:rPr>
          <w:rFonts w:cs="宋体"/>
          <w:szCs w:val="24"/>
          <w:highlight w:val="none"/>
        </w:rPr>
      </w:pPr>
      <w:r>
        <w:rPr>
          <w:rFonts w:hint="eastAsia" w:cs="宋体"/>
          <w:szCs w:val="24"/>
          <w:highlight w:val="none"/>
        </w:rPr>
        <w:t>四、评审和询标</w:t>
      </w:r>
    </w:p>
    <w:p w14:paraId="46DBF641">
      <w:pPr>
        <w:spacing w:line="400" w:lineRule="exact"/>
        <w:ind w:firstLine="480"/>
        <w:rPr>
          <w:rFonts w:cs="宋体"/>
          <w:szCs w:val="24"/>
          <w:highlight w:val="none"/>
        </w:rPr>
      </w:pPr>
      <w:r>
        <w:rPr>
          <w:rFonts w:hint="eastAsia" w:cs="宋体"/>
          <w:szCs w:val="24"/>
          <w:highlight w:val="none"/>
        </w:rPr>
        <w:t>17.评审委员会通过优质采电子评审工具将需要澄清、说明或补正的内容以询标函的形式发送给</w:t>
      </w:r>
      <w:r>
        <w:rPr>
          <w:rFonts w:hint="eastAsia"/>
          <w:szCs w:val="18"/>
          <w:highlight w:val="none"/>
        </w:rPr>
        <w:t>供应商</w:t>
      </w:r>
      <w:r>
        <w:rPr>
          <w:rFonts w:hint="eastAsia" w:cs="宋体"/>
          <w:szCs w:val="24"/>
          <w:highlight w:val="none"/>
        </w:rPr>
        <w:t>，</w:t>
      </w:r>
      <w:r>
        <w:rPr>
          <w:rFonts w:hint="eastAsia"/>
          <w:szCs w:val="18"/>
          <w:highlight w:val="none"/>
        </w:rPr>
        <w:t>供应商</w:t>
      </w:r>
      <w:r>
        <w:rPr>
          <w:rFonts w:hint="eastAsia" w:cs="宋体"/>
          <w:szCs w:val="24"/>
          <w:highlight w:val="none"/>
        </w:rPr>
        <w:t>应登录投标工具并保持在线状态，以便及时接收评审委员会可能发出的询标函，并在询标函载明的时间内回复，若</w:t>
      </w:r>
      <w:r>
        <w:rPr>
          <w:rFonts w:hint="eastAsia"/>
          <w:szCs w:val="18"/>
          <w:highlight w:val="none"/>
        </w:rPr>
        <w:t>供应商</w:t>
      </w:r>
      <w:r>
        <w:rPr>
          <w:rFonts w:hint="eastAsia" w:cs="宋体"/>
          <w:szCs w:val="24"/>
          <w:highlight w:val="none"/>
        </w:rPr>
        <w:t>未及时回复，视为放弃澄清。</w:t>
      </w:r>
    </w:p>
    <w:p w14:paraId="11C60149">
      <w:pPr>
        <w:spacing w:line="400" w:lineRule="exact"/>
        <w:ind w:firstLine="480"/>
        <w:rPr>
          <w:rFonts w:cs="宋体"/>
          <w:highlight w:val="none"/>
        </w:rPr>
      </w:pPr>
      <w:r>
        <w:rPr>
          <w:rFonts w:hint="eastAsia" w:cs="宋体"/>
          <w:highlight w:val="none"/>
        </w:rPr>
        <w:t>五、异常情形</w:t>
      </w:r>
    </w:p>
    <w:p w14:paraId="5C587348">
      <w:pPr>
        <w:spacing w:line="400" w:lineRule="exact"/>
        <w:ind w:firstLine="480"/>
        <w:rPr>
          <w:rFonts w:cs="宋体"/>
          <w:szCs w:val="24"/>
          <w:highlight w:val="none"/>
        </w:rPr>
      </w:pPr>
      <w:r>
        <w:rPr>
          <w:rFonts w:hint="eastAsia" w:cs="宋体"/>
          <w:szCs w:val="24"/>
          <w:highlight w:val="none"/>
        </w:rPr>
        <w:t>18.出现下列情形导致电子交易系统无法正常运行，影响招投标过程的公平、公正和信息安全，经第三方机构认定后，各方当事人免责：</w:t>
      </w:r>
    </w:p>
    <w:p w14:paraId="787E375F">
      <w:pPr>
        <w:spacing w:line="400" w:lineRule="exact"/>
        <w:ind w:firstLine="480"/>
        <w:rPr>
          <w:rFonts w:cs="宋体"/>
          <w:szCs w:val="24"/>
          <w:highlight w:val="none"/>
        </w:rPr>
      </w:pPr>
      <w:r>
        <w:rPr>
          <w:rFonts w:hint="eastAsia" w:cs="宋体"/>
          <w:szCs w:val="24"/>
          <w:highlight w:val="none"/>
        </w:rPr>
        <w:t>(1)网络、服务器、数据库发生故障造成无法访问或使用的；</w:t>
      </w:r>
    </w:p>
    <w:p w14:paraId="5FC67A0F">
      <w:pPr>
        <w:spacing w:line="400" w:lineRule="exact"/>
        <w:ind w:firstLine="480"/>
        <w:rPr>
          <w:rFonts w:cs="宋体"/>
          <w:szCs w:val="24"/>
          <w:highlight w:val="none"/>
        </w:rPr>
      </w:pPr>
      <w:r>
        <w:rPr>
          <w:rFonts w:hint="eastAsia" w:cs="宋体"/>
          <w:szCs w:val="24"/>
          <w:highlight w:val="none"/>
        </w:rPr>
        <w:t>(2)电力系统发生故障导致电子服务系统或电子交易系统无法运行；</w:t>
      </w:r>
    </w:p>
    <w:p w14:paraId="6A1044D6">
      <w:pPr>
        <w:spacing w:line="400" w:lineRule="exact"/>
        <w:ind w:firstLine="480"/>
        <w:rPr>
          <w:rFonts w:cs="宋体"/>
          <w:szCs w:val="24"/>
          <w:highlight w:val="none"/>
        </w:rPr>
      </w:pPr>
      <w:r>
        <w:rPr>
          <w:rFonts w:hint="eastAsia" w:cs="宋体"/>
          <w:szCs w:val="24"/>
          <w:highlight w:val="none"/>
        </w:rPr>
        <w:t>(3)出现网络攻击、病毒入侵以及电子服务系统或电子交易系统安全漏洞导致无法正常提供服务的；</w:t>
      </w:r>
    </w:p>
    <w:p w14:paraId="4A646AE8">
      <w:pPr>
        <w:spacing w:line="400" w:lineRule="exact"/>
        <w:ind w:firstLine="480"/>
        <w:rPr>
          <w:rFonts w:cs="宋体"/>
          <w:szCs w:val="24"/>
          <w:highlight w:val="none"/>
        </w:rPr>
      </w:pPr>
      <w:r>
        <w:rPr>
          <w:rFonts w:hint="eastAsia" w:cs="宋体"/>
          <w:szCs w:val="24"/>
          <w:highlight w:val="none"/>
        </w:rPr>
        <w:t>(4)其他无法保证招投标过程公平、公正和信息安全的情形。</w:t>
      </w:r>
    </w:p>
    <w:p w14:paraId="1CFF58B9">
      <w:pPr>
        <w:spacing w:line="400" w:lineRule="exact"/>
        <w:ind w:firstLine="480"/>
        <w:rPr>
          <w:rFonts w:cs="宋体"/>
          <w:highlight w:val="none"/>
        </w:rPr>
      </w:pPr>
      <w:r>
        <w:rPr>
          <w:rFonts w:hint="eastAsia" w:cs="宋体"/>
          <w:highlight w:val="none"/>
        </w:rPr>
        <w:t>六、异常情形处理</w:t>
      </w:r>
    </w:p>
    <w:p w14:paraId="46E436A5">
      <w:pPr>
        <w:spacing w:line="400" w:lineRule="exact"/>
        <w:ind w:firstLine="480"/>
        <w:rPr>
          <w:rFonts w:cs="宋体"/>
          <w:highlight w:val="none"/>
        </w:rPr>
      </w:pPr>
      <w:r>
        <w:rPr>
          <w:rFonts w:hint="eastAsia" w:cs="宋体"/>
          <w:highlight w:val="none"/>
        </w:rPr>
        <w:t>19.出现上述情形，优质采平台及时组织相关方查明原因，排除故障。若能保证在开标前恢复系统运行的，招投标程序继续进行；若导致开评审程序无法按时开展，但能在原开标时间后2小时内恢复系统运行的，招投标程序继续进行；若导致开评审程序无法按时开展，在原开标时间后2小时内无法恢复系统运行的，按以下程序操作：</w:t>
      </w:r>
    </w:p>
    <w:p w14:paraId="32717E4A">
      <w:pPr>
        <w:spacing w:line="400" w:lineRule="exact"/>
        <w:ind w:firstLine="480"/>
        <w:rPr>
          <w:rFonts w:cs="宋体"/>
          <w:highlight w:val="none"/>
        </w:rPr>
      </w:pPr>
      <w:r>
        <w:rPr>
          <w:rFonts w:hint="eastAsia" w:cs="宋体"/>
          <w:highlight w:val="none"/>
        </w:rPr>
        <w:t>（1）项目中止，中止期限由</w:t>
      </w:r>
      <w:r>
        <w:rPr>
          <w:rFonts w:hint="eastAsia"/>
          <w:szCs w:val="18"/>
          <w:highlight w:val="none"/>
        </w:rPr>
        <w:t>业主单位</w:t>
      </w:r>
      <w:r>
        <w:rPr>
          <w:rFonts w:hint="eastAsia" w:cs="宋体"/>
          <w:highlight w:val="none"/>
        </w:rPr>
        <w:t>或代理机构根据项目具体情况确定。中止期限届满后中止情形尚未消除的，</w:t>
      </w:r>
      <w:r>
        <w:rPr>
          <w:rFonts w:hint="eastAsia"/>
          <w:szCs w:val="18"/>
          <w:highlight w:val="none"/>
        </w:rPr>
        <w:t>业主单位</w:t>
      </w:r>
      <w:r>
        <w:rPr>
          <w:rFonts w:hint="eastAsia" w:cs="宋体"/>
          <w:highlight w:val="none"/>
        </w:rPr>
        <w:t>或代理机构可以根据实际情况决定延长中止期限。决定延长中止期限的，应向</w:t>
      </w:r>
      <w:r>
        <w:rPr>
          <w:rFonts w:hint="eastAsia"/>
          <w:szCs w:val="18"/>
          <w:highlight w:val="none"/>
        </w:rPr>
        <w:t>供应商</w:t>
      </w:r>
      <w:r>
        <w:rPr>
          <w:rFonts w:hint="eastAsia" w:cs="宋体"/>
          <w:highlight w:val="none"/>
        </w:rPr>
        <w:t>发出延长中止期限通知，并发布公布。</w:t>
      </w:r>
    </w:p>
    <w:p w14:paraId="0D0EF9F7">
      <w:pPr>
        <w:spacing w:line="400" w:lineRule="exact"/>
        <w:ind w:firstLine="480"/>
        <w:rPr>
          <w:rFonts w:cs="宋体"/>
          <w:highlight w:val="none"/>
        </w:rPr>
      </w:pPr>
      <w:r>
        <w:rPr>
          <w:rFonts w:hint="eastAsia" w:cs="宋体"/>
          <w:highlight w:val="none"/>
        </w:rPr>
        <w:t>（2）项目恢复，导致项目中止的情形消除后，</w:t>
      </w:r>
      <w:r>
        <w:rPr>
          <w:rFonts w:hint="eastAsia"/>
          <w:szCs w:val="18"/>
          <w:highlight w:val="none"/>
        </w:rPr>
        <w:t>业主单位</w:t>
      </w:r>
      <w:r>
        <w:rPr>
          <w:rFonts w:hint="eastAsia" w:cs="宋体"/>
          <w:highlight w:val="none"/>
        </w:rPr>
        <w:t>或代理机构应当尽快恢复招投标程序，向</w:t>
      </w:r>
      <w:r>
        <w:rPr>
          <w:rFonts w:hint="eastAsia"/>
          <w:szCs w:val="18"/>
          <w:highlight w:val="none"/>
        </w:rPr>
        <w:t>供应商</w:t>
      </w:r>
      <w:r>
        <w:rPr>
          <w:rFonts w:hint="eastAsia" w:cs="宋体"/>
          <w:highlight w:val="none"/>
        </w:rPr>
        <w:t>发出恢复交易通知，并发布公布；已发出延长中止期限通知的，按通知执行。</w:t>
      </w:r>
    </w:p>
    <w:p w14:paraId="705A58A2">
      <w:pPr>
        <w:ind w:firstLine="480"/>
        <w:rPr>
          <w:highlight w:val="none"/>
        </w:rPr>
      </w:pPr>
    </w:p>
    <w:p w14:paraId="2FF64BD1">
      <w:pPr>
        <w:ind w:firstLine="721"/>
        <w:jc w:val="center"/>
        <w:rPr>
          <w:rFonts w:ascii="华文宋体" w:hAnsi="华文宋体" w:eastAsia="华文宋体" w:cs="华文宋体"/>
          <w:b/>
          <w:bCs/>
          <w:sz w:val="36"/>
          <w:szCs w:val="44"/>
          <w:highlight w:val="none"/>
        </w:rPr>
      </w:pPr>
    </w:p>
    <w:p w14:paraId="1E034C32">
      <w:pPr>
        <w:ind w:firstLine="721"/>
        <w:jc w:val="center"/>
        <w:rPr>
          <w:rFonts w:ascii="华文宋体" w:hAnsi="华文宋体" w:eastAsia="华文宋体" w:cs="华文宋体"/>
          <w:b/>
          <w:bCs/>
          <w:sz w:val="36"/>
          <w:szCs w:val="44"/>
          <w:highlight w:val="none"/>
        </w:rPr>
      </w:pPr>
    </w:p>
    <w:p w14:paraId="1A396DD2">
      <w:pPr>
        <w:ind w:firstLine="721"/>
        <w:jc w:val="center"/>
        <w:rPr>
          <w:rFonts w:ascii="华文宋体" w:hAnsi="华文宋体" w:eastAsia="华文宋体" w:cs="华文宋体"/>
          <w:b/>
          <w:bCs/>
          <w:sz w:val="36"/>
          <w:szCs w:val="44"/>
          <w:highlight w:val="none"/>
        </w:rPr>
      </w:pPr>
    </w:p>
    <w:p w14:paraId="430759E6">
      <w:pPr>
        <w:ind w:firstLine="721"/>
        <w:jc w:val="center"/>
        <w:rPr>
          <w:rFonts w:ascii="华文宋体" w:hAnsi="华文宋体" w:eastAsia="华文宋体" w:cs="华文宋体"/>
          <w:b/>
          <w:bCs/>
          <w:sz w:val="36"/>
          <w:szCs w:val="44"/>
          <w:highlight w:val="none"/>
        </w:rPr>
      </w:pPr>
    </w:p>
    <w:p w14:paraId="1E851CF4">
      <w:pPr>
        <w:ind w:firstLine="721"/>
        <w:jc w:val="center"/>
        <w:rPr>
          <w:rFonts w:ascii="华文宋体" w:hAnsi="华文宋体" w:eastAsia="华文宋体" w:cs="华文宋体"/>
          <w:b/>
          <w:bCs/>
          <w:sz w:val="36"/>
          <w:szCs w:val="44"/>
          <w:highlight w:val="none"/>
        </w:rPr>
      </w:pPr>
    </w:p>
    <w:p w14:paraId="72E15DC2">
      <w:pPr>
        <w:ind w:firstLine="721"/>
        <w:jc w:val="center"/>
        <w:rPr>
          <w:rFonts w:ascii="华文宋体" w:hAnsi="华文宋体" w:eastAsia="华文宋体" w:cs="华文宋体"/>
          <w:b/>
          <w:bCs/>
          <w:sz w:val="36"/>
          <w:szCs w:val="44"/>
          <w:highlight w:val="none"/>
        </w:rPr>
      </w:pPr>
    </w:p>
    <w:p w14:paraId="3827C4FA">
      <w:pPr>
        <w:ind w:firstLine="721"/>
        <w:jc w:val="center"/>
        <w:rPr>
          <w:rFonts w:ascii="华文宋体" w:hAnsi="华文宋体" w:eastAsia="华文宋体" w:cs="华文宋体"/>
          <w:b/>
          <w:bCs/>
          <w:sz w:val="36"/>
          <w:szCs w:val="44"/>
          <w:highlight w:val="none"/>
        </w:rPr>
      </w:pPr>
    </w:p>
    <w:p w14:paraId="6831882E">
      <w:pPr>
        <w:ind w:firstLine="721"/>
        <w:jc w:val="center"/>
        <w:rPr>
          <w:rFonts w:ascii="华文宋体" w:hAnsi="华文宋体" w:eastAsia="华文宋体" w:cs="华文宋体"/>
          <w:b/>
          <w:bCs/>
          <w:sz w:val="36"/>
          <w:szCs w:val="44"/>
          <w:highlight w:val="none"/>
        </w:rPr>
      </w:pPr>
    </w:p>
    <w:p w14:paraId="2788DBE0">
      <w:pPr>
        <w:ind w:firstLine="721"/>
        <w:jc w:val="center"/>
        <w:rPr>
          <w:rFonts w:ascii="华文宋体" w:hAnsi="华文宋体" w:eastAsia="华文宋体" w:cs="华文宋体"/>
          <w:b/>
          <w:bCs/>
          <w:sz w:val="36"/>
          <w:szCs w:val="44"/>
          <w:highlight w:val="none"/>
        </w:rPr>
      </w:pPr>
    </w:p>
    <w:p w14:paraId="0EA2BC83">
      <w:pPr>
        <w:ind w:firstLine="721"/>
        <w:jc w:val="center"/>
        <w:rPr>
          <w:rFonts w:ascii="华文宋体" w:hAnsi="华文宋体" w:eastAsia="华文宋体" w:cs="华文宋体"/>
          <w:b/>
          <w:bCs/>
          <w:sz w:val="36"/>
          <w:szCs w:val="44"/>
          <w:highlight w:val="none"/>
        </w:rPr>
      </w:pPr>
    </w:p>
    <w:p w14:paraId="3A749510">
      <w:pPr>
        <w:ind w:firstLine="721"/>
        <w:jc w:val="center"/>
        <w:rPr>
          <w:rFonts w:ascii="华文宋体" w:hAnsi="华文宋体" w:eastAsia="华文宋体" w:cs="华文宋体"/>
          <w:b/>
          <w:bCs/>
          <w:sz w:val="36"/>
          <w:szCs w:val="44"/>
          <w:highlight w:val="none"/>
        </w:rPr>
      </w:pPr>
    </w:p>
    <w:p w14:paraId="5ED064AC">
      <w:pPr>
        <w:ind w:firstLine="721"/>
        <w:jc w:val="center"/>
        <w:rPr>
          <w:rFonts w:ascii="华文宋体" w:hAnsi="华文宋体" w:eastAsia="华文宋体" w:cs="华文宋体"/>
          <w:b/>
          <w:bCs/>
          <w:sz w:val="36"/>
          <w:szCs w:val="44"/>
          <w:highlight w:val="none"/>
        </w:rPr>
      </w:pPr>
    </w:p>
    <w:p w14:paraId="32CFE2DA">
      <w:pPr>
        <w:ind w:firstLine="721"/>
        <w:jc w:val="center"/>
        <w:rPr>
          <w:rFonts w:ascii="华文宋体" w:hAnsi="华文宋体" w:eastAsia="华文宋体" w:cs="华文宋体"/>
          <w:b/>
          <w:bCs/>
          <w:sz w:val="36"/>
          <w:szCs w:val="44"/>
          <w:highlight w:val="none"/>
        </w:rPr>
      </w:pPr>
    </w:p>
    <w:p w14:paraId="50B9B157">
      <w:pPr>
        <w:ind w:left="0" w:leftChars="0" w:firstLine="0" w:firstLineChars="0"/>
      </w:pPr>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4E828">
    <w:pPr>
      <w:pStyle w:val="10"/>
      <w:ind w:firstLine="360"/>
      <w:jc w:val="center"/>
    </w:pPr>
  </w:p>
  <w:p w14:paraId="06519F13">
    <w:pPr>
      <w:pStyle w:val="10"/>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D45D">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DBC48">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51B8F">
    <w:pPr>
      <w:pStyle w:val="10"/>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C56FAF">
                          <w:pPr>
                            <w:pStyle w:val="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FC56FAF">
                    <w:pPr>
                      <w:pStyle w:val="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ind w:firstLine="480"/>
      </w:pPr>
      <w:r>
        <w:separator/>
      </w:r>
    </w:p>
  </w:footnote>
  <w:footnote w:type="continuationSeparator" w:id="3">
    <w:p>
      <w:pPr>
        <w:spacing w:line="360" w:lineRule="auto"/>
        <w:ind w:firstLine="480"/>
      </w:pPr>
      <w:r>
        <w:continuationSeparator/>
      </w:r>
    </w:p>
  </w:footnote>
  <w:footnote w:id="0">
    <w:p w14:paraId="2704B6C4">
      <w:pPr>
        <w:pStyle w:val="12"/>
        <w:ind w:firstLine="360"/>
      </w:pPr>
      <w:r>
        <w:rPr>
          <w:rStyle w:val="29"/>
        </w:rPr>
        <w:footnoteRef/>
      </w:r>
      <w:r>
        <w:rPr>
          <w:rFonts w:hint="eastAsia"/>
        </w:rPr>
        <w:t>解密、询标时间可以根据项目情况予以调整。其他内容如需调整，请联系优质采后予以办理。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283F7">
    <w:pPr>
      <w:pStyle w:val="11"/>
      <w:ind w:firstLine="360"/>
      <w:jc w:val="left"/>
      <w:rPr>
        <w:rFonts w:eastAsiaTheme="minorEastAsia"/>
      </w:rPr>
    </w:pPr>
    <w:r>
      <w:rPr>
        <w:rFonts w:hint="eastAsia"/>
      </w:rPr>
      <w:t>磋商文件示范文本—服务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0D8A3">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45152">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13FD0">
    <w:pPr>
      <w:pStyle w:val="11"/>
      <w:pBdr>
        <w:bottom w:val="single" w:color="auto" w:sz="4" w:space="1"/>
      </w:pBdr>
      <w:ind w:firstLine="360"/>
      <w:jc w:val="left"/>
    </w:pPr>
    <w:r>
      <w:rPr>
        <w:rFonts w:hint="eastAsia"/>
      </w:rPr>
      <w:t>磋商文件示范文本—服务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F16BB"/>
    <w:multiLevelType w:val="singleLevel"/>
    <w:tmpl w:val="9EBF16BB"/>
    <w:lvl w:ilvl="0" w:tentative="0">
      <w:start w:val="5"/>
      <w:numFmt w:val="decimal"/>
      <w:lvlText w:val="%1."/>
      <w:lvlJc w:val="left"/>
      <w:pPr>
        <w:tabs>
          <w:tab w:val="left" w:pos="312"/>
        </w:tabs>
      </w:pPr>
    </w:lvl>
  </w:abstractNum>
  <w:abstractNum w:abstractNumId="1">
    <w:nsid w:val="BC5BF4D1"/>
    <w:multiLevelType w:val="singleLevel"/>
    <w:tmpl w:val="BC5BF4D1"/>
    <w:lvl w:ilvl="0" w:tentative="0">
      <w:start w:val="1"/>
      <w:numFmt w:val="chineseCounting"/>
      <w:suff w:val="nothing"/>
      <w:lvlText w:val="（%1）"/>
      <w:lvlJc w:val="left"/>
      <w:rPr>
        <w:rFonts w:hint="eastAsia"/>
      </w:rPr>
    </w:lvl>
  </w:abstractNum>
  <w:abstractNum w:abstractNumId="2">
    <w:nsid w:val="DD5B9BA2"/>
    <w:multiLevelType w:val="singleLevel"/>
    <w:tmpl w:val="DD5B9BA2"/>
    <w:lvl w:ilvl="0" w:tentative="0">
      <w:start w:val="1"/>
      <w:numFmt w:val="decimal"/>
      <w:suff w:val="nothing"/>
      <w:lvlText w:val="（%1）"/>
      <w:lvlJc w:val="left"/>
    </w:lvl>
  </w:abstractNum>
  <w:abstractNum w:abstractNumId="3">
    <w:nsid w:val="F71D34CA"/>
    <w:multiLevelType w:val="singleLevel"/>
    <w:tmpl w:val="F71D34CA"/>
    <w:lvl w:ilvl="0" w:tentative="0">
      <w:start w:val="1"/>
      <w:numFmt w:val="chineseCounting"/>
      <w:suff w:val="space"/>
      <w:lvlText w:val="第%1章"/>
      <w:lvlJc w:val="left"/>
      <w:rPr>
        <w:rFonts w:hint="eastAsia"/>
      </w:rPr>
    </w:lvl>
  </w:abstractNum>
  <w:abstractNum w:abstractNumId="4">
    <w:nsid w:val="2FC80071"/>
    <w:multiLevelType w:val="singleLevel"/>
    <w:tmpl w:val="2FC80071"/>
    <w:lvl w:ilvl="0" w:tentative="0">
      <w:start w:val="2"/>
      <w:numFmt w:val="decimal"/>
      <w:suff w:val="nothing"/>
      <w:lvlText w:val="(%1）"/>
      <w:lvlJc w:val="left"/>
    </w:lvl>
  </w:abstractNum>
  <w:abstractNum w:abstractNumId="5">
    <w:nsid w:val="64A59871"/>
    <w:multiLevelType w:val="singleLevel"/>
    <w:tmpl w:val="64A59871"/>
    <w:lvl w:ilvl="0" w:tentative="0">
      <w:start w:val="1"/>
      <w:numFmt w:val="decimal"/>
      <w:suff w:val="nothing"/>
      <w:lvlText w:val="%1"/>
      <w:lvlJc w:val="center"/>
      <w:pPr>
        <w:ind w:left="0" w:leftChars="0" w:firstLine="57" w:firstLineChars="0"/>
      </w:pPr>
      <w:rPr>
        <w:rFonts w:hint="default"/>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4D3508"/>
    <w:rsid w:val="00227663"/>
    <w:rsid w:val="02C646E1"/>
    <w:rsid w:val="04230D05"/>
    <w:rsid w:val="05685475"/>
    <w:rsid w:val="05F645D9"/>
    <w:rsid w:val="06A50AB1"/>
    <w:rsid w:val="07870921"/>
    <w:rsid w:val="0A601B61"/>
    <w:rsid w:val="0CC915B3"/>
    <w:rsid w:val="0D556D8D"/>
    <w:rsid w:val="0E4D3508"/>
    <w:rsid w:val="0F82443E"/>
    <w:rsid w:val="110A7E8F"/>
    <w:rsid w:val="11B12A00"/>
    <w:rsid w:val="12A8795F"/>
    <w:rsid w:val="139F5206"/>
    <w:rsid w:val="14F0383F"/>
    <w:rsid w:val="15127C5A"/>
    <w:rsid w:val="159D5A7B"/>
    <w:rsid w:val="16053AE4"/>
    <w:rsid w:val="162437A1"/>
    <w:rsid w:val="1A404921"/>
    <w:rsid w:val="1A841ED0"/>
    <w:rsid w:val="1D085BCA"/>
    <w:rsid w:val="1DE11C66"/>
    <w:rsid w:val="20BC4A3D"/>
    <w:rsid w:val="24F07BEB"/>
    <w:rsid w:val="251D7570"/>
    <w:rsid w:val="296A5517"/>
    <w:rsid w:val="2A581813"/>
    <w:rsid w:val="2A801147"/>
    <w:rsid w:val="2AB96756"/>
    <w:rsid w:val="30D153AB"/>
    <w:rsid w:val="32BD0DAD"/>
    <w:rsid w:val="335A484E"/>
    <w:rsid w:val="33EA3E24"/>
    <w:rsid w:val="34372D6B"/>
    <w:rsid w:val="36285CE0"/>
    <w:rsid w:val="36EC0E14"/>
    <w:rsid w:val="385008CD"/>
    <w:rsid w:val="3B497682"/>
    <w:rsid w:val="3CA54D8C"/>
    <w:rsid w:val="3F4168C2"/>
    <w:rsid w:val="41932A84"/>
    <w:rsid w:val="42132798"/>
    <w:rsid w:val="44B75239"/>
    <w:rsid w:val="45A656D1"/>
    <w:rsid w:val="47D91D8D"/>
    <w:rsid w:val="481E3C44"/>
    <w:rsid w:val="488C5444"/>
    <w:rsid w:val="4A6E2C61"/>
    <w:rsid w:val="4B1354AA"/>
    <w:rsid w:val="4BBE3774"/>
    <w:rsid w:val="4E6771AA"/>
    <w:rsid w:val="4F3258B7"/>
    <w:rsid w:val="500F2D95"/>
    <w:rsid w:val="507A1C34"/>
    <w:rsid w:val="53B536AF"/>
    <w:rsid w:val="54FD1E40"/>
    <w:rsid w:val="56E24FA2"/>
    <w:rsid w:val="578C4726"/>
    <w:rsid w:val="58C3686E"/>
    <w:rsid w:val="5B1A64ED"/>
    <w:rsid w:val="5C11169E"/>
    <w:rsid w:val="5E562FE2"/>
    <w:rsid w:val="5FBE38EB"/>
    <w:rsid w:val="60191968"/>
    <w:rsid w:val="61EF2FB9"/>
    <w:rsid w:val="62EF200D"/>
    <w:rsid w:val="6401024A"/>
    <w:rsid w:val="646A4041"/>
    <w:rsid w:val="65E73470"/>
    <w:rsid w:val="65ED4F2A"/>
    <w:rsid w:val="66647434"/>
    <w:rsid w:val="67246844"/>
    <w:rsid w:val="67656D42"/>
    <w:rsid w:val="67E22141"/>
    <w:rsid w:val="681966B5"/>
    <w:rsid w:val="69823BDB"/>
    <w:rsid w:val="6C044D7B"/>
    <w:rsid w:val="6C501D6F"/>
    <w:rsid w:val="6CAD0DB9"/>
    <w:rsid w:val="6CF9696F"/>
    <w:rsid w:val="6D3F3B91"/>
    <w:rsid w:val="6D4F60CE"/>
    <w:rsid w:val="6E9A5523"/>
    <w:rsid w:val="6EE844E0"/>
    <w:rsid w:val="71080E6A"/>
    <w:rsid w:val="71B608C6"/>
    <w:rsid w:val="728046FE"/>
    <w:rsid w:val="73DC0F0C"/>
    <w:rsid w:val="74EB35B2"/>
    <w:rsid w:val="759E7FEF"/>
    <w:rsid w:val="78E43D26"/>
    <w:rsid w:val="7A6B4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宋体" w:hAnsi="宋体" w:eastAsia="宋体" w:cstheme="minorBidi"/>
      <w:sz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spacing w:after="120"/>
    </w:pPr>
    <w:rPr>
      <w:rFonts w:ascii="@微软简标宋" w:hAnsi="@微软简标宋" w:eastAsia="@微软简标宋" w:cs="@微软简标宋"/>
      <w:szCs w:val="24"/>
      <w:lang w:val="zh-CN"/>
    </w:rPr>
  </w:style>
  <w:style w:type="paragraph" w:styleId="5">
    <w:name w:val="Body Text First Indent"/>
    <w:basedOn w:val="4"/>
    <w:next w:val="6"/>
    <w:unhideWhenUsed/>
    <w:qFormat/>
    <w:uiPriority w:val="99"/>
    <w:pPr>
      <w:ind w:firstLine="420" w:firstLineChars="100"/>
    </w:pPr>
  </w:style>
  <w:style w:type="paragraph" w:styleId="6">
    <w:name w:val="toc 6"/>
    <w:basedOn w:val="1"/>
    <w:next w:val="1"/>
    <w:semiHidden/>
    <w:qFormat/>
    <w:uiPriority w:val="0"/>
    <w:pPr>
      <w:ind w:left="2100" w:leftChars="1000"/>
    </w:pPr>
  </w:style>
  <w:style w:type="paragraph" w:styleId="7">
    <w:name w:val="Body Text Indent"/>
    <w:basedOn w:val="1"/>
    <w:next w:val="8"/>
    <w:unhideWhenUsed/>
    <w:qFormat/>
    <w:uiPriority w:val="0"/>
    <w:pPr>
      <w:spacing w:after="120"/>
      <w:ind w:left="420" w:leftChars="200"/>
    </w:pPr>
    <w:rPr>
      <w:rFonts w:asciiTheme="minorHAnsi" w:hAnsiTheme="minorHAnsi"/>
      <w:kern w:val="2"/>
      <w:sz w:val="21"/>
      <w:szCs w:val="22"/>
    </w:rPr>
  </w:style>
  <w:style w:type="paragraph" w:styleId="8">
    <w:name w:val="envelope return"/>
    <w:basedOn w:val="1"/>
    <w:qFormat/>
    <w:uiPriority w:val="0"/>
  </w:style>
  <w:style w:type="paragraph" w:styleId="9">
    <w:name w:val="Plain Text"/>
    <w:basedOn w:val="1"/>
    <w:qFormat/>
    <w:uiPriority w:val="0"/>
    <w:rPr>
      <w:rFonts w:hAnsi="Courier New" w:eastAsiaTheme="minorEastAsia"/>
      <w:szCs w:val="22"/>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unhideWhenUsed/>
    <w:qFormat/>
    <w:uiPriority w:val="0"/>
    <w:pPr>
      <w:snapToGrid w:val="0"/>
      <w:jc w:val="left"/>
    </w:pPr>
    <w:rPr>
      <w:rFonts w:ascii="Times New Roman" w:hAnsi="Times New Roman" w:cs="Times New Roman"/>
      <w:kern w:val="2"/>
      <w:sz w:val="18"/>
      <w:szCs w:val="18"/>
      <w:lang w:val="zh-CN"/>
    </w:rPr>
  </w:style>
  <w:style w:type="paragraph" w:styleId="13">
    <w:name w:val="toc 2"/>
    <w:basedOn w:val="1"/>
    <w:next w:val="1"/>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7"/>
    <w:next w:val="1"/>
    <w:qFormat/>
    <w:uiPriority w:val="0"/>
    <w:pPr>
      <w:ind w:left="420" w:firstLine="420" w:firstLineChars="200"/>
    </w:p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FollowedHyperlink"/>
    <w:basedOn w:val="18"/>
    <w:qFormat/>
    <w:uiPriority w:val="0"/>
    <w:rPr>
      <w:color w:val="800080"/>
      <w:u w:val="none"/>
    </w:rPr>
  </w:style>
  <w:style w:type="character" w:styleId="21">
    <w:name w:val="Emphasis"/>
    <w:basedOn w:val="18"/>
    <w:qFormat/>
    <w:uiPriority w:val="0"/>
  </w:style>
  <w:style w:type="character" w:styleId="22">
    <w:name w:val="HTML Definition"/>
    <w:basedOn w:val="18"/>
    <w:qFormat/>
    <w:uiPriority w:val="0"/>
  </w:style>
  <w:style w:type="character" w:styleId="23">
    <w:name w:val="HTML Typewriter"/>
    <w:basedOn w:val="18"/>
    <w:qFormat/>
    <w:uiPriority w:val="0"/>
    <w:rPr>
      <w:rFonts w:hint="default" w:ascii="monospace" w:hAnsi="monospace" w:eastAsia="monospace" w:cs="monospace"/>
      <w:sz w:val="20"/>
    </w:rPr>
  </w:style>
  <w:style w:type="character" w:styleId="24">
    <w:name w:val="HTML Acronym"/>
    <w:basedOn w:val="18"/>
    <w:qFormat/>
    <w:uiPriority w:val="0"/>
  </w:style>
  <w:style w:type="character" w:styleId="25">
    <w:name w:val="HTML Variable"/>
    <w:basedOn w:val="18"/>
    <w:qFormat/>
    <w:uiPriority w:val="0"/>
  </w:style>
  <w:style w:type="character" w:styleId="26">
    <w:name w:val="Hyperlink"/>
    <w:basedOn w:val="18"/>
    <w:unhideWhenUsed/>
    <w:qFormat/>
    <w:uiPriority w:val="99"/>
    <w:rPr>
      <w:color w:val="0026E5" w:themeColor="hyperlink"/>
      <w:u w:val="single"/>
      <w14:textFill>
        <w14:solidFill>
          <w14:schemeClr w14:val="hlink"/>
        </w14:solidFill>
      </w14:textFill>
    </w:rPr>
  </w:style>
  <w:style w:type="character" w:styleId="27">
    <w:name w:val="HTML Code"/>
    <w:basedOn w:val="18"/>
    <w:qFormat/>
    <w:uiPriority w:val="0"/>
    <w:rPr>
      <w:rFonts w:hint="default" w:ascii="monospace" w:hAnsi="monospace" w:eastAsia="monospace" w:cs="monospace"/>
      <w:sz w:val="20"/>
    </w:rPr>
  </w:style>
  <w:style w:type="character" w:styleId="28">
    <w:name w:val="HTML Cite"/>
    <w:basedOn w:val="18"/>
    <w:qFormat/>
    <w:uiPriority w:val="0"/>
  </w:style>
  <w:style w:type="character" w:styleId="29">
    <w:name w:val="footnote reference"/>
    <w:unhideWhenUsed/>
    <w:qFormat/>
    <w:uiPriority w:val="0"/>
    <w:rPr>
      <w:vertAlign w:val="superscript"/>
    </w:rPr>
  </w:style>
  <w:style w:type="character" w:styleId="30">
    <w:name w:val="HTML Keyboard"/>
    <w:basedOn w:val="18"/>
    <w:qFormat/>
    <w:uiPriority w:val="0"/>
    <w:rPr>
      <w:rFonts w:hint="default" w:ascii="monospace" w:hAnsi="monospace" w:eastAsia="monospace" w:cs="monospace"/>
      <w:sz w:val="20"/>
    </w:rPr>
  </w:style>
  <w:style w:type="character" w:styleId="31">
    <w:name w:val="HTML Sample"/>
    <w:basedOn w:val="18"/>
    <w:qFormat/>
    <w:uiPriority w:val="0"/>
    <w:rPr>
      <w:rFonts w:ascii="monospace" w:hAnsi="monospace" w:eastAsia="monospace" w:cs="monospace"/>
    </w:rPr>
  </w:style>
  <w:style w:type="paragraph" w:customStyle="1" w:styleId="32">
    <w:name w:val="五级目录"/>
    <w:basedOn w:val="1"/>
    <w:qFormat/>
    <w:uiPriority w:val="0"/>
    <w:pPr>
      <w:ind w:left="150" w:leftChars="150"/>
      <w:outlineLvl w:val="4"/>
    </w:pPr>
    <w:rPr>
      <w:rFonts w:ascii="黑体" w:hAnsi="Times New Roman"/>
      <w:szCs w:val="28"/>
    </w:rPr>
  </w:style>
  <w:style w:type="paragraph" w:customStyle="1" w:styleId="33">
    <w:name w:val="正文（缩进）"/>
    <w:basedOn w:val="1"/>
    <w:qFormat/>
    <w:uiPriority w:val="0"/>
    <w:pPr>
      <w:widowControl/>
      <w:spacing w:before="156" w:after="156"/>
      <w:ind w:firstLine="480"/>
      <w:jc w:val="left"/>
    </w:pPr>
    <w:rPr>
      <w:szCs w:val="24"/>
    </w:rPr>
  </w:style>
  <w:style w:type="paragraph" w:customStyle="1" w:styleId="34">
    <w:name w:val="xl31"/>
    <w:basedOn w:val="1"/>
    <w:qFormat/>
    <w:uiPriority w:val="0"/>
    <w:pPr>
      <w:ind w:firstLine="0" w:firstLineChars="0"/>
    </w:pPr>
    <w:rPr>
      <w:rFonts w:cs="宋体"/>
      <w:bCs/>
      <w:color w:val="000000" w:themeColor="text1"/>
      <w:szCs w:val="24"/>
      <w14:textFill>
        <w14:solidFill>
          <w14:schemeClr w14:val="tx1"/>
        </w14:solidFill>
      </w14:textFill>
    </w:rPr>
  </w:style>
  <w:style w:type="paragraph" w:customStyle="1" w:styleId="35">
    <w:name w:val="D&amp;L"/>
    <w:basedOn w:val="11"/>
    <w:qFormat/>
    <w:uiPriority w:val="0"/>
    <w:pPr>
      <w:pBdr>
        <w:bottom w:val="none" w:color="auto" w:sz="0" w:space="0"/>
      </w:pBdr>
      <w:snapToGrid/>
    </w:pPr>
    <w:rPr>
      <w:rFonts w:cs="宋体"/>
      <w:bCs/>
      <w:kern w:val="2"/>
      <w:sz w:val="24"/>
      <w:szCs w:val="24"/>
    </w:rPr>
  </w:style>
  <w:style w:type="paragraph" w:customStyle="1" w:styleId="36">
    <w:name w:val="普通 (Web)"/>
    <w:basedOn w:val="1"/>
    <w:qFormat/>
    <w:uiPriority w:val="0"/>
    <w:pPr>
      <w:widowControl/>
      <w:tabs>
        <w:tab w:val="left" w:pos="1152"/>
      </w:tabs>
      <w:ind w:firstLine="0" w:firstLineChars="0"/>
      <w:jc w:val="left"/>
    </w:pPr>
    <w:rPr>
      <w:rFonts w:cs="宋体"/>
      <w:b/>
      <w:color w:val="000000" w:themeColor="text1"/>
      <w:szCs w:val="24"/>
      <w14:textFill>
        <w14:solidFill>
          <w14:schemeClr w14:val="tx1"/>
        </w14:solidFill>
      </w14:textFill>
    </w:rPr>
  </w:style>
  <w:style w:type="paragraph" w:customStyle="1" w:styleId="37">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cs="宋体"/>
      <w:snapToGrid w:val="0"/>
      <w:color w:val="000000"/>
      <w:szCs w:val="24"/>
      <w:lang w:eastAsia="en-US"/>
    </w:rPr>
  </w:style>
  <w:style w:type="table" w:customStyle="1" w:styleId="39">
    <w:name w:val="Table Normal"/>
    <w:autoRedefine/>
    <w:semiHidden/>
    <w:unhideWhenUsed/>
    <w:qFormat/>
    <w:uiPriority w:val="0"/>
    <w:tblPr>
      <w:tblCellMar>
        <w:top w:w="0" w:type="dxa"/>
        <w:left w:w="0" w:type="dxa"/>
        <w:bottom w:w="0" w:type="dxa"/>
        <w:right w:w="0" w:type="dxa"/>
      </w:tblCellMar>
    </w:tblPr>
  </w:style>
  <w:style w:type="paragraph" w:customStyle="1" w:styleId="40">
    <w:name w:val="BodyText1I"/>
    <w:basedOn w:val="41"/>
    <w:qFormat/>
    <w:uiPriority w:val="0"/>
    <w:pPr>
      <w:ind w:firstLine="420" w:firstLineChars="100"/>
    </w:pPr>
  </w:style>
  <w:style w:type="paragraph" w:customStyle="1" w:styleId="41">
    <w:name w:val="BodyText"/>
    <w:basedOn w:val="1"/>
    <w:next w:val="42"/>
    <w:qFormat/>
    <w:uiPriority w:val="0"/>
    <w:pPr>
      <w:widowControl/>
      <w:snapToGrid w:val="0"/>
      <w:spacing w:line="240" w:lineRule="auto"/>
      <w:jc w:val="left"/>
      <w:textAlignment w:val="baseline"/>
    </w:pPr>
    <w:rPr>
      <w:color w:val="000000"/>
      <w:szCs w:val="24"/>
      <w:lang w:val="zh-CN" w:bidi="zh-CN"/>
    </w:rPr>
  </w:style>
  <w:style w:type="paragraph" w:customStyle="1" w:styleId="42">
    <w:name w:val="Acetate"/>
    <w:basedOn w:val="1"/>
    <w:qFormat/>
    <w:uiPriority w:val="0"/>
    <w:pPr>
      <w:widowControl/>
      <w:snapToGrid w:val="0"/>
      <w:spacing w:line="240" w:lineRule="auto"/>
      <w:jc w:val="left"/>
      <w:textAlignment w:val="baseline"/>
    </w:pPr>
    <w:rPr>
      <w:rFonts w:ascii="Times New Roman" w:hAnsi="Times New Roman" w:eastAsia="Arial"/>
      <w:color w:val="000000"/>
      <w:sz w:val="18"/>
      <w:szCs w:val="18"/>
    </w:rPr>
  </w:style>
  <w:style w:type="character" w:customStyle="1" w:styleId="43">
    <w:name w:val="layui-layer-tabnow"/>
    <w:basedOn w:val="18"/>
    <w:qFormat/>
    <w:uiPriority w:val="0"/>
    <w:rPr>
      <w:bdr w:val="single" w:color="CCCCCC" w:sz="6" w:space="0"/>
      <w:shd w:val="clear" w:fill="FFFFFF"/>
    </w:rPr>
  </w:style>
  <w:style w:type="character" w:customStyle="1" w:styleId="44">
    <w:name w:val="first-child"/>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24806</Words>
  <Characters>27787</Characters>
  <Lines>0</Lines>
  <Paragraphs>0</Paragraphs>
  <TotalTime>139</TotalTime>
  <ScaleCrop>false</ScaleCrop>
  <LinksUpToDate>false</LinksUpToDate>
  <CharactersWithSpaces>28901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2026-08-31T08:53:00Z</dcterms:created>
  <dc:creator>唐晶晶</dc:creator>
  <cp:lastModifiedBy>符媛媛</cp:lastModifiedBy>
  <dcterms:modified xsi:type="dcterms:W3CDTF">2026-09-28T07:55:22Z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26C6E8E6D8344109962A7A125125B97C_13</vt:lpwstr>
  </property>
  <property fmtid="{D5CDD505-2E9C-101B-9397-08002B2CF9AE}" pid="4" name="KSOTemplateDocerSaveRecord">
    <vt:lpwstr>eyJoZGlkIjoiNmNhMDBhYmYwMzZjMzU4MGZhODRkNzIzMzU5MTU2NzAiLCJ1c2VySWQiOiIxNTY1MjI4MjU3In0=</vt:lpwstr>
  </property>
</Properties>
</file>