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5D50">
      <w:pPr>
        <w:tabs>
          <w:tab w:val="left" w:pos="315"/>
          <w:tab w:val="left" w:pos="8820"/>
        </w:tabs>
        <w:spacing w:before="240" w:beforeLines="100" w:after="120" w:afterLines="50" w:line="500" w:lineRule="exact"/>
        <w:ind w:right="305" w:rightChars="127" w:firstLine="1044"/>
        <w:jc w:val="center"/>
        <w:rPr>
          <w:rFonts w:hint="eastAsia"/>
          <w:b/>
          <w:bCs/>
          <w:sz w:val="52"/>
          <w:szCs w:val="52"/>
          <w:highlight w:val="none"/>
          <w:vertAlign w:val="superscript"/>
        </w:rPr>
      </w:pPr>
    </w:p>
    <w:p w14:paraId="41BE37D0">
      <w:pPr>
        <w:tabs>
          <w:tab w:val="left" w:pos="315"/>
          <w:tab w:val="left" w:pos="8820"/>
        </w:tabs>
        <w:ind w:firstLine="0" w:firstLineChars="0"/>
        <w:jc w:val="center"/>
        <w:rPr>
          <w:b/>
          <w:bCs/>
          <w:sz w:val="52"/>
          <w:szCs w:val="52"/>
          <w:highlight w:val="none"/>
        </w:rPr>
      </w:pPr>
      <w:bookmarkStart w:id="0" w:name="_Hlk9544796"/>
      <w:r>
        <w:rPr>
          <w:rFonts w:hint="eastAsia"/>
          <w:b/>
          <w:bCs/>
          <w:sz w:val="52"/>
          <w:szCs w:val="52"/>
          <w:highlight w:val="none"/>
        </w:rPr>
        <w:t>服务类项目</w:t>
      </w:r>
    </w:p>
    <w:p w14:paraId="2517EAEF">
      <w:pPr>
        <w:tabs>
          <w:tab w:val="left" w:pos="315"/>
          <w:tab w:val="left" w:pos="8820"/>
        </w:tabs>
        <w:ind w:firstLine="0" w:firstLineChars="0"/>
        <w:jc w:val="center"/>
        <w:rPr>
          <w:sz w:val="44"/>
          <w:szCs w:val="44"/>
          <w:highlight w:val="none"/>
        </w:rPr>
      </w:pPr>
      <w:r>
        <w:rPr>
          <w:rFonts w:hint="eastAsia"/>
          <w:b/>
          <w:bCs/>
          <w:sz w:val="52"/>
          <w:szCs w:val="52"/>
          <w:highlight w:val="none"/>
        </w:rPr>
        <w:t>磋商文件</w:t>
      </w:r>
      <w:r>
        <w:rPr>
          <w:rFonts w:hint="eastAsia" w:cs="宋体"/>
          <w:highlight w:val="none"/>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bookmarkEnd w:id="0"/>
    </w:p>
    <w:p w14:paraId="77CE53B0">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1DDB1518">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307AB680">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69BDDDB">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40FF3EB2">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439CE1E9">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6C3135F7">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632C433D">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52553292">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lang w:eastAsia="zh-CN"/>
        </w:rPr>
        <w:t>布草洗涤服务供应商采购项目</w:t>
      </w:r>
    </w:p>
    <w:p w14:paraId="78CC17E5">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lang w:eastAsia="zh-CN"/>
        </w:rPr>
        <w:t>2026PHBN289</w:t>
      </w:r>
    </w:p>
    <w:p w14:paraId="06BB2DBD">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业主单位：</w:t>
      </w:r>
      <w:r>
        <w:rPr>
          <w:rFonts w:hint="eastAsia"/>
          <w:b/>
          <w:spacing w:val="20"/>
          <w:sz w:val="32"/>
          <w:szCs w:val="32"/>
          <w:highlight w:val="none"/>
          <w:lang w:eastAsia="zh-CN"/>
        </w:rPr>
        <w:t>肥西县庐月又酒店管理有限公司</w:t>
      </w:r>
    </w:p>
    <w:p w14:paraId="75612ADB">
      <w:pPr>
        <w:tabs>
          <w:tab w:val="left" w:pos="2410"/>
        </w:tabs>
        <w:autoSpaceDE w:val="0"/>
        <w:autoSpaceDN w:val="0"/>
        <w:adjustRightInd w:val="0"/>
        <w:snapToGrid w:val="0"/>
        <w:ind w:firstLine="723"/>
        <w:rPr>
          <w:b/>
          <w:spacing w:val="20"/>
          <w:sz w:val="32"/>
          <w:szCs w:val="32"/>
          <w:highlight w:val="none"/>
        </w:rPr>
      </w:pPr>
      <w:r>
        <w:rPr>
          <w:rFonts w:hint="eastAsia"/>
          <w:b/>
          <w:spacing w:val="20"/>
          <w:sz w:val="32"/>
          <w:szCs w:val="32"/>
          <w:highlight w:val="none"/>
        </w:rPr>
        <w:t>代理机构：肥西县公共资源交易有限责任公司</w:t>
      </w:r>
    </w:p>
    <w:p w14:paraId="1DA22E13">
      <w:pPr>
        <w:tabs>
          <w:tab w:val="left" w:pos="2410"/>
        </w:tabs>
        <w:autoSpaceDE w:val="0"/>
        <w:autoSpaceDN w:val="0"/>
        <w:adjustRightInd w:val="0"/>
        <w:snapToGrid w:val="0"/>
        <w:ind w:firstLine="723"/>
        <w:jc w:val="center"/>
        <w:rPr>
          <w:b/>
          <w:sz w:val="36"/>
          <w:highlight w:val="none"/>
        </w:rPr>
      </w:pPr>
    </w:p>
    <w:p w14:paraId="1E6A97D5">
      <w:pPr>
        <w:tabs>
          <w:tab w:val="left" w:pos="2410"/>
        </w:tabs>
        <w:autoSpaceDE w:val="0"/>
        <w:autoSpaceDN w:val="0"/>
        <w:adjustRightInd w:val="0"/>
        <w:snapToGrid w:val="0"/>
        <w:ind w:firstLine="3253" w:firstLineChars="900"/>
        <w:rPr>
          <w:b/>
          <w:sz w:val="36"/>
          <w:highlight w:val="none"/>
        </w:rPr>
      </w:pPr>
      <w:r>
        <w:rPr>
          <w:rFonts w:hint="eastAsia"/>
          <w:b/>
          <w:sz w:val="36"/>
          <w:highlight w:val="none"/>
        </w:rPr>
        <w:t>202</w:t>
      </w:r>
      <w:r>
        <w:rPr>
          <w:rFonts w:hint="eastAsia"/>
          <w:b/>
          <w:sz w:val="36"/>
          <w:highlight w:val="none"/>
          <w:lang w:val="en-US" w:eastAsia="zh-CN"/>
        </w:rPr>
        <w:t>6</w:t>
      </w:r>
      <w:r>
        <w:rPr>
          <w:rFonts w:hint="eastAsia"/>
          <w:b/>
          <w:sz w:val="36"/>
          <w:highlight w:val="none"/>
        </w:rPr>
        <w:t>年</w:t>
      </w:r>
      <w:r>
        <w:rPr>
          <w:rFonts w:hint="eastAsia"/>
          <w:b/>
          <w:sz w:val="36"/>
          <w:highlight w:val="none"/>
          <w:lang w:val="en-US" w:eastAsia="zh-CN"/>
        </w:rPr>
        <w:t>6</w:t>
      </w:r>
      <w:r>
        <w:rPr>
          <w:rFonts w:hint="eastAsia"/>
          <w:b/>
          <w:sz w:val="36"/>
          <w:highlight w:val="none"/>
        </w:rPr>
        <w:t>月</w:t>
      </w:r>
      <w:r>
        <w:rPr>
          <w:b/>
          <w:sz w:val="36"/>
          <w:highlight w:val="none"/>
        </w:rPr>
        <w:br w:type="page"/>
      </w:r>
    </w:p>
    <w:p w14:paraId="2B7F9AD2">
      <w:pPr>
        <w:tabs>
          <w:tab w:val="left" w:pos="2410"/>
        </w:tabs>
        <w:autoSpaceDE w:val="0"/>
        <w:autoSpaceDN w:val="0"/>
        <w:adjustRightInd w:val="0"/>
        <w:snapToGrid w:val="0"/>
        <w:ind w:firstLine="562"/>
        <w:jc w:val="center"/>
        <w:rPr>
          <w:rFonts w:hint="eastAsia"/>
          <w:b/>
          <w:sz w:val="28"/>
          <w:highlight w:val="none"/>
        </w:rPr>
      </w:pPr>
      <w:r>
        <w:rPr>
          <w:rFonts w:hint="eastAsia"/>
          <w:b/>
          <w:sz w:val="28"/>
          <w:highlight w:val="none"/>
        </w:rPr>
        <w:t>目  录</w:t>
      </w:r>
    </w:p>
    <w:p w14:paraId="7AC8614F">
      <w:pPr>
        <w:tabs>
          <w:tab w:val="left" w:pos="2410"/>
        </w:tabs>
        <w:autoSpaceDE w:val="0"/>
        <w:autoSpaceDN w:val="0"/>
        <w:adjustRightInd w:val="0"/>
        <w:snapToGrid w:val="0"/>
        <w:ind w:firstLine="562"/>
        <w:jc w:val="center"/>
        <w:rPr>
          <w:rFonts w:hint="eastAsia"/>
          <w:b/>
          <w:sz w:val="28"/>
          <w:highlight w:val="none"/>
        </w:rPr>
      </w:pPr>
    </w:p>
    <w:p w14:paraId="4D62DE25">
      <w:pPr>
        <w:pStyle w:val="11"/>
        <w:tabs>
          <w:tab w:val="right" w:leader="dot" w:pos="8869"/>
        </w:tabs>
        <w:ind w:left="0" w:leftChars="0"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TOC \o "1-2" \h \z \u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_Toc15547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rPr>
        <w:t xml:space="preserve">第一章 </w:t>
      </w:r>
      <w:r>
        <w:rPr>
          <w:rFonts w:hint="eastAsia" w:ascii="宋体" w:hAnsi="宋体" w:eastAsia="宋体" w:cs="宋体"/>
          <w:b/>
          <w:bCs/>
          <w:sz w:val="24"/>
          <w:szCs w:val="24"/>
          <w:highlight w:val="none"/>
        </w:rPr>
        <w:t>磋商公告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_Toc15547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highlight w:val="none"/>
        </w:rPr>
        <w:fldChar w:fldCharType="end"/>
      </w:r>
    </w:p>
    <w:p w14:paraId="37F8FA9E">
      <w:pPr>
        <w:pStyle w:val="11"/>
        <w:tabs>
          <w:tab w:val="right" w:leader="dot" w:pos="8869"/>
        </w:tabs>
        <w:ind w:left="0" w:leftChars="0"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_Toc5527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_Toc5527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sz w:val="24"/>
          <w:szCs w:val="24"/>
          <w:highlight w:val="none"/>
        </w:rPr>
        <w:fldChar w:fldCharType="end"/>
      </w:r>
    </w:p>
    <w:p w14:paraId="0B65ECBF">
      <w:pPr>
        <w:pStyle w:val="11"/>
        <w:tabs>
          <w:tab w:val="right" w:leader="dot" w:pos="8869"/>
        </w:tabs>
        <w:ind w:left="0" w:leftChars="0"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_Toc5463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业主单位要求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_Toc5463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23</w:t>
      </w:r>
      <w:r>
        <w:rPr>
          <w:rFonts w:hint="eastAsia" w:ascii="宋体" w:hAnsi="宋体" w:eastAsia="宋体" w:cs="宋体"/>
          <w:b/>
          <w:bCs/>
          <w:sz w:val="24"/>
          <w:szCs w:val="24"/>
        </w:rPr>
        <w:fldChar w:fldCharType="end"/>
      </w:r>
      <w:r>
        <w:rPr>
          <w:rFonts w:hint="eastAsia" w:ascii="宋体" w:hAnsi="宋体" w:eastAsia="宋体" w:cs="宋体"/>
          <w:b/>
          <w:bCs/>
          <w:sz w:val="24"/>
          <w:szCs w:val="24"/>
          <w:highlight w:val="none"/>
        </w:rPr>
        <w:fldChar w:fldCharType="end"/>
      </w:r>
    </w:p>
    <w:p w14:paraId="69FAA1B1">
      <w:pPr>
        <w:pStyle w:val="11"/>
        <w:tabs>
          <w:tab w:val="right" w:leader="dot" w:pos="8869"/>
        </w:tabs>
        <w:ind w:left="0" w:leftChars="0"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_Toc20055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第四章  评审方法和标准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_Toc20055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26</w:t>
      </w:r>
      <w:r>
        <w:rPr>
          <w:rFonts w:hint="eastAsia" w:ascii="宋体" w:hAnsi="宋体" w:eastAsia="宋体" w:cs="宋体"/>
          <w:b/>
          <w:bCs/>
          <w:sz w:val="24"/>
          <w:szCs w:val="24"/>
        </w:rPr>
        <w:fldChar w:fldCharType="end"/>
      </w:r>
      <w:r>
        <w:rPr>
          <w:rFonts w:hint="eastAsia" w:ascii="宋体" w:hAnsi="宋体" w:eastAsia="宋体" w:cs="宋体"/>
          <w:b/>
          <w:bCs/>
          <w:sz w:val="24"/>
          <w:szCs w:val="24"/>
          <w:highlight w:val="none"/>
        </w:rPr>
        <w:fldChar w:fldCharType="end"/>
      </w:r>
    </w:p>
    <w:p w14:paraId="07F77454">
      <w:pPr>
        <w:pStyle w:val="11"/>
        <w:tabs>
          <w:tab w:val="right" w:leader="dot" w:pos="8869"/>
        </w:tabs>
        <w:ind w:left="0" w:leftChars="0"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_Toc21411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第五章  合同</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_Toc21411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29</w:t>
      </w:r>
      <w:r>
        <w:rPr>
          <w:rFonts w:hint="eastAsia" w:ascii="宋体" w:hAnsi="宋体" w:eastAsia="宋体" w:cs="宋体"/>
          <w:b/>
          <w:bCs/>
          <w:sz w:val="24"/>
          <w:szCs w:val="24"/>
        </w:rPr>
        <w:fldChar w:fldCharType="end"/>
      </w:r>
      <w:r>
        <w:rPr>
          <w:rFonts w:hint="eastAsia" w:ascii="宋体" w:hAnsi="宋体" w:eastAsia="宋体" w:cs="宋体"/>
          <w:b/>
          <w:bCs/>
          <w:sz w:val="24"/>
          <w:szCs w:val="24"/>
          <w:highlight w:val="none"/>
        </w:rPr>
        <w:fldChar w:fldCharType="end"/>
      </w:r>
    </w:p>
    <w:p w14:paraId="6F9A0420">
      <w:pPr>
        <w:pStyle w:val="11"/>
        <w:tabs>
          <w:tab w:val="right" w:leader="dot" w:pos="8869"/>
        </w:tabs>
        <w:ind w:left="0" w:leftChars="0" w:firstLine="241" w:firstLineChars="100"/>
        <w:jc w:val="both"/>
        <w:rPr>
          <w:rFonts w:hint="eastAsia" w:ascii="宋体" w:hAnsi="宋体" w:eastAsia="宋体" w:cs="宋体"/>
          <w:b/>
          <w:bCs/>
          <w:sz w:val="24"/>
          <w:szCs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_Toc1627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第六章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_Toc1627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35</w:t>
      </w:r>
      <w:r>
        <w:rPr>
          <w:rFonts w:hint="eastAsia" w:ascii="宋体" w:hAnsi="宋体" w:eastAsia="宋体" w:cs="宋体"/>
          <w:b/>
          <w:bCs/>
          <w:sz w:val="24"/>
          <w:szCs w:val="24"/>
        </w:rPr>
        <w:fldChar w:fldCharType="end"/>
      </w:r>
      <w:r>
        <w:rPr>
          <w:rFonts w:hint="eastAsia" w:ascii="宋体" w:hAnsi="宋体" w:eastAsia="宋体" w:cs="宋体"/>
          <w:b/>
          <w:bCs/>
          <w:sz w:val="24"/>
          <w:szCs w:val="24"/>
          <w:highlight w:val="none"/>
        </w:rPr>
        <w:fldChar w:fldCharType="end"/>
      </w:r>
    </w:p>
    <w:p w14:paraId="57098038">
      <w:pPr>
        <w:pStyle w:val="11"/>
        <w:tabs>
          <w:tab w:val="right" w:leader="dot" w:pos="8296"/>
        </w:tabs>
        <w:ind w:firstLine="440"/>
        <w:jc w:val="both"/>
        <w:rPr>
          <w:rFonts w:asciiTheme="minorEastAsia" w:hAnsiTheme="minorEastAsia"/>
          <w:szCs w:val="24"/>
          <w:highlight w:val="none"/>
        </w:rPr>
      </w:pPr>
      <w:r>
        <w:rPr>
          <w:rFonts w:hint="eastAsia" w:ascii="宋体" w:hAnsi="宋体" w:eastAsia="宋体" w:cs="宋体"/>
          <w:b/>
          <w:bCs/>
          <w:sz w:val="24"/>
          <w:szCs w:val="24"/>
          <w:highlight w:val="none"/>
        </w:rPr>
        <w:fldChar w:fldCharType="end"/>
      </w:r>
    </w:p>
    <w:p w14:paraId="35DE5438">
      <w:pPr>
        <w:pStyle w:val="18"/>
        <w:ind w:left="180" w:leftChars="75" w:firstLine="480"/>
        <w:rPr>
          <w:rFonts w:asciiTheme="minorEastAsia" w:hAnsiTheme="minorEastAsia" w:eastAsiaTheme="minorEastAsia"/>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pgBorders>
            <w:top w:val="none" w:sz="0" w:space="0"/>
            <w:left w:val="none" w:sz="0" w:space="0"/>
            <w:bottom w:val="none" w:sz="0" w:space="0"/>
            <w:right w:val="none" w:sz="0" w:space="0"/>
          </w:pgBorders>
          <w:cols w:space="720" w:num="1"/>
          <w:docGrid w:linePitch="462" w:charSpace="0"/>
        </w:sectPr>
      </w:pPr>
      <w:r>
        <w:rPr>
          <w:rFonts w:hint="eastAsia"/>
          <w:highlight w:val="none"/>
        </w:rPr>
        <w:br w:type="page"/>
      </w:r>
    </w:p>
    <w:p w14:paraId="0A4B64FF">
      <w:pPr>
        <w:numPr>
          <w:ilvl w:val="0"/>
          <w:numId w:val="1"/>
        </w:numPr>
        <w:ind w:firstLine="562"/>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 </w:t>
      </w:r>
      <w:bookmarkStart w:id="1" w:name="_Toc15547"/>
      <w:bookmarkStart w:id="2" w:name="_Hlk193096165"/>
      <w:r>
        <w:rPr>
          <w:rFonts w:hint="eastAsia" w:asciiTheme="minorEastAsia" w:hAnsiTheme="minorEastAsia" w:eastAsiaTheme="minorEastAsia"/>
          <w:b/>
          <w:sz w:val="28"/>
          <w:highlight w:val="none"/>
        </w:rPr>
        <w:t>磋商公告</w:t>
      </w:r>
      <w:bookmarkEnd w:id="1"/>
    </w:p>
    <w:p w14:paraId="6C1FF628">
      <w:pPr>
        <w:pStyle w:val="19"/>
        <w:widowControl w:val="0"/>
        <w:autoSpaceDE w:val="0"/>
        <w:autoSpaceDN w:val="0"/>
        <w:adjustRightInd w:val="0"/>
        <w:spacing w:before="93" w:beforeLines="30" w:after="93" w:afterLines="30"/>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2"/>
          <w:highlight w:val="none"/>
        </w:rPr>
        <w:t>肥西县公共资源交易有限责任公司受</w:t>
      </w:r>
      <w:r>
        <w:rPr>
          <w:rFonts w:hint="eastAsia" w:asciiTheme="majorEastAsia" w:hAnsiTheme="majorEastAsia" w:eastAsiaTheme="majorEastAsia" w:cstheme="majorEastAsia"/>
          <w:kern w:val="2"/>
          <w:highlight w:val="none"/>
          <w:lang w:eastAsia="zh-CN"/>
        </w:rPr>
        <w:t>肥西县庐月又酒店管理有限公司</w:t>
      </w:r>
      <w:r>
        <w:rPr>
          <w:rFonts w:hint="eastAsia" w:asciiTheme="majorEastAsia" w:hAnsiTheme="majorEastAsia" w:eastAsiaTheme="majorEastAsia" w:cstheme="majorEastAsia"/>
          <w:kern w:val="2"/>
          <w:highlight w:val="none"/>
        </w:rPr>
        <w:t>委托，现对</w:t>
      </w:r>
      <w:r>
        <w:rPr>
          <w:rFonts w:hint="eastAsia" w:asciiTheme="majorEastAsia" w:hAnsiTheme="majorEastAsia" w:eastAsiaTheme="majorEastAsia" w:cstheme="majorEastAsia"/>
          <w:kern w:val="2"/>
          <w:highlight w:val="none"/>
          <w:lang w:eastAsia="zh-CN"/>
        </w:rPr>
        <w:t>布草洗涤服务供应商采购项目</w:t>
      </w:r>
      <w:r>
        <w:rPr>
          <w:rFonts w:hint="eastAsia" w:asciiTheme="majorEastAsia" w:hAnsiTheme="majorEastAsia" w:eastAsiaTheme="majorEastAsia" w:cstheme="majorEastAsia"/>
          <w:kern w:val="2"/>
          <w:highlight w:val="none"/>
        </w:rPr>
        <w:t>进行磋商，欢迎具备条件的供应商参加磋商。</w:t>
      </w:r>
    </w:p>
    <w:p w14:paraId="59258040">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1.项目名称及内容</w:t>
      </w:r>
    </w:p>
    <w:p w14:paraId="5222F37D">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1.1 项目编号：</w:t>
      </w:r>
      <w:r>
        <w:rPr>
          <w:rFonts w:hint="eastAsia" w:asciiTheme="majorEastAsia" w:hAnsiTheme="majorEastAsia" w:eastAsiaTheme="majorEastAsia" w:cstheme="majorEastAsia"/>
          <w:szCs w:val="24"/>
          <w:highlight w:val="none"/>
          <w:lang w:eastAsia="zh-CN"/>
        </w:rPr>
        <w:t>2026PHBN289</w:t>
      </w:r>
    </w:p>
    <w:p w14:paraId="17743F7F">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1.2 项目名称：</w:t>
      </w:r>
      <w:r>
        <w:rPr>
          <w:rFonts w:hint="eastAsia" w:asciiTheme="majorEastAsia" w:hAnsiTheme="majorEastAsia" w:eastAsiaTheme="majorEastAsia" w:cstheme="majorEastAsia"/>
          <w:szCs w:val="24"/>
          <w:highlight w:val="none"/>
          <w:lang w:eastAsia="zh-CN"/>
        </w:rPr>
        <w:t>布草洗涤服务供应商采购项目</w:t>
      </w:r>
    </w:p>
    <w:p w14:paraId="77146815">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1.3 项目地点：</w:t>
      </w:r>
      <w:r>
        <w:rPr>
          <w:rFonts w:hint="eastAsia" w:asciiTheme="majorEastAsia" w:hAnsiTheme="majorEastAsia" w:eastAsiaTheme="majorEastAsia" w:cstheme="majorEastAsia"/>
          <w:kern w:val="2"/>
          <w:highlight w:val="none"/>
        </w:rPr>
        <w:t>肥西县</w:t>
      </w:r>
    </w:p>
    <w:p w14:paraId="75B3285A">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1.4 项目单位：</w:t>
      </w:r>
      <w:r>
        <w:rPr>
          <w:rFonts w:hint="eastAsia" w:asciiTheme="majorEastAsia" w:hAnsiTheme="majorEastAsia" w:eastAsiaTheme="majorEastAsia" w:cstheme="majorEastAsia"/>
          <w:kern w:val="2"/>
          <w:highlight w:val="none"/>
          <w:lang w:eastAsia="zh-CN"/>
        </w:rPr>
        <w:t>肥西县庐月又酒店管理有限公司</w:t>
      </w:r>
    </w:p>
    <w:p w14:paraId="3F01E256">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1.5 项目概况：</w:t>
      </w:r>
      <w:r>
        <w:rPr>
          <w:rFonts w:ascii="Segoe UI" w:hAnsi="Segoe UI" w:eastAsia="Segoe UI" w:cs="Segoe UI"/>
          <w:i w:val="0"/>
          <w:iCs w:val="0"/>
          <w:caps w:val="0"/>
          <w:spacing w:val="0"/>
          <w:sz w:val="24"/>
          <w:szCs w:val="24"/>
          <w:shd w:val="clear" w:fill="FFFFFF"/>
        </w:rPr>
        <w:t>为保障</w:t>
      </w:r>
      <w:r>
        <w:rPr>
          <w:rFonts w:hint="eastAsia" w:ascii="Segoe UI" w:hAnsi="Segoe UI" w:eastAsia="宋体" w:cs="Segoe UI"/>
          <w:i w:val="0"/>
          <w:iCs w:val="0"/>
          <w:caps w:val="0"/>
          <w:spacing w:val="0"/>
          <w:sz w:val="24"/>
          <w:szCs w:val="24"/>
          <w:shd w:val="clear" w:fill="FFFFFF"/>
          <w:lang w:val="en-US" w:eastAsia="zh-CN"/>
        </w:rPr>
        <w:t>公司</w:t>
      </w:r>
      <w:r>
        <w:rPr>
          <w:rFonts w:ascii="Segoe UI" w:hAnsi="Segoe UI" w:eastAsia="Segoe UI" w:cs="Segoe UI"/>
          <w:i w:val="0"/>
          <w:iCs w:val="0"/>
          <w:caps w:val="0"/>
          <w:spacing w:val="0"/>
          <w:sz w:val="24"/>
          <w:szCs w:val="24"/>
          <w:shd w:val="clear" w:fill="FFFFFF"/>
        </w:rPr>
        <w:t>旗下客房及餐饮布草的清洁卫生质量，提高</w:t>
      </w:r>
      <w:r>
        <w:rPr>
          <w:rFonts w:hint="eastAsia" w:ascii="Segoe UI" w:hAnsi="Segoe UI" w:eastAsia="宋体" w:cs="Segoe UI"/>
          <w:i w:val="0"/>
          <w:iCs w:val="0"/>
          <w:caps w:val="0"/>
          <w:spacing w:val="0"/>
          <w:sz w:val="24"/>
          <w:szCs w:val="24"/>
          <w:shd w:val="clear" w:fill="FFFFFF"/>
          <w:lang w:eastAsia="zh-CN"/>
        </w:rPr>
        <w:t>服务质量</w:t>
      </w:r>
      <w:r>
        <w:rPr>
          <w:rFonts w:ascii="Segoe UI" w:hAnsi="Segoe UI" w:eastAsia="Segoe UI" w:cs="Segoe UI"/>
          <w:i w:val="0"/>
          <w:iCs w:val="0"/>
          <w:caps w:val="0"/>
          <w:spacing w:val="0"/>
          <w:sz w:val="24"/>
          <w:szCs w:val="24"/>
          <w:shd w:val="clear" w:fill="FFFFFF"/>
        </w:rPr>
        <w:t>，</w:t>
      </w:r>
      <w:r>
        <w:rPr>
          <w:rFonts w:hint="eastAsia" w:asciiTheme="majorEastAsia" w:hAnsiTheme="majorEastAsia" w:eastAsiaTheme="majorEastAsia" w:cstheme="majorEastAsia"/>
          <w:szCs w:val="24"/>
          <w:highlight w:val="none"/>
        </w:rPr>
        <w:t>本次拟招一家单位提供服务，详见磋商文件。</w:t>
      </w:r>
    </w:p>
    <w:p w14:paraId="6719994E">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1.6 资金来源：</w:t>
      </w:r>
      <w:r>
        <w:rPr>
          <w:rFonts w:hint="eastAsia" w:asciiTheme="majorEastAsia" w:hAnsiTheme="majorEastAsia" w:eastAsiaTheme="majorEastAsia" w:cstheme="majorEastAsia"/>
          <w:szCs w:val="24"/>
          <w:highlight w:val="none"/>
          <w:lang w:val="en-US" w:eastAsia="zh-CN"/>
        </w:rPr>
        <w:t>企业自筹</w:t>
      </w:r>
    </w:p>
    <w:p w14:paraId="799E34EB">
      <w:pPr>
        <w:autoSpaceDE w:val="0"/>
        <w:autoSpaceDN w:val="0"/>
        <w:adjustRightInd w:val="0"/>
        <w:spacing w:before="93" w:beforeLines="30" w:after="93" w:afterLines="30"/>
        <w:ind w:firstLine="480"/>
        <w:jc w:val="left"/>
        <w:rPr>
          <w:rFonts w:hint="default" w:eastAsiaTheme="majorEastAsia"/>
          <w:szCs w:val="24"/>
          <w:highlight w:val="none"/>
          <w:lang w:val="en-US" w:eastAsia="zh-CN"/>
        </w:rPr>
      </w:pPr>
      <w:r>
        <w:rPr>
          <w:rFonts w:hint="eastAsia" w:asciiTheme="majorEastAsia" w:hAnsiTheme="majorEastAsia" w:eastAsiaTheme="majorEastAsia" w:cstheme="majorEastAsia"/>
          <w:szCs w:val="24"/>
          <w:highlight w:val="none"/>
        </w:rPr>
        <w:t>1.7 项目预算：</w:t>
      </w:r>
      <w:r>
        <w:rPr>
          <w:rFonts w:hint="eastAsia" w:asciiTheme="majorEastAsia" w:hAnsiTheme="majorEastAsia" w:eastAsiaTheme="majorEastAsia" w:cstheme="majorEastAsia"/>
          <w:szCs w:val="24"/>
          <w:highlight w:val="none"/>
          <w:lang w:val="en-US" w:eastAsia="zh-CN"/>
        </w:rPr>
        <w:t>40万元</w:t>
      </w:r>
    </w:p>
    <w:p w14:paraId="4F2A5A71">
      <w:pPr>
        <w:autoSpaceDE w:val="0"/>
        <w:autoSpaceDN w:val="0"/>
        <w:adjustRightInd w:val="0"/>
        <w:spacing w:before="93" w:beforeLines="30" w:after="93" w:afterLines="30"/>
        <w:ind w:firstLine="480"/>
        <w:jc w:val="left"/>
        <w:rPr>
          <w:rFonts w:hint="default"/>
          <w:b/>
          <w:bCs/>
          <w:szCs w:val="24"/>
          <w:highlight w:val="none"/>
          <w:lang w:val="en-US"/>
        </w:rPr>
      </w:pPr>
      <w:r>
        <w:rPr>
          <w:rFonts w:hint="eastAsia" w:asciiTheme="majorEastAsia" w:hAnsiTheme="majorEastAsia" w:eastAsiaTheme="majorEastAsia" w:cstheme="majorEastAsia"/>
          <w:b/>
          <w:bCs/>
          <w:szCs w:val="24"/>
          <w:highlight w:val="none"/>
        </w:rPr>
        <w:t>1.</w:t>
      </w:r>
      <w:r>
        <w:rPr>
          <w:rFonts w:hint="eastAsia" w:asciiTheme="majorEastAsia" w:hAnsiTheme="majorEastAsia" w:eastAsiaTheme="majorEastAsia" w:cstheme="majorEastAsia"/>
          <w:b/>
          <w:bCs/>
          <w:szCs w:val="24"/>
          <w:highlight w:val="none"/>
          <w:lang w:val="en-US" w:eastAsia="zh-CN"/>
        </w:rPr>
        <w:t>8</w:t>
      </w:r>
      <w:r>
        <w:rPr>
          <w:rFonts w:hint="eastAsia" w:asciiTheme="majorEastAsia" w:hAnsiTheme="majorEastAsia" w:eastAsiaTheme="majorEastAsia" w:cstheme="majorEastAsia"/>
          <w:b/>
          <w:bCs/>
          <w:szCs w:val="24"/>
          <w:highlight w:val="none"/>
        </w:rPr>
        <w:t xml:space="preserve"> </w:t>
      </w:r>
      <w:r>
        <w:rPr>
          <w:rFonts w:hint="eastAsia" w:asciiTheme="majorEastAsia" w:hAnsiTheme="majorEastAsia" w:eastAsiaTheme="majorEastAsia" w:cstheme="majorEastAsia"/>
          <w:b/>
          <w:bCs/>
          <w:szCs w:val="24"/>
          <w:highlight w:val="none"/>
          <w:lang w:val="en-US" w:eastAsia="zh-CN"/>
        </w:rPr>
        <w:t>最高限价（费率）</w:t>
      </w:r>
      <w:r>
        <w:rPr>
          <w:rFonts w:hint="eastAsia" w:asciiTheme="majorEastAsia" w:hAnsiTheme="majorEastAsia" w:eastAsiaTheme="majorEastAsia" w:cstheme="majorEastAsia"/>
          <w:b/>
          <w:bCs/>
          <w:szCs w:val="24"/>
          <w:highlight w:val="none"/>
        </w:rPr>
        <w:t>：</w:t>
      </w:r>
      <w:r>
        <w:rPr>
          <w:rFonts w:hint="eastAsia" w:asciiTheme="majorEastAsia" w:hAnsiTheme="majorEastAsia" w:eastAsiaTheme="majorEastAsia" w:cstheme="majorEastAsia"/>
          <w:szCs w:val="24"/>
          <w:highlight w:val="none"/>
          <w:lang w:val="en-US" w:eastAsia="zh-CN"/>
        </w:rPr>
        <w:t>100%</w:t>
      </w:r>
    </w:p>
    <w:p w14:paraId="09D1257B">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w:t>
      </w:r>
      <w:r>
        <w:rPr>
          <w:rFonts w:hint="eastAsia" w:asciiTheme="majorEastAsia" w:hAnsiTheme="majorEastAsia" w:eastAsiaTheme="majorEastAsia" w:cstheme="majorEastAsia"/>
          <w:szCs w:val="24"/>
          <w:highlight w:val="none"/>
          <w:lang w:val="en-US" w:eastAsia="zh-CN"/>
        </w:rPr>
        <w:t>9</w:t>
      </w:r>
      <w:r>
        <w:rPr>
          <w:rFonts w:hint="eastAsia" w:asciiTheme="majorEastAsia" w:hAnsiTheme="majorEastAsia" w:eastAsiaTheme="majorEastAsia" w:cstheme="majorEastAsia"/>
          <w:szCs w:val="24"/>
          <w:highlight w:val="none"/>
        </w:rPr>
        <w:t xml:space="preserve"> 项目类别：服务类</w:t>
      </w:r>
    </w:p>
    <w:p w14:paraId="03FBA67C">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w:t>
      </w:r>
      <w:r>
        <w:rPr>
          <w:rFonts w:hint="eastAsia" w:asciiTheme="majorEastAsia" w:hAnsiTheme="majorEastAsia" w:eastAsiaTheme="majorEastAsia" w:cstheme="majorEastAsia"/>
          <w:szCs w:val="24"/>
          <w:highlight w:val="none"/>
          <w:lang w:val="en-US" w:eastAsia="zh-CN"/>
        </w:rPr>
        <w:t>10</w:t>
      </w:r>
      <w:r>
        <w:rPr>
          <w:rFonts w:hint="eastAsia" w:asciiTheme="majorEastAsia" w:hAnsiTheme="majorEastAsia" w:eastAsiaTheme="majorEastAsia" w:cstheme="majorEastAsia"/>
          <w:szCs w:val="24"/>
          <w:highlight w:val="none"/>
        </w:rPr>
        <w:t xml:space="preserve"> 包别划分：共分1个包</w:t>
      </w:r>
    </w:p>
    <w:p w14:paraId="5110A9C4">
      <w:pPr>
        <w:spacing w:before="93" w:beforeLines="30" w:after="93" w:afterLines="30"/>
        <w:ind w:firstLine="482"/>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b/>
          <w:bCs/>
          <w:szCs w:val="24"/>
          <w:highlight w:val="none"/>
        </w:rPr>
        <w:t xml:space="preserve">2.供应商资格要求 </w:t>
      </w:r>
    </w:p>
    <w:p w14:paraId="2A2B8808">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2.1 供应商具有独立承担民事责任的能力；</w:t>
      </w:r>
    </w:p>
    <w:p w14:paraId="2BB89042">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szCs w:val="24"/>
          <w:highlight w:val="none"/>
        </w:rPr>
        <w:t>2.2 供应商资质</w:t>
      </w:r>
      <w:r>
        <w:rPr>
          <w:rFonts w:hint="eastAsia" w:eastAsiaTheme="majorEastAsia"/>
          <w:szCs w:val="24"/>
          <w:highlight w:val="none"/>
        </w:rPr>
        <w:t>：无；</w:t>
      </w:r>
    </w:p>
    <w:p w14:paraId="56B749B1">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2.3 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szCs w:val="24"/>
          <w:highlight w:val="none"/>
        </w:rPr>
        <w:t>联合体参与磋商</w:t>
      </w:r>
      <w:r>
        <w:rPr>
          <w:rFonts w:hint="eastAsia" w:asciiTheme="majorEastAsia" w:hAnsiTheme="majorEastAsia" w:eastAsiaTheme="majorEastAsia" w:cstheme="majorEastAsia"/>
          <w:szCs w:val="24"/>
          <w:highlight w:val="none"/>
          <w:lang w:eastAsia="zh-CN"/>
        </w:rPr>
        <w:t>；</w:t>
      </w:r>
    </w:p>
    <w:p w14:paraId="0C1D5778">
      <w:pPr>
        <w:spacing w:before="93" w:beforeLines="30" w:after="93" w:afterLines="30"/>
        <w:ind w:firstLine="480"/>
        <w:rPr>
          <w:rFonts w:asciiTheme="majorEastAsia" w:hAnsiTheme="majorEastAsia" w:eastAsiaTheme="majorEastAsia" w:cstheme="majorEastAsia"/>
          <w:b/>
          <w:bCs/>
          <w:i/>
          <w:iCs/>
          <w:szCs w:val="24"/>
          <w:highlight w:val="none"/>
        </w:rPr>
      </w:pPr>
      <w:r>
        <w:rPr>
          <w:rFonts w:hint="eastAsia" w:asciiTheme="majorEastAsia" w:hAnsiTheme="majorEastAsia" w:eastAsiaTheme="majorEastAsia" w:cstheme="majorEastAsia"/>
          <w:szCs w:val="24"/>
          <w:highlight w:val="none"/>
        </w:rPr>
        <w:t>2.4 供应商存在以下不良信用记录情形之一的，不得推荐为成交候选人，不得确定为成交人</w:t>
      </w:r>
      <w:r>
        <w:rPr>
          <w:rFonts w:hint="eastAsia" w:asciiTheme="majorEastAsia" w:hAnsiTheme="majorEastAsia" w:eastAsiaTheme="majorEastAsia" w:cstheme="majorEastAsia"/>
          <w:b/>
          <w:bCs/>
          <w:i/>
          <w:iCs/>
          <w:szCs w:val="24"/>
          <w:highlight w:val="none"/>
        </w:rPr>
        <w:t>：</w:t>
      </w:r>
    </w:p>
    <w:p w14:paraId="18C2FAAA">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（1）在“信用中国”网站（http://www.creditchina.gov.cn/）中被列入失信被执行人名单；</w:t>
      </w:r>
    </w:p>
    <w:p w14:paraId="540A8541">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（2）在“信用中国”网站（http://www.creditchina.gov.cn/）中被列入重大税收违法失信主体名单</w:t>
      </w:r>
      <w:r>
        <w:rPr>
          <w:rFonts w:hint="eastAsia" w:asciiTheme="majorEastAsia" w:hAnsiTheme="majorEastAsia" w:eastAsiaTheme="majorEastAsia" w:cstheme="majorEastAsia"/>
          <w:szCs w:val="24"/>
          <w:highlight w:val="none"/>
          <w:lang w:eastAsia="zh-CN"/>
        </w:rPr>
        <w:t>。</w:t>
      </w:r>
    </w:p>
    <w:p w14:paraId="54CFE4FA">
      <w:pPr>
        <w:tabs>
          <w:tab w:val="center" w:pos="4394"/>
        </w:tabs>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3.磋商文件的获取</w:t>
      </w:r>
      <w:r>
        <w:rPr>
          <w:rFonts w:hint="eastAsia" w:asciiTheme="majorEastAsia" w:hAnsiTheme="majorEastAsia" w:eastAsiaTheme="majorEastAsia" w:cstheme="majorEastAsia"/>
          <w:b/>
          <w:bCs/>
          <w:szCs w:val="24"/>
          <w:highlight w:val="none"/>
        </w:rPr>
        <w:tab/>
      </w:r>
    </w:p>
    <w:p w14:paraId="3369771F">
      <w:pPr>
        <w:adjustRightInd w:val="0"/>
        <w:snapToGrid w:val="0"/>
        <w:spacing w:before="93" w:beforeLines="30" w:after="93" w:afterLines="30"/>
        <w:ind w:firstLine="480"/>
        <w:rPr>
          <w:rFonts w:asciiTheme="majorEastAsia" w:hAnsiTheme="majorEastAsia" w:eastAsiaTheme="majorEastAsia" w:cstheme="majorEastAsia"/>
          <w:color w:val="FF0000"/>
          <w:szCs w:val="24"/>
          <w:highlight w:val="none"/>
        </w:rPr>
      </w:pPr>
      <w:r>
        <w:rPr>
          <w:rFonts w:hint="eastAsia" w:asciiTheme="majorEastAsia" w:hAnsiTheme="majorEastAsia" w:eastAsiaTheme="majorEastAsia" w:cstheme="majorEastAsia"/>
          <w:color w:val="FF0000"/>
          <w:szCs w:val="24"/>
          <w:highlight w:val="none"/>
        </w:rPr>
        <w:t>3.1 获取时间：202</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年</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月</w:t>
      </w:r>
      <w:r>
        <w:rPr>
          <w:rFonts w:hint="eastAsia" w:asciiTheme="majorEastAsia" w:hAnsiTheme="majorEastAsia" w:eastAsiaTheme="majorEastAsia" w:cstheme="majorEastAsia"/>
          <w:color w:val="FF0000"/>
          <w:szCs w:val="24"/>
          <w:highlight w:val="none"/>
          <w:lang w:val="en-US" w:eastAsia="zh-CN"/>
        </w:rPr>
        <w:t>9</w:t>
      </w:r>
      <w:r>
        <w:rPr>
          <w:rFonts w:hint="eastAsia" w:asciiTheme="majorEastAsia" w:hAnsiTheme="majorEastAsia" w:eastAsiaTheme="majorEastAsia" w:cstheme="majorEastAsia"/>
          <w:color w:val="FF0000"/>
          <w:szCs w:val="24"/>
          <w:highlight w:val="none"/>
        </w:rPr>
        <w:t>日至磋商时间。</w:t>
      </w:r>
    </w:p>
    <w:p w14:paraId="772DE353">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3.2 获取地点：优质采云采购平台（http://www.youzhicai.com/）</w:t>
      </w:r>
    </w:p>
    <w:p w14:paraId="022430B0">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3.3 获取方式：在线下载</w:t>
      </w:r>
    </w:p>
    <w:p w14:paraId="6FD22C05">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4.响应文件提交截止时间</w:t>
      </w:r>
    </w:p>
    <w:p w14:paraId="195D3115">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同磋商时间。</w:t>
      </w:r>
    </w:p>
    <w:p w14:paraId="7B197AE7">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5.磋商时间及地点</w:t>
      </w:r>
    </w:p>
    <w:p w14:paraId="651F02EA">
      <w:pPr>
        <w:adjustRightInd w:val="0"/>
        <w:snapToGrid w:val="0"/>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rPr>
        <w:t>5.1 磋商时间：</w:t>
      </w:r>
      <w:r>
        <w:rPr>
          <w:rFonts w:hint="eastAsia" w:asciiTheme="majorEastAsia" w:hAnsiTheme="majorEastAsia" w:eastAsiaTheme="majorEastAsia" w:cstheme="majorEastAsia"/>
          <w:color w:val="FF0000"/>
          <w:szCs w:val="24"/>
          <w:highlight w:val="none"/>
        </w:rPr>
        <w:t>202</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年</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月</w:t>
      </w:r>
      <w:r>
        <w:rPr>
          <w:rFonts w:hint="eastAsia" w:asciiTheme="majorEastAsia" w:hAnsiTheme="majorEastAsia" w:eastAsiaTheme="majorEastAsia" w:cstheme="majorEastAsia"/>
          <w:color w:val="FF0000"/>
          <w:szCs w:val="24"/>
          <w:highlight w:val="none"/>
          <w:lang w:val="en-US" w:eastAsia="zh-CN"/>
        </w:rPr>
        <w:t>17</w:t>
      </w:r>
      <w:r>
        <w:rPr>
          <w:rFonts w:hint="eastAsia" w:asciiTheme="majorEastAsia" w:hAnsiTheme="majorEastAsia" w:eastAsiaTheme="majorEastAsia" w:cstheme="majorEastAsia"/>
          <w:color w:val="FF0000"/>
          <w:szCs w:val="24"/>
          <w:highlight w:val="none"/>
        </w:rPr>
        <w:t>日</w:t>
      </w:r>
      <w:r>
        <w:rPr>
          <w:rFonts w:hint="eastAsia" w:asciiTheme="majorEastAsia" w:hAnsiTheme="majorEastAsia" w:eastAsiaTheme="majorEastAsia" w:cstheme="majorEastAsia"/>
          <w:color w:val="FF0000"/>
          <w:szCs w:val="24"/>
          <w:highlight w:val="none"/>
          <w:lang w:val="en-US" w:eastAsia="zh-CN"/>
        </w:rPr>
        <w:t>上午9时00分</w:t>
      </w:r>
    </w:p>
    <w:p w14:paraId="2A44ECC4">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5.2 磋商地点：优质采云采购平台（http://www.youzhicai.com/）</w:t>
      </w:r>
    </w:p>
    <w:p w14:paraId="0D44E1C6">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6.发布公告的媒介</w:t>
      </w:r>
    </w:p>
    <w:p w14:paraId="7A582A4A">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本次磋商公告同时在肥西县公共资源交易有限责任公司、优质采云采购平台、安徽省招标投标信息网、中国采购与招标网上发布。</w:t>
      </w:r>
    </w:p>
    <w:p w14:paraId="183CDB73">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7.联系方式</w:t>
      </w:r>
    </w:p>
    <w:p w14:paraId="51CCB0CD">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7.1 业主单位</w:t>
      </w:r>
    </w:p>
    <w:p w14:paraId="73116B38">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业主单位名称：</w:t>
      </w:r>
      <w:r>
        <w:rPr>
          <w:rFonts w:hint="eastAsia" w:asciiTheme="majorEastAsia" w:hAnsiTheme="majorEastAsia" w:eastAsiaTheme="majorEastAsia" w:cstheme="majorEastAsia"/>
          <w:szCs w:val="24"/>
          <w:highlight w:val="none"/>
          <w:lang w:eastAsia="zh-CN"/>
        </w:rPr>
        <w:t>肥西县庐月又酒店管理有限公司</w:t>
      </w:r>
    </w:p>
    <w:p w14:paraId="499E1B0B">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lang w:eastAsia="zh-CN"/>
        </w:rPr>
        <w:t>地址：安徽省合肥市肥西县三河镇三杭路游客接待中心1号</w:t>
      </w:r>
    </w:p>
    <w:p w14:paraId="70C3BEEE">
      <w:pPr>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lang w:eastAsia="zh-CN"/>
        </w:rPr>
        <w:t>联系人：</w:t>
      </w:r>
      <w:r>
        <w:rPr>
          <w:rFonts w:hint="eastAsia" w:asciiTheme="majorEastAsia" w:hAnsiTheme="majorEastAsia" w:eastAsiaTheme="majorEastAsia" w:cstheme="majorEastAsia"/>
          <w:szCs w:val="24"/>
          <w:highlight w:val="none"/>
          <w:lang w:val="en-US" w:eastAsia="zh-CN"/>
        </w:rPr>
        <w:t>沈工</w:t>
      </w:r>
    </w:p>
    <w:p w14:paraId="13482D0D">
      <w:pPr>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lang w:eastAsia="zh-CN"/>
        </w:rPr>
        <w:t>电话：</w:t>
      </w:r>
      <w:r>
        <w:rPr>
          <w:rFonts w:hint="eastAsia" w:asciiTheme="majorEastAsia" w:hAnsiTheme="majorEastAsia" w:eastAsiaTheme="majorEastAsia" w:cstheme="majorEastAsia"/>
          <w:szCs w:val="24"/>
          <w:highlight w:val="none"/>
          <w:lang w:val="en-US" w:eastAsia="zh-CN"/>
        </w:rPr>
        <w:t>0551-68757116</w:t>
      </w:r>
    </w:p>
    <w:p w14:paraId="46CF6CAD">
      <w:pPr>
        <w:spacing w:before="93" w:beforeLines="30" w:after="93" w:afterLines="30"/>
        <w:ind w:firstLine="480"/>
        <w:rPr>
          <w:rFonts w:asciiTheme="majorEastAsia" w:hAnsiTheme="majorEastAsia" w:eastAsiaTheme="majorEastAsia" w:cstheme="majorEastAsia"/>
          <w:b/>
          <w:szCs w:val="24"/>
          <w:highlight w:val="none"/>
        </w:rPr>
      </w:pPr>
      <w:r>
        <w:rPr>
          <w:rFonts w:hint="eastAsia" w:asciiTheme="majorEastAsia" w:hAnsiTheme="majorEastAsia" w:eastAsiaTheme="majorEastAsia" w:cstheme="majorEastAsia"/>
          <w:szCs w:val="24"/>
          <w:highlight w:val="none"/>
        </w:rPr>
        <w:t>7.2 代理机构</w:t>
      </w:r>
    </w:p>
    <w:p w14:paraId="5A5D4275">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代理机构名称：肥西县公共资源交易有限责任公司</w:t>
      </w:r>
    </w:p>
    <w:p w14:paraId="3D05CDD4">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地  址：肥西县上派镇紫石路与佛光路交叉口肥光办公区3号楼2楼</w:t>
      </w:r>
    </w:p>
    <w:p w14:paraId="1976FA0B">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联系人：</w:t>
      </w:r>
      <w:r>
        <w:rPr>
          <w:rFonts w:hint="eastAsia" w:asciiTheme="majorEastAsia" w:hAnsiTheme="majorEastAsia" w:eastAsiaTheme="majorEastAsia" w:cstheme="majorEastAsia"/>
          <w:szCs w:val="24"/>
          <w:highlight w:val="none"/>
          <w:lang w:val="en-US" w:eastAsia="zh-CN"/>
        </w:rPr>
        <w:t>唐</w:t>
      </w:r>
      <w:r>
        <w:rPr>
          <w:rFonts w:hint="eastAsia" w:asciiTheme="majorEastAsia" w:hAnsiTheme="majorEastAsia" w:eastAsiaTheme="majorEastAsia" w:cstheme="majorEastAsia"/>
          <w:szCs w:val="24"/>
          <w:highlight w:val="none"/>
        </w:rPr>
        <w:t>工</w:t>
      </w:r>
    </w:p>
    <w:p w14:paraId="4D568A31">
      <w:pPr>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rPr>
        <w:t>电  话：0551-688</w:t>
      </w:r>
      <w:r>
        <w:rPr>
          <w:rFonts w:hint="eastAsia" w:asciiTheme="majorEastAsia" w:hAnsiTheme="majorEastAsia" w:eastAsiaTheme="majorEastAsia" w:cstheme="majorEastAsia"/>
          <w:szCs w:val="24"/>
          <w:highlight w:val="none"/>
          <w:lang w:val="en-US" w:eastAsia="zh-CN"/>
        </w:rPr>
        <w:t>38796</w:t>
      </w:r>
    </w:p>
    <w:p w14:paraId="48FF6C21">
      <w:pPr>
        <w:spacing w:before="93" w:beforeLines="30" w:after="93" w:afterLines="30"/>
        <w:ind w:firstLine="480"/>
        <w:rPr>
          <w:rFonts w:hint="eastAsia" w:asciiTheme="majorEastAsia" w:hAnsiTheme="majorEastAsia" w:eastAsiaTheme="majorEastAsia" w:cstheme="majorEastAsia"/>
          <w:b/>
          <w:szCs w:val="24"/>
          <w:highlight w:val="none"/>
          <w:lang w:eastAsia="zh-CN"/>
        </w:rPr>
      </w:pPr>
      <w:r>
        <w:rPr>
          <w:rFonts w:hint="eastAsia" w:asciiTheme="majorEastAsia" w:hAnsiTheme="majorEastAsia" w:eastAsiaTheme="majorEastAsia" w:cstheme="majorEastAsia"/>
          <w:szCs w:val="24"/>
          <w:highlight w:val="none"/>
        </w:rPr>
        <w:t>7.3 监督管理部门</w:t>
      </w:r>
    </w:p>
    <w:p w14:paraId="7550DAA1">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监督管理部门：肥西县产城国创控股集团有限公司工程管理采购部</w:t>
      </w:r>
    </w:p>
    <w:p w14:paraId="6F224110">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  址：安徽省合肥市肥西县经济开发区创新大道与玉兰大道交口药谷科技创业园C1幢产业园</w:t>
      </w:r>
    </w:p>
    <w:p w14:paraId="51AA4FF4">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  话：0551-68895776</w:t>
      </w:r>
    </w:p>
    <w:p w14:paraId="5637ED98">
      <w:pPr>
        <w:spacing w:before="93" w:beforeLines="30" w:after="93" w:afterLines="30"/>
        <w:ind w:firstLine="482"/>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b/>
          <w:szCs w:val="24"/>
          <w:highlight w:val="none"/>
        </w:rPr>
        <w:t>8.其他事项说明</w:t>
      </w:r>
    </w:p>
    <w:p w14:paraId="30016F85">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8.1 电子化交易要求：</w:t>
      </w:r>
    </w:p>
    <w:p w14:paraId="08C5AE38">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潜在供应商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14:paraId="0F8F01E9">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已注册的潜在供应商可登录优质采平台获取磋商文件，本项目的磋商文件及其他资料（含澄清、答疑及相关补充文件）通过优质采平台发布，业主单位/代理机构不再另行书面通知，潜在供应商应及时关注、查阅优质采平台。因未及时查看导致不利后果的，责任自负。</w:t>
      </w:r>
    </w:p>
    <w:p w14:paraId="3DD6C4BB">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（3）已注册的潜在供应商若注册信息发生变更（如：与初始注册信息不一致），应及时网上提交变更申请。因未及时变更导致不利后果的，责任自负。</w:t>
      </w:r>
    </w:p>
    <w:p w14:paraId="3235D1DF">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3B2C43E3">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（5）响应文件必须使用“优质采投标文件制作工具”制作生成并上传。下载地址：http://toolcdn.youzhicai.com/tools/BidderTools.zip，使用说明书及视频教程下载地址：http://file.youzhicai.com/files/BidderHelp.rar。</w:t>
      </w:r>
    </w:p>
    <w:p w14:paraId="5EDFB145">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8.2 供应商应合理安排磋商文件获取时间，特别是网络速度慢的地区防止在系统关闭前网络拥堵无法操作。如果因计算机及网络故障造成无法完成磋商文件获取，责任自负。</w:t>
      </w:r>
      <w:bookmarkEnd w:id="2"/>
      <w:r>
        <w:rPr>
          <w:rFonts w:hint="eastAsia" w:asciiTheme="majorEastAsia" w:hAnsiTheme="majorEastAsia" w:eastAsiaTheme="majorEastAsia" w:cstheme="majorEastAsia"/>
          <w:szCs w:val="24"/>
          <w:highlight w:val="none"/>
        </w:rPr>
        <w:br w:type="page"/>
      </w:r>
    </w:p>
    <w:p w14:paraId="67A0B469">
      <w:pPr>
        <w:ind w:firstLine="562"/>
        <w:jc w:val="center"/>
        <w:outlineLvl w:val="1"/>
        <w:rPr>
          <w:rFonts w:asciiTheme="minorEastAsia" w:hAnsiTheme="minorEastAsia" w:eastAsiaTheme="minorEastAsia"/>
          <w:b/>
          <w:sz w:val="28"/>
          <w:highlight w:val="none"/>
        </w:rPr>
      </w:pPr>
      <w:bookmarkStart w:id="3" w:name="_Toc5527"/>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3"/>
    </w:p>
    <w:p w14:paraId="5586B0F2">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供应商</w:t>
      </w:r>
      <w:r>
        <w:rPr>
          <w:rFonts w:asciiTheme="minorEastAsia" w:hAnsiTheme="minorEastAsia" w:eastAsiaTheme="minorEastAsia"/>
          <w:b/>
          <w:highlight w:val="none"/>
        </w:rPr>
        <w:t>须</w:t>
      </w:r>
      <w:r>
        <w:rPr>
          <w:rFonts w:hint="eastAsia" w:asciiTheme="minorEastAsia" w:hAnsiTheme="minorEastAsia" w:eastAsiaTheme="minorEastAsia"/>
          <w:b/>
          <w:highlight w:val="none"/>
        </w:rPr>
        <w:t>知前附表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3F8A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9BD408A">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条款号</w:t>
            </w:r>
          </w:p>
        </w:tc>
        <w:tc>
          <w:tcPr>
            <w:tcW w:w="782" w:type="pct"/>
            <w:vAlign w:val="center"/>
          </w:tcPr>
          <w:p w14:paraId="091725CE">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条款名称</w:t>
            </w:r>
          </w:p>
        </w:tc>
        <w:tc>
          <w:tcPr>
            <w:tcW w:w="3623" w:type="pct"/>
            <w:vAlign w:val="center"/>
          </w:tcPr>
          <w:p w14:paraId="5569DF14">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内容、说明与要求</w:t>
            </w:r>
          </w:p>
        </w:tc>
      </w:tr>
      <w:tr w14:paraId="68B1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1E9902F">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22BF480D">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服务地点</w:t>
            </w:r>
          </w:p>
        </w:tc>
        <w:tc>
          <w:tcPr>
            <w:tcW w:w="3623" w:type="pct"/>
            <w:vAlign w:val="center"/>
          </w:tcPr>
          <w:p w14:paraId="3F9049BC">
            <w:pPr>
              <w:pStyle w:val="20"/>
              <w:rPr>
                <w:rFonts w:hint="default" w:eastAsia="宋体"/>
                <w:color w:val="000000" w:themeColor="text1"/>
                <w:highlight w:val="none"/>
                <w:lang w:val="en-US" w:eastAsia="zh-CN"/>
                <w14:textFill>
                  <w14:solidFill>
                    <w14:schemeClr w14:val="tx1"/>
                  </w14:solidFill>
                </w14:textFill>
              </w:rPr>
            </w:pPr>
            <w:r>
              <w:rPr>
                <w:rFonts w:hint="eastAsia" w:cs="宋体"/>
                <w:b w:val="0"/>
                <w:bCs w:val="0"/>
                <w:color w:val="000000"/>
                <w:kern w:val="2"/>
                <w:sz w:val="24"/>
                <w:szCs w:val="24"/>
                <w:lang w:val="en-US" w:eastAsia="zh-CN"/>
              </w:rPr>
              <w:t>采购人指定地点</w:t>
            </w:r>
          </w:p>
        </w:tc>
      </w:tr>
      <w:tr w14:paraId="2161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ACE08B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36567962">
            <w:pPr>
              <w:pStyle w:val="2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3623" w:type="pct"/>
            <w:vAlign w:val="center"/>
          </w:tcPr>
          <w:p w14:paraId="7F41E633">
            <w:pPr>
              <w:pStyle w:val="22"/>
              <w:rPr>
                <w:color w:val="000000" w:themeColor="text1"/>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t>自合同签订之日起至合同结束</w:t>
            </w:r>
            <w:r>
              <w:rPr>
                <w:rFonts w:hint="eastAsia" w:cs="宋体"/>
                <w:b w:val="0"/>
                <w:bCs/>
                <w:color w:val="000000" w:themeColor="text1"/>
                <w:sz w:val="24"/>
                <w:szCs w:val="24"/>
                <w:highlight w:val="none"/>
                <w:lang w:val="en-US" w:eastAsia="zh-CN" w:bidi="ar-SA"/>
                <w14:textFill>
                  <w14:solidFill>
                    <w14:schemeClr w14:val="tx1"/>
                  </w14:solidFill>
                </w14:textFill>
              </w:rPr>
              <w:t>，预算满止，且总时长不超过1年。</w:t>
            </w:r>
          </w:p>
        </w:tc>
      </w:tr>
      <w:tr w14:paraId="325D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F467B9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7E033F88">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现场踏勘</w:t>
            </w:r>
          </w:p>
        </w:tc>
        <w:tc>
          <w:tcPr>
            <w:tcW w:w="3623" w:type="pct"/>
            <w:vAlign w:val="center"/>
          </w:tcPr>
          <w:p w14:paraId="7F8AD5BD">
            <w:pPr>
              <w:ind w:firstLine="0" w:firstLineChars="0"/>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3B5DE2E8">
            <w:pPr>
              <w:ind w:firstLine="0" w:firstLineChars="0"/>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p w14:paraId="61717D26">
            <w:pPr>
              <w:ind w:firstLine="0" w:firstLineChars="0"/>
              <w:rPr>
                <w:rFonts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时间：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月</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日</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时</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分</w:t>
            </w:r>
          </w:p>
          <w:p w14:paraId="1CEBBD39">
            <w:pPr>
              <w:ind w:firstLine="0" w:firstLineChars="0"/>
              <w:rPr>
                <w:rFonts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现场踏勘联系人及联系电话：</w:t>
            </w:r>
            <w:r>
              <w:rPr>
                <w:rFonts w:hint="eastAsia" w:cs="宋体"/>
                <w:bCs/>
                <w:color w:val="000000" w:themeColor="text1"/>
                <w:kern w:val="2"/>
                <w:szCs w:val="24"/>
                <w:highlight w:val="none"/>
                <w:u w:val="single"/>
                <w14:textFill>
                  <w14:solidFill>
                    <w14:schemeClr w14:val="tx1"/>
                  </w14:solidFill>
                </w14:textFill>
              </w:rPr>
              <w:t xml:space="preserve">           </w:t>
            </w:r>
          </w:p>
          <w:p w14:paraId="4FB5C9D0">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备注：如供应商未参加业主单位统一组织的现场踏勘，视同放弃现场踏勘，由此引起的一切责任由供应商自行承担。</w:t>
            </w:r>
          </w:p>
        </w:tc>
      </w:tr>
      <w:tr w14:paraId="4F37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22D1D5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2" w:type="pct"/>
            <w:vAlign w:val="center"/>
          </w:tcPr>
          <w:p w14:paraId="65E6C6FB">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关于联合体参加磋商的相关约定（如允许联合体）</w:t>
            </w:r>
          </w:p>
        </w:tc>
        <w:tc>
          <w:tcPr>
            <w:tcW w:w="3623" w:type="pct"/>
            <w:vAlign w:val="center"/>
          </w:tcPr>
          <w:p w14:paraId="7C355652">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（1）联合体参加磋商的，磋商文件获取信息填写，由联合体中任一成员单位完成均可。</w:t>
            </w:r>
          </w:p>
          <w:p w14:paraId="45409EB2">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（2）联合体参加磋商的须提供联合协议（见响应文件格式），相关证明材料由供应商根据联合协议分工情况及磋商文件要求提供。</w:t>
            </w:r>
          </w:p>
          <w:p w14:paraId="4FFB64F2">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14:paraId="6009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pct"/>
            <w:vAlign w:val="center"/>
          </w:tcPr>
          <w:p w14:paraId="529EA50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2" w:type="pct"/>
            <w:vAlign w:val="center"/>
          </w:tcPr>
          <w:p w14:paraId="31DDEA3F">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初审业绩要求（如有）</w:t>
            </w:r>
          </w:p>
        </w:tc>
        <w:tc>
          <w:tcPr>
            <w:tcW w:w="3623" w:type="pct"/>
            <w:vAlign w:val="center"/>
          </w:tcPr>
          <w:p w14:paraId="07DF15DF">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供应商应按下列规定提供业绩证明资料：</w:t>
            </w:r>
          </w:p>
          <w:p w14:paraId="345DA9F3">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□已完成的业绩：响应文件中须同时提供以下业绩证明材料：</w:t>
            </w:r>
          </w:p>
          <w:p w14:paraId="42DF7C7D">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609EC5BC">
            <w:pPr>
              <w:ind w:firstLine="0" w:firstLineChars="0"/>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（2）与该业绩对应的项目已完成的证明材料（如验收报告或业主（或合同甲方）证明）。</w:t>
            </w:r>
          </w:p>
          <w:p w14:paraId="56F78DA5">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□正在履约或已完成的业绩：响应文件中须同时提供以下业绩证明材料：</w:t>
            </w:r>
          </w:p>
          <w:p w14:paraId="4AC00D17">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113D6FBF">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（2）与该业绩对应的项目正在履约或已完成的证明材料（如验收报告或业主（或合同甲方）证明）。</w:t>
            </w:r>
          </w:p>
          <w:p w14:paraId="0AA23DA2">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已签订合同但尚未实施的业绩不予认可。即截至磋商时间，项目如存在目前尚未开始履约、人员进场但尚未实质性开展、处于暂停等情况的，该业绩不予认可。</w:t>
            </w:r>
          </w:p>
          <w:p w14:paraId="4E97F0BF">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注：（1）正在履约或已完成的证明材料须加盖项目业主单位或合同甲方公章(证明材料已有项目业主单位或合同甲方公章的除外)，否则评审委员会不予认可。</w:t>
            </w:r>
          </w:p>
          <w:p w14:paraId="63D2D21E">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（2）如果业绩合同和项目已完成（或正在履约）的证明材料中的合同金额、建筑面积等合同要素不一致的，以项目已完成（或正在履约）的证明材料为准。</w:t>
            </w:r>
          </w:p>
          <w:p w14:paraId="7EB4DB5D">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0A2E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9AD7A50">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82" w:type="pct"/>
            <w:vAlign w:val="center"/>
          </w:tcPr>
          <w:p w14:paraId="47A648FC">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2F125DBD">
            <w:pPr>
              <w:spacing w:line="440" w:lineRule="exact"/>
              <w:ind w:firstLine="0" w:firstLineChars="0"/>
              <w:rPr>
                <w:rFonts w:cs="宋体"/>
                <w:bCs/>
                <w:color w:val="FF0000"/>
                <w:szCs w:val="24"/>
                <w:highlight w:val="none"/>
              </w:rPr>
            </w:pPr>
            <w:r>
              <w:rPr>
                <w:rFonts w:hint="eastAsia" w:cs="宋体"/>
                <w:bCs/>
                <w:color w:val="FF0000"/>
                <w:szCs w:val="24"/>
                <w:highlight w:val="none"/>
              </w:rPr>
              <w:t>（1）时间：</w:t>
            </w:r>
            <w:r>
              <w:rPr>
                <w:rFonts w:hint="eastAsia" w:cs="宋体"/>
                <w:b/>
                <w:color w:val="FF0000"/>
                <w:kern w:val="2"/>
                <w:szCs w:val="24"/>
                <w:highlight w:val="none"/>
                <w:u w:val="single"/>
              </w:rPr>
              <w:t>202</w:t>
            </w:r>
            <w:r>
              <w:rPr>
                <w:rFonts w:hint="eastAsia" w:cs="宋体"/>
                <w:b/>
                <w:color w:val="FF0000"/>
                <w:kern w:val="2"/>
                <w:szCs w:val="24"/>
                <w:highlight w:val="none"/>
                <w:u w:val="single"/>
                <w:lang w:val="en-US" w:eastAsia="zh-CN"/>
              </w:rPr>
              <w:t>6</w:t>
            </w:r>
            <w:r>
              <w:rPr>
                <w:rFonts w:hint="eastAsia" w:cs="宋体"/>
                <w:b/>
                <w:color w:val="FF0000"/>
                <w:kern w:val="2"/>
                <w:szCs w:val="24"/>
                <w:highlight w:val="none"/>
              </w:rPr>
              <w:t>年</w:t>
            </w:r>
            <w:r>
              <w:rPr>
                <w:rFonts w:hint="eastAsia" w:cs="宋体"/>
                <w:b/>
                <w:color w:val="FF0000"/>
                <w:kern w:val="2"/>
                <w:szCs w:val="24"/>
                <w:highlight w:val="none"/>
                <w:lang w:val="en-US" w:eastAsia="zh-CN"/>
              </w:rPr>
              <w:t>6</w:t>
            </w:r>
            <w:r>
              <w:rPr>
                <w:rFonts w:hint="eastAsia" w:cs="宋体"/>
                <w:b/>
                <w:color w:val="FF0000"/>
                <w:kern w:val="2"/>
                <w:szCs w:val="24"/>
                <w:highlight w:val="none"/>
              </w:rPr>
              <w:t>月</w:t>
            </w:r>
            <w:r>
              <w:rPr>
                <w:rFonts w:hint="eastAsia" w:cs="宋体"/>
                <w:b/>
                <w:color w:val="FF0000"/>
                <w:kern w:val="2"/>
                <w:szCs w:val="24"/>
                <w:highlight w:val="none"/>
                <w:lang w:val="en-US" w:eastAsia="zh-CN"/>
              </w:rPr>
              <w:t>16</w:t>
            </w:r>
            <w:r>
              <w:rPr>
                <w:rFonts w:hint="eastAsia" w:cs="宋体"/>
                <w:b/>
                <w:color w:val="FF0000"/>
                <w:kern w:val="2"/>
                <w:szCs w:val="24"/>
                <w:highlight w:val="none"/>
              </w:rPr>
              <w:t>日</w:t>
            </w:r>
            <w:r>
              <w:rPr>
                <w:rFonts w:hint="eastAsia" w:cs="宋体"/>
                <w:b/>
                <w:color w:val="FF0000"/>
                <w:kern w:val="2"/>
                <w:szCs w:val="24"/>
                <w:highlight w:val="none"/>
                <w:u w:val="single"/>
              </w:rPr>
              <w:t>17</w:t>
            </w:r>
            <w:r>
              <w:rPr>
                <w:rFonts w:hint="eastAsia" w:cs="宋体"/>
                <w:b/>
                <w:color w:val="FF0000"/>
                <w:kern w:val="2"/>
                <w:szCs w:val="24"/>
                <w:highlight w:val="none"/>
              </w:rPr>
              <w:t>时</w:t>
            </w:r>
            <w:r>
              <w:rPr>
                <w:rFonts w:hint="eastAsia" w:cs="宋体"/>
                <w:b/>
                <w:color w:val="FF0000"/>
                <w:kern w:val="2"/>
                <w:szCs w:val="24"/>
                <w:highlight w:val="none"/>
                <w:u w:val="single"/>
              </w:rPr>
              <w:t>30</w:t>
            </w:r>
            <w:r>
              <w:rPr>
                <w:rFonts w:hint="eastAsia" w:cs="宋体"/>
                <w:b/>
                <w:color w:val="FF0000"/>
                <w:kern w:val="2"/>
                <w:szCs w:val="24"/>
                <w:highlight w:val="none"/>
              </w:rPr>
              <w:t>分。</w:t>
            </w:r>
          </w:p>
          <w:p w14:paraId="7FDA3B55">
            <w:pPr>
              <w:spacing w:line="440" w:lineRule="exact"/>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61F92702">
            <w:pPr>
              <w:spacing w:line="440" w:lineRule="exact"/>
              <w:ind w:firstLine="0" w:firstLineChars="0"/>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肥西县公共资源交易有限责任公司对磋商文件进行的澄清、更正或更改，将在网站上及时发布，该公告内容为磋商文件的组成部分，对供应商具有同样约束力效力。供应商应主动上网查询。肥西县公共资源交易有限责任公司不承担供应商未及时关注相关信息引发的相关责任。</w:t>
            </w:r>
          </w:p>
        </w:tc>
      </w:tr>
      <w:tr w14:paraId="2AAC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70CBFAD">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2" w:type="pct"/>
            <w:vAlign w:val="center"/>
          </w:tcPr>
          <w:p w14:paraId="29DD0A3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构成磋商的其他材料</w:t>
            </w:r>
          </w:p>
        </w:tc>
        <w:tc>
          <w:tcPr>
            <w:tcW w:w="3623" w:type="pct"/>
            <w:vAlign w:val="center"/>
          </w:tcPr>
          <w:p w14:paraId="6FB0D7B4">
            <w:pPr>
              <w:adjustRightInd w:val="0"/>
              <w:snapToGrid w:val="0"/>
              <w:ind w:firstLine="0" w:firstLineChars="0"/>
              <w:jc w:val="left"/>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13C4161C">
            <w:pPr>
              <w:adjustRightInd w:val="0"/>
              <w:snapToGrid w:val="0"/>
              <w:ind w:firstLine="0" w:firstLineChars="0"/>
              <w:jc w:val="left"/>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0CBCF77A">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上述资料请供应商在获取磋商文件后，自行登录电子交易系统下载本项目附件。</w:t>
            </w:r>
          </w:p>
        </w:tc>
      </w:tr>
      <w:tr w14:paraId="3BBD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F181313">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782" w:type="pct"/>
            <w:vAlign w:val="center"/>
          </w:tcPr>
          <w:p w14:paraId="422560BA">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磋商保证金及电子交易服务费用</w:t>
            </w:r>
          </w:p>
        </w:tc>
        <w:tc>
          <w:tcPr>
            <w:tcW w:w="3623" w:type="pct"/>
            <w:vAlign w:val="center"/>
          </w:tcPr>
          <w:p w14:paraId="2DA1A8DA">
            <w:pPr>
              <w:ind w:firstLine="0" w:firstLineChars="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递交磋商保证金：</w:t>
            </w:r>
            <w:r>
              <w:rPr>
                <w:rFonts w:ascii="Segoe UI Symbol" w:hAnsi="Segoe UI Symbol" w:cs="Segoe UI Symbol"/>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2D9896AE">
            <w:pPr>
              <w:snapToGrid w:val="0"/>
              <w:spacing w:line="460" w:lineRule="exact"/>
              <w:ind w:firstLine="0" w:firstLineChars="0"/>
              <w:rPr>
                <w:rFonts w:cs="宋体"/>
                <w:b/>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是否要求供应商递交电子交易服务费用：□不要求</w:t>
            </w:r>
            <w:r>
              <w:rPr>
                <w:rFonts w:ascii="Segoe UI Symbol" w:hAnsi="Segoe UI Symbol" w:cs="Segoe UI Symbol"/>
                <w:b/>
                <w:bCs/>
                <w:color w:val="000000" w:themeColor="text1"/>
                <w:kern w:val="2"/>
                <w:szCs w:val="24"/>
                <w:highlight w:val="none"/>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要求</w:t>
            </w:r>
          </w:p>
          <w:p w14:paraId="1C515BEB">
            <w:pPr>
              <w:snapToGrid w:val="0"/>
              <w:spacing w:line="460" w:lineRule="exact"/>
              <w:ind w:firstLine="120" w:firstLineChars="5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电子交易服务费用的形式：</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银行转账  </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银行电汇 </w:t>
            </w:r>
          </w:p>
          <w:p w14:paraId="68B01C15">
            <w:pPr>
              <w:snapToGrid w:val="0"/>
              <w:spacing w:line="460" w:lineRule="exact"/>
              <w:ind w:firstLine="120" w:firstLineChars="50"/>
              <w:rPr>
                <w:rFonts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电子交易服务费用的金额：人民币200元，售后不退。</w:t>
            </w:r>
          </w:p>
          <w:p w14:paraId="5ECA8037">
            <w:pPr>
              <w:snapToGrid w:val="0"/>
              <w:spacing w:line="460" w:lineRule="exact"/>
              <w:ind w:firstLine="120" w:firstLineChars="5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递交要求： </w:t>
            </w:r>
          </w:p>
          <w:p w14:paraId="585BD388">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①电子交易服务费用的到账截止时间：同磋商时间。</w:t>
            </w:r>
          </w:p>
          <w:p w14:paraId="175BEEC7">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②电子交易服务费用应当从供应商账户转出。</w:t>
            </w:r>
          </w:p>
          <w:p w14:paraId="391301EE">
            <w:pPr>
              <w:snapToGrid w:val="0"/>
              <w:ind w:firstLine="0" w:firstLineChars="0"/>
              <w:rPr>
                <w:rFonts w:cs="宋体"/>
                <w:color w:val="FF0000"/>
                <w:kern w:val="2"/>
                <w:szCs w:val="24"/>
                <w:highlight w:val="none"/>
              </w:rPr>
            </w:pPr>
            <w:r>
              <w:rPr>
                <w:rFonts w:hint="eastAsia" w:cs="宋体"/>
                <w:color w:val="FF0000"/>
                <w:kern w:val="2"/>
                <w:szCs w:val="24"/>
                <w:highlight w:val="none"/>
              </w:rPr>
              <w:t>③转入的开户银行及账号：</w:t>
            </w:r>
          </w:p>
          <w:p w14:paraId="4D301975">
            <w:pPr>
              <w:snapToGrid w:val="0"/>
              <w:ind w:firstLine="0" w:firstLineChars="0"/>
              <w:rPr>
                <w:rFonts w:cs="宋体"/>
                <w:color w:val="FF0000"/>
                <w:kern w:val="2"/>
                <w:szCs w:val="24"/>
                <w:highlight w:val="none"/>
              </w:rPr>
            </w:pPr>
            <w:r>
              <w:rPr>
                <w:rFonts w:hint="eastAsia" w:cs="宋体"/>
                <w:color w:val="FF0000"/>
                <w:kern w:val="2"/>
                <w:szCs w:val="24"/>
                <w:highlight w:val="none"/>
              </w:rPr>
              <w:t>开户银行：广发银行股份有限公司合肥肥西支行</w:t>
            </w:r>
          </w:p>
          <w:p w14:paraId="1078405E">
            <w:pPr>
              <w:snapToGrid w:val="0"/>
              <w:ind w:firstLine="0" w:firstLineChars="0"/>
              <w:rPr>
                <w:rFonts w:cs="宋体"/>
                <w:color w:val="FF0000"/>
                <w:kern w:val="2"/>
                <w:szCs w:val="24"/>
                <w:highlight w:val="none"/>
              </w:rPr>
            </w:pPr>
            <w:r>
              <w:rPr>
                <w:rFonts w:hint="eastAsia" w:cs="宋体"/>
                <w:color w:val="FF0000"/>
                <w:kern w:val="2"/>
                <w:szCs w:val="24"/>
                <w:highlight w:val="none"/>
              </w:rPr>
              <w:t>开户名：肥西县公共资源交易有限责任公司</w:t>
            </w:r>
          </w:p>
          <w:p w14:paraId="3E40AAD0">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FF0000"/>
                <w:kern w:val="2"/>
                <w:szCs w:val="24"/>
                <w:highlight w:val="none"/>
              </w:rPr>
              <w:t>账号：6232594999000547826</w:t>
            </w:r>
          </w:p>
          <w:p w14:paraId="56D56F21">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注意事项：</w:t>
            </w:r>
          </w:p>
          <w:p w14:paraId="618A1A9E">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（1）电子交易服务</w:t>
            </w:r>
            <w:bookmarkStart w:id="32" w:name="_GoBack"/>
            <w:bookmarkEnd w:id="32"/>
            <w:r>
              <w:rPr>
                <w:rFonts w:hint="eastAsia" w:cs="宋体"/>
                <w:color w:val="000000" w:themeColor="text1"/>
                <w:kern w:val="2"/>
                <w:szCs w:val="24"/>
                <w:highlight w:val="none"/>
                <w14:textFill>
                  <w14:solidFill>
                    <w14:schemeClr w14:val="tx1"/>
                  </w14:solidFill>
                </w14:textFill>
              </w:rPr>
              <w:t>费用采用虚拟账号，项目磋商失败后，电子交易服务费用交纳账号将会发生变化，请供应商参与后续磋商时，注意勿将电子交易服务费用错交至其他项目账号或前次公告账号。</w:t>
            </w:r>
          </w:p>
          <w:p w14:paraId="75D0207B">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（3）凡转账到其他项目账户或本项目前次公告账户的，电子交易服务费用无效。</w:t>
            </w:r>
          </w:p>
          <w:p w14:paraId="23836A05">
            <w:pPr>
              <w:snapToGrid w:val="0"/>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（4）供应商参与本项目多个包别磋商的（如分多包别的），应该按包别分别递交电子交易服务费用。未递交电子交易服务费用的包别，其响应无效。</w:t>
            </w:r>
          </w:p>
        </w:tc>
      </w:tr>
      <w:tr w14:paraId="0C45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88F1B3C">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782" w:type="pct"/>
            <w:vAlign w:val="center"/>
          </w:tcPr>
          <w:p w14:paraId="04CC4279">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不予退还磋商保证金的情形</w:t>
            </w:r>
          </w:p>
        </w:tc>
        <w:tc>
          <w:tcPr>
            <w:tcW w:w="3623" w:type="pct"/>
            <w:vAlign w:val="center"/>
          </w:tcPr>
          <w:p w14:paraId="06ABB99B">
            <w:pPr>
              <w:snapToGrid w:val="0"/>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p>
        </w:tc>
      </w:tr>
      <w:tr w14:paraId="2853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78926F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82" w:type="pct"/>
            <w:vAlign w:val="center"/>
          </w:tcPr>
          <w:p w14:paraId="37AEDE9D">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磋商现场提交的其他材料要求</w:t>
            </w:r>
          </w:p>
        </w:tc>
        <w:tc>
          <w:tcPr>
            <w:tcW w:w="3623" w:type="pct"/>
            <w:vAlign w:val="center"/>
          </w:tcPr>
          <w:p w14:paraId="5EB8C5EC">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0461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7522D5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82" w:type="pct"/>
            <w:vAlign w:val="center"/>
          </w:tcPr>
          <w:p w14:paraId="0CBCDED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443F9F19">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响应文件提交截止时间后30分钟内（以系统解密倒计时为准）</w:t>
            </w:r>
          </w:p>
        </w:tc>
      </w:tr>
      <w:tr w14:paraId="1E50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081A55FB">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82" w:type="pct"/>
            <w:vMerge w:val="restart"/>
            <w:vAlign w:val="center"/>
          </w:tcPr>
          <w:p w14:paraId="27DE513F">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06AEA352">
            <w:pPr>
              <w:pStyle w:val="20"/>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评审委员会推荐成交候选人的数量：</w:t>
            </w:r>
            <w:r>
              <w:rPr>
                <w:rFonts w:hint="eastAsia"/>
                <w:color w:val="000000" w:themeColor="text1"/>
                <w:highlight w:val="none"/>
                <w:u w:val="single"/>
                <w14:textFill>
                  <w14:solidFill>
                    <w14:schemeClr w14:val="tx1"/>
                  </w14:solidFill>
                </w14:textFill>
              </w:rPr>
              <w:t>1家</w:t>
            </w:r>
          </w:p>
        </w:tc>
      </w:tr>
      <w:tr w14:paraId="36B9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20BFBC2D">
            <w:pPr>
              <w:pStyle w:val="21"/>
              <w:ind w:firstLine="0" w:firstLineChars="0"/>
              <w:rPr>
                <w:color w:val="000000" w:themeColor="text1"/>
                <w:highlight w:val="none"/>
                <w14:textFill>
                  <w14:solidFill>
                    <w14:schemeClr w14:val="tx1"/>
                  </w14:solidFill>
                </w14:textFill>
              </w:rPr>
            </w:pPr>
          </w:p>
        </w:tc>
        <w:tc>
          <w:tcPr>
            <w:tcW w:w="782" w:type="pct"/>
            <w:vMerge w:val="continue"/>
            <w:vAlign w:val="center"/>
          </w:tcPr>
          <w:p w14:paraId="376E6436">
            <w:pPr>
              <w:pStyle w:val="21"/>
              <w:ind w:firstLine="0" w:firstLineChars="0"/>
              <w:rPr>
                <w:color w:val="000000" w:themeColor="text1"/>
                <w:highlight w:val="none"/>
                <w14:textFill>
                  <w14:solidFill>
                    <w14:schemeClr w14:val="tx1"/>
                  </w14:solidFill>
                </w14:textFill>
              </w:rPr>
            </w:pPr>
          </w:p>
        </w:tc>
        <w:tc>
          <w:tcPr>
            <w:tcW w:w="3623" w:type="pct"/>
            <w:vAlign w:val="center"/>
          </w:tcPr>
          <w:p w14:paraId="73222F0B">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确定成交人：</w:t>
            </w:r>
          </w:p>
          <w:p w14:paraId="674D9B66">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业主单位委托评审委员会确定     </w:t>
            </w:r>
          </w:p>
          <w:p w14:paraId="32554116">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业主单位确定</w:t>
            </w:r>
          </w:p>
        </w:tc>
      </w:tr>
      <w:tr w14:paraId="01F3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9A2812F">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782" w:type="pct"/>
            <w:vAlign w:val="center"/>
          </w:tcPr>
          <w:p w14:paraId="3F708DDE">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157CC81F">
            <w:pPr>
              <w:pStyle w:val="20"/>
              <w:rPr>
                <w:b/>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书面     </w:t>
            </w: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数据电文</w:t>
            </w:r>
          </w:p>
        </w:tc>
      </w:tr>
      <w:tr w14:paraId="4752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F43E29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782" w:type="pct"/>
            <w:vAlign w:val="center"/>
          </w:tcPr>
          <w:p w14:paraId="7255154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告知磋商结果的</w:t>
            </w:r>
          </w:p>
          <w:p w14:paraId="397323AB">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形式</w:t>
            </w:r>
          </w:p>
        </w:tc>
        <w:tc>
          <w:tcPr>
            <w:tcW w:w="3623" w:type="pct"/>
            <w:vAlign w:val="center"/>
          </w:tcPr>
          <w:p w14:paraId="5FF4969F">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F0FE"/>
            </w:r>
            <w:r>
              <w:rPr>
                <w:rFonts w:hint="eastAsia"/>
                <w:color w:val="000000" w:themeColor="text1"/>
                <w:highlight w:val="none"/>
                <w14:textFill>
                  <w14:solidFill>
                    <w14:schemeClr w14:val="tx1"/>
                  </w14:solidFill>
                </w14:textFill>
              </w:rPr>
              <w:t>供应商自行登录系统查看</w:t>
            </w:r>
          </w:p>
          <w:p w14:paraId="670082EC">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□磋商现场告知</w:t>
            </w:r>
          </w:p>
        </w:tc>
      </w:tr>
      <w:tr w14:paraId="3FDB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25FED9F">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82" w:type="pct"/>
            <w:vAlign w:val="center"/>
          </w:tcPr>
          <w:p w14:paraId="5ECC1E1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p>
          <w:p w14:paraId="5ECFFD7A">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w:t>
            </w:r>
          </w:p>
        </w:tc>
        <w:tc>
          <w:tcPr>
            <w:tcW w:w="3623" w:type="pct"/>
          </w:tcPr>
          <w:p w14:paraId="5777EFC0">
            <w:pPr>
              <w:snapToGrid w:val="0"/>
              <w:ind w:firstLine="0" w:firstLineChars="0"/>
              <w:rPr>
                <w:rFonts w:cs="宋体"/>
                <w:snapToGrid w:val="0"/>
                <w:color w:val="000000" w:themeColor="text1"/>
                <w:szCs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sym w:font="Wingdings" w:char="00A8"/>
            </w:r>
            <w:r>
              <w:rPr>
                <w:rFonts w:hint="eastAsia" w:cs="宋体"/>
                <w:b w:val="0"/>
                <w:bCs w:val="0"/>
                <w:color w:val="000000" w:themeColor="text1"/>
                <w:szCs w:val="24"/>
                <w:highlight w:val="none"/>
                <w14:textFill>
                  <w14:solidFill>
                    <w14:schemeClr w14:val="tx1"/>
                  </w14:solidFill>
                </w14:textFill>
              </w:rPr>
              <w:t>收取</w:t>
            </w:r>
            <w:r>
              <w:rPr>
                <w:rFonts w:hint="eastAsia" w:cs="宋体"/>
                <w:color w:val="000000" w:themeColor="text1"/>
                <w:szCs w:val="24"/>
                <w:highlight w:val="none"/>
                <w14:textFill>
                  <w14:solidFill>
                    <w14:schemeClr w14:val="tx1"/>
                  </w14:solidFill>
                </w14:textFill>
              </w:rPr>
              <w:t xml:space="preserve">     </w:t>
            </w:r>
            <w:r>
              <w:rPr>
                <w:rFonts w:hint="eastAsia" w:cs="宋体"/>
                <w:b/>
                <w:bCs/>
                <w:color w:val="000000" w:themeColor="text1"/>
                <w:szCs w:val="24"/>
                <w:highlight w:val="none"/>
                <w:lang w:eastAsia="zh-CN"/>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不收取</w:t>
            </w:r>
          </w:p>
          <w:p w14:paraId="59BC2568">
            <w:pPr>
              <w:snapToGrid w:val="0"/>
              <w:ind w:firstLine="0" w:firstLineChars="0"/>
              <w:rPr>
                <w:rFonts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sym w:font="Wingdings" w:char="00A8"/>
            </w:r>
            <w:r>
              <w:rPr>
                <w:rFonts w:hint="eastAsia" w:cs="宋体"/>
                <w:b w:val="0"/>
                <w:bCs w:val="0"/>
                <w:color w:val="000000" w:themeColor="text1"/>
                <w:szCs w:val="24"/>
                <w:highlight w:val="none"/>
                <w14:textFill>
                  <w14:solidFill>
                    <w14:schemeClr w14:val="tx1"/>
                  </w14:solidFill>
                </w14:textFill>
              </w:rPr>
              <w:t>定额收取</w:t>
            </w:r>
            <w:r>
              <w:rPr>
                <w:rFonts w:hint="eastAsia" w:cs="宋体"/>
                <w:b w:val="0"/>
                <w:bCs w:val="0"/>
                <w:color w:val="000000" w:themeColor="text1"/>
                <w:szCs w:val="24"/>
                <w:highlight w:val="none"/>
                <w:u w:val="single"/>
                <w:lang w:val="en-US" w:eastAsia="zh-CN"/>
                <w14:textFill>
                  <w14:solidFill>
                    <w14:schemeClr w14:val="tx1"/>
                  </w14:solidFill>
                </w14:textFill>
              </w:rPr>
              <w:t xml:space="preserve">     </w:t>
            </w:r>
            <w:r>
              <w:rPr>
                <w:rFonts w:hint="eastAsia" w:cs="宋体"/>
                <w:b w:val="0"/>
                <w:bCs w:val="0"/>
                <w:color w:val="000000" w:themeColor="text1"/>
                <w:szCs w:val="24"/>
                <w:highlight w:val="none"/>
                <w14:textFill>
                  <w14:solidFill>
                    <w14:schemeClr w14:val="tx1"/>
                  </w14:solidFill>
                </w14:textFill>
              </w:rPr>
              <w:t>元</w:t>
            </w:r>
          </w:p>
          <w:p w14:paraId="454CFF83">
            <w:pPr>
              <w:snapToGrid w:val="0"/>
              <w:ind w:firstLine="0" w:firstLineChars="0"/>
              <w:rPr>
                <w:rFonts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银行转账  </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银行电汇 </w:t>
            </w:r>
            <w:r>
              <w:rPr>
                <w:color w:val="000000" w:themeColor="text1"/>
                <w:szCs w:val="24"/>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现金保证</w:t>
            </w:r>
          </w:p>
          <w:p w14:paraId="6FC58768">
            <w:pPr>
              <w:snapToGrid w:val="0"/>
              <w:ind w:firstLine="0" w:firstLineChars="0"/>
              <w:rPr>
                <w:rFonts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合同签订前按规定提交履约保证金，若成交人在规定时限内未提交保证金的，业主单位将书面通知成交人，5日内不能办理的，业主单位将有权取消其成交资格,并没收其磋商保证金。在此情况下业主单位可将该项目授予排名第二的供应商或重新磋商。</w:t>
            </w:r>
          </w:p>
          <w:p w14:paraId="65A096FE">
            <w:pPr>
              <w:pStyle w:val="2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（4）收取单位：</w:t>
            </w:r>
            <w:r>
              <w:rPr>
                <w:rFonts w:hint="eastAsia"/>
                <w:color w:val="000000" w:themeColor="text1"/>
                <w:highlight w:val="none"/>
                <w:lang w:eastAsia="zh-CN"/>
                <w14:textFill>
                  <w14:solidFill>
                    <w14:schemeClr w14:val="tx1"/>
                  </w14:solidFill>
                </w14:textFill>
              </w:rPr>
              <w:t>肥西县庐月又酒店管理有限公司</w:t>
            </w:r>
          </w:p>
          <w:p w14:paraId="6B10DF64">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（5）缴纳时间：合同签订前</w:t>
            </w:r>
          </w:p>
          <w:p w14:paraId="7E72DF61">
            <w:pPr>
              <w:pStyle w:val="20"/>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（6）退还时间：</w:t>
            </w:r>
            <w:r>
              <w:rPr>
                <w:rFonts w:hint="eastAsia"/>
                <w:color w:val="000000" w:themeColor="text1"/>
                <w:highlight w:val="none"/>
                <w:lang w:val="en-US" w:eastAsia="zh-CN"/>
                <w14:textFill>
                  <w14:solidFill>
                    <w14:schemeClr w14:val="tx1"/>
                  </w14:solidFill>
                </w14:textFill>
              </w:rPr>
              <w:t>合同履约完成</w:t>
            </w:r>
            <w:r>
              <w:rPr>
                <w:rFonts w:hint="eastAsia"/>
                <w:color w:val="000000" w:themeColor="text1"/>
                <w:highlight w:val="none"/>
                <w14:textFill>
                  <w14:solidFill>
                    <w14:schemeClr w14:val="tx1"/>
                  </w14:solidFill>
                </w14:textFill>
              </w:rPr>
              <w:t xml:space="preserve">，一个月内退还。   </w:t>
            </w:r>
          </w:p>
        </w:tc>
      </w:tr>
      <w:tr w14:paraId="1CA8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E8DA48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782" w:type="pct"/>
            <w:vAlign w:val="center"/>
          </w:tcPr>
          <w:p w14:paraId="4511352A">
            <w:pPr>
              <w:pStyle w:val="21"/>
              <w:ind w:firstLine="0" w:firstLineChars="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w:t>
            </w:r>
          </w:p>
          <w:p w14:paraId="6B5F414B">
            <w:pPr>
              <w:pStyle w:val="21"/>
              <w:ind w:firstLine="0" w:firstLineChars="0"/>
              <w:rPr>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服务费</w:t>
            </w:r>
          </w:p>
        </w:tc>
        <w:tc>
          <w:tcPr>
            <w:tcW w:w="3623" w:type="pct"/>
            <w:vAlign w:val="center"/>
          </w:tcPr>
          <w:p w14:paraId="3B199C2C">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w:t>
            </w:r>
          </w:p>
          <w:p w14:paraId="2E0C68AA">
            <w:pPr>
              <w:pStyle w:val="20"/>
              <w:rPr>
                <w:rFonts w:hint="default" w:eastAsia="宋体"/>
                <w:b/>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定额收取：人民币</w:t>
            </w:r>
            <w:r>
              <w:rPr>
                <w:rFonts w:hint="eastAsia"/>
                <w:color w:val="000000" w:themeColor="text1"/>
                <w:highlight w:val="none"/>
                <w:u w:val="single"/>
                <w:lang w:val="en-US" w:eastAsia="zh-CN"/>
                <w14:textFill>
                  <w14:solidFill>
                    <w14:schemeClr w14:val="tx1"/>
                  </w14:solidFill>
                </w14:textFill>
              </w:rPr>
              <w:t>6000.00元</w:t>
            </w:r>
          </w:p>
          <w:p w14:paraId="04FE1F8C">
            <w:pPr>
              <w:pStyle w:val="20"/>
              <w:rPr>
                <w:color w:val="000000" w:themeColor="text1"/>
                <w:highlight w:val="none"/>
                <w14:textFill>
                  <w14:solidFill>
                    <w14:schemeClr w14:val="tx1"/>
                  </w14:solidFill>
                </w14:textFill>
              </w:rPr>
            </w:pPr>
            <w:r>
              <w:rPr>
                <w:rFonts w:hint="eastAsia" w:ascii="Segoe UI Symbol" w:hAnsi="Segoe UI Symbol" w:cs="Segoe UI Symbol"/>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按下列标准收取：详见附件1《代理服务费收费标准》，不足4000元按4000元收取。</w:t>
            </w:r>
          </w:p>
          <w:p w14:paraId="4D058D6A">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（2）支付方式：</w:t>
            </w:r>
            <w:r>
              <w:rPr>
                <w:rFonts w:ascii="Segoe UI Symbol" w:hAnsi="Segoe UI Symbol" w:cs="Segoe UI Symbo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转账/电汇</w:t>
            </w:r>
          </w:p>
          <w:p w14:paraId="192EBB23">
            <w:pPr>
              <w:ind w:firstLine="0" w:firstLineChars="0"/>
              <w:rPr>
                <w:rFonts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6778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10CDCA0">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782" w:type="pct"/>
            <w:vAlign w:val="center"/>
          </w:tcPr>
          <w:p w14:paraId="4C163216">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0416A9AD">
            <w:pPr>
              <w:numPr>
                <w:ilvl w:val="255"/>
                <w:numId w:val="0"/>
              </w:numPr>
              <w:adjustRightInd w:val="0"/>
              <w:snapToGrid w:val="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（1）通过初审的供应商为3家及以上的，按磋商文件约定进行评审并确定结果；</w:t>
            </w:r>
          </w:p>
          <w:p w14:paraId="5A62BBD1">
            <w:pPr>
              <w:adjustRightInd w:val="0"/>
              <w:snapToGrid w:val="0"/>
              <w:ind w:firstLine="0" w:firstLineChars="0"/>
              <w:rPr>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（2）通过初审的供应商不足3家的，项目磋商失败。</w:t>
            </w:r>
          </w:p>
        </w:tc>
      </w:tr>
      <w:tr w14:paraId="2309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02898A9">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782" w:type="pct"/>
            <w:vAlign w:val="center"/>
          </w:tcPr>
          <w:p w14:paraId="1EFFFF2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4B6C0B62">
            <w:pPr>
              <w:ind w:firstLine="0" w:firstLineChars="0"/>
              <w:rPr>
                <w:rFonts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供应商最终报价不得高于磋商文件（公告）列明的项目预算、最高限价，否则其响应文件将被否决。</w:t>
            </w:r>
          </w:p>
        </w:tc>
      </w:tr>
      <w:tr w14:paraId="3BB4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6078BB0">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782" w:type="pct"/>
            <w:vAlign w:val="center"/>
          </w:tcPr>
          <w:p w14:paraId="5C76700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71CE9948">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76FF667E">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560E5376">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4ACA6C03">
            <w:pPr>
              <w:pStyle w:val="2"/>
              <w:spacing w:before="0" w:after="0" w:line="360" w:lineRule="auto"/>
              <w:ind w:firstLine="0" w:firstLineChars="0"/>
              <w:rPr>
                <w:rFonts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磋商，应当诚信守法、公平竞争。如有以提供虚假材料（包括但不限于虚假技术参数响应、虚假业绩、虚假证书、虚假检测报告等）、串通参与磋商、隐瞒失信信息等谋取成交的行为，一经发现，业主单位可以取消其成交资格或解除合同，并追究其违约责任。</w:t>
            </w:r>
          </w:p>
        </w:tc>
      </w:tr>
      <w:tr w14:paraId="4BD2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C0CBCAA">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82" w:type="pct"/>
            <w:vAlign w:val="center"/>
          </w:tcPr>
          <w:p w14:paraId="1E84024A">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42C97C53">
            <w:pPr>
              <w:keepNext w:val="0"/>
              <w:keepLines w:val="0"/>
              <w:pageBreakBefore w:val="0"/>
              <w:widowControl w:val="0"/>
              <w:kinsoku w:val="0"/>
              <w:wordWrap/>
              <w:overflowPunct/>
              <w:topLinePunct w:val="0"/>
              <w:autoSpaceDE w:val="0"/>
              <w:autoSpaceDN w:val="0"/>
              <w:bidi w:val="0"/>
              <w:adjustRightInd/>
              <w:snapToGrid w:val="0"/>
              <w:ind w:firstLine="0" w:firstLineChars="0"/>
              <w:jc w:val="left"/>
              <w:textAlignment w:val="auto"/>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本磋商项目实行全流程电子化交易，除磋商文件另有规定外，电子交易操作要求见附件《全流程电子招标采购具体要求》。</w:t>
            </w:r>
          </w:p>
        </w:tc>
      </w:tr>
      <w:tr w14:paraId="41CE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6DD0F50D">
            <w:pPr>
              <w:pStyle w:val="21"/>
              <w:ind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782" w:type="pct"/>
            <w:shd w:val="clear" w:color="auto" w:fill="auto"/>
            <w:vAlign w:val="center"/>
          </w:tcPr>
          <w:p w14:paraId="18E869F2">
            <w:pPr>
              <w:pStyle w:val="21"/>
              <w:ind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shd w:val="clear" w:color="auto" w:fill="auto"/>
            <w:vAlign w:val="center"/>
          </w:tcPr>
          <w:p w14:paraId="41F4F753">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（1）构成本磋商文件的各个组成文件应互为解释，互为说明；</w:t>
            </w:r>
          </w:p>
          <w:p w14:paraId="6F003F04">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16427EA0">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5E0A1F9E">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（4）除磋商文件中有特别规定外，仅适用于磋商及响应文件提交阶段的规定，按磋商公告、供应商须知前附表、供应商须知正文、评审方法和标准、响应文件格式的先后顺序解释；</w:t>
            </w:r>
          </w:p>
          <w:p w14:paraId="2E264CF6">
            <w:pPr>
              <w:ind w:firstLine="0" w:firstLineChars="0"/>
              <w:rPr>
                <w:rFonts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1A801E6C">
            <w:pPr>
              <w:pStyle w:val="20"/>
              <w:ind w:firstLine="0" w:firstLineChars="0"/>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（6）按本款前述规定仍不能形成结论的，由业主单位负责解释。</w:t>
            </w:r>
          </w:p>
        </w:tc>
      </w:tr>
      <w:tr w14:paraId="0129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94" w:type="pct"/>
            <w:shd w:val="clear" w:color="auto" w:fill="auto"/>
            <w:vAlign w:val="center"/>
          </w:tcPr>
          <w:p w14:paraId="4C7AC403">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782" w:type="pct"/>
            <w:shd w:val="clear" w:color="auto" w:fill="auto"/>
            <w:vAlign w:val="center"/>
          </w:tcPr>
          <w:p w14:paraId="103B8030">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76D88464">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shd w:val="clear" w:color="auto" w:fill="auto"/>
            <w:vAlign w:val="center"/>
          </w:tcPr>
          <w:p w14:paraId="14BA2273">
            <w:pPr>
              <w:pStyle w:val="20"/>
              <w:ind w:firstLine="0" w:firstLineChars="0"/>
              <w:rPr>
                <w:rFonts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供应商不得与</w:t>
            </w:r>
            <w:r>
              <w:rPr>
                <w:rFonts w:hint="eastAsia"/>
                <w:color w:val="000000" w:themeColor="text1"/>
                <w:highlight w:val="none"/>
                <w:lang w:val="zh-CN"/>
                <w14:textFill>
                  <w14:solidFill>
                    <w14:schemeClr w14:val="tx1"/>
                  </w14:solidFill>
                </w14:textFill>
              </w:rPr>
              <w:t>本</w:t>
            </w:r>
            <w:r>
              <w:rPr>
                <w:rFonts w:hint="eastAsia"/>
                <w:color w:val="000000" w:themeColor="text1"/>
                <w:highlight w:val="none"/>
                <w14:textFill>
                  <w14:solidFill>
                    <w14:schemeClr w14:val="tx1"/>
                  </w14:solidFill>
                </w14:textFill>
              </w:rPr>
              <w:t>包</w:t>
            </w:r>
            <w:r>
              <w:rPr>
                <w:rFonts w:hint="eastAsia"/>
                <w:color w:val="000000" w:themeColor="text1"/>
                <w:highlight w:val="none"/>
                <w:lang w:val="zh-CN"/>
                <w14:textFill>
                  <w14:solidFill>
                    <w14:schemeClr w14:val="tx1"/>
                  </w14:solidFill>
                </w14:textFill>
              </w:rPr>
              <w:t>的其他供应商存在</w:t>
            </w:r>
            <w:r>
              <w:rPr>
                <w:rFonts w:hint="eastAsia"/>
                <w:color w:val="000000" w:themeColor="text1"/>
                <w:highlight w:val="none"/>
                <w14:textFill>
                  <w14:solidFill>
                    <w14:schemeClr w14:val="tx1"/>
                  </w14:solidFill>
                </w14:textFill>
              </w:rPr>
              <w:t>单位负责人为同一人或者存在直接控股、管理关系的情形</w:t>
            </w:r>
            <w:r>
              <w:rPr>
                <w:rFonts w:hint="eastAsia"/>
                <w:color w:val="000000" w:themeColor="text1"/>
                <w:highlight w:val="none"/>
                <w:lang w:val="zh-CN"/>
                <w14:textFill>
                  <w14:solidFill>
                    <w14:schemeClr w14:val="tx1"/>
                  </w14:solidFill>
                </w14:textFill>
              </w:rPr>
              <w:t>。</w:t>
            </w:r>
          </w:p>
        </w:tc>
      </w:tr>
      <w:tr w14:paraId="718A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64CA768B">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782" w:type="pct"/>
            <w:shd w:val="clear" w:color="auto" w:fill="auto"/>
            <w:vAlign w:val="center"/>
          </w:tcPr>
          <w:p w14:paraId="5A94960C">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shd w:val="clear" w:color="auto" w:fill="auto"/>
            <w:vAlign w:val="center"/>
          </w:tcPr>
          <w:p w14:paraId="2E33B274">
            <w:pPr>
              <w:pStyle w:val="20"/>
              <w:ind w:firstLine="0" w:firstLineChars="0"/>
              <w:rPr>
                <w:rFonts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构成磋商文件组成部分的“供应商须知”、“评审方法和标准”、“响应文件格式”等章节中的“供应商”，等同于磋商阶段的“供应商”。</w:t>
            </w:r>
          </w:p>
        </w:tc>
      </w:tr>
      <w:tr w14:paraId="79E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6F1A911E">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782" w:type="pct"/>
            <w:shd w:val="clear" w:color="auto" w:fill="auto"/>
            <w:vAlign w:val="center"/>
          </w:tcPr>
          <w:p w14:paraId="6428B13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w:t>
            </w:r>
          </w:p>
          <w:p w14:paraId="187D435C">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有效期</w:t>
            </w:r>
          </w:p>
        </w:tc>
        <w:tc>
          <w:tcPr>
            <w:tcW w:w="3623" w:type="pct"/>
            <w:shd w:val="clear" w:color="auto" w:fill="auto"/>
            <w:vAlign w:val="center"/>
          </w:tcPr>
          <w:p w14:paraId="7D47ACF6">
            <w:pPr>
              <w:pStyle w:val="20"/>
              <w:ind w:firstLine="0" w:firstLineChars="0"/>
              <w:rPr>
                <w:rFonts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120天</w:t>
            </w:r>
          </w:p>
        </w:tc>
      </w:tr>
    </w:tbl>
    <w:p w14:paraId="7BD11832">
      <w:pPr>
        <w:pStyle w:val="18"/>
        <w:ind w:left="360" w:firstLine="480"/>
        <w:rPr>
          <w:highlight w:val="none"/>
        </w:rPr>
      </w:pPr>
      <w:bookmarkStart w:id="4" w:name="_Toc14925"/>
      <w:bookmarkStart w:id="5" w:name="_Toc4558"/>
      <w:r>
        <w:rPr>
          <w:rFonts w:hint="eastAsia"/>
          <w:highlight w:val="none"/>
        </w:rPr>
        <w:br w:type="page"/>
      </w:r>
    </w:p>
    <w:p w14:paraId="5EB1BD82">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附件1 代理服务费</w:t>
      </w:r>
      <w:bookmarkEnd w:id="4"/>
      <w:r>
        <w:rPr>
          <w:rFonts w:hint="eastAsia" w:asciiTheme="minorEastAsia" w:hAnsiTheme="minorEastAsia" w:eastAsiaTheme="minorEastAsia"/>
          <w:b/>
          <w:highlight w:val="none"/>
        </w:rPr>
        <w:t xml:space="preserve">收费标准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ED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D21C0E4">
            <w:pPr>
              <w:spacing w:line="460" w:lineRule="exact"/>
              <w:ind w:firstLine="480"/>
              <w:rPr>
                <w:rFonts w:asciiTheme="minorEastAsia" w:hAnsiTheme="minorEastAsia" w:eastAsiaTheme="minorEastAsia" w:cstheme="minorEastAsia"/>
                <w:color w:val="000000"/>
                <w:szCs w:val="24"/>
                <w:highlight w:val="none"/>
              </w:rPr>
            </w:pPr>
          </w:p>
          <w:tbl>
            <w:tblPr>
              <w:tblStyle w:val="13"/>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79EB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59207D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成交金额（万元）</w:t>
                  </w:r>
                </w:p>
              </w:tc>
              <w:tc>
                <w:tcPr>
                  <w:tcW w:w="2025" w:type="dxa"/>
                  <w:vAlign w:val="center"/>
                </w:tcPr>
                <w:p w14:paraId="1EA0BCE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货物</w:t>
                  </w:r>
                </w:p>
              </w:tc>
              <w:tc>
                <w:tcPr>
                  <w:tcW w:w="1888" w:type="dxa"/>
                  <w:vAlign w:val="center"/>
                </w:tcPr>
                <w:p w14:paraId="7CD12C3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服务</w:t>
                  </w:r>
                </w:p>
              </w:tc>
              <w:tc>
                <w:tcPr>
                  <w:tcW w:w="2287" w:type="dxa"/>
                  <w:vAlign w:val="center"/>
                </w:tcPr>
                <w:p w14:paraId="316D571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工程施工/总承包</w:t>
                  </w:r>
                </w:p>
              </w:tc>
            </w:tr>
            <w:tr w14:paraId="092B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E76045F">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100以下</w:t>
                  </w:r>
                </w:p>
              </w:tc>
              <w:tc>
                <w:tcPr>
                  <w:tcW w:w="2025" w:type="dxa"/>
                  <w:vAlign w:val="center"/>
                </w:tcPr>
                <w:p w14:paraId="2AB0702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1.5%</w:t>
                  </w:r>
                </w:p>
              </w:tc>
              <w:tc>
                <w:tcPr>
                  <w:tcW w:w="1888" w:type="dxa"/>
                  <w:vAlign w:val="center"/>
                </w:tcPr>
                <w:p w14:paraId="3F7211E5">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1.5%</w:t>
                  </w:r>
                </w:p>
              </w:tc>
              <w:tc>
                <w:tcPr>
                  <w:tcW w:w="2287" w:type="dxa"/>
                  <w:vAlign w:val="center"/>
                </w:tcPr>
                <w:p w14:paraId="4E5A4A8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w:t>
                  </w:r>
                </w:p>
              </w:tc>
            </w:tr>
            <w:tr w14:paraId="4EBC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7436DE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100-500</w:t>
                  </w:r>
                </w:p>
              </w:tc>
              <w:tc>
                <w:tcPr>
                  <w:tcW w:w="2025" w:type="dxa"/>
                  <w:vAlign w:val="center"/>
                </w:tcPr>
                <w:p w14:paraId="5A8DDA5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1.1%</w:t>
                  </w:r>
                </w:p>
              </w:tc>
              <w:tc>
                <w:tcPr>
                  <w:tcW w:w="1888" w:type="dxa"/>
                  <w:vAlign w:val="center"/>
                </w:tcPr>
                <w:p w14:paraId="7F4496D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0.8%</w:t>
                  </w:r>
                </w:p>
              </w:tc>
              <w:tc>
                <w:tcPr>
                  <w:tcW w:w="2287" w:type="dxa"/>
                  <w:vAlign w:val="center"/>
                </w:tcPr>
                <w:p w14:paraId="287042F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0.7%</w:t>
                  </w:r>
                </w:p>
              </w:tc>
            </w:tr>
            <w:tr w14:paraId="6430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3FE879D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500-1000</w:t>
                  </w:r>
                </w:p>
              </w:tc>
              <w:tc>
                <w:tcPr>
                  <w:tcW w:w="2025" w:type="dxa"/>
                  <w:vAlign w:val="center"/>
                </w:tcPr>
                <w:p w14:paraId="1044F49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0.8%</w:t>
                  </w:r>
                </w:p>
              </w:tc>
              <w:tc>
                <w:tcPr>
                  <w:tcW w:w="1888" w:type="dxa"/>
                  <w:vAlign w:val="center"/>
                </w:tcPr>
                <w:p w14:paraId="38F7D97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0.45%</w:t>
                  </w:r>
                </w:p>
              </w:tc>
              <w:tc>
                <w:tcPr>
                  <w:tcW w:w="2287" w:type="dxa"/>
                  <w:vAlign w:val="center"/>
                </w:tcPr>
                <w:p w14:paraId="0A43E0A9">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0.55%</w:t>
                  </w:r>
                </w:p>
              </w:tc>
            </w:tr>
            <w:tr w14:paraId="1F42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8359109">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1000-5000</w:t>
                  </w:r>
                </w:p>
              </w:tc>
              <w:tc>
                <w:tcPr>
                  <w:tcW w:w="2025" w:type="dxa"/>
                  <w:vAlign w:val="center"/>
                </w:tcPr>
                <w:p w14:paraId="071AC946">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0.5%</w:t>
                  </w:r>
                </w:p>
              </w:tc>
              <w:tc>
                <w:tcPr>
                  <w:tcW w:w="1888" w:type="dxa"/>
                  <w:vAlign w:val="center"/>
                </w:tcPr>
                <w:p w14:paraId="3B10EBDF">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0.25%</w:t>
                  </w:r>
                </w:p>
              </w:tc>
              <w:tc>
                <w:tcPr>
                  <w:tcW w:w="2287" w:type="dxa"/>
                  <w:vAlign w:val="center"/>
                </w:tcPr>
                <w:p w14:paraId="5110D5E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0.35%</w:t>
                  </w:r>
                </w:p>
              </w:tc>
            </w:tr>
            <w:tr w14:paraId="28C5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1B9906F">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5000-10000</w:t>
                  </w:r>
                </w:p>
              </w:tc>
              <w:tc>
                <w:tcPr>
                  <w:tcW w:w="2025" w:type="dxa"/>
                  <w:vAlign w:val="center"/>
                </w:tcPr>
                <w:p w14:paraId="6C8C68D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0.25%</w:t>
                  </w:r>
                </w:p>
              </w:tc>
              <w:tc>
                <w:tcPr>
                  <w:tcW w:w="1888" w:type="dxa"/>
                  <w:vAlign w:val="center"/>
                </w:tcPr>
                <w:p w14:paraId="3600727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0.1%</w:t>
                  </w:r>
                </w:p>
              </w:tc>
              <w:tc>
                <w:tcPr>
                  <w:tcW w:w="2287" w:type="dxa"/>
                  <w:vAlign w:val="center"/>
                </w:tcPr>
                <w:p w14:paraId="4D644B3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w:t>
                  </w:r>
                </w:p>
              </w:tc>
            </w:tr>
            <w:tr w14:paraId="02C6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8C18F23">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10000-100000</w:t>
                  </w:r>
                </w:p>
              </w:tc>
              <w:tc>
                <w:tcPr>
                  <w:tcW w:w="2025" w:type="dxa"/>
                  <w:vAlign w:val="center"/>
                </w:tcPr>
                <w:p w14:paraId="47938E3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c>
                <w:tcPr>
                  <w:tcW w:w="1888" w:type="dxa"/>
                  <w:vAlign w:val="center"/>
                </w:tcPr>
                <w:p w14:paraId="7B1C8A1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c>
                <w:tcPr>
                  <w:tcW w:w="2287" w:type="dxa"/>
                  <w:vAlign w:val="center"/>
                </w:tcPr>
                <w:p w14:paraId="3123DC8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r>
            <w:tr w14:paraId="4D43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4729799">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100000以上</w:t>
                  </w:r>
                </w:p>
              </w:tc>
              <w:tc>
                <w:tcPr>
                  <w:tcW w:w="2025" w:type="dxa"/>
                  <w:vAlign w:val="center"/>
                </w:tcPr>
                <w:p w14:paraId="2B228D8F">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c>
                <w:tcPr>
                  <w:tcW w:w="1888" w:type="dxa"/>
                  <w:vAlign w:val="center"/>
                </w:tcPr>
                <w:p w14:paraId="6549D259">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c>
                <w:tcPr>
                  <w:tcW w:w="2287" w:type="dxa"/>
                  <w:vAlign w:val="center"/>
                </w:tcPr>
                <w:p w14:paraId="7314339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r>
          </w:tbl>
          <w:p w14:paraId="43D179EE">
            <w:pPr>
              <w:spacing w:line="460" w:lineRule="exact"/>
              <w:ind w:firstLine="48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szCs w:val="24"/>
                <w:highlight w:val="none"/>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3E12D18F">
            <w:pPr>
              <w:spacing w:line="460" w:lineRule="exact"/>
              <w:ind w:firstLine="48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07549890">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（500－100）万元×0.8％＝3.2万元</w:t>
            </w:r>
          </w:p>
          <w:p w14:paraId="0A5795C5">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（1000－500）万元×0.45％＝2.25万元</w:t>
            </w:r>
          </w:p>
          <w:p w14:paraId="3FC69530">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（5000－1000）万元×0.25％＝10万元</w:t>
            </w:r>
          </w:p>
          <w:p w14:paraId="0C997CD1">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（6000－5000）万元×0.1％＝1万元</w:t>
            </w:r>
          </w:p>
          <w:p w14:paraId="5028B7FD">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合计收费＝1.5＋3.2＋2.25＋10＋1＝17.95(万元)</w:t>
            </w:r>
          </w:p>
          <w:p w14:paraId="36E4BC31">
            <w:pPr>
              <w:pStyle w:val="23"/>
              <w:adjustRightInd w:val="0"/>
              <w:snapToGrid w:val="0"/>
              <w:rPr>
                <w:rFonts w:asciiTheme="minorEastAsia" w:hAnsiTheme="minorEastAsia" w:eastAsiaTheme="minorEastAsia" w:cstheme="minorEastAsia"/>
                <w:sz w:val="24"/>
                <w:szCs w:val="24"/>
                <w:highlight w:val="none"/>
              </w:rPr>
            </w:pPr>
          </w:p>
        </w:tc>
      </w:tr>
    </w:tbl>
    <w:p w14:paraId="63CDABAF">
      <w:pPr>
        <w:ind w:firstLine="482"/>
        <w:jc w:val="center"/>
        <w:rPr>
          <w:rFonts w:asciiTheme="minorEastAsia" w:hAnsiTheme="minorEastAsia" w:eastAsiaTheme="minorEastAsia"/>
          <w:b/>
          <w:highlight w:val="none"/>
        </w:rPr>
      </w:pPr>
      <w:r>
        <w:rPr>
          <w:rFonts w:hint="eastAsia"/>
          <w:b/>
          <w:szCs w:val="24"/>
          <w:highlight w:val="none"/>
        </w:rPr>
        <w:br w:type="page"/>
      </w:r>
      <w:bookmarkEnd w:id="5"/>
      <w:r>
        <w:rPr>
          <w:rFonts w:hint="eastAsia" w:asciiTheme="minorEastAsia" w:hAnsiTheme="minorEastAsia" w:eastAsiaTheme="minorEastAsia"/>
          <w:b/>
          <w:highlight w:val="none"/>
        </w:rPr>
        <w:t>供应商</w:t>
      </w:r>
      <w:r>
        <w:rPr>
          <w:rFonts w:asciiTheme="minorEastAsia" w:hAnsiTheme="minorEastAsia" w:eastAsiaTheme="minorEastAsia"/>
          <w:b/>
          <w:highlight w:val="none"/>
        </w:rPr>
        <w:t>须知</w:t>
      </w:r>
      <w:r>
        <w:rPr>
          <w:rFonts w:hint="eastAsia" w:asciiTheme="minorEastAsia" w:hAnsiTheme="minorEastAsia" w:eastAsiaTheme="minorEastAsia"/>
          <w:b/>
          <w:highlight w:val="none"/>
        </w:rPr>
        <w:t>正文</w:t>
      </w:r>
    </w:p>
    <w:p w14:paraId="3E231E5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706EAB4A">
      <w:pPr>
        <w:ind w:firstLine="480"/>
        <w:outlineLvl w:val="3"/>
        <w:rPr>
          <w:rFonts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本项目的交易方式为磋商，业主单位为项目实施建设的发包人（甲方），供应商为参与磋商的主体，成交人为参与磋商，并获得项目实施的承包人（乙方）。</w:t>
      </w:r>
    </w:p>
    <w:p w14:paraId="79442E5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5E4987D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本项目的业主单位已获得足以支付本次磋商后所签订的合同项下的资金。</w:t>
      </w:r>
    </w:p>
    <w:p w14:paraId="75A6276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3.磋商费用</w:t>
      </w:r>
    </w:p>
    <w:p w14:paraId="677BBDC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不论磋商的结果如何，供应商应承担其所有与准备和参加磋商有关的费用。</w:t>
      </w:r>
    </w:p>
    <w:p w14:paraId="26136C2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4.磋商文件的澄清与修改</w:t>
      </w:r>
    </w:p>
    <w:p w14:paraId="3D11C78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4.1供应商如对磋商文件内容有疑问，按供应商须知前附表规定提出。</w:t>
      </w:r>
    </w:p>
    <w:p w14:paraId="419BC7C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4.2业主单位可主动或在解答供应商提出的问题时对磋商文件进行澄清或者修改。代理机构将在优质采云采购平台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澄清或修改磋商文件，供应商应主动上网查询。代理机构和业主单位不承担供应商未及时关注相关信息引发的相关责任。</w:t>
      </w:r>
    </w:p>
    <w:p w14:paraId="73CF393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4.3任何人或任何组织向供应商提供的任何书面或口头资料，未经代理机构在网上发布或书面通知，均作无效处理，不得作为磋商文件的组成部分。代理机构对供应商由此而做出的推论、理解和结论概不负责。</w:t>
      </w:r>
    </w:p>
    <w:p w14:paraId="3595E767">
      <w:pPr>
        <w:ind w:firstLine="480"/>
        <w:rPr>
          <w:rFonts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4.4对于没有提出疑问又参与了本项目磋商的供应商将被视为完全认同本磋商文件（含澄清、修改等内容）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13109DFB">
      <w:pPr>
        <w:numPr>
          <w:ilvl w:val="0"/>
          <w:numId w:val="2"/>
        </w:num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磋商范围及响应文件中标准和计量单位的使用</w:t>
      </w:r>
    </w:p>
    <w:p w14:paraId="0CC520F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5.1项目有分包的，供应商可参与其中某一个或多个分包的磋商，成交包数详见供应商须知前附表中规定。</w:t>
      </w:r>
    </w:p>
    <w:p w14:paraId="63AC69D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5.2无论磋商文件中是否要求，供应商所承担项目及伴随的货物和服务均应符合国家强制性标准。</w:t>
      </w:r>
    </w:p>
    <w:p w14:paraId="284A94B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7CCB9E03">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5.4除磋商文件中有特殊要求外，响应文件中所使用的计量单位，应采用中华人民共和国法定计量单位。</w:t>
      </w:r>
    </w:p>
    <w:p w14:paraId="7F39D9A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7DE6573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6.1供应商应完整地按磋商文件提供的响应文件格式及磋商文件评审要求编写响应文件，具体内容详见第六章响应文件格式的相关内容。</w:t>
      </w:r>
    </w:p>
    <w:p w14:paraId="38BB209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6.2上述文件应按照磋商文件规定的格式填写、签署和盖章。</w:t>
      </w:r>
    </w:p>
    <w:p w14:paraId="0636915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7FFC93FC">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的磋商报价应遵守《中华人民共和国价格法》。</w:t>
      </w:r>
    </w:p>
    <w:p w14:paraId="629923D2">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应在分项报价表上标明磋商工程的单价（如适用）和总价，未标明的视同包含在磋商报价中。</w:t>
      </w:r>
    </w:p>
    <w:p w14:paraId="565565A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报价不得高于磋商文件（公告）列明的项目预算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106EDE9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6A48BED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353205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8.磋商有效期</w:t>
      </w:r>
    </w:p>
    <w:p w14:paraId="1485E18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.1磋商有效期为从响应文件提交截止之日算起的日历天数，磋商有效期详见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643AE7AF">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.2在磋商有效期内，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的磋商保持有效，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不得要求撤销或修改其响应文件。磋商有效期不满足要求的响应，其响应文件将被认定为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69D91947">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可根据实际情况，在原磋商有效期截止之前，要求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延长磋商有效期。接受该要求的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可以拒绝延长磋商有效期的要求，且不承担任何责任。上述要求和答复都应以书面形式提交。</w:t>
      </w:r>
    </w:p>
    <w:p w14:paraId="3181921A">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2E406AAD">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必须递交电子响应文件，并对电子响应文件进行电子签章并使用CA锁进行加密，在磋商文件规定的响应截止时间前使用“优质采投标工具客户端”完成上传。</w:t>
      </w:r>
    </w:p>
    <w:p w14:paraId="0011E008">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9.2.全流程电磋商项目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下载磋商文件后，如未在磋商文件规定的响应文件递交截止时间前上传电子响应文件，视为无效；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3FCD8014">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184DE302">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无需到达磋商现场。磋商文件“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14BD8042">
      <w:pPr>
        <w:ind w:firstLine="48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063D1251">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4920117D">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49D3A2F2">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10.2供应商在磋商文件规定的响应文件提交截止时间前上传了网上加密电子响应文件，但未在规定时间内进行解密的，响应无效。</w:t>
      </w:r>
    </w:p>
    <w:p w14:paraId="756A7243">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0289BB33">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374CA158">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11.1供应商应当在第一章“磋商</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公告</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”规定的响应文件提交截止时间前，将加密的响应文件在优质采云采购平台（http://www.youzhicai.com/）上传。</w:t>
      </w:r>
    </w:p>
    <w:p w14:paraId="5B634F5D">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56C2423">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5496CC05">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磋商文件的变动情况和评审委员会的要求重新提交响应文件的，不在此列。</w:t>
      </w:r>
    </w:p>
    <w:p w14:paraId="1F0A627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5DD1F0E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4201732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12.2评审委员会根据磋商文件规定的评审方法和标准对供应商提交的响应文件进行评审，从质量和服务均能满足磋商文件实质性响应要求的供应商中推荐成交候选人，并编写评审报告。</w:t>
      </w:r>
    </w:p>
    <w:p w14:paraId="038B20C1">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.响应文件的评审与磋商</w:t>
      </w:r>
    </w:p>
    <w:p w14:paraId="680EBD34">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规定的时间和地点组织磋商。</w:t>
      </w:r>
    </w:p>
    <w:p w14:paraId="2CBF512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13.2磋商活动采用综合评分法评审。</w:t>
      </w:r>
    </w:p>
    <w:p w14:paraId="13457F1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综合评分法，是指响应文件满足磋商文件全部实质性要求且按评审因素的量化指标评审得分最高的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1C4FD49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13.3磋商小组将按照磋商文件规定的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7A31195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。磋商小组对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未实质性响应磋商文件要求导致响应无效的，磋商小组将以书面询问的方式告知有关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141AE63D">
      <w:pPr>
        <w:ind w:firstLine="470" w:firstLineChars="196"/>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33AECD32">
      <w:pPr>
        <w:ind w:firstLine="470" w:firstLineChars="196"/>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rStyle w:val="16"/>
          <w:rFonts w:hint="eastAsia" w:cs="宋体"/>
          <w:color w:val="000000" w:themeColor="text1"/>
          <w:kern w:val="21"/>
          <w:szCs w:val="24"/>
          <w:highlight w:val="none"/>
          <w:lang w:bidi="ar"/>
          <w14:textFill>
            <w14:solidFill>
              <w14:schemeClr w14:val="tx1"/>
            </w14:solidFill>
          </w14:textFill>
        </w:rPr>
        <w:t>www.gsxt.gov.cn</w:t>
      </w:r>
      <w:r>
        <w:rPr>
          <w:rStyle w:val="16"/>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317B6D48">
      <w:pPr>
        <w:ind w:firstLine="480"/>
        <w:rPr>
          <w:rFonts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5C18ED4F">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659E0D92">
      <w:pPr>
        <w:ind w:firstLine="480"/>
        <w:rPr>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784215D6">
      <w:pPr>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以联合体形式参加磋商的，联合体任何成员存在以上不良信用记录的，联合体磋商将被认定为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395B1E8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14:textFill>
            <w14:solidFill>
              <w14:schemeClr w14:val="tx1"/>
            </w14:solidFill>
          </w14:textFill>
        </w:rPr>
        <w:t>磋商</w:t>
      </w:r>
      <w:r>
        <w:rPr>
          <w:rFonts w:hint="eastAsia"/>
          <w:color w:val="000000" w:themeColor="text1"/>
          <w:highlight w:val="none"/>
          <w14:textFill>
            <w14:solidFill>
              <w14:schemeClr w14:val="tx1"/>
            </w14:solidFill>
          </w14:textFill>
        </w:rPr>
        <w:t>。初审合格后，磋商小组将按网上加密电子响应文件提交顺序集中与单一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分别进行磋商，并给予所有参加磋商的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平等的磋商机会。</w:t>
      </w:r>
    </w:p>
    <w:p w14:paraId="6A999BAC">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磋商结束后，磋商小组应当要求所有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磋商</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4738E4D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。磋商小组只对通过初审，实质上响应磋商要求的响应文件进行综合评分。经磋商确定最终项目需求和提交最后报价的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后，由磋商小组采用综合评分法对提交最后报价的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021F68E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4965DEE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13.4.1为保证磋商活动顺利进行，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7081A0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13.4.2磋</w:t>
      </w:r>
      <w:r>
        <w:rPr>
          <w:color w:val="000000" w:themeColor="text1"/>
          <w:highlight w:val="none"/>
          <w14:textFill>
            <w14:solidFill>
              <w14:schemeClr w14:val="tx1"/>
            </w14:solidFill>
          </w14:textFill>
        </w:rPr>
        <w:t>商小组根据与</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磋商情况可能实质性变动</w:t>
      </w:r>
      <w:r>
        <w:rPr>
          <w:rFonts w:hint="eastAsia"/>
          <w:color w:val="000000" w:themeColor="text1"/>
          <w:highlight w:val="none"/>
          <w14:textFill>
            <w14:solidFill>
              <w14:schemeClr w14:val="tx1"/>
            </w14:solidFill>
          </w14:textFill>
        </w:rPr>
        <w:t>磋商文件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中的技术、服务要求以及合同草案条款。磋商文件有实质性变动的，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代表确认作为磋商文件的有效组成部分，</w:t>
      </w:r>
      <w:r>
        <w:rPr>
          <w:color w:val="000000" w:themeColor="text1"/>
          <w:highlight w:val="none"/>
          <w14:textFill>
            <w14:solidFill>
              <w14:schemeClr w14:val="tx1"/>
            </w14:solidFill>
          </w14:textFill>
        </w:rPr>
        <w:t>磋商小组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以书面形式通知所有参加磋商的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09A2BE8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13.4.3磋商小组发现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31478F9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小组可以视同其未提供。</w:t>
      </w:r>
    </w:p>
    <w:p w14:paraId="2B7AD37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13.4.5磋商</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5B86610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14:textFill>
            <w14:solidFill>
              <w14:schemeClr w14:val="tx1"/>
            </w14:solidFill>
          </w14:textFill>
        </w:rPr>
        <w:t>磋商过程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153C7EEC">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14.终止磋商</w:t>
      </w:r>
    </w:p>
    <w:p w14:paraId="02B3350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出现下列情况之一时，业主单位和代理机构有权宣布终止磋商，并将理由通知所有供应商：</w:t>
      </w:r>
    </w:p>
    <w:p w14:paraId="40E4EC5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不足规定数量，导致本次磋商缺乏竞争的；</w:t>
      </w:r>
    </w:p>
    <w:p w14:paraId="283B09C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2790FAC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5DC63EF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14.4磋商文件有重大漏洞，导致无法继续评审的；</w:t>
      </w:r>
    </w:p>
    <w:p w14:paraId="2D4B868F">
      <w:pPr>
        <w:ind w:firstLine="48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19B2E39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57C4C30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2B6708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295A1B4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0D057053">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7BD25B2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16.1本次磋商一次性报价。</w:t>
      </w:r>
    </w:p>
    <w:p w14:paraId="6928D55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34F60BF7">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业主单位不再承担该费用。</w:t>
      </w:r>
    </w:p>
    <w:p w14:paraId="28CED4C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3124F4E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6064965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7C56FFFD">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25585F6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61E63C7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34E736C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091A06B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放弃磋商或者成交；</w:t>
      </w:r>
    </w:p>
    <w:p w14:paraId="272843D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按照该组织要求协同磋商；</w:t>
      </w:r>
    </w:p>
    <w:p w14:paraId="4871C39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56BBAE4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06BDAD6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68CD4AD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委托同一单位或者个人办理磋商事宜；</w:t>
      </w:r>
    </w:p>
    <w:p w14:paraId="42046C7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10EC3DB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221BA857">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1C15664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的磋商保证金从同一单位或者个人的账户转出。</w:t>
      </w:r>
    </w:p>
    <w:p w14:paraId="6C28811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63BFDA1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在磋商前开启响应文件并将有关信息泄露给其他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5887AE3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27085F9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26387947">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2C93710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7815D65E">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49771029">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17.2.4使用通过受让或者租借等方式获取的资格、资质证书参与磋商的，</w:t>
      </w:r>
    </w:p>
    <w:p w14:paraId="73C3B89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0E2486E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5E5FED1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3DC22D1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27653FB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15A3F6A7">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26CA7FAE">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26850B3A">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4DC40BD1">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70BE639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5AB5CB0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0185721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22B859F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2C59562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1F03776B">
      <w:pPr>
        <w:ind w:firstLine="482"/>
        <w:outlineLvl w:val="3"/>
        <w:rPr>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640DA767">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21.1磋商结束后，代理机构将在</w:t>
      </w:r>
      <w:r>
        <w:rPr>
          <w:rFonts w:hint="eastAsia"/>
          <w:color w:val="000000" w:themeColor="text1"/>
          <w:highlight w:val="none"/>
          <w14:textFill>
            <w14:solidFill>
              <w14:schemeClr w14:val="tx1"/>
            </w14:solidFill>
          </w14:textFill>
        </w:rPr>
        <w:t>发布磋商公告的媒介上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5A003D9B">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5EE7E99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22.磋商结果的异议、投诉</w:t>
      </w:r>
    </w:p>
    <w:p w14:paraId="7D896E42">
      <w:pPr>
        <w:ind w:firstLine="48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22.1对于磋商结果有异议的，应在成交结果公告规定的时间内向业主单位或代理机构提出。</w:t>
      </w:r>
    </w:p>
    <w:p w14:paraId="070D9F9B">
      <w:pPr>
        <w:ind w:firstLine="480"/>
        <w:rPr>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22.2对于异议答复不满意的，应在收到异议答复之日起3日内向磋商公告载明的监督管理部门提出。</w:t>
      </w:r>
    </w:p>
    <w:p w14:paraId="2E03A7A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26E4866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4BC9E26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33688A7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4FC81FE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24.告知磋商结果</w:t>
      </w:r>
    </w:p>
    <w:p w14:paraId="1095593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482341E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433C5A53">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0441772D">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45B5B95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如果成交人没有按照供应商须知前附表中履约保证金的规定执行，将视为放弃成交资格。在此情况下，业主单位可确定下一成交候选人为成交人，也可以重新开展磋商。</w:t>
      </w:r>
    </w:p>
    <w:p w14:paraId="1875162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04BCF3C5">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本磋商项目应收取的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67495912">
      <w:pPr>
        <w:ind w:firstLine="482"/>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代理费用收取账户信息如下：</w:t>
      </w:r>
    </w:p>
    <w:p w14:paraId="169F8621">
      <w:pPr>
        <w:ind w:firstLine="723" w:firstLineChars="300"/>
        <w:rPr>
          <w:b/>
          <w:highlight w:val="none"/>
        </w:rPr>
      </w:pPr>
      <w:r>
        <w:rPr>
          <w:rFonts w:hint="eastAsia"/>
          <w:b/>
          <w:highlight w:val="none"/>
        </w:rPr>
        <w:t>户名：肥西县公共资源交易有限责任公司</w:t>
      </w:r>
    </w:p>
    <w:p w14:paraId="3EDEDBD5">
      <w:pPr>
        <w:ind w:firstLine="723" w:firstLineChars="300"/>
        <w:rPr>
          <w:b/>
          <w:highlight w:val="none"/>
        </w:rPr>
      </w:pPr>
      <w:r>
        <w:rPr>
          <w:rFonts w:hint="eastAsia"/>
          <w:b/>
          <w:highlight w:val="none"/>
        </w:rPr>
        <w:t>账号：179746801939</w:t>
      </w:r>
    </w:p>
    <w:p w14:paraId="6166615A">
      <w:pPr>
        <w:ind w:firstLine="723" w:firstLineChars="30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b/>
          <w:highlight w:val="none"/>
        </w:rPr>
        <w:t>开户行：中国银行股份有限公司肥西支行</w:t>
      </w:r>
    </w:p>
    <w:p w14:paraId="57A1407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514ABF0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1C539CA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27.2磋商文件、成交人的响应文件及其澄清文件等，均为签订合同的依据。</w:t>
      </w:r>
    </w:p>
    <w:p w14:paraId="0838E053">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157C8F03">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3579759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61CAD73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1A355FA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339D09D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29.1参审单位认为磋商文件、磋商过程和成交结果使自己的权益受到损害的，可以在知道或者应知其权益受到损害之日起三日内，以书面形式向业主单位或其委托的代理机构提出异议。</w:t>
      </w:r>
    </w:p>
    <w:p w14:paraId="6A41149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135A436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7FBAC2A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07453AD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20C65AE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06153E9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0C32A12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172A50B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484093A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4A5FB7D1">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397CD729">
      <w:pPr>
        <w:ind w:firstLine="480"/>
        <w:rPr>
          <w:rFonts w:asciiTheme="minorEastAsia" w:hAnsiTheme="minorEastAsia" w:eastAsiaTheme="minorEastAsia"/>
          <w:highlight w:val="none"/>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p>
    <w:p w14:paraId="2C97AA4D">
      <w:pPr>
        <w:ind w:firstLine="480"/>
        <w:rPr>
          <w:highlight w:val="none"/>
        </w:rPr>
      </w:pPr>
      <w:r>
        <w:rPr>
          <w:rFonts w:asciiTheme="minorEastAsia" w:hAnsiTheme="minorEastAsia" w:eastAsiaTheme="minorEastAsia"/>
          <w:highlight w:val="none"/>
        </w:rPr>
        <w:br w:type="page"/>
      </w:r>
    </w:p>
    <w:p w14:paraId="3398C2C9">
      <w:pPr>
        <w:ind w:firstLine="562"/>
        <w:jc w:val="center"/>
        <w:outlineLvl w:val="1"/>
        <w:rPr>
          <w:rFonts w:asciiTheme="minorEastAsia" w:hAnsiTheme="minorEastAsia" w:eastAsiaTheme="minorEastAsia"/>
          <w:b/>
          <w:sz w:val="28"/>
          <w:highlight w:val="none"/>
        </w:rPr>
      </w:pPr>
      <w:bookmarkStart w:id="7" w:name="_Toc5463"/>
      <w:r>
        <w:rPr>
          <w:rFonts w:hint="eastAsia" w:asciiTheme="minorEastAsia" w:hAnsiTheme="minorEastAsia" w:eastAsiaTheme="minorEastAsia"/>
          <w:b/>
          <w:sz w:val="28"/>
          <w:highlight w:val="none"/>
        </w:rPr>
        <w:t>第三章  业主单位要求</w:t>
      </w:r>
      <w:bookmarkEnd w:id="7"/>
    </w:p>
    <w:p w14:paraId="565A9D1B">
      <w:pPr>
        <w:ind w:firstLine="480"/>
        <w:rPr>
          <w:rFonts w:ascii="Times New Roman" w:hAnsi="Times New Roman"/>
          <w:szCs w:val="24"/>
          <w:highlight w:val="none"/>
        </w:rPr>
      </w:pPr>
      <w:bookmarkStart w:id="8" w:name="_Toc482188637"/>
      <w:r>
        <w:rPr>
          <w:rFonts w:hint="eastAsia" w:ascii="Times New Roman" w:hAnsi="Times New Roman"/>
          <w:szCs w:val="24"/>
          <w:highlight w:val="none"/>
        </w:rPr>
        <w:t>本说明中提出的技术方案仅为参考，如无明确限制，供应商可以进行优化，提供满足用户实际需要的更优（或者性能实质上不低于的）服务方案，且此方案须经磋商小组评审认可。</w:t>
      </w:r>
    </w:p>
    <w:bookmarkEnd w:id="8"/>
    <w:p w14:paraId="28179B33">
      <w:pPr>
        <w:pStyle w:val="5"/>
        <w:ind w:left="0" w:leftChars="0" w:firstLine="482" w:firstLineChars="200"/>
        <w:rPr>
          <w:rFonts w:hint="eastAsia" w:ascii="宋体" w:hAnsi="宋体" w:eastAsia="宋体" w:cs="宋体"/>
          <w:b/>
          <w:color w:val="000000"/>
          <w:sz w:val="24"/>
          <w:szCs w:val="24"/>
        </w:rPr>
      </w:pPr>
      <w:bookmarkStart w:id="9" w:name="_Toc3273"/>
      <w:bookmarkStart w:id="10" w:name="_Toc482188638"/>
      <w:r>
        <w:rPr>
          <w:rFonts w:hint="eastAsia" w:ascii="宋体" w:hAnsi="宋体" w:eastAsia="宋体" w:cs="宋体"/>
          <w:b/>
          <w:color w:val="000000" w:themeColor="text1"/>
          <w:sz w:val="24"/>
          <w:szCs w:val="24"/>
          <w:highlight w:val="none"/>
          <w14:textFill>
            <w14:solidFill>
              <w14:schemeClr w14:val="tx1"/>
            </w14:solidFill>
          </w14:textFill>
        </w:rPr>
        <w:t>一、供应商须知前附表</w:t>
      </w:r>
    </w:p>
    <w:tbl>
      <w:tblPr>
        <w:tblStyle w:val="13"/>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63"/>
        <w:gridCol w:w="6138"/>
      </w:tblGrid>
      <w:tr w14:paraId="1064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9B3D086">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5D6E92C">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条款名称</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401E454B">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内容、说明与要求</w:t>
            </w:r>
          </w:p>
        </w:tc>
      </w:tr>
      <w:tr w14:paraId="3466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CE71B21">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A0999B9">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付款方式</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4D92D492">
            <w:pPr>
              <w:pStyle w:val="20"/>
              <w:widowControl w:val="0"/>
              <w:spacing w:before="0" w:beforeAutospacing="0" w:after="0" w:afterAutospacing="0" w:line="360" w:lineRule="auto"/>
              <w:jc w:val="both"/>
              <w:rPr>
                <w:rFonts w:hint="eastAsia" w:ascii="宋体" w:hAnsi="宋体" w:eastAsia="宋体" w:cs="宋体"/>
                <w:b w:val="0"/>
                <w:bCs w:val="0"/>
                <w:color w:val="000000"/>
                <w:kern w:val="2"/>
                <w:sz w:val="24"/>
                <w:szCs w:val="24"/>
              </w:rPr>
            </w:pPr>
            <w:r>
              <w:rPr>
                <w:rFonts w:hint="eastAsia"/>
                <w:color w:val="auto"/>
                <w:sz w:val="24"/>
                <w:highlight w:val="none"/>
                <w:lang w:val="en-US" w:eastAsia="zh-CN"/>
              </w:rPr>
              <w:t>按月结算</w:t>
            </w:r>
            <w:r>
              <w:rPr>
                <w:rFonts w:hint="eastAsia"/>
                <w:color w:val="auto"/>
                <w:sz w:val="24"/>
                <w:highlight w:val="none"/>
              </w:rPr>
              <w:t>。</w:t>
            </w:r>
            <w:r>
              <w:rPr>
                <w:rFonts w:hint="eastAsia"/>
                <w:color w:val="auto"/>
                <w:sz w:val="24"/>
                <w:highlight w:val="none"/>
                <w:lang w:val="en-US" w:eastAsia="zh-CN"/>
              </w:rPr>
              <w:t>成交供应商应在每次付款前提供等额合法有效</w:t>
            </w:r>
            <w:r>
              <w:rPr>
                <w:rFonts w:hint="eastAsia"/>
                <w:color w:val="auto"/>
                <w:sz w:val="24"/>
                <w:highlight w:val="none"/>
              </w:rPr>
              <w:t>的</w:t>
            </w:r>
            <w:r>
              <w:rPr>
                <w:rFonts w:hint="eastAsia"/>
                <w:color w:val="auto"/>
                <w:sz w:val="24"/>
                <w:highlight w:val="none"/>
                <w:lang w:val="en-US" w:eastAsia="zh-CN"/>
              </w:rPr>
              <w:t>增值税专用</w:t>
            </w:r>
            <w:r>
              <w:rPr>
                <w:rFonts w:hint="eastAsia"/>
                <w:color w:val="auto"/>
                <w:sz w:val="24"/>
                <w:highlight w:val="none"/>
              </w:rPr>
              <w:t>发票。</w:t>
            </w:r>
          </w:p>
        </w:tc>
      </w:tr>
      <w:tr w14:paraId="6DCA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16B0083">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56B4D41">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服务地点</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2C2EAE1D">
            <w:pPr>
              <w:pStyle w:val="20"/>
              <w:widowControl w:val="0"/>
              <w:spacing w:before="0" w:beforeAutospacing="0" w:after="0" w:afterAutospacing="0" w:line="360" w:lineRule="auto"/>
              <w:jc w:val="both"/>
              <w:rPr>
                <w:rFonts w:hint="eastAsia" w:ascii="宋体" w:hAnsi="宋体" w:eastAsia="宋体" w:cs="宋体"/>
                <w:b w:val="0"/>
                <w:color w:val="000000"/>
                <w:kern w:val="2"/>
                <w:sz w:val="24"/>
                <w:szCs w:val="24"/>
                <w:lang w:eastAsia="zh-CN"/>
              </w:rPr>
            </w:pPr>
            <w:r>
              <w:rPr>
                <w:rFonts w:hint="eastAsia" w:ascii="宋体" w:hAnsi="宋体" w:eastAsia="宋体" w:cs="宋体"/>
                <w:b w:val="0"/>
                <w:color w:val="000000"/>
                <w:kern w:val="2"/>
                <w:sz w:val="24"/>
                <w:szCs w:val="24"/>
                <w:lang w:eastAsia="zh-CN"/>
              </w:rPr>
              <w:t>肥西县，</w:t>
            </w:r>
            <w:r>
              <w:rPr>
                <w:rFonts w:hint="eastAsia" w:ascii="宋体" w:hAnsi="宋体" w:eastAsia="宋体" w:cs="宋体"/>
                <w:b w:val="0"/>
                <w:color w:val="000000"/>
                <w:kern w:val="2"/>
                <w:sz w:val="24"/>
                <w:szCs w:val="24"/>
                <w:lang w:val="en-US" w:eastAsia="zh-CN"/>
              </w:rPr>
              <w:t>采购人指定地点</w:t>
            </w:r>
            <w:r>
              <w:rPr>
                <w:rFonts w:hint="eastAsia" w:ascii="宋体" w:hAnsi="宋体" w:eastAsia="宋体" w:cs="宋体"/>
                <w:b w:val="0"/>
                <w:color w:val="000000"/>
                <w:kern w:val="2"/>
                <w:sz w:val="24"/>
                <w:szCs w:val="24"/>
                <w:lang w:eastAsia="zh-CN"/>
              </w:rPr>
              <w:t>。</w:t>
            </w:r>
            <w:r>
              <w:rPr>
                <w:rFonts w:hint="eastAsia" w:ascii="宋体" w:hAnsi="宋体" w:eastAsia="宋体" w:cs="宋体"/>
                <w:b w:val="0"/>
                <w:color w:val="000000"/>
                <w:kern w:val="2"/>
                <w:sz w:val="24"/>
                <w:szCs w:val="24"/>
                <w:lang w:val="en-US" w:eastAsia="zh-CN"/>
              </w:rPr>
              <w:t>包括</w:t>
            </w:r>
            <w:r>
              <w:rPr>
                <w:rFonts w:hint="eastAsia" w:ascii="宋体" w:hAnsi="宋体" w:eastAsia="宋体" w:cs="宋体"/>
                <w:b w:val="0"/>
                <w:color w:val="000000"/>
                <w:kern w:val="2"/>
                <w:sz w:val="24"/>
                <w:szCs w:val="24"/>
                <w:lang w:eastAsia="zh-CN"/>
              </w:rPr>
              <w:t>庐月又省园、聚星粮驿1953、肥西党校、山南钓影园，</w:t>
            </w:r>
            <w:r>
              <w:rPr>
                <w:rFonts w:hint="eastAsia" w:ascii="宋体" w:hAnsi="宋体" w:eastAsia="宋体" w:cs="宋体"/>
                <w:b w:val="0"/>
                <w:color w:val="000000"/>
                <w:kern w:val="2"/>
                <w:sz w:val="24"/>
                <w:szCs w:val="24"/>
                <w:lang w:val="en-US" w:eastAsia="zh-CN"/>
              </w:rPr>
              <w:t>以及未来可能新增的其他民宿点位。</w:t>
            </w:r>
          </w:p>
        </w:tc>
      </w:tr>
      <w:tr w14:paraId="47D8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2CD998E">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53B1EB8">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服务期限</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5A1260AF">
            <w:pPr>
              <w:pStyle w:val="20"/>
              <w:widowControl w:val="0"/>
              <w:spacing w:before="0" w:beforeAutospacing="0" w:after="0" w:afterAutospacing="0" w:line="360" w:lineRule="auto"/>
              <w:jc w:val="both"/>
              <w:rPr>
                <w:rFonts w:hint="default"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lang w:eastAsia="zh-CN"/>
              </w:rPr>
              <w:t>自合同签订之日起至</w:t>
            </w:r>
            <w:r>
              <w:rPr>
                <w:rFonts w:hint="eastAsia" w:ascii="宋体" w:hAnsi="宋体" w:eastAsia="宋体" w:cs="宋体"/>
                <w:b w:val="0"/>
                <w:color w:val="000000"/>
                <w:kern w:val="2"/>
                <w:sz w:val="24"/>
                <w:szCs w:val="24"/>
                <w:lang w:val="en-US" w:eastAsia="zh-CN"/>
              </w:rPr>
              <w:t>合同</w:t>
            </w:r>
            <w:r>
              <w:rPr>
                <w:rFonts w:hint="eastAsia" w:ascii="宋体" w:hAnsi="宋体" w:eastAsia="宋体" w:cs="宋体"/>
                <w:b w:val="0"/>
                <w:color w:val="000000"/>
                <w:kern w:val="2"/>
                <w:sz w:val="24"/>
                <w:szCs w:val="24"/>
                <w:lang w:eastAsia="zh-CN"/>
              </w:rPr>
              <w:t>结束，</w:t>
            </w:r>
            <w:r>
              <w:rPr>
                <w:rFonts w:hint="eastAsia" w:ascii="宋体" w:hAnsi="宋体" w:eastAsia="宋体" w:cs="宋体"/>
                <w:b w:val="0"/>
                <w:color w:val="000000"/>
                <w:kern w:val="2"/>
                <w:sz w:val="24"/>
                <w:szCs w:val="24"/>
                <w:lang w:val="en-US" w:eastAsia="zh-CN"/>
              </w:rPr>
              <w:t>预算满止，且总时长不超过1年。</w:t>
            </w:r>
          </w:p>
        </w:tc>
      </w:tr>
      <w:bookmarkEnd w:id="9"/>
    </w:tbl>
    <w:p w14:paraId="24213AC0">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b/>
          <w:color w:val="auto"/>
          <w:kern w:val="2"/>
          <w:sz w:val="24"/>
          <w:szCs w:val="24"/>
          <w:highlight w:val="none"/>
        </w:rPr>
      </w:pPr>
      <w:bookmarkStart w:id="11" w:name="_Toc14216"/>
      <w:r>
        <w:rPr>
          <w:rFonts w:hint="eastAsia" w:ascii="宋体" w:hAnsi="宋体" w:eastAsia="宋体" w:cs="宋体"/>
          <w:b/>
          <w:color w:val="auto"/>
          <w:kern w:val="2"/>
          <w:sz w:val="24"/>
          <w:szCs w:val="24"/>
          <w:highlight w:val="none"/>
          <w:lang w:val="en-US" w:eastAsia="zh-CN"/>
        </w:rPr>
        <w:t>二</w:t>
      </w:r>
      <w:r>
        <w:rPr>
          <w:rFonts w:hint="eastAsia" w:ascii="宋体" w:hAnsi="宋体" w:eastAsia="宋体" w:cs="宋体"/>
          <w:b/>
          <w:color w:val="auto"/>
          <w:kern w:val="2"/>
          <w:sz w:val="24"/>
          <w:szCs w:val="24"/>
          <w:highlight w:val="none"/>
        </w:rPr>
        <w:t>、项目概况</w:t>
      </w:r>
      <w:bookmarkEnd w:id="11"/>
    </w:p>
    <w:p w14:paraId="60072762">
      <w:pPr>
        <w:pageBreakBefore w:val="0"/>
        <w:widowControl w:val="0"/>
        <w:kinsoku/>
        <w:wordWrap/>
        <w:overflowPunct/>
        <w:topLinePunct w:val="0"/>
        <w:autoSpaceDE/>
        <w:autoSpaceDN/>
        <w:bidi w:val="0"/>
        <w:adjustRightInd/>
        <w:snapToGrid/>
        <w:spacing w:line="440" w:lineRule="exact"/>
        <w:ind w:right="0" w:firstLine="480" w:firstLineChars="200"/>
        <w:textAlignment w:val="auto"/>
        <w:outlineLvl w:val="1"/>
        <w:rPr>
          <w:rFonts w:hint="eastAsia" w:ascii="宋体" w:hAnsi="宋体" w:eastAsia="宋体" w:cs="宋体"/>
          <w:color w:val="auto"/>
          <w:kern w:val="2"/>
          <w:sz w:val="24"/>
          <w:szCs w:val="24"/>
          <w:lang w:eastAsia="zh-CN"/>
        </w:rPr>
      </w:pPr>
      <w:bookmarkStart w:id="12" w:name="_Toc27479"/>
      <w:bookmarkStart w:id="13" w:name="_Toc101805417"/>
      <w:r>
        <w:rPr>
          <w:rFonts w:ascii="Segoe UI" w:hAnsi="Segoe UI" w:eastAsia="Segoe UI" w:cs="Segoe UI"/>
          <w:i w:val="0"/>
          <w:iCs w:val="0"/>
          <w:caps w:val="0"/>
          <w:spacing w:val="0"/>
          <w:sz w:val="24"/>
          <w:szCs w:val="24"/>
          <w:shd w:val="clear" w:fill="FFFFFF"/>
        </w:rPr>
        <w:t>为保障</w:t>
      </w:r>
      <w:r>
        <w:rPr>
          <w:rFonts w:hint="eastAsia" w:ascii="Segoe UI" w:hAnsi="Segoe UI" w:eastAsia="宋体" w:cs="Segoe UI"/>
          <w:i w:val="0"/>
          <w:iCs w:val="0"/>
          <w:caps w:val="0"/>
          <w:spacing w:val="0"/>
          <w:sz w:val="24"/>
          <w:szCs w:val="24"/>
          <w:shd w:val="clear" w:fill="FFFFFF"/>
          <w:lang w:val="en-US" w:eastAsia="zh-CN"/>
        </w:rPr>
        <w:t>公司</w:t>
      </w:r>
      <w:r>
        <w:rPr>
          <w:rFonts w:ascii="Segoe UI" w:hAnsi="Segoe UI" w:eastAsia="Segoe UI" w:cs="Segoe UI"/>
          <w:i w:val="0"/>
          <w:iCs w:val="0"/>
          <w:caps w:val="0"/>
          <w:spacing w:val="0"/>
          <w:sz w:val="24"/>
          <w:szCs w:val="24"/>
          <w:shd w:val="clear" w:fill="FFFFFF"/>
        </w:rPr>
        <w:t>旗下客房及餐饮布草的清洁卫生质量，提高</w:t>
      </w:r>
      <w:r>
        <w:rPr>
          <w:rFonts w:hint="eastAsia" w:ascii="Segoe UI" w:hAnsi="Segoe UI" w:eastAsia="宋体" w:cs="Segoe UI"/>
          <w:i w:val="0"/>
          <w:iCs w:val="0"/>
          <w:caps w:val="0"/>
          <w:spacing w:val="0"/>
          <w:sz w:val="24"/>
          <w:szCs w:val="24"/>
          <w:shd w:val="clear" w:fill="FFFFFF"/>
          <w:lang w:eastAsia="zh-CN"/>
        </w:rPr>
        <w:t>服务质量</w:t>
      </w:r>
      <w:r>
        <w:rPr>
          <w:rFonts w:ascii="Segoe UI" w:hAnsi="Segoe UI" w:eastAsia="Segoe UI" w:cs="Segoe UI"/>
          <w:i w:val="0"/>
          <w:iCs w:val="0"/>
          <w:caps w:val="0"/>
          <w:spacing w:val="0"/>
          <w:sz w:val="24"/>
          <w:szCs w:val="24"/>
          <w:shd w:val="clear" w:fill="FFFFFF"/>
        </w:rPr>
        <w:t>，</w:t>
      </w:r>
      <w:r>
        <w:rPr>
          <w:rFonts w:hint="eastAsia" w:asciiTheme="majorEastAsia" w:hAnsiTheme="majorEastAsia" w:eastAsiaTheme="majorEastAsia" w:cstheme="majorEastAsia"/>
          <w:szCs w:val="24"/>
          <w:highlight w:val="none"/>
        </w:rPr>
        <w:t>本次拟招一家单位提供服务，</w:t>
      </w:r>
      <w:r>
        <w:rPr>
          <w:rFonts w:hint="eastAsia" w:ascii="宋体" w:hAnsi="宋体" w:eastAsia="宋体" w:cs="宋体"/>
          <w:color w:val="auto"/>
          <w:kern w:val="2"/>
          <w:sz w:val="24"/>
          <w:szCs w:val="24"/>
          <w:lang w:val="en-US" w:eastAsia="zh-CN"/>
        </w:rPr>
        <w:t>详见服务需求</w:t>
      </w:r>
      <w:r>
        <w:rPr>
          <w:rFonts w:hint="eastAsia" w:ascii="宋体" w:hAnsi="宋体" w:eastAsia="宋体" w:cs="宋体"/>
          <w:color w:val="auto"/>
          <w:kern w:val="2"/>
          <w:sz w:val="24"/>
          <w:szCs w:val="24"/>
          <w:lang w:eastAsia="zh-CN"/>
        </w:rPr>
        <w:t>。</w:t>
      </w:r>
      <w:bookmarkEnd w:id="12"/>
    </w:p>
    <w:p w14:paraId="048D6E32">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b/>
          <w:color w:val="auto"/>
          <w:kern w:val="2"/>
          <w:sz w:val="24"/>
          <w:szCs w:val="24"/>
        </w:rPr>
      </w:pPr>
      <w:bookmarkStart w:id="14" w:name="_Toc17592"/>
      <w:r>
        <w:rPr>
          <w:rFonts w:hint="eastAsia" w:ascii="宋体" w:hAnsi="宋体" w:eastAsia="宋体" w:cs="宋体"/>
          <w:b/>
          <w:color w:val="auto"/>
          <w:kern w:val="2"/>
          <w:sz w:val="24"/>
          <w:szCs w:val="24"/>
          <w:lang w:val="en-US" w:eastAsia="zh-CN"/>
        </w:rPr>
        <w:t>三</w:t>
      </w:r>
      <w:r>
        <w:rPr>
          <w:rFonts w:hint="eastAsia" w:ascii="宋体" w:hAnsi="宋体" w:eastAsia="宋体" w:cs="宋体"/>
          <w:b/>
          <w:color w:val="auto"/>
          <w:kern w:val="2"/>
          <w:sz w:val="24"/>
          <w:szCs w:val="24"/>
        </w:rPr>
        <w:t>、服务需求</w:t>
      </w:r>
      <w:bookmarkEnd w:id="13"/>
      <w:bookmarkEnd w:id="14"/>
    </w:p>
    <w:p w14:paraId="4F792A4C">
      <w:pPr>
        <w:autoSpaceDE w:val="0"/>
        <w:autoSpaceDN w:val="0"/>
        <w:adjustRightInd w:val="0"/>
        <w:spacing w:line="360" w:lineRule="auto"/>
        <w:jc w:val="left"/>
        <w:rPr>
          <w:rFonts w:hint="eastAsia" w:cs="宋体"/>
          <w:sz w:val="24"/>
          <w:szCs w:val="22"/>
          <w:highlight w:val="none"/>
          <w:lang w:val="en-US" w:eastAsia="zh-CN" w:bidi="ar-SA"/>
        </w:rPr>
      </w:pPr>
      <w:r>
        <w:rPr>
          <w:rFonts w:hint="eastAsia" w:ascii="宋体" w:hAnsi="宋体" w:eastAsia="宋体" w:cs="Times New Roman"/>
          <w:color w:val="auto"/>
          <w:sz w:val="24"/>
          <w:highlight w:val="none"/>
        </w:rPr>
        <w:t>（1）</w:t>
      </w:r>
      <w:r>
        <w:rPr>
          <w:rFonts w:hint="eastAsia" w:cs="Times New Roman"/>
          <w:color w:val="auto"/>
          <w:sz w:val="24"/>
          <w:highlight w:val="none"/>
          <w:lang w:val="en-US" w:eastAsia="zh-CN"/>
        </w:rPr>
        <w:t>供应商应</w:t>
      </w:r>
      <w:r>
        <w:rPr>
          <w:rFonts w:hint="eastAsia" w:cs="宋体"/>
          <w:sz w:val="24"/>
          <w:szCs w:val="22"/>
          <w:highlight w:val="none"/>
          <w:lang w:val="en-US" w:eastAsia="zh-CN" w:bidi="ar-SA"/>
        </w:rPr>
        <w:t>配备</w:t>
      </w:r>
      <w:r>
        <w:rPr>
          <w:rFonts w:hint="eastAsia" w:ascii="宋体" w:hAnsi="宋体" w:eastAsia="宋体" w:cs="宋体"/>
          <w:sz w:val="24"/>
          <w:szCs w:val="22"/>
          <w:highlight w:val="none"/>
          <w:lang w:val="en-US" w:eastAsia="en-US" w:bidi="ar-SA"/>
        </w:rPr>
        <w:t>全自动洗脱机、烘干机、熨烫机、折叠机等专业布草洗涤设备，</w:t>
      </w:r>
      <w:r>
        <w:rPr>
          <w:rFonts w:hint="eastAsia" w:cs="宋体"/>
          <w:sz w:val="24"/>
          <w:szCs w:val="22"/>
          <w:highlight w:val="none"/>
          <w:lang w:val="en-US" w:eastAsia="zh-CN" w:bidi="ar-SA"/>
        </w:rPr>
        <w:t>并确保</w:t>
      </w:r>
      <w:r>
        <w:rPr>
          <w:rFonts w:hint="eastAsia" w:ascii="宋体" w:hAnsi="宋体" w:eastAsia="宋体" w:cs="宋体"/>
          <w:sz w:val="24"/>
          <w:szCs w:val="22"/>
          <w:highlight w:val="none"/>
          <w:lang w:val="en-US" w:eastAsia="en-US" w:bidi="ar-SA"/>
        </w:rPr>
        <w:t>设备数量、规格能满足</w:t>
      </w:r>
      <w:r>
        <w:rPr>
          <w:rFonts w:hint="eastAsia" w:cs="宋体"/>
          <w:sz w:val="24"/>
          <w:szCs w:val="22"/>
          <w:highlight w:val="none"/>
          <w:lang w:val="en-US" w:eastAsia="zh-CN" w:bidi="ar-SA"/>
        </w:rPr>
        <w:t>采购人日常洗涤需求，</w:t>
      </w:r>
      <w:r>
        <w:rPr>
          <w:rFonts w:hint="eastAsia" w:ascii="宋体" w:hAnsi="宋体" w:eastAsia="宋体" w:cs="宋体"/>
          <w:sz w:val="24"/>
          <w:szCs w:val="22"/>
          <w:highlight w:val="none"/>
          <w:lang w:val="en-US" w:eastAsia="en-US" w:bidi="ar-SA"/>
        </w:rPr>
        <w:t>使用的洗涤</w:t>
      </w:r>
      <w:r>
        <w:rPr>
          <w:rFonts w:hint="eastAsia" w:cs="宋体"/>
          <w:sz w:val="24"/>
          <w:szCs w:val="22"/>
          <w:highlight w:val="none"/>
          <w:lang w:val="en-US" w:eastAsia="zh-CN" w:bidi="ar-SA"/>
        </w:rPr>
        <w:t>剂等</w:t>
      </w:r>
      <w:r>
        <w:rPr>
          <w:rFonts w:hint="eastAsia" w:ascii="宋体" w:hAnsi="宋体" w:eastAsia="宋体" w:cs="宋体"/>
          <w:sz w:val="24"/>
          <w:szCs w:val="22"/>
          <w:highlight w:val="none"/>
          <w:lang w:val="en-US" w:eastAsia="en-US" w:bidi="ar-SA"/>
        </w:rPr>
        <w:t>用品需</w:t>
      </w:r>
      <w:r>
        <w:rPr>
          <w:rFonts w:hint="eastAsia" w:cs="宋体"/>
          <w:sz w:val="24"/>
          <w:szCs w:val="22"/>
          <w:highlight w:val="none"/>
          <w:lang w:val="en-US" w:eastAsia="zh-CN" w:bidi="ar-SA"/>
        </w:rPr>
        <w:t>完全</w:t>
      </w:r>
      <w:r>
        <w:rPr>
          <w:rFonts w:hint="eastAsia" w:ascii="宋体" w:hAnsi="宋体" w:eastAsia="宋体" w:cs="宋体"/>
          <w:sz w:val="24"/>
          <w:szCs w:val="22"/>
          <w:highlight w:val="none"/>
          <w:lang w:val="en-US" w:eastAsia="en-US" w:bidi="ar-SA"/>
        </w:rPr>
        <w:t>符合国家卫生及环保标准，</w:t>
      </w:r>
      <w:r>
        <w:rPr>
          <w:rFonts w:hint="eastAsia" w:cs="宋体"/>
          <w:sz w:val="24"/>
          <w:szCs w:val="22"/>
          <w:highlight w:val="none"/>
          <w:lang w:val="en-US" w:eastAsia="zh-CN" w:bidi="ar-SA"/>
        </w:rPr>
        <w:t>洗护过程应</w:t>
      </w:r>
      <w:r>
        <w:rPr>
          <w:rFonts w:hint="eastAsia" w:ascii="宋体" w:hAnsi="宋体" w:eastAsia="宋体" w:cs="宋体"/>
          <w:sz w:val="24"/>
          <w:szCs w:val="22"/>
          <w:highlight w:val="none"/>
          <w:lang w:val="en-US" w:eastAsia="en-US" w:bidi="ar-SA"/>
        </w:rPr>
        <w:t>严格遵照卫生程序</w:t>
      </w:r>
      <w:r>
        <w:rPr>
          <w:rFonts w:hint="eastAsia" w:cs="宋体"/>
          <w:sz w:val="24"/>
          <w:szCs w:val="22"/>
          <w:highlight w:val="none"/>
          <w:lang w:val="en-US" w:eastAsia="zh-CN" w:bidi="ar-SA"/>
        </w:rPr>
        <w:t>对清洗件</w:t>
      </w:r>
      <w:r>
        <w:rPr>
          <w:rFonts w:hint="eastAsia" w:ascii="宋体" w:hAnsi="宋体" w:eastAsia="宋体" w:cs="宋体"/>
          <w:sz w:val="24"/>
          <w:szCs w:val="22"/>
          <w:highlight w:val="none"/>
          <w:lang w:val="en-US" w:eastAsia="en-US" w:bidi="ar-SA"/>
        </w:rPr>
        <w:t>进行消毒</w:t>
      </w:r>
      <w:r>
        <w:rPr>
          <w:rFonts w:hint="eastAsia" w:cs="宋体"/>
          <w:sz w:val="24"/>
          <w:szCs w:val="22"/>
          <w:highlight w:val="none"/>
          <w:lang w:val="en-US" w:eastAsia="zh-CN" w:bidi="ar-SA"/>
        </w:rPr>
        <w:t>；</w:t>
      </w:r>
    </w:p>
    <w:p w14:paraId="7C2FB7BD">
      <w:pPr>
        <w:autoSpaceDE w:val="0"/>
        <w:autoSpaceDN w:val="0"/>
        <w:adjustRightInd w:val="0"/>
        <w:spacing w:line="360" w:lineRule="auto"/>
        <w:jc w:val="left"/>
        <w:rPr>
          <w:rFonts w:hint="eastAsia" w:cs="宋体"/>
          <w:sz w:val="24"/>
          <w:szCs w:val="22"/>
          <w:highlight w:val="none"/>
          <w:lang w:val="en-US" w:eastAsia="zh-CN" w:bidi="ar-SA"/>
        </w:rPr>
      </w:pPr>
      <w:r>
        <w:rPr>
          <w:rFonts w:hint="eastAsia" w:cs="宋体"/>
          <w:sz w:val="24"/>
          <w:szCs w:val="22"/>
          <w:highlight w:val="none"/>
          <w:lang w:val="en-US" w:eastAsia="zh-CN" w:bidi="ar-SA"/>
        </w:rPr>
        <w:t>（2）洗涤需求：日均不低于102套（约663kg）、月度不低于3060套、全年不低于36720套布草洗涤能力，适配出租率波动；5月、7月、8月、10月等销售旺季应能满足日均不低于153套洗涤需求的服务能力，并为紧急需求预留≥20%备用能力，4小时启动、24小时完成。</w:t>
      </w:r>
    </w:p>
    <w:p w14:paraId="683D05AA">
      <w:pPr>
        <w:autoSpaceDE w:val="0"/>
        <w:autoSpaceDN w:val="0"/>
        <w:adjustRightInd w:val="0"/>
        <w:spacing w:line="360" w:lineRule="auto"/>
        <w:jc w:val="left"/>
        <w:rPr>
          <w:rFonts w:hint="eastAsia" w:cs="宋体"/>
          <w:sz w:val="24"/>
          <w:szCs w:val="22"/>
          <w:highlight w:val="none"/>
          <w:lang w:val="en-US" w:eastAsia="zh-CN" w:bidi="ar-SA"/>
        </w:rPr>
      </w:pPr>
      <w:r>
        <w:rPr>
          <w:rFonts w:hint="eastAsia" w:ascii="宋体" w:hAnsi="宋体" w:eastAsia="宋体" w:cs="Times New Roman"/>
          <w:color w:val="auto"/>
          <w:sz w:val="24"/>
          <w:highlight w:val="none"/>
        </w:rPr>
        <w:t>（</w:t>
      </w:r>
      <w:r>
        <w:rPr>
          <w:rFonts w:hint="eastAsia" w:cs="Times New Roman"/>
          <w:color w:val="auto"/>
          <w:sz w:val="24"/>
          <w:highlight w:val="none"/>
          <w:lang w:val="en-US" w:eastAsia="zh-CN"/>
        </w:rPr>
        <w:t>3</w:t>
      </w:r>
      <w:r>
        <w:rPr>
          <w:rFonts w:hint="eastAsia" w:ascii="宋体" w:hAnsi="宋体" w:eastAsia="宋体" w:cs="Times New Roman"/>
          <w:color w:val="auto"/>
          <w:sz w:val="24"/>
          <w:highlight w:val="none"/>
        </w:rPr>
        <w:t>）配送服务：</w:t>
      </w:r>
      <w:r>
        <w:rPr>
          <w:rFonts w:hint="eastAsia" w:ascii="宋体" w:hAnsi="宋体" w:eastAsia="宋体" w:cs="宋体"/>
          <w:sz w:val="24"/>
          <w:szCs w:val="22"/>
          <w:highlight w:val="none"/>
          <w:lang w:val="en-US" w:eastAsia="en-US" w:bidi="ar-SA"/>
        </w:rPr>
        <w:t>提供上门取送布草服务，配送车辆具备</w:t>
      </w:r>
      <w:r>
        <w:rPr>
          <w:rFonts w:hint="eastAsia" w:cs="宋体"/>
          <w:sz w:val="24"/>
          <w:szCs w:val="22"/>
          <w:highlight w:val="none"/>
          <w:lang w:val="en-US" w:eastAsia="zh-CN" w:bidi="ar-SA"/>
        </w:rPr>
        <w:t>良好</w:t>
      </w:r>
      <w:r>
        <w:rPr>
          <w:rFonts w:hint="eastAsia" w:ascii="宋体" w:hAnsi="宋体" w:eastAsia="宋体" w:cs="宋体"/>
          <w:sz w:val="24"/>
          <w:szCs w:val="22"/>
          <w:highlight w:val="none"/>
          <w:lang w:val="en-US" w:eastAsia="en-US" w:bidi="ar-SA"/>
        </w:rPr>
        <w:t>卫生防护条件，收送布草过程中</w:t>
      </w:r>
      <w:r>
        <w:rPr>
          <w:rFonts w:hint="eastAsia" w:cs="宋体"/>
          <w:sz w:val="24"/>
          <w:szCs w:val="22"/>
          <w:highlight w:val="none"/>
          <w:lang w:val="en-US" w:eastAsia="zh-CN" w:bidi="ar-SA"/>
        </w:rPr>
        <w:t>应</w:t>
      </w:r>
      <w:r>
        <w:rPr>
          <w:rFonts w:hint="eastAsia" w:ascii="宋体" w:hAnsi="宋体" w:eastAsia="宋体" w:cs="宋体"/>
          <w:sz w:val="24"/>
          <w:szCs w:val="22"/>
          <w:highlight w:val="none"/>
          <w:lang w:val="en-US" w:eastAsia="en-US" w:bidi="ar-SA"/>
        </w:rPr>
        <w:t>使用专用包装布封装，</w:t>
      </w:r>
      <w:r>
        <w:rPr>
          <w:rFonts w:hint="eastAsia" w:ascii="宋体" w:hAnsi="宋体" w:eastAsia="宋体" w:cs="宋体"/>
          <w:sz w:val="24"/>
          <w:szCs w:val="22"/>
          <w:highlight w:val="none"/>
          <w:lang w:val="en-US" w:eastAsia="zh-CN" w:bidi="ar-SA"/>
        </w:rPr>
        <w:t>收洗布草后，原则上在24小时内</w:t>
      </w:r>
      <w:r>
        <w:rPr>
          <w:rFonts w:hint="eastAsia" w:cs="宋体"/>
          <w:sz w:val="24"/>
          <w:szCs w:val="22"/>
          <w:highlight w:val="none"/>
          <w:lang w:val="en-US" w:eastAsia="zh-CN" w:bidi="ar-SA"/>
        </w:rPr>
        <w:t>完成洗涤并</w:t>
      </w:r>
      <w:r>
        <w:rPr>
          <w:rFonts w:hint="eastAsia" w:ascii="宋体" w:hAnsi="宋体" w:eastAsia="宋体" w:cs="宋体"/>
          <w:sz w:val="24"/>
          <w:szCs w:val="22"/>
          <w:highlight w:val="none"/>
          <w:lang w:val="en-US" w:eastAsia="zh-CN" w:bidi="ar-SA"/>
        </w:rPr>
        <w:t>送回</w:t>
      </w:r>
      <w:r>
        <w:rPr>
          <w:rFonts w:hint="eastAsia" w:cs="宋体"/>
          <w:sz w:val="24"/>
          <w:szCs w:val="22"/>
          <w:highlight w:val="none"/>
          <w:lang w:val="en-US" w:eastAsia="zh-CN" w:bidi="ar-SA"/>
        </w:rPr>
        <w:t>（违约责任）</w:t>
      </w:r>
      <w:r>
        <w:rPr>
          <w:rFonts w:hint="eastAsia" w:ascii="宋体" w:hAnsi="宋体" w:eastAsia="宋体" w:cs="宋体"/>
          <w:sz w:val="24"/>
          <w:szCs w:val="22"/>
          <w:highlight w:val="none"/>
          <w:lang w:val="en-US" w:eastAsia="zh-CN" w:bidi="ar-SA"/>
        </w:rPr>
        <w:t>；</w:t>
      </w:r>
    </w:p>
    <w:p w14:paraId="005E7983">
      <w:pPr>
        <w:autoSpaceDE w:val="0"/>
        <w:autoSpaceDN w:val="0"/>
        <w:adjustRightInd w:val="0"/>
        <w:spacing w:line="360" w:lineRule="auto"/>
        <w:jc w:val="left"/>
        <w:rPr>
          <w:rFonts w:hint="eastAsia" w:cs="宋体"/>
          <w:sz w:val="24"/>
          <w:szCs w:val="22"/>
          <w:highlight w:val="none"/>
          <w:lang w:val="en-US" w:eastAsia="zh-CN" w:bidi="ar-SA"/>
        </w:rPr>
      </w:pPr>
      <w:r>
        <w:rPr>
          <w:rFonts w:hint="eastAsia" w:ascii="宋体" w:hAnsi="宋体" w:eastAsia="宋体" w:cs="Times New Roman"/>
          <w:color w:val="auto"/>
          <w:sz w:val="24"/>
          <w:highlight w:val="none"/>
        </w:rPr>
        <w:t>（</w:t>
      </w:r>
      <w:r>
        <w:rPr>
          <w:rFonts w:hint="eastAsia" w:cs="Times New Roman"/>
          <w:color w:val="auto"/>
          <w:sz w:val="24"/>
          <w:highlight w:val="none"/>
          <w:lang w:val="en-US" w:eastAsia="zh-CN"/>
        </w:rPr>
        <w:t>4</w:t>
      </w:r>
      <w:r>
        <w:rPr>
          <w:rFonts w:hint="eastAsia" w:ascii="宋体" w:hAnsi="宋体" w:eastAsia="宋体" w:cs="Times New Roman"/>
          <w:color w:val="auto"/>
          <w:sz w:val="24"/>
          <w:highlight w:val="none"/>
        </w:rPr>
        <w:t>）</w:t>
      </w:r>
      <w:r>
        <w:rPr>
          <w:rFonts w:hint="eastAsia" w:cs="宋体"/>
          <w:sz w:val="24"/>
          <w:szCs w:val="22"/>
          <w:highlight w:val="none"/>
          <w:lang w:val="en-US" w:eastAsia="zh-CN" w:bidi="ar-SA"/>
        </w:rPr>
        <w:t>新投入使用的布草，成交人应在布件上加盖投放日期标识，用于跟踪布件使用寿命及控制洗涤损耗率，</w:t>
      </w:r>
      <w:r>
        <w:rPr>
          <w:rFonts w:hint="eastAsia" w:ascii="宋体" w:hAnsi="宋体" w:eastAsia="宋体" w:cs="Times New Roman"/>
          <w:color w:val="auto"/>
          <w:sz w:val="24"/>
          <w:highlight w:val="none"/>
        </w:rPr>
        <w:t>布草</w:t>
      </w:r>
      <w:r>
        <w:rPr>
          <w:rFonts w:hint="eastAsia" w:cs="Times New Roman"/>
          <w:color w:val="auto"/>
          <w:sz w:val="24"/>
          <w:highlight w:val="none"/>
          <w:lang w:val="en-US" w:eastAsia="zh-CN"/>
        </w:rPr>
        <w:t>洗涤</w:t>
      </w:r>
      <w:r>
        <w:rPr>
          <w:rFonts w:hint="eastAsia" w:ascii="宋体" w:hAnsi="宋体" w:eastAsia="宋体" w:cs="宋体"/>
          <w:sz w:val="24"/>
          <w:szCs w:val="22"/>
          <w:highlight w:val="none"/>
          <w:lang w:val="en-US" w:eastAsia="en-US" w:bidi="ar-SA"/>
        </w:rPr>
        <w:t>损耗率</w:t>
      </w:r>
      <w:r>
        <w:rPr>
          <w:rFonts w:hint="eastAsia" w:cs="宋体"/>
          <w:sz w:val="24"/>
          <w:szCs w:val="22"/>
          <w:highlight w:val="none"/>
          <w:lang w:val="en-US" w:eastAsia="zh-CN" w:bidi="ar-SA"/>
        </w:rPr>
        <w:t>（包括洗损、丢件等情况）正常</w:t>
      </w:r>
      <w:r>
        <w:rPr>
          <w:rFonts w:hint="eastAsia" w:ascii="宋体" w:hAnsi="宋体" w:eastAsia="宋体" w:cs="宋体"/>
          <w:sz w:val="24"/>
          <w:szCs w:val="22"/>
          <w:highlight w:val="none"/>
          <w:lang w:val="en-US" w:eastAsia="en-US" w:bidi="ar-SA"/>
        </w:rPr>
        <w:t>不高于0.5%，</w:t>
      </w:r>
      <w:r>
        <w:rPr>
          <w:rFonts w:hint="eastAsia" w:cs="宋体"/>
          <w:sz w:val="24"/>
          <w:szCs w:val="22"/>
          <w:highlight w:val="none"/>
          <w:lang w:val="en-US" w:eastAsia="zh-CN" w:bidi="ar-SA"/>
        </w:rPr>
        <w:t>高出部分采购人有权要求服务供应商照价赔偿。</w:t>
      </w:r>
    </w:p>
    <w:p w14:paraId="69A58A84">
      <w:pPr>
        <w:autoSpaceDE w:val="0"/>
        <w:autoSpaceDN w:val="0"/>
        <w:adjustRightInd w:val="0"/>
        <w:spacing w:line="360" w:lineRule="auto"/>
        <w:jc w:val="left"/>
        <w:rPr>
          <w:rFonts w:hint="eastAsia" w:cs="宋体"/>
          <w:sz w:val="24"/>
          <w:szCs w:val="22"/>
          <w:highlight w:val="none"/>
          <w:lang w:val="en-US" w:eastAsia="zh-CN" w:bidi="ar-SA"/>
        </w:rPr>
      </w:pPr>
      <w:r>
        <w:rPr>
          <w:rFonts w:hint="eastAsia" w:cs="宋体"/>
          <w:sz w:val="24"/>
          <w:szCs w:val="22"/>
          <w:highlight w:val="none"/>
          <w:lang w:val="en-US" w:eastAsia="zh-CN" w:bidi="ar-SA"/>
        </w:rPr>
        <w:t>（5）布草的品种、数量经双方指定人员核对后，在提供的交接单上签字确认，双方各执一份作为结算凭证。供应商收接布草时，若发现送洗物因使用不当出现非正常的严重污损、损坏、染色、褪色、缩水等情况，有权提出拒收，否则一经签收视为供应商已检视。</w:t>
      </w:r>
    </w:p>
    <w:p w14:paraId="139D5C8D">
      <w:pPr>
        <w:spacing w:line="360" w:lineRule="auto"/>
        <w:ind w:firstLine="437"/>
        <w:rPr>
          <w:rFonts w:ascii="宋体" w:hAnsi="宋体" w:eastAsia="宋体"/>
          <w:b/>
          <w:sz w:val="24"/>
          <w:szCs w:val="18"/>
          <w:highlight w:val="none"/>
        </w:rPr>
      </w:pPr>
      <w:r>
        <w:rPr>
          <w:rFonts w:hint="eastAsia"/>
          <w:b/>
          <w:sz w:val="24"/>
          <w:szCs w:val="18"/>
          <w:highlight w:val="none"/>
          <w:lang w:val="en-US" w:eastAsia="zh-CN"/>
        </w:rPr>
        <w:t>四、</w:t>
      </w:r>
      <w:r>
        <w:rPr>
          <w:rFonts w:hint="eastAsia" w:ascii="宋体" w:hAnsi="宋体" w:eastAsia="宋体"/>
          <w:b/>
          <w:sz w:val="24"/>
          <w:szCs w:val="18"/>
          <w:highlight w:val="none"/>
        </w:rPr>
        <w:t>报价要求</w:t>
      </w:r>
    </w:p>
    <w:p w14:paraId="781D7483">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Times New Roman"/>
          <w:b/>
          <w:bCs/>
          <w:sz w:val="24"/>
          <w:highlight w:val="none"/>
        </w:rPr>
        <w:t>1、本项目</w:t>
      </w:r>
      <w:r>
        <w:rPr>
          <w:rFonts w:hint="eastAsia" w:cs="Times New Roman"/>
          <w:b/>
          <w:bCs/>
          <w:sz w:val="24"/>
          <w:highlight w:val="none"/>
          <w:lang w:val="en-US" w:eastAsia="zh-CN"/>
        </w:rPr>
        <w:t>报价为费率报价，即供应商在</w:t>
      </w:r>
      <w:r>
        <w:rPr>
          <w:rFonts w:hint="eastAsia" w:cs="Times New Roman"/>
          <w:b/>
          <w:bCs/>
          <w:sz w:val="24"/>
          <w:highlight w:val="none"/>
          <w:lang w:eastAsia="zh-CN"/>
        </w:rPr>
        <w:t>《洗涤基准价目表》</w:t>
      </w:r>
      <w:r>
        <w:rPr>
          <w:rFonts w:hint="eastAsia" w:cs="Times New Roman"/>
          <w:b/>
          <w:bCs/>
          <w:sz w:val="24"/>
          <w:highlight w:val="none"/>
          <w:lang w:val="en-US" w:eastAsia="zh-CN"/>
        </w:rPr>
        <w:t>基础上报整体费率降幅，费率最高不超过100%</w:t>
      </w:r>
      <w:r>
        <w:rPr>
          <w:rFonts w:hint="eastAsia" w:ascii="宋体" w:hAnsi="宋体" w:eastAsia="宋体" w:cs="Times New Roman"/>
          <w:b/>
          <w:bCs/>
          <w:sz w:val="24"/>
          <w:highlight w:val="none"/>
        </w:rPr>
        <w:t>。</w:t>
      </w:r>
      <w:r>
        <w:rPr>
          <w:rFonts w:hint="eastAsia" w:ascii="宋体" w:hAnsi="宋体" w:eastAsia="宋体" w:cs="宋体"/>
          <w:b/>
          <w:bCs/>
          <w:sz w:val="24"/>
          <w:szCs w:val="24"/>
          <w:highlight w:val="none"/>
          <w:lang w:val="en-US" w:eastAsia="zh-CN"/>
        </w:rPr>
        <w:t>项目结算时，结算价=成交供应商实际供应数量*洗涤单价*成交费率，</w:t>
      </w:r>
      <w:r>
        <w:rPr>
          <w:rFonts w:hint="eastAsia" w:ascii="宋体" w:hAnsi="宋体" w:eastAsia="宋体" w:cs="Times New Roman"/>
          <w:b/>
          <w:bCs/>
          <w:sz w:val="24"/>
          <w:highlight w:val="none"/>
        </w:rPr>
        <w:t>本项目最终结算费用不超过4</w:t>
      </w:r>
      <w:r>
        <w:rPr>
          <w:rFonts w:hint="eastAsia" w:cs="Times New Roman"/>
          <w:b/>
          <w:bCs/>
          <w:sz w:val="24"/>
          <w:highlight w:val="none"/>
          <w:lang w:val="en-US" w:eastAsia="zh-CN"/>
        </w:rPr>
        <w:t>0</w:t>
      </w:r>
      <w:r>
        <w:rPr>
          <w:rFonts w:hint="eastAsia" w:ascii="宋体" w:hAnsi="宋体" w:eastAsia="宋体" w:cs="Times New Roman"/>
          <w:b/>
          <w:bCs/>
          <w:sz w:val="24"/>
          <w:highlight w:val="none"/>
        </w:rPr>
        <w:t>万元。</w:t>
      </w:r>
    </w:p>
    <w:p w14:paraId="479CE826">
      <w:pPr>
        <w:pStyle w:val="6"/>
        <w:rPr>
          <w:rFonts w:hint="eastAsia" w:cs="Times New Roman"/>
          <w:b/>
          <w:bCs/>
          <w:color w:val="000000" w:themeColor="text1"/>
          <w:sz w:val="24"/>
          <w:highlight w:val="none"/>
          <w:lang w:val="en-US" w:eastAsia="zh-CN"/>
          <w14:textFill>
            <w14:solidFill>
              <w14:schemeClr w14:val="tx1"/>
            </w14:solidFill>
          </w14:textFill>
        </w:rPr>
      </w:pPr>
      <w:r>
        <w:rPr>
          <w:rFonts w:hint="eastAsia" w:ascii="宋体" w:hAnsi="宋体" w:eastAsia="宋体" w:cs="Times New Roman"/>
          <w:sz w:val="24"/>
          <w:highlight w:val="none"/>
        </w:rPr>
        <w:t>2</w:t>
      </w:r>
      <w:r>
        <w:rPr>
          <w:rFonts w:ascii="宋体" w:hAnsi="宋体" w:eastAsia="宋体" w:cs="Times New Roman"/>
          <w:sz w:val="24"/>
          <w:highlight w:val="none"/>
        </w:rPr>
        <w:t>、报价包含</w:t>
      </w:r>
      <w:r>
        <w:rPr>
          <w:rFonts w:hint="eastAsia" w:cs="Times New Roman"/>
          <w:sz w:val="24"/>
          <w:highlight w:val="none"/>
          <w:lang w:val="en-US" w:eastAsia="zh-CN"/>
        </w:rPr>
        <w:t>洗涤服务、</w:t>
      </w:r>
      <w:r>
        <w:rPr>
          <w:rFonts w:ascii="宋体" w:hAnsi="宋体" w:eastAsia="宋体" w:cs="Times New Roman"/>
          <w:sz w:val="24"/>
          <w:highlight w:val="none"/>
        </w:rPr>
        <w:t>配送、运输、人工、搬运等产生的一切费用，在合同期间</w:t>
      </w:r>
      <w:r>
        <w:rPr>
          <w:rFonts w:hint="eastAsia" w:ascii="宋体" w:hAnsi="宋体" w:eastAsia="宋体" w:cs="Times New Roman"/>
          <w:sz w:val="24"/>
          <w:highlight w:val="none"/>
        </w:rPr>
        <w:t>成交</w:t>
      </w:r>
      <w:r>
        <w:rPr>
          <w:rFonts w:ascii="宋体" w:hAnsi="宋体" w:eastAsia="宋体" w:cs="Times New Roman"/>
          <w:sz w:val="24"/>
          <w:highlight w:val="none"/>
        </w:rPr>
        <w:t>供应商不得另行收取费用。</w:t>
      </w:r>
      <w:r>
        <w:rPr>
          <w:rFonts w:hint="eastAsia" w:ascii="宋体" w:hAnsi="宋体" w:eastAsia="宋体" w:cs="Times New Roman"/>
          <w:sz w:val="24"/>
          <w:highlight w:val="none"/>
          <w:lang w:val="en-US" w:eastAsia="zh-CN"/>
        </w:rPr>
        <w:t>各供应商的报价应充分考虑本项目多点配送的服务需求。</w:t>
      </w:r>
    </w:p>
    <w:p w14:paraId="070C1344">
      <w:pPr>
        <w:pStyle w:val="3"/>
        <w:ind w:left="0" w:leftChars="0" w:firstLine="0" w:firstLineChars="0"/>
        <w:rPr>
          <w:rFonts w:hint="eastAsia" w:ascii="宋体" w:hAnsi="宋体" w:eastAsia="宋体" w:cs="Times New Roman"/>
          <w:b/>
          <w:bCs/>
          <w:kern w:val="0"/>
          <w:sz w:val="24"/>
          <w:szCs w:val="20"/>
          <w:highlight w:val="none"/>
          <w:lang w:val="en-US" w:eastAsia="zh-CN" w:bidi="ar-SA"/>
        </w:rPr>
      </w:pPr>
      <w:r>
        <w:rPr>
          <w:rFonts w:hint="eastAsia" w:ascii="宋体" w:hAnsi="宋体" w:eastAsia="宋体" w:cs="Times New Roman"/>
          <w:b/>
          <w:bCs/>
          <w:kern w:val="0"/>
          <w:sz w:val="24"/>
          <w:szCs w:val="20"/>
          <w:highlight w:val="none"/>
          <w:lang w:val="en-US" w:eastAsia="zh-CN" w:bidi="ar-SA"/>
        </w:rPr>
        <w:t>附：</w:t>
      </w:r>
    </w:p>
    <w:tbl>
      <w:tblPr>
        <w:tblStyle w:val="13"/>
        <w:tblW w:w="824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66"/>
        <w:gridCol w:w="1775"/>
        <w:gridCol w:w="1487"/>
        <w:gridCol w:w="2526"/>
        <w:gridCol w:w="1692"/>
      </w:tblGrid>
      <w:tr w14:paraId="3D29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8246" w:type="dxa"/>
            <w:gridSpan w:val="5"/>
            <w:tcBorders>
              <w:tl2br w:val="nil"/>
              <w:tr2bl w:val="nil"/>
            </w:tcBorders>
            <w:shd w:val="clear" w:color="auto" w:fill="auto"/>
            <w:noWrap/>
            <w:vAlign w:val="center"/>
          </w:tcPr>
          <w:p w14:paraId="148114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庐月又酒管项目布草洗涤基准价目表</w:t>
            </w:r>
          </w:p>
        </w:tc>
      </w:tr>
      <w:tr w14:paraId="0707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59DE92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75" w:type="dxa"/>
            <w:tcBorders>
              <w:tl2br w:val="nil"/>
              <w:tr2bl w:val="nil"/>
            </w:tcBorders>
            <w:shd w:val="clear" w:color="auto" w:fill="auto"/>
            <w:noWrap/>
            <w:vAlign w:val="center"/>
          </w:tcPr>
          <w:p w14:paraId="722FF7A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487" w:type="dxa"/>
            <w:tcBorders>
              <w:tl2br w:val="nil"/>
              <w:tr2bl w:val="nil"/>
            </w:tcBorders>
            <w:shd w:val="clear" w:color="auto" w:fill="auto"/>
            <w:noWrap/>
            <w:vAlign w:val="center"/>
          </w:tcPr>
          <w:p w14:paraId="51102B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526" w:type="dxa"/>
            <w:tcBorders>
              <w:tl2br w:val="nil"/>
              <w:tr2bl w:val="nil"/>
            </w:tcBorders>
            <w:shd w:val="clear" w:color="auto" w:fill="auto"/>
            <w:noWrap/>
            <w:vAlign w:val="center"/>
          </w:tcPr>
          <w:p w14:paraId="502DE9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洗涤单价（元）</w:t>
            </w:r>
          </w:p>
        </w:tc>
        <w:tc>
          <w:tcPr>
            <w:tcW w:w="1692" w:type="dxa"/>
            <w:tcBorders>
              <w:tl2br w:val="nil"/>
              <w:tr2bl w:val="nil"/>
            </w:tcBorders>
            <w:shd w:val="clear" w:color="auto" w:fill="auto"/>
            <w:noWrap/>
            <w:vAlign w:val="center"/>
          </w:tcPr>
          <w:p w14:paraId="6F18536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6E53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11823E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5" w:type="dxa"/>
            <w:tcBorders>
              <w:tl2br w:val="nil"/>
              <w:tr2bl w:val="nil"/>
            </w:tcBorders>
            <w:shd w:val="clear" w:color="auto" w:fill="auto"/>
            <w:noWrap/>
            <w:vAlign w:val="center"/>
          </w:tcPr>
          <w:p w14:paraId="363DE6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床单</w:t>
            </w:r>
          </w:p>
        </w:tc>
        <w:tc>
          <w:tcPr>
            <w:tcW w:w="1487" w:type="dxa"/>
            <w:tcBorders>
              <w:tl2br w:val="nil"/>
              <w:tr2bl w:val="nil"/>
            </w:tcBorders>
            <w:shd w:val="clear" w:color="auto" w:fill="auto"/>
            <w:noWrap/>
            <w:vAlign w:val="center"/>
          </w:tcPr>
          <w:p w14:paraId="4F67764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49CB57B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2" w:type="dxa"/>
            <w:tcBorders>
              <w:tl2br w:val="nil"/>
              <w:tr2bl w:val="nil"/>
            </w:tcBorders>
            <w:shd w:val="clear" w:color="auto" w:fill="auto"/>
            <w:noWrap/>
            <w:vAlign w:val="center"/>
          </w:tcPr>
          <w:p w14:paraId="42A99797">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5DC6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1AACFE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5" w:type="dxa"/>
            <w:tcBorders>
              <w:tl2br w:val="nil"/>
              <w:tr2bl w:val="nil"/>
            </w:tcBorders>
            <w:shd w:val="clear" w:color="auto" w:fill="auto"/>
            <w:noWrap/>
            <w:vAlign w:val="center"/>
          </w:tcPr>
          <w:p w14:paraId="268EDAF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被套</w:t>
            </w:r>
          </w:p>
        </w:tc>
        <w:tc>
          <w:tcPr>
            <w:tcW w:w="1487" w:type="dxa"/>
            <w:tcBorders>
              <w:tl2br w:val="nil"/>
              <w:tr2bl w:val="nil"/>
            </w:tcBorders>
            <w:shd w:val="clear" w:color="auto" w:fill="auto"/>
            <w:noWrap/>
            <w:vAlign w:val="center"/>
          </w:tcPr>
          <w:p w14:paraId="11DF6E6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7C9A9A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2" w:type="dxa"/>
            <w:tcBorders>
              <w:tl2br w:val="nil"/>
              <w:tr2bl w:val="nil"/>
            </w:tcBorders>
            <w:shd w:val="clear" w:color="auto" w:fill="auto"/>
            <w:noWrap/>
            <w:vAlign w:val="center"/>
          </w:tcPr>
          <w:p w14:paraId="7FD57586">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FC3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56136D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75" w:type="dxa"/>
            <w:tcBorders>
              <w:tl2br w:val="nil"/>
              <w:tr2bl w:val="nil"/>
            </w:tcBorders>
            <w:shd w:val="clear" w:color="auto" w:fill="auto"/>
            <w:noWrap/>
            <w:vAlign w:val="center"/>
          </w:tcPr>
          <w:p w14:paraId="6A63AE8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1487" w:type="dxa"/>
            <w:tcBorders>
              <w:tl2br w:val="nil"/>
              <w:tr2bl w:val="nil"/>
            </w:tcBorders>
            <w:shd w:val="clear" w:color="auto" w:fill="auto"/>
            <w:noWrap/>
            <w:vAlign w:val="center"/>
          </w:tcPr>
          <w:p w14:paraId="07FDC1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4C40703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5241E749">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6135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66BB19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75" w:type="dxa"/>
            <w:tcBorders>
              <w:tl2br w:val="nil"/>
              <w:tr2bl w:val="nil"/>
            </w:tcBorders>
            <w:shd w:val="clear" w:color="auto" w:fill="auto"/>
            <w:noWrap/>
            <w:vAlign w:val="center"/>
          </w:tcPr>
          <w:p w14:paraId="4B65AF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浴巾</w:t>
            </w:r>
          </w:p>
        </w:tc>
        <w:tc>
          <w:tcPr>
            <w:tcW w:w="1487" w:type="dxa"/>
            <w:tcBorders>
              <w:tl2br w:val="nil"/>
              <w:tr2bl w:val="nil"/>
            </w:tcBorders>
            <w:shd w:val="clear" w:color="auto" w:fill="auto"/>
            <w:noWrap/>
            <w:vAlign w:val="center"/>
          </w:tcPr>
          <w:p w14:paraId="0B00E02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177CFA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781B86BC">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5ECC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38EFEF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75" w:type="dxa"/>
            <w:tcBorders>
              <w:tl2br w:val="nil"/>
              <w:tr2bl w:val="nil"/>
            </w:tcBorders>
            <w:shd w:val="clear" w:color="auto" w:fill="auto"/>
            <w:noWrap/>
            <w:vAlign w:val="center"/>
          </w:tcPr>
          <w:p w14:paraId="2954A2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面巾</w:t>
            </w:r>
          </w:p>
        </w:tc>
        <w:tc>
          <w:tcPr>
            <w:tcW w:w="1487" w:type="dxa"/>
            <w:tcBorders>
              <w:tl2br w:val="nil"/>
              <w:tr2bl w:val="nil"/>
            </w:tcBorders>
            <w:shd w:val="clear" w:color="auto" w:fill="auto"/>
            <w:noWrap/>
            <w:vAlign w:val="center"/>
          </w:tcPr>
          <w:p w14:paraId="74697A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3DA5F65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565F348A">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092C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3BC077A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75" w:type="dxa"/>
            <w:tcBorders>
              <w:tl2br w:val="nil"/>
              <w:tr2bl w:val="nil"/>
            </w:tcBorders>
            <w:shd w:val="clear" w:color="auto" w:fill="auto"/>
            <w:noWrap/>
            <w:vAlign w:val="center"/>
          </w:tcPr>
          <w:p w14:paraId="38154B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地巾</w:t>
            </w:r>
          </w:p>
        </w:tc>
        <w:tc>
          <w:tcPr>
            <w:tcW w:w="1487" w:type="dxa"/>
            <w:tcBorders>
              <w:tl2br w:val="nil"/>
              <w:tr2bl w:val="nil"/>
            </w:tcBorders>
            <w:shd w:val="clear" w:color="auto" w:fill="auto"/>
            <w:noWrap/>
            <w:vAlign w:val="center"/>
          </w:tcPr>
          <w:p w14:paraId="2F877B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1BEE33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7F77E11F">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705DE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6C9C35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75" w:type="dxa"/>
            <w:tcBorders>
              <w:tl2br w:val="nil"/>
              <w:tr2bl w:val="nil"/>
            </w:tcBorders>
            <w:shd w:val="clear" w:color="auto" w:fill="auto"/>
            <w:noWrap/>
            <w:vAlign w:val="center"/>
          </w:tcPr>
          <w:p w14:paraId="083D83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中巾</w:t>
            </w:r>
          </w:p>
        </w:tc>
        <w:tc>
          <w:tcPr>
            <w:tcW w:w="1487" w:type="dxa"/>
            <w:tcBorders>
              <w:tl2br w:val="nil"/>
              <w:tr2bl w:val="nil"/>
            </w:tcBorders>
            <w:shd w:val="clear" w:color="auto" w:fill="auto"/>
            <w:noWrap/>
            <w:vAlign w:val="center"/>
          </w:tcPr>
          <w:p w14:paraId="140B9A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6053BB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22130653">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6FD1E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75B69D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75" w:type="dxa"/>
            <w:tcBorders>
              <w:tl2br w:val="nil"/>
              <w:tr2bl w:val="nil"/>
            </w:tcBorders>
            <w:shd w:val="clear" w:color="auto" w:fill="auto"/>
            <w:noWrap/>
            <w:vAlign w:val="center"/>
          </w:tcPr>
          <w:p w14:paraId="10CE6E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方巾</w:t>
            </w:r>
          </w:p>
        </w:tc>
        <w:tc>
          <w:tcPr>
            <w:tcW w:w="1487" w:type="dxa"/>
            <w:tcBorders>
              <w:tl2br w:val="nil"/>
              <w:tr2bl w:val="nil"/>
            </w:tcBorders>
            <w:shd w:val="clear" w:color="auto" w:fill="auto"/>
            <w:noWrap/>
            <w:vAlign w:val="center"/>
          </w:tcPr>
          <w:p w14:paraId="60676E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76FB5F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2" w:type="dxa"/>
            <w:tcBorders>
              <w:tl2br w:val="nil"/>
              <w:tr2bl w:val="nil"/>
            </w:tcBorders>
            <w:shd w:val="clear" w:color="auto" w:fill="auto"/>
            <w:noWrap/>
            <w:vAlign w:val="center"/>
          </w:tcPr>
          <w:p w14:paraId="6C155F25">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2C35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722A24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75" w:type="dxa"/>
            <w:tcBorders>
              <w:tl2br w:val="nil"/>
              <w:tr2bl w:val="nil"/>
            </w:tcBorders>
            <w:shd w:val="clear" w:color="auto" w:fill="auto"/>
            <w:noWrap/>
            <w:vAlign w:val="center"/>
          </w:tcPr>
          <w:p w14:paraId="5856BC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成人浴袍</w:t>
            </w:r>
          </w:p>
        </w:tc>
        <w:tc>
          <w:tcPr>
            <w:tcW w:w="1487" w:type="dxa"/>
            <w:tcBorders>
              <w:tl2br w:val="nil"/>
              <w:tr2bl w:val="nil"/>
            </w:tcBorders>
            <w:shd w:val="clear" w:color="auto" w:fill="auto"/>
            <w:noWrap/>
            <w:vAlign w:val="center"/>
          </w:tcPr>
          <w:p w14:paraId="5FEE3DC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2526" w:type="dxa"/>
            <w:tcBorders>
              <w:tl2br w:val="nil"/>
              <w:tr2bl w:val="nil"/>
            </w:tcBorders>
            <w:shd w:val="clear" w:color="auto" w:fill="auto"/>
            <w:noWrap/>
            <w:vAlign w:val="center"/>
          </w:tcPr>
          <w:p w14:paraId="40A5FC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2" w:type="dxa"/>
            <w:tcBorders>
              <w:tl2br w:val="nil"/>
              <w:tr2bl w:val="nil"/>
            </w:tcBorders>
            <w:shd w:val="clear" w:color="auto" w:fill="auto"/>
            <w:noWrap/>
            <w:vAlign w:val="center"/>
          </w:tcPr>
          <w:p w14:paraId="0FAA0FAA">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503AE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6316439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75" w:type="dxa"/>
            <w:tcBorders>
              <w:tl2br w:val="nil"/>
              <w:tr2bl w:val="nil"/>
            </w:tcBorders>
            <w:shd w:val="clear" w:color="auto" w:fill="auto"/>
            <w:noWrap/>
            <w:vAlign w:val="center"/>
          </w:tcPr>
          <w:p w14:paraId="21EBA01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儿童浴袍</w:t>
            </w:r>
          </w:p>
        </w:tc>
        <w:tc>
          <w:tcPr>
            <w:tcW w:w="1487" w:type="dxa"/>
            <w:tcBorders>
              <w:tl2br w:val="nil"/>
              <w:tr2bl w:val="nil"/>
            </w:tcBorders>
            <w:shd w:val="clear" w:color="auto" w:fill="auto"/>
            <w:noWrap/>
            <w:vAlign w:val="center"/>
          </w:tcPr>
          <w:p w14:paraId="7BC080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2526" w:type="dxa"/>
            <w:tcBorders>
              <w:tl2br w:val="nil"/>
              <w:tr2bl w:val="nil"/>
            </w:tcBorders>
            <w:shd w:val="clear" w:color="auto" w:fill="auto"/>
            <w:noWrap/>
            <w:vAlign w:val="center"/>
          </w:tcPr>
          <w:p w14:paraId="139E2C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2" w:type="dxa"/>
            <w:tcBorders>
              <w:tl2br w:val="nil"/>
              <w:tr2bl w:val="nil"/>
            </w:tcBorders>
            <w:shd w:val="clear" w:color="auto" w:fill="auto"/>
            <w:noWrap/>
            <w:vAlign w:val="center"/>
          </w:tcPr>
          <w:p w14:paraId="2EFCDD9C">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03E8D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31FE3B2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75" w:type="dxa"/>
            <w:tcBorders>
              <w:tl2br w:val="nil"/>
              <w:tr2bl w:val="nil"/>
            </w:tcBorders>
            <w:shd w:val="clear" w:color="auto" w:fill="auto"/>
            <w:noWrap/>
            <w:vAlign w:val="center"/>
          </w:tcPr>
          <w:p w14:paraId="791EA4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拖鞋</w:t>
            </w:r>
          </w:p>
        </w:tc>
        <w:tc>
          <w:tcPr>
            <w:tcW w:w="1487" w:type="dxa"/>
            <w:tcBorders>
              <w:tl2br w:val="nil"/>
              <w:tr2bl w:val="nil"/>
            </w:tcBorders>
            <w:shd w:val="clear" w:color="auto" w:fill="auto"/>
            <w:noWrap/>
            <w:vAlign w:val="center"/>
          </w:tcPr>
          <w:p w14:paraId="6C1444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2526" w:type="dxa"/>
            <w:tcBorders>
              <w:tl2br w:val="nil"/>
              <w:tr2bl w:val="nil"/>
            </w:tcBorders>
            <w:shd w:val="clear" w:color="auto" w:fill="auto"/>
            <w:noWrap/>
            <w:vAlign w:val="center"/>
          </w:tcPr>
          <w:p w14:paraId="41ECB4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2" w:type="dxa"/>
            <w:tcBorders>
              <w:tl2br w:val="nil"/>
              <w:tr2bl w:val="nil"/>
            </w:tcBorders>
            <w:shd w:val="clear" w:color="auto" w:fill="auto"/>
            <w:noWrap/>
            <w:vAlign w:val="center"/>
          </w:tcPr>
          <w:p w14:paraId="28A20822">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67959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28EEDA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75" w:type="dxa"/>
            <w:tcBorders>
              <w:tl2br w:val="nil"/>
              <w:tr2bl w:val="nil"/>
            </w:tcBorders>
            <w:shd w:val="clear" w:color="auto" w:fill="auto"/>
            <w:noWrap/>
            <w:vAlign w:val="center"/>
          </w:tcPr>
          <w:p w14:paraId="4B6137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毛毯</w:t>
            </w:r>
          </w:p>
        </w:tc>
        <w:tc>
          <w:tcPr>
            <w:tcW w:w="1487" w:type="dxa"/>
            <w:tcBorders>
              <w:tl2br w:val="nil"/>
              <w:tr2bl w:val="nil"/>
            </w:tcBorders>
            <w:shd w:val="clear" w:color="auto" w:fill="auto"/>
            <w:noWrap/>
            <w:vAlign w:val="center"/>
          </w:tcPr>
          <w:p w14:paraId="7A9081B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5D10F5A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92" w:type="dxa"/>
            <w:tcBorders>
              <w:tl2br w:val="nil"/>
              <w:tr2bl w:val="nil"/>
            </w:tcBorders>
            <w:shd w:val="clear" w:color="auto" w:fill="auto"/>
            <w:noWrap/>
            <w:vAlign w:val="center"/>
          </w:tcPr>
          <w:p w14:paraId="71655BB6">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35A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2C0326E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75" w:type="dxa"/>
            <w:tcBorders>
              <w:tl2br w:val="nil"/>
              <w:tr2bl w:val="nil"/>
            </w:tcBorders>
            <w:shd w:val="clear" w:color="auto" w:fill="auto"/>
            <w:noWrap/>
            <w:vAlign w:val="center"/>
          </w:tcPr>
          <w:p w14:paraId="3151FF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被芯</w:t>
            </w:r>
          </w:p>
        </w:tc>
        <w:tc>
          <w:tcPr>
            <w:tcW w:w="1487" w:type="dxa"/>
            <w:tcBorders>
              <w:tl2br w:val="nil"/>
              <w:tr2bl w:val="nil"/>
            </w:tcBorders>
            <w:shd w:val="clear" w:color="auto" w:fill="auto"/>
            <w:noWrap/>
            <w:vAlign w:val="center"/>
          </w:tcPr>
          <w:p w14:paraId="5323FC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02E2DC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92" w:type="dxa"/>
            <w:tcBorders>
              <w:tl2br w:val="nil"/>
              <w:tr2bl w:val="nil"/>
            </w:tcBorders>
            <w:shd w:val="clear" w:color="auto" w:fill="auto"/>
            <w:noWrap/>
            <w:vAlign w:val="center"/>
          </w:tcPr>
          <w:p w14:paraId="3376135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9A9B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7CC9B1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75" w:type="dxa"/>
            <w:tcBorders>
              <w:tl2br w:val="nil"/>
              <w:tr2bl w:val="nil"/>
            </w:tcBorders>
            <w:shd w:val="clear" w:color="auto" w:fill="auto"/>
            <w:noWrap/>
            <w:vAlign w:val="center"/>
          </w:tcPr>
          <w:p w14:paraId="2DBB08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靠垫芯</w:t>
            </w:r>
          </w:p>
        </w:tc>
        <w:tc>
          <w:tcPr>
            <w:tcW w:w="1487" w:type="dxa"/>
            <w:tcBorders>
              <w:tl2br w:val="nil"/>
              <w:tr2bl w:val="nil"/>
            </w:tcBorders>
            <w:shd w:val="clear" w:color="auto" w:fill="auto"/>
            <w:noWrap/>
            <w:vAlign w:val="center"/>
          </w:tcPr>
          <w:p w14:paraId="1808484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2C6DC7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92" w:type="dxa"/>
            <w:tcBorders>
              <w:tl2br w:val="nil"/>
              <w:tr2bl w:val="nil"/>
            </w:tcBorders>
            <w:shd w:val="clear" w:color="auto" w:fill="auto"/>
            <w:noWrap/>
            <w:vAlign w:val="center"/>
          </w:tcPr>
          <w:p w14:paraId="477C77CB">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10173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7FDDF5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75" w:type="dxa"/>
            <w:tcBorders>
              <w:tl2br w:val="nil"/>
              <w:tr2bl w:val="nil"/>
            </w:tcBorders>
            <w:shd w:val="clear" w:color="auto" w:fill="auto"/>
            <w:noWrap/>
            <w:vAlign w:val="center"/>
          </w:tcPr>
          <w:p w14:paraId="386847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枕芯</w:t>
            </w:r>
          </w:p>
        </w:tc>
        <w:tc>
          <w:tcPr>
            <w:tcW w:w="1487" w:type="dxa"/>
            <w:tcBorders>
              <w:tl2br w:val="nil"/>
              <w:tr2bl w:val="nil"/>
            </w:tcBorders>
            <w:shd w:val="clear" w:color="auto" w:fill="auto"/>
            <w:noWrap/>
            <w:vAlign w:val="center"/>
          </w:tcPr>
          <w:p w14:paraId="2777C24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04436C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92" w:type="dxa"/>
            <w:tcBorders>
              <w:tl2br w:val="nil"/>
              <w:tr2bl w:val="nil"/>
            </w:tcBorders>
            <w:shd w:val="clear" w:color="auto" w:fill="auto"/>
            <w:noWrap/>
            <w:vAlign w:val="center"/>
          </w:tcPr>
          <w:p w14:paraId="6322DF3B">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68D1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72A4E6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75" w:type="dxa"/>
            <w:tcBorders>
              <w:tl2br w:val="nil"/>
              <w:tr2bl w:val="nil"/>
            </w:tcBorders>
            <w:shd w:val="clear" w:color="auto" w:fill="auto"/>
            <w:noWrap/>
            <w:vAlign w:val="center"/>
          </w:tcPr>
          <w:p w14:paraId="67F91C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靠垫套</w:t>
            </w:r>
          </w:p>
        </w:tc>
        <w:tc>
          <w:tcPr>
            <w:tcW w:w="1487" w:type="dxa"/>
            <w:tcBorders>
              <w:tl2br w:val="nil"/>
              <w:tr2bl w:val="nil"/>
            </w:tcBorders>
            <w:shd w:val="clear" w:color="auto" w:fill="auto"/>
            <w:noWrap/>
            <w:vAlign w:val="center"/>
          </w:tcPr>
          <w:p w14:paraId="6907B2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6B10C03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2" w:type="dxa"/>
            <w:tcBorders>
              <w:tl2br w:val="nil"/>
              <w:tr2bl w:val="nil"/>
            </w:tcBorders>
            <w:shd w:val="clear" w:color="auto" w:fill="auto"/>
            <w:noWrap/>
            <w:vAlign w:val="center"/>
          </w:tcPr>
          <w:p w14:paraId="053E8D03">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4796A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06427F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75" w:type="dxa"/>
            <w:tcBorders>
              <w:tl2br w:val="nil"/>
              <w:tr2bl w:val="nil"/>
            </w:tcBorders>
            <w:shd w:val="clear" w:color="auto" w:fill="auto"/>
            <w:noWrap/>
            <w:vAlign w:val="center"/>
          </w:tcPr>
          <w:p w14:paraId="278A05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床旗</w:t>
            </w:r>
          </w:p>
        </w:tc>
        <w:tc>
          <w:tcPr>
            <w:tcW w:w="1487" w:type="dxa"/>
            <w:tcBorders>
              <w:tl2br w:val="nil"/>
              <w:tr2bl w:val="nil"/>
            </w:tcBorders>
            <w:shd w:val="clear" w:color="auto" w:fill="auto"/>
            <w:noWrap/>
            <w:vAlign w:val="center"/>
          </w:tcPr>
          <w:p w14:paraId="0C0EA85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643807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2" w:type="dxa"/>
            <w:tcBorders>
              <w:tl2br w:val="nil"/>
              <w:tr2bl w:val="nil"/>
            </w:tcBorders>
            <w:shd w:val="clear" w:color="auto" w:fill="auto"/>
            <w:noWrap/>
            <w:vAlign w:val="center"/>
          </w:tcPr>
          <w:p w14:paraId="0C6C7A1B">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E17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19AD39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75" w:type="dxa"/>
            <w:tcBorders>
              <w:tl2br w:val="nil"/>
              <w:tr2bl w:val="nil"/>
            </w:tcBorders>
            <w:shd w:val="clear" w:color="auto" w:fill="auto"/>
            <w:noWrap/>
            <w:vAlign w:val="center"/>
          </w:tcPr>
          <w:p w14:paraId="0C55C6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床垫</w:t>
            </w:r>
          </w:p>
        </w:tc>
        <w:tc>
          <w:tcPr>
            <w:tcW w:w="1487" w:type="dxa"/>
            <w:tcBorders>
              <w:tl2br w:val="nil"/>
              <w:tr2bl w:val="nil"/>
            </w:tcBorders>
            <w:shd w:val="clear" w:color="auto" w:fill="auto"/>
            <w:noWrap/>
            <w:vAlign w:val="center"/>
          </w:tcPr>
          <w:p w14:paraId="495A60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055925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2" w:type="dxa"/>
            <w:tcBorders>
              <w:tl2br w:val="nil"/>
              <w:tr2bl w:val="nil"/>
            </w:tcBorders>
            <w:shd w:val="clear" w:color="auto" w:fill="auto"/>
            <w:noWrap/>
            <w:vAlign w:val="center"/>
          </w:tcPr>
          <w:p w14:paraId="03F95A2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45F36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0FCA37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75" w:type="dxa"/>
            <w:tcBorders>
              <w:tl2br w:val="nil"/>
              <w:tr2bl w:val="nil"/>
            </w:tcBorders>
            <w:shd w:val="clear" w:color="auto" w:fill="auto"/>
            <w:noWrap/>
            <w:vAlign w:val="center"/>
          </w:tcPr>
          <w:p w14:paraId="10869F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纱窗帘</w:t>
            </w:r>
          </w:p>
        </w:tc>
        <w:tc>
          <w:tcPr>
            <w:tcW w:w="1487" w:type="dxa"/>
            <w:tcBorders>
              <w:tl2br w:val="nil"/>
              <w:tr2bl w:val="nil"/>
            </w:tcBorders>
            <w:shd w:val="clear" w:color="auto" w:fill="auto"/>
            <w:noWrap/>
            <w:vAlign w:val="center"/>
          </w:tcPr>
          <w:p w14:paraId="1E965B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44A3A7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602B64E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4E13E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47407A3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75" w:type="dxa"/>
            <w:tcBorders>
              <w:tl2br w:val="nil"/>
              <w:tr2bl w:val="nil"/>
            </w:tcBorders>
            <w:shd w:val="clear" w:color="auto" w:fill="auto"/>
            <w:noWrap/>
            <w:vAlign w:val="center"/>
          </w:tcPr>
          <w:p w14:paraId="0F747C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布窗帘</w:t>
            </w:r>
          </w:p>
        </w:tc>
        <w:tc>
          <w:tcPr>
            <w:tcW w:w="1487" w:type="dxa"/>
            <w:tcBorders>
              <w:tl2br w:val="nil"/>
              <w:tr2bl w:val="nil"/>
            </w:tcBorders>
            <w:shd w:val="clear" w:color="auto" w:fill="auto"/>
            <w:noWrap/>
            <w:vAlign w:val="center"/>
          </w:tcPr>
          <w:p w14:paraId="189C86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796CA92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92" w:type="dxa"/>
            <w:tcBorders>
              <w:tl2br w:val="nil"/>
              <w:tr2bl w:val="nil"/>
            </w:tcBorders>
            <w:shd w:val="clear" w:color="auto" w:fill="auto"/>
            <w:noWrap/>
            <w:vAlign w:val="center"/>
          </w:tcPr>
          <w:p w14:paraId="1641B8F5">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D23D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55A305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75" w:type="dxa"/>
            <w:tcBorders>
              <w:tl2br w:val="nil"/>
              <w:tr2bl w:val="nil"/>
            </w:tcBorders>
            <w:shd w:val="clear" w:color="auto" w:fill="auto"/>
            <w:noWrap/>
            <w:vAlign w:val="center"/>
          </w:tcPr>
          <w:p w14:paraId="79E562F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儿童毯</w:t>
            </w:r>
          </w:p>
        </w:tc>
        <w:tc>
          <w:tcPr>
            <w:tcW w:w="1487" w:type="dxa"/>
            <w:tcBorders>
              <w:tl2br w:val="nil"/>
              <w:tr2bl w:val="nil"/>
            </w:tcBorders>
            <w:shd w:val="clear" w:color="auto" w:fill="auto"/>
            <w:noWrap/>
            <w:vAlign w:val="center"/>
          </w:tcPr>
          <w:p w14:paraId="4DCCDC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4D41C1C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92" w:type="dxa"/>
            <w:tcBorders>
              <w:tl2br w:val="nil"/>
              <w:tr2bl w:val="nil"/>
            </w:tcBorders>
            <w:shd w:val="clear" w:color="auto" w:fill="auto"/>
            <w:noWrap/>
            <w:vAlign w:val="center"/>
          </w:tcPr>
          <w:p w14:paraId="2F7835F9">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71A7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3DB17A1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75" w:type="dxa"/>
            <w:tcBorders>
              <w:tl2br w:val="nil"/>
              <w:tr2bl w:val="nil"/>
            </w:tcBorders>
            <w:shd w:val="clear" w:color="auto" w:fill="auto"/>
            <w:noWrap/>
            <w:vAlign w:val="center"/>
          </w:tcPr>
          <w:p w14:paraId="2725B3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儿童床单</w:t>
            </w:r>
          </w:p>
        </w:tc>
        <w:tc>
          <w:tcPr>
            <w:tcW w:w="1487" w:type="dxa"/>
            <w:tcBorders>
              <w:tl2br w:val="nil"/>
              <w:tr2bl w:val="nil"/>
            </w:tcBorders>
            <w:shd w:val="clear" w:color="auto" w:fill="auto"/>
            <w:noWrap/>
            <w:vAlign w:val="center"/>
          </w:tcPr>
          <w:p w14:paraId="2734389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75BE7D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92" w:type="dxa"/>
            <w:tcBorders>
              <w:tl2br w:val="nil"/>
              <w:tr2bl w:val="nil"/>
            </w:tcBorders>
            <w:shd w:val="clear" w:color="auto" w:fill="auto"/>
            <w:noWrap/>
            <w:vAlign w:val="center"/>
          </w:tcPr>
          <w:p w14:paraId="09C00BBF">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17D0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2D3D44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75" w:type="dxa"/>
            <w:tcBorders>
              <w:tl2br w:val="nil"/>
              <w:tr2bl w:val="nil"/>
            </w:tcBorders>
            <w:shd w:val="clear" w:color="auto" w:fill="auto"/>
            <w:noWrap/>
            <w:vAlign w:val="center"/>
          </w:tcPr>
          <w:p w14:paraId="6CF86B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大台布</w:t>
            </w:r>
          </w:p>
        </w:tc>
        <w:tc>
          <w:tcPr>
            <w:tcW w:w="1487" w:type="dxa"/>
            <w:tcBorders>
              <w:tl2br w:val="nil"/>
              <w:tr2bl w:val="nil"/>
            </w:tcBorders>
            <w:shd w:val="clear" w:color="auto" w:fill="auto"/>
            <w:noWrap/>
            <w:vAlign w:val="center"/>
          </w:tcPr>
          <w:p w14:paraId="068984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06D062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5B0E9465">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188E4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212704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75" w:type="dxa"/>
            <w:tcBorders>
              <w:tl2br w:val="nil"/>
              <w:tr2bl w:val="nil"/>
            </w:tcBorders>
            <w:shd w:val="clear" w:color="auto" w:fill="auto"/>
            <w:noWrap/>
            <w:vAlign w:val="center"/>
          </w:tcPr>
          <w:p w14:paraId="09CFE7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小台布</w:t>
            </w:r>
          </w:p>
        </w:tc>
        <w:tc>
          <w:tcPr>
            <w:tcW w:w="1487" w:type="dxa"/>
            <w:tcBorders>
              <w:tl2br w:val="nil"/>
              <w:tr2bl w:val="nil"/>
            </w:tcBorders>
            <w:shd w:val="clear" w:color="auto" w:fill="auto"/>
            <w:noWrap/>
            <w:vAlign w:val="center"/>
          </w:tcPr>
          <w:p w14:paraId="615504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07BF2A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03532782">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22D90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4BAA046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75" w:type="dxa"/>
            <w:tcBorders>
              <w:tl2br w:val="nil"/>
              <w:tr2bl w:val="nil"/>
            </w:tcBorders>
            <w:shd w:val="clear" w:color="auto" w:fill="auto"/>
            <w:noWrap/>
            <w:vAlign w:val="center"/>
          </w:tcPr>
          <w:p w14:paraId="2101BC7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口布</w:t>
            </w:r>
          </w:p>
        </w:tc>
        <w:tc>
          <w:tcPr>
            <w:tcW w:w="1487" w:type="dxa"/>
            <w:tcBorders>
              <w:tl2br w:val="nil"/>
              <w:tr2bl w:val="nil"/>
            </w:tcBorders>
            <w:shd w:val="clear" w:color="auto" w:fill="auto"/>
            <w:noWrap/>
            <w:vAlign w:val="center"/>
          </w:tcPr>
          <w:p w14:paraId="47E57B0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5B9D2A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50BC6BE7">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5EBCC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5B8B76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75" w:type="dxa"/>
            <w:tcBorders>
              <w:tl2br w:val="nil"/>
              <w:tr2bl w:val="nil"/>
            </w:tcBorders>
            <w:shd w:val="clear" w:color="auto" w:fill="auto"/>
            <w:noWrap/>
            <w:vAlign w:val="center"/>
          </w:tcPr>
          <w:p w14:paraId="799F9C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早餐垫</w:t>
            </w:r>
          </w:p>
        </w:tc>
        <w:tc>
          <w:tcPr>
            <w:tcW w:w="1487" w:type="dxa"/>
            <w:tcBorders>
              <w:tl2br w:val="nil"/>
              <w:tr2bl w:val="nil"/>
            </w:tcBorders>
            <w:shd w:val="clear" w:color="auto" w:fill="auto"/>
            <w:noWrap/>
            <w:vAlign w:val="center"/>
          </w:tcPr>
          <w:p w14:paraId="65CFD8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6EC397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2" w:type="dxa"/>
            <w:tcBorders>
              <w:tl2br w:val="nil"/>
              <w:tr2bl w:val="nil"/>
            </w:tcBorders>
            <w:shd w:val="clear" w:color="auto" w:fill="auto"/>
            <w:noWrap/>
            <w:vAlign w:val="center"/>
          </w:tcPr>
          <w:p w14:paraId="2964F87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7A6F4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2DECED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75" w:type="dxa"/>
            <w:tcBorders>
              <w:tl2br w:val="nil"/>
              <w:tr2bl w:val="nil"/>
            </w:tcBorders>
            <w:shd w:val="clear" w:color="auto" w:fill="auto"/>
            <w:noWrap/>
            <w:vAlign w:val="center"/>
          </w:tcPr>
          <w:p w14:paraId="524516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3米围裙</w:t>
            </w:r>
          </w:p>
        </w:tc>
        <w:tc>
          <w:tcPr>
            <w:tcW w:w="1487" w:type="dxa"/>
            <w:tcBorders>
              <w:tl2br w:val="nil"/>
              <w:tr2bl w:val="nil"/>
            </w:tcBorders>
            <w:shd w:val="clear" w:color="auto" w:fill="auto"/>
            <w:noWrap/>
            <w:vAlign w:val="center"/>
          </w:tcPr>
          <w:p w14:paraId="0BBC562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2526" w:type="dxa"/>
            <w:tcBorders>
              <w:tl2br w:val="nil"/>
              <w:tr2bl w:val="nil"/>
            </w:tcBorders>
            <w:shd w:val="clear" w:color="auto" w:fill="auto"/>
            <w:noWrap/>
            <w:vAlign w:val="center"/>
          </w:tcPr>
          <w:p w14:paraId="037665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6B4ADDCF">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75199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58F1EEB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75" w:type="dxa"/>
            <w:tcBorders>
              <w:tl2br w:val="nil"/>
              <w:tr2bl w:val="nil"/>
            </w:tcBorders>
            <w:shd w:val="clear" w:color="auto" w:fill="auto"/>
            <w:noWrap/>
            <w:vAlign w:val="center"/>
          </w:tcPr>
          <w:p w14:paraId="56F206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椅套</w:t>
            </w:r>
          </w:p>
        </w:tc>
        <w:tc>
          <w:tcPr>
            <w:tcW w:w="1487" w:type="dxa"/>
            <w:tcBorders>
              <w:tl2br w:val="nil"/>
              <w:tr2bl w:val="nil"/>
            </w:tcBorders>
            <w:shd w:val="clear" w:color="auto" w:fill="auto"/>
            <w:noWrap/>
            <w:vAlign w:val="center"/>
          </w:tcPr>
          <w:p w14:paraId="7C4B7D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5CC80EA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2" w:type="dxa"/>
            <w:tcBorders>
              <w:tl2br w:val="nil"/>
              <w:tr2bl w:val="nil"/>
            </w:tcBorders>
            <w:shd w:val="clear" w:color="auto" w:fill="auto"/>
            <w:noWrap/>
            <w:vAlign w:val="center"/>
          </w:tcPr>
          <w:p w14:paraId="453B82C1">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48765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4159B3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75" w:type="dxa"/>
            <w:tcBorders>
              <w:tl2br w:val="nil"/>
              <w:tr2bl w:val="nil"/>
            </w:tcBorders>
            <w:shd w:val="clear" w:color="auto" w:fill="auto"/>
            <w:noWrap/>
            <w:vAlign w:val="center"/>
          </w:tcPr>
          <w:p w14:paraId="3E07EB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台裙</w:t>
            </w:r>
          </w:p>
        </w:tc>
        <w:tc>
          <w:tcPr>
            <w:tcW w:w="1487" w:type="dxa"/>
            <w:tcBorders>
              <w:tl2br w:val="nil"/>
              <w:tr2bl w:val="nil"/>
            </w:tcBorders>
            <w:shd w:val="clear" w:color="auto" w:fill="auto"/>
            <w:noWrap/>
            <w:vAlign w:val="center"/>
          </w:tcPr>
          <w:p w14:paraId="19E23E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68F309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08887B8E">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069C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60D4361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75" w:type="dxa"/>
            <w:tcBorders>
              <w:tl2br w:val="nil"/>
              <w:tr2bl w:val="nil"/>
            </w:tcBorders>
            <w:shd w:val="clear" w:color="auto" w:fill="auto"/>
            <w:noWrap/>
            <w:vAlign w:val="center"/>
          </w:tcPr>
          <w:p w14:paraId="3BA4CD8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尘推</w:t>
            </w:r>
          </w:p>
        </w:tc>
        <w:tc>
          <w:tcPr>
            <w:tcW w:w="1487" w:type="dxa"/>
            <w:tcBorders>
              <w:tl2br w:val="nil"/>
              <w:tr2bl w:val="nil"/>
            </w:tcBorders>
            <w:shd w:val="clear" w:color="auto" w:fill="auto"/>
            <w:noWrap/>
            <w:vAlign w:val="center"/>
          </w:tcPr>
          <w:p w14:paraId="050329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356BD7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2" w:type="dxa"/>
            <w:tcBorders>
              <w:tl2br w:val="nil"/>
              <w:tr2bl w:val="nil"/>
            </w:tcBorders>
            <w:shd w:val="clear" w:color="auto" w:fill="auto"/>
            <w:noWrap/>
            <w:vAlign w:val="center"/>
          </w:tcPr>
          <w:p w14:paraId="534AE55A">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73687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0A0040C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75" w:type="dxa"/>
            <w:tcBorders>
              <w:tl2br w:val="nil"/>
              <w:tr2bl w:val="nil"/>
            </w:tcBorders>
            <w:shd w:val="clear" w:color="auto" w:fill="auto"/>
            <w:noWrap/>
            <w:vAlign w:val="center"/>
          </w:tcPr>
          <w:p w14:paraId="21A4AF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刀叉布</w:t>
            </w:r>
          </w:p>
        </w:tc>
        <w:tc>
          <w:tcPr>
            <w:tcW w:w="1487" w:type="dxa"/>
            <w:tcBorders>
              <w:tl2br w:val="nil"/>
              <w:tr2bl w:val="nil"/>
            </w:tcBorders>
            <w:shd w:val="clear" w:color="auto" w:fill="auto"/>
            <w:noWrap/>
            <w:vAlign w:val="center"/>
          </w:tcPr>
          <w:p w14:paraId="7E05A1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337502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726E0BB9">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40C7E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0137B4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75" w:type="dxa"/>
            <w:tcBorders>
              <w:tl2br w:val="nil"/>
              <w:tr2bl w:val="nil"/>
            </w:tcBorders>
            <w:shd w:val="clear" w:color="auto" w:fill="auto"/>
            <w:noWrap/>
            <w:vAlign w:val="center"/>
          </w:tcPr>
          <w:p w14:paraId="41A53DA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桌旗</w:t>
            </w:r>
          </w:p>
        </w:tc>
        <w:tc>
          <w:tcPr>
            <w:tcW w:w="1487" w:type="dxa"/>
            <w:tcBorders>
              <w:tl2br w:val="nil"/>
              <w:tr2bl w:val="nil"/>
            </w:tcBorders>
            <w:shd w:val="clear" w:color="auto" w:fill="auto"/>
            <w:noWrap/>
            <w:vAlign w:val="center"/>
          </w:tcPr>
          <w:p w14:paraId="4CFD22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66F5F8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7D64672C">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FB3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0413684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75" w:type="dxa"/>
            <w:tcBorders>
              <w:tl2br w:val="nil"/>
              <w:tr2bl w:val="nil"/>
            </w:tcBorders>
            <w:shd w:val="clear" w:color="auto" w:fill="auto"/>
            <w:noWrap/>
            <w:vAlign w:val="center"/>
          </w:tcPr>
          <w:p w14:paraId="4EA1C1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杯布</w:t>
            </w:r>
          </w:p>
        </w:tc>
        <w:tc>
          <w:tcPr>
            <w:tcW w:w="1487" w:type="dxa"/>
            <w:tcBorders>
              <w:tl2br w:val="nil"/>
              <w:tr2bl w:val="nil"/>
            </w:tcBorders>
            <w:shd w:val="clear" w:color="auto" w:fill="auto"/>
            <w:noWrap/>
            <w:vAlign w:val="center"/>
          </w:tcPr>
          <w:p w14:paraId="18C832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0BF691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4BDE58A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7D9C4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6CFA9CF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75" w:type="dxa"/>
            <w:tcBorders>
              <w:tl2br w:val="nil"/>
              <w:tr2bl w:val="nil"/>
            </w:tcBorders>
            <w:shd w:val="clear" w:color="auto" w:fill="auto"/>
            <w:noWrap/>
            <w:vAlign w:val="center"/>
          </w:tcPr>
          <w:p w14:paraId="09F10C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抹布</w:t>
            </w:r>
          </w:p>
        </w:tc>
        <w:tc>
          <w:tcPr>
            <w:tcW w:w="1487" w:type="dxa"/>
            <w:tcBorders>
              <w:tl2br w:val="nil"/>
              <w:tr2bl w:val="nil"/>
            </w:tcBorders>
            <w:shd w:val="clear" w:color="auto" w:fill="auto"/>
            <w:noWrap/>
            <w:vAlign w:val="center"/>
          </w:tcPr>
          <w:p w14:paraId="512A1B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418824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2" w:type="dxa"/>
            <w:tcBorders>
              <w:tl2br w:val="nil"/>
              <w:tr2bl w:val="nil"/>
            </w:tcBorders>
            <w:shd w:val="clear" w:color="auto" w:fill="auto"/>
            <w:noWrap/>
            <w:vAlign w:val="center"/>
          </w:tcPr>
          <w:p w14:paraId="03D5D934">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5375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209BC9D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75" w:type="dxa"/>
            <w:tcBorders>
              <w:tl2br w:val="nil"/>
              <w:tr2bl w:val="nil"/>
            </w:tcBorders>
            <w:shd w:val="clear" w:color="auto" w:fill="auto"/>
            <w:noWrap/>
            <w:vAlign w:val="center"/>
          </w:tcPr>
          <w:p w14:paraId="698FEDF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床尾巾</w:t>
            </w:r>
          </w:p>
        </w:tc>
        <w:tc>
          <w:tcPr>
            <w:tcW w:w="1487" w:type="dxa"/>
            <w:tcBorders>
              <w:tl2br w:val="nil"/>
              <w:tr2bl w:val="nil"/>
            </w:tcBorders>
            <w:shd w:val="clear" w:color="auto" w:fill="auto"/>
            <w:noWrap/>
            <w:vAlign w:val="center"/>
          </w:tcPr>
          <w:p w14:paraId="5AD0A5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19D6FD8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2" w:type="dxa"/>
            <w:tcBorders>
              <w:tl2br w:val="nil"/>
              <w:tr2bl w:val="nil"/>
            </w:tcBorders>
            <w:shd w:val="clear" w:color="auto" w:fill="auto"/>
            <w:noWrap/>
            <w:vAlign w:val="center"/>
          </w:tcPr>
          <w:p w14:paraId="0C09D49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3D4F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470524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75" w:type="dxa"/>
            <w:tcBorders>
              <w:tl2br w:val="nil"/>
              <w:tr2bl w:val="nil"/>
            </w:tcBorders>
            <w:shd w:val="clear" w:color="auto" w:fill="auto"/>
            <w:noWrap/>
            <w:vAlign w:val="center"/>
          </w:tcPr>
          <w:p w14:paraId="7B68950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台呢</w:t>
            </w:r>
          </w:p>
        </w:tc>
        <w:tc>
          <w:tcPr>
            <w:tcW w:w="1487" w:type="dxa"/>
            <w:tcBorders>
              <w:tl2br w:val="nil"/>
              <w:tr2bl w:val="nil"/>
            </w:tcBorders>
            <w:shd w:val="clear" w:color="auto" w:fill="auto"/>
            <w:noWrap/>
            <w:vAlign w:val="center"/>
          </w:tcPr>
          <w:p w14:paraId="754FED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1E0A9B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3344722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5EC4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4C9031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75" w:type="dxa"/>
            <w:tcBorders>
              <w:tl2br w:val="nil"/>
              <w:tr2bl w:val="nil"/>
            </w:tcBorders>
            <w:shd w:val="clear" w:color="auto" w:fill="auto"/>
            <w:noWrap/>
            <w:vAlign w:val="center"/>
          </w:tcPr>
          <w:p w14:paraId="6F847EB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桌布</w:t>
            </w:r>
          </w:p>
        </w:tc>
        <w:tc>
          <w:tcPr>
            <w:tcW w:w="1487" w:type="dxa"/>
            <w:tcBorders>
              <w:tl2br w:val="nil"/>
              <w:tr2bl w:val="nil"/>
            </w:tcBorders>
            <w:shd w:val="clear" w:color="auto" w:fill="auto"/>
            <w:noWrap/>
            <w:vAlign w:val="center"/>
          </w:tcPr>
          <w:p w14:paraId="47DA42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526" w:type="dxa"/>
            <w:tcBorders>
              <w:tl2br w:val="nil"/>
              <w:tr2bl w:val="nil"/>
            </w:tcBorders>
            <w:shd w:val="clear" w:color="auto" w:fill="auto"/>
            <w:noWrap/>
            <w:vAlign w:val="center"/>
          </w:tcPr>
          <w:p w14:paraId="7D43AA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92" w:type="dxa"/>
            <w:tcBorders>
              <w:tl2br w:val="nil"/>
              <w:tr2bl w:val="nil"/>
            </w:tcBorders>
            <w:shd w:val="clear" w:color="auto" w:fill="auto"/>
            <w:noWrap/>
            <w:vAlign w:val="center"/>
          </w:tcPr>
          <w:p w14:paraId="1FA4E5B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7DC5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3" w:hRule="atLeast"/>
        </w:trPr>
        <w:tc>
          <w:tcPr>
            <w:tcW w:w="766" w:type="dxa"/>
            <w:tcBorders>
              <w:tl2br w:val="nil"/>
              <w:tr2bl w:val="nil"/>
            </w:tcBorders>
            <w:shd w:val="clear" w:color="auto" w:fill="auto"/>
            <w:noWrap/>
            <w:vAlign w:val="center"/>
          </w:tcPr>
          <w:p w14:paraId="69E74A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75" w:type="dxa"/>
            <w:tcBorders>
              <w:tl2br w:val="nil"/>
              <w:tr2bl w:val="nil"/>
            </w:tcBorders>
            <w:shd w:val="clear" w:color="auto" w:fill="auto"/>
            <w:noWrap/>
            <w:vAlign w:val="center"/>
          </w:tcPr>
          <w:p w14:paraId="420A27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沙发套</w:t>
            </w:r>
          </w:p>
        </w:tc>
        <w:tc>
          <w:tcPr>
            <w:tcW w:w="1487" w:type="dxa"/>
            <w:tcBorders>
              <w:tl2br w:val="nil"/>
              <w:tr2bl w:val="nil"/>
            </w:tcBorders>
            <w:shd w:val="clear" w:color="auto" w:fill="auto"/>
            <w:noWrap/>
            <w:vAlign w:val="center"/>
          </w:tcPr>
          <w:p w14:paraId="1D74C4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43A1EF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00111B1D">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r w14:paraId="4C3E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66" w:type="dxa"/>
            <w:tcBorders>
              <w:tl2br w:val="nil"/>
              <w:tr2bl w:val="nil"/>
            </w:tcBorders>
            <w:shd w:val="clear" w:color="auto" w:fill="auto"/>
            <w:noWrap/>
            <w:vAlign w:val="center"/>
          </w:tcPr>
          <w:p w14:paraId="70BA622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75" w:type="dxa"/>
            <w:tcBorders>
              <w:tl2br w:val="nil"/>
              <w:tr2bl w:val="nil"/>
            </w:tcBorders>
            <w:shd w:val="clear" w:color="auto" w:fill="auto"/>
            <w:noWrap/>
            <w:vAlign w:val="center"/>
          </w:tcPr>
          <w:p w14:paraId="10F0DB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床套</w:t>
            </w:r>
          </w:p>
        </w:tc>
        <w:tc>
          <w:tcPr>
            <w:tcW w:w="1487" w:type="dxa"/>
            <w:tcBorders>
              <w:tl2br w:val="nil"/>
              <w:tr2bl w:val="nil"/>
            </w:tcBorders>
            <w:shd w:val="clear" w:color="auto" w:fill="auto"/>
            <w:noWrap/>
            <w:vAlign w:val="center"/>
          </w:tcPr>
          <w:p w14:paraId="68E80D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526" w:type="dxa"/>
            <w:tcBorders>
              <w:tl2br w:val="nil"/>
              <w:tr2bl w:val="nil"/>
            </w:tcBorders>
            <w:shd w:val="clear" w:color="auto" w:fill="auto"/>
            <w:noWrap/>
            <w:vAlign w:val="center"/>
          </w:tcPr>
          <w:p w14:paraId="000566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2" w:type="dxa"/>
            <w:tcBorders>
              <w:tl2br w:val="nil"/>
              <w:tr2bl w:val="nil"/>
            </w:tcBorders>
            <w:shd w:val="clear" w:color="auto" w:fill="auto"/>
            <w:noWrap/>
            <w:vAlign w:val="center"/>
          </w:tcPr>
          <w:p w14:paraId="5165663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kern w:val="2"/>
                <w:sz w:val="24"/>
                <w:szCs w:val="24"/>
                <w:u w:val="none"/>
              </w:rPr>
            </w:pPr>
          </w:p>
        </w:tc>
      </w:tr>
    </w:tbl>
    <w:p w14:paraId="7C6C23FC">
      <w:pPr>
        <w:rPr>
          <w:rFonts w:hint="default"/>
          <w:lang w:val="en-US" w:eastAsia="zh-CN"/>
        </w:rPr>
      </w:pPr>
    </w:p>
    <w:bookmarkEnd w:id="10"/>
    <w:p w14:paraId="258FDF9A">
      <w:pPr>
        <w:spacing w:before="312" w:beforeLines="100"/>
        <w:ind w:firstLine="562"/>
        <w:jc w:val="center"/>
        <w:outlineLvl w:val="1"/>
        <w:rPr>
          <w:rFonts w:hint="eastAsia" w:asciiTheme="minorEastAsia" w:hAnsiTheme="minorEastAsia" w:eastAsiaTheme="minorEastAsia"/>
          <w:b/>
          <w:sz w:val="28"/>
          <w:highlight w:val="none"/>
        </w:rPr>
      </w:pPr>
    </w:p>
    <w:p w14:paraId="392CDAA7">
      <w:pPr>
        <w:spacing w:before="312" w:beforeLines="100"/>
        <w:ind w:firstLine="562"/>
        <w:jc w:val="center"/>
        <w:outlineLvl w:val="1"/>
        <w:rPr>
          <w:rFonts w:hint="eastAsia" w:asciiTheme="minorEastAsia" w:hAnsiTheme="minorEastAsia" w:eastAsiaTheme="minorEastAsia"/>
          <w:b/>
          <w:sz w:val="28"/>
          <w:highlight w:val="none"/>
        </w:rPr>
      </w:pPr>
    </w:p>
    <w:p w14:paraId="3E88854B">
      <w:pPr>
        <w:spacing w:before="312" w:beforeLines="100"/>
        <w:ind w:firstLine="562"/>
        <w:jc w:val="center"/>
        <w:outlineLvl w:val="1"/>
        <w:rPr>
          <w:rFonts w:hint="eastAsia" w:asciiTheme="minorEastAsia" w:hAnsiTheme="minorEastAsia" w:eastAsiaTheme="minorEastAsia"/>
          <w:b/>
          <w:sz w:val="28"/>
          <w:highlight w:val="none"/>
        </w:rPr>
      </w:pPr>
    </w:p>
    <w:p w14:paraId="255EB49C">
      <w:pPr>
        <w:spacing w:before="312" w:beforeLines="100"/>
        <w:ind w:firstLine="562"/>
        <w:jc w:val="center"/>
        <w:outlineLvl w:val="1"/>
        <w:rPr>
          <w:rFonts w:asciiTheme="minorEastAsia" w:hAnsiTheme="minorEastAsia" w:eastAsiaTheme="minorEastAsia"/>
          <w:b/>
          <w:sz w:val="28"/>
          <w:highlight w:val="none"/>
        </w:rPr>
      </w:pPr>
      <w:bookmarkStart w:id="15" w:name="_Toc20055"/>
      <w:r>
        <w:rPr>
          <w:rFonts w:hint="eastAsia" w:asciiTheme="minorEastAsia" w:hAnsiTheme="minorEastAsia" w:eastAsiaTheme="minorEastAsia"/>
          <w:b/>
          <w:sz w:val="28"/>
          <w:highlight w:val="none"/>
        </w:rPr>
        <w:t>第四章  评审方法和标准</w:t>
      </w:r>
      <w:bookmarkEnd w:id="15"/>
    </w:p>
    <w:p w14:paraId="16C12859">
      <w:pPr>
        <w:ind w:firstLine="482"/>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一、总则</w:t>
      </w:r>
    </w:p>
    <w:p w14:paraId="308BD512">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本项目采用综合评分法评审，响应文件满足磋商文件全部实质性要求且按评审因素的量化指标评审得分最高的供应商为成交候选人的评审方法。</w:t>
      </w:r>
    </w:p>
    <w:p w14:paraId="7C0AF745">
      <w:pPr>
        <w:ind w:firstLine="482"/>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二、评审方法</w:t>
      </w:r>
    </w:p>
    <w:p w14:paraId="2FA02D64">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2.1初审</w:t>
      </w:r>
    </w:p>
    <w:p w14:paraId="2EBCEC67">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评审委员会对供应商的响应文件进行初审，以确定其是否满足磋商文件的实质性要求。初审表如下：</w:t>
      </w:r>
    </w:p>
    <w:tbl>
      <w:tblPr>
        <w:tblStyle w:val="13"/>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763"/>
        <w:gridCol w:w="5257"/>
      </w:tblGrid>
      <w:tr w14:paraId="6865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137C98BA">
            <w:pPr>
              <w:adjustRightInd w:val="0"/>
              <w:snapToGrid w:val="0"/>
              <w:ind w:right="-10" w:firstLine="482"/>
              <w:jc w:val="center"/>
              <w:rPr>
                <w:rFonts w:ascii="Calibri" w:hAnsi="Calibri" w:cs="Times New Roman"/>
                <w:b/>
                <w:kern w:val="2"/>
                <w:szCs w:val="22"/>
                <w:highlight w:val="none"/>
              </w:rPr>
            </w:pPr>
            <w:r>
              <w:rPr>
                <w:rFonts w:hint="eastAsia" w:ascii="Calibri" w:hAnsi="Calibri" w:cs="Times New Roman"/>
                <w:b/>
                <w:kern w:val="2"/>
                <w:szCs w:val="22"/>
                <w:highlight w:val="none"/>
              </w:rPr>
              <w:t>初审表</w:t>
            </w:r>
          </w:p>
        </w:tc>
      </w:tr>
      <w:tr w14:paraId="4CA8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3" w:type="pct"/>
            <w:tcBorders>
              <w:bottom w:val="single" w:color="auto" w:sz="4" w:space="0"/>
            </w:tcBorders>
            <w:vAlign w:val="center"/>
          </w:tcPr>
          <w:p w14:paraId="12A3E56E">
            <w:pPr>
              <w:adjustRightInd w:val="0"/>
              <w:snapToGrid w:val="0"/>
              <w:ind w:firstLine="0" w:firstLineChars="0"/>
              <w:jc w:val="center"/>
              <w:rPr>
                <w:rFonts w:ascii="Calibri" w:hAnsi="Calibri" w:cs="Times New Roman"/>
                <w:b/>
                <w:kern w:val="2"/>
                <w:szCs w:val="22"/>
                <w:highlight w:val="none"/>
              </w:rPr>
            </w:pPr>
            <w:r>
              <w:rPr>
                <w:rFonts w:hint="eastAsia" w:ascii="Calibri" w:hAnsi="Calibri" w:cs="Times New Roman"/>
                <w:b/>
                <w:kern w:val="2"/>
                <w:szCs w:val="22"/>
                <w:highlight w:val="none"/>
              </w:rPr>
              <w:t>序号</w:t>
            </w:r>
          </w:p>
        </w:tc>
        <w:tc>
          <w:tcPr>
            <w:tcW w:w="1556" w:type="pct"/>
            <w:tcBorders>
              <w:bottom w:val="single" w:color="auto" w:sz="4" w:space="0"/>
            </w:tcBorders>
            <w:vAlign w:val="center"/>
          </w:tcPr>
          <w:p w14:paraId="0A1916C4">
            <w:pPr>
              <w:adjustRightInd w:val="0"/>
              <w:snapToGrid w:val="0"/>
              <w:ind w:firstLine="0" w:firstLineChars="0"/>
              <w:jc w:val="center"/>
              <w:rPr>
                <w:rFonts w:ascii="Calibri" w:hAnsi="Calibri" w:cs="Times New Roman"/>
                <w:b/>
                <w:kern w:val="2"/>
                <w:szCs w:val="24"/>
                <w:highlight w:val="none"/>
              </w:rPr>
            </w:pPr>
            <w:r>
              <w:rPr>
                <w:rFonts w:hint="eastAsia" w:ascii="Calibri" w:hAnsi="Calibri" w:cs="Times New Roman"/>
                <w:b/>
                <w:kern w:val="2"/>
                <w:szCs w:val="24"/>
                <w:highlight w:val="none"/>
              </w:rPr>
              <w:t>评审指标</w:t>
            </w:r>
          </w:p>
        </w:tc>
        <w:tc>
          <w:tcPr>
            <w:tcW w:w="2959" w:type="pct"/>
            <w:tcBorders>
              <w:bottom w:val="single" w:color="auto" w:sz="4" w:space="0"/>
            </w:tcBorders>
            <w:vAlign w:val="center"/>
          </w:tcPr>
          <w:p w14:paraId="4FA79CE3">
            <w:pPr>
              <w:adjustRightInd w:val="0"/>
              <w:snapToGrid w:val="0"/>
              <w:ind w:firstLine="0" w:firstLineChars="0"/>
              <w:jc w:val="center"/>
              <w:rPr>
                <w:rFonts w:ascii="Calibri" w:hAnsi="Calibri" w:cs="Times New Roman"/>
                <w:b/>
                <w:kern w:val="2"/>
                <w:szCs w:val="22"/>
                <w:highlight w:val="none"/>
              </w:rPr>
            </w:pPr>
            <w:r>
              <w:rPr>
                <w:rFonts w:hint="eastAsia" w:ascii="Calibri" w:hAnsi="Calibri" w:cs="Times New Roman"/>
                <w:b/>
                <w:kern w:val="2"/>
                <w:szCs w:val="22"/>
                <w:highlight w:val="none"/>
              </w:rPr>
              <w:t>合格条件</w:t>
            </w:r>
          </w:p>
        </w:tc>
      </w:tr>
      <w:tr w14:paraId="3E68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tcBorders>
              <w:bottom w:val="single" w:color="auto" w:sz="4" w:space="0"/>
            </w:tcBorders>
            <w:vAlign w:val="center"/>
          </w:tcPr>
          <w:p w14:paraId="2B26AA05">
            <w:pPr>
              <w:adjustRightInd w:val="0"/>
              <w:snapToGrid w:val="0"/>
              <w:ind w:firstLine="0" w:firstLineChars="0"/>
              <w:jc w:val="center"/>
              <w:rPr>
                <w:rFonts w:ascii="Calibri" w:hAnsi="Calibri" w:cs="Times New Roman"/>
                <w:kern w:val="2"/>
                <w:szCs w:val="22"/>
                <w:highlight w:val="none"/>
              </w:rPr>
            </w:pPr>
            <w:r>
              <w:rPr>
                <w:rFonts w:hint="eastAsia" w:cs="Times New Roman"/>
                <w:kern w:val="2"/>
                <w:highlight w:val="none"/>
              </w:rPr>
              <w:t>1</w:t>
            </w:r>
          </w:p>
        </w:tc>
        <w:tc>
          <w:tcPr>
            <w:tcW w:w="1556" w:type="pct"/>
            <w:tcBorders>
              <w:bottom w:val="single" w:color="auto" w:sz="4" w:space="0"/>
            </w:tcBorders>
            <w:vAlign w:val="center"/>
          </w:tcPr>
          <w:p w14:paraId="428E316A">
            <w:pPr>
              <w:adjustRightInd w:val="0"/>
              <w:snapToGrid w:val="0"/>
              <w:ind w:firstLine="0" w:firstLineChars="0"/>
              <w:jc w:val="left"/>
              <w:rPr>
                <w:rFonts w:cs="Times New Roman"/>
                <w:kern w:val="2"/>
                <w:highlight w:val="none"/>
              </w:rPr>
            </w:pPr>
            <w:r>
              <w:rPr>
                <w:rFonts w:hint="eastAsia" w:cs="Times New Roman"/>
                <w:kern w:val="2"/>
                <w:highlight w:val="none"/>
              </w:rPr>
              <w:t>营业执照</w:t>
            </w:r>
          </w:p>
        </w:tc>
        <w:tc>
          <w:tcPr>
            <w:tcW w:w="2959" w:type="pct"/>
            <w:tcBorders>
              <w:bottom w:val="single" w:color="auto" w:sz="4" w:space="0"/>
            </w:tcBorders>
            <w:vAlign w:val="center"/>
          </w:tcPr>
          <w:p w14:paraId="447FB18A">
            <w:pPr>
              <w:adjustRightInd w:val="0"/>
              <w:snapToGrid w:val="0"/>
              <w:ind w:firstLine="0" w:firstLineChars="0"/>
              <w:rPr>
                <w:rFonts w:ascii="Calibri" w:hAnsi="Calibri" w:cs="Times New Roman"/>
                <w:kern w:val="2"/>
                <w:szCs w:val="22"/>
                <w:highlight w:val="none"/>
              </w:rPr>
            </w:pPr>
            <w:r>
              <w:rPr>
                <w:rFonts w:hint="eastAsia" w:cs="Times New Roman"/>
                <w:kern w:val="2"/>
                <w:szCs w:val="22"/>
                <w:highlight w:val="none"/>
              </w:rPr>
              <w:t>提供有效的营业执照扫描件，应完整地体现出营业执照的全部内容。联合体磋商的联合体各方均须提供。</w:t>
            </w:r>
          </w:p>
        </w:tc>
      </w:tr>
      <w:tr w14:paraId="586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3" w:type="pct"/>
            <w:vAlign w:val="center"/>
          </w:tcPr>
          <w:p w14:paraId="50DE4BBF">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2</w:t>
            </w:r>
          </w:p>
        </w:tc>
        <w:tc>
          <w:tcPr>
            <w:tcW w:w="1556" w:type="pct"/>
            <w:shd w:val="clear" w:color="auto" w:fill="auto"/>
            <w:vAlign w:val="center"/>
          </w:tcPr>
          <w:p w14:paraId="354C578C">
            <w:pPr>
              <w:adjustRightInd w:val="0"/>
              <w:snapToGrid w:val="0"/>
              <w:ind w:firstLine="0" w:firstLineChars="0"/>
              <w:jc w:val="left"/>
              <w:rPr>
                <w:rFonts w:hint="default" w:ascii="宋体" w:hAnsi="宋体" w:eastAsia="宋体" w:cs="Times New Roman"/>
                <w:kern w:val="2"/>
                <w:sz w:val="24"/>
                <w:highlight w:val="none"/>
                <w:lang w:val="en-US" w:eastAsia="zh-CN" w:bidi="ar-SA"/>
              </w:rPr>
            </w:pPr>
            <w:r>
              <w:rPr>
                <w:rFonts w:hint="eastAsia" w:cs="Times New Roman"/>
                <w:kern w:val="2"/>
                <w:highlight w:val="none"/>
              </w:rPr>
              <w:t>磋商响应函</w:t>
            </w:r>
          </w:p>
        </w:tc>
        <w:tc>
          <w:tcPr>
            <w:tcW w:w="2959" w:type="pct"/>
            <w:shd w:val="clear" w:color="auto" w:fill="auto"/>
            <w:vAlign w:val="center"/>
          </w:tcPr>
          <w:p w14:paraId="3EAE4F57">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6B2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5965D085">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3</w:t>
            </w:r>
          </w:p>
        </w:tc>
        <w:tc>
          <w:tcPr>
            <w:tcW w:w="1556" w:type="pct"/>
            <w:shd w:val="clear" w:color="auto" w:fill="auto"/>
            <w:vAlign w:val="center"/>
          </w:tcPr>
          <w:p w14:paraId="7B25D4D7">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磋商保证金及电子交易服务费用</w:t>
            </w:r>
          </w:p>
        </w:tc>
        <w:tc>
          <w:tcPr>
            <w:tcW w:w="2959" w:type="pct"/>
            <w:shd w:val="clear" w:color="auto" w:fill="auto"/>
            <w:vAlign w:val="center"/>
          </w:tcPr>
          <w:p w14:paraId="453D6CBE">
            <w:pPr>
              <w:ind w:firstLine="0" w:firstLineChars="0"/>
              <w:jc w:val="left"/>
              <w:rPr>
                <w:highlight w:val="none"/>
              </w:rPr>
            </w:pPr>
            <w:r>
              <w:rPr>
                <w:rFonts w:hint="eastAsia"/>
                <w:highlight w:val="none"/>
              </w:rPr>
              <w:t>符合磋商文件要求。</w:t>
            </w:r>
          </w:p>
          <w:p w14:paraId="724EE3AD">
            <w:pPr>
              <w:ind w:firstLine="0" w:firstLineChars="0"/>
              <w:jc w:val="left"/>
              <w:rPr>
                <w:rFonts w:ascii="Calibri" w:hAnsi="Calibri" w:eastAsia="宋体" w:cs="Times New Roman"/>
                <w:kern w:val="2"/>
                <w:sz w:val="24"/>
                <w:szCs w:val="22"/>
                <w:highlight w:val="none"/>
                <w:lang w:val="en-US" w:eastAsia="zh-CN" w:bidi="ar-SA"/>
              </w:rPr>
            </w:pPr>
            <w:r>
              <w:rPr>
                <w:rFonts w:hint="eastAsia"/>
                <w:b/>
                <w:bCs/>
                <w:highlight w:val="none"/>
              </w:rPr>
              <w:t>备注</w:t>
            </w:r>
            <w:r>
              <w:rPr>
                <w:b/>
                <w:bCs/>
                <w:highlight w:val="none"/>
              </w:rPr>
              <w:t>：</w:t>
            </w:r>
            <w:r>
              <w:rPr>
                <w:rFonts w:hint="eastAsia"/>
                <w:b/>
                <w:szCs w:val="18"/>
                <w:highlight w:val="none"/>
              </w:rPr>
              <w:t>供应商</w:t>
            </w:r>
            <w:r>
              <w:rPr>
                <w:rFonts w:hint="eastAsia" w:cs="宋体"/>
                <w:b/>
                <w:bCs/>
                <w:szCs w:val="24"/>
                <w:highlight w:val="none"/>
              </w:rPr>
              <w:t>须知前附表及</w:t>
            </w:r>
            <w:r>
              <w:rPr>
                <w:rFonts w:hint="eastAsia"/>
                <w:b/>
                <w:szCs w:val="18"/>
                <w:highlight w:val="none"/>
              </w:rPr>
              <w:t>供应商</w:t>
            </w:r>
            <w:r>
              <w:rPr>
                <w:rFonts w:hint="eastAsia" w:cs="宋体"/>
                <w:b/>
                <w:bCs/>
                <w:szCs w:val="24"/>
                <w:highlight w:val="none"/>
              </w:rPr>
              <w:t>须知第13条（以代理机构财务查询为准）</w:t>
            </w:r>
          </w:p>
        </w:tc>
      </w:tr>
      <w:tr w14:paraId="6DAC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6C6C0517">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4</w:t>
            </w:r>
          </w:p>
        </w:tc>
        <w:tc>
          <w:tcPr>
            <w:tcW w:w="1556" w:type="pct"/>
            <w:shd w:val="clear" w:color="auto" w:fill="auto"/>
            <w:vAlign w:val="center"/>
          </w:tcPr>
          <w:p w14:paraId="2C89C5A7">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授权书</w:t>
            </w:r>
          </w:p>
        </w:tc>
        <w:tc>
          <w:tcPr>
            <w:tcW w:w="2959" w:type="pct"/>
            <w:shd w:val="clear" w:color="auto" w:fill="auto"/>
            <w:vAlign w:val="center"/>
          </w:tcPr>
          <w:p w14:paraId="5FC64A4E">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1532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7DD94854">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5</w:t>
            </w:r>
          </w:p>
        </w:tc>
        <w:tc>
          <w:tcPr>
            <w:tcW w:w="1556" w:type="pct"/>
            <w:shd w:val="clear" w:color="auto" w:fill="auto"/>
            <w:vAlign w:val="center"/>
          </w:tcPr>
          <w:p w14:paraId="1CA00721">
            <w:pPr>
              <w:adjustRightInd w:val="0"/>
              <w:snapToGrid w:val="0"/>
              <w:ind w:firstLine="0" w:firstLineChars="0"/>
              <w:jc w:val="left"/>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无不良信用记录声明函</w:t>
            </w:r>
          </w:p>
        </w:tc>
        <w:tc>
          <w:tcPr>
            <w:tcW w:w="2959" w:type="pct"/>
            <w:shd w:val="clear" w:color="auto" w:fill="auto"/>
            <w:vAlign w:val="center"/>
          </w:tcPr>
          <w:p w14:paraId="66D5E7CE">
            <w:pPr>
              <w:ind w:firstLine="0" w:firstLineChars="0"/>
              <w:jc w:val="left"/>
              <w:rPr>
                <w:highlight w:val="none"/>
              </w:rPr>
            </w:pPr>
            <w:r>
              <w:rPr>
                <w:rFonts w:hint="eastAsia"/>
                <w:szCs w:val="18"/>
                <w:highlight w:val="none"/>
              </w:rPr>
              <w:t>供应商</w:t>
            </w:r>
            <w:r>
              <w:rPr>
                <w:rFonts w:hint="eastAsia"/>
                <w:highlight w:val="none"/>
              </w:rPr>
              <w:t>不得存在</w:t>
            </w:r>
            <w:r>
              <w:rPr>
                <w:rFonts w:hint="eastAsia"/>
                <w:szCs w:val="18"/>
                <w:highlight w:val="none"/>
              </w:rPr>
              <w:t>供应商</w:t>
            </w:r>
            <w:r>
              <w:rPr>
                <w:rFonts w:hint="eastAsia"/>
                <w:highlight w:val="none"/>
              </w:rPr>
              <w:t>须知第</w:t>
            </w:r>
            <w:r>
              <w:rPr>
                <w:highlight w:val="none"/>
              </w:rPr>
              <w:t>1</w:t>
            </w:r>
            <w:r>
              <w:rPr>
                <w:rFonts w:hint="eastAsia"/>
                <w:highlight w:val="none"/>
              </w:rPr>
              <w:t>3</w:t>
            </w:r>
            <w:r>
              <w:rPr>
                <w:highlight w:val="none"/>
              </w:rPr>
              <w:t>.3.1.1</w:t>
            </w:r>
            <w:r>
              <w:rPr>
                <w:rFonts w:hint="eastAsia"/>
                <w:highlight w:val="none"/>
              </w:rPr>
              <w:t>条中的不良信用记录情形。</w:t>
            </w:r>
          </w:p>
          <w:p w14:paraId="4E11ACD6">
            <w:pPr>
              <w:ind w:firstLine="0" w:firstLineChars="0"/>
              <w:jc w:val="left"/>
              <w:rPr>
                <w:rFonts w:ascii="宋体" w:hAnsi="宋体" w:eastAsia="宋体" w:cs="Times New Roman"/>
                <w:kern w:val="2"/>
                <w:sz w:val="24"/>
                <w:szCs w:val="22"/>
                <w:highlight w:val="none"/>
                <w:lang w:val="en-US" w:eastAsia="zh-CN" w:bidi="ar-SA"/>
              </w:rPr>
            </w:pPr>
            <w:r>
              <w:rPr>
                <w:rFonts w:hint="eastAsia"/>
                <w:highlight w:val="none"/>
              </w:rPr>
              <w:t>注：提供无不良信用记录声明函，格式后附。</w:t>
            </w:r>
          </w:p>
        </w:tc>
      </w:tr>
      <w:tr w14:paraId="13D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pct"/>
            <w:vAlign w:val="center"/>
          </w:tcPr>
          <w:p w14:paraId="0025C4F7">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6</w:t>
            </w:r>
          </w:p>
        </w:tc>
        <w:tc>
          <w:tcPr>
            <w:tcW w:w="1556" w:type="pct"/>
            <w:shd w:val="clear" w:color="auto" w:fill="auto"/>
            <w:vAlign w:val="center"/>
          </w:tcPr>
          <w:p w14:paraId="7DE83B70">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磋商报价</w:t>
            </w:r>
          </w:p>
        </w:tc>
        <w:tc>
          <w:tcPr>
            <w:tcW w:w="2959" w:type="pct"/>
            <w:shd w:val="clear" w:color="auto" w:fill="auto"/>
            <w:vAlign w:val="center"/>
          </w:tcPr>
          <w:p w14:paraId="0055AFAF">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361E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3" w:type="pct"/>
            <w:vAlign w:val="center"/>
          </w:tcPr>
          <w:p w14:paraId="088523BB">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7</w:t>
            </w:r>
          </w:p>
        </w:tc>
        <w:tc>
          <w:tcPr>
            <w:tcW w:w="1556" w:type="pct"/>
            <w:shd w:val="clear" w:color="auto" w:fill="auto"/>
            <w:vAlign w:val="center"/>
          </w:tcPr>
          <w:p w14:paraId="0E4957D7">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其他要求</w:t>
            </w:r>
          </w:p>
        </w:tc>
        <w:tc>
          <w:tcPr>
            <w:tcW w:w="2959" w:type="pct"/>
            <w:shd w:val="clear" w:color="auto" w:fill="auto"/>
            <w:vAlign w:val="center"/>
          </w:tcPr>
          <w:p w14:paraId="097DE162">
            <w:pPr>
              <w:adjustRightInd w:val="0"/>
              <w:snapToGrid w:val="0"/>
              <w:ind w:firstLine="0" w:firstLineChars="0"/>
              <w:rPr>
                <w:rFonts w:ascii="宋体" w:hAnsi="宋体" w:eastAsia="宋体" w:cs="Times New Roman"/>
                <w:kern w:val="2"/>
                <w:sz w:val="24"/>
                <w:highlight w:val="none"/>
                <w:lang w:val="en-US" w:eastAsia="zh-CN" w:bidi="ar-SA"/>
              </w:rPr>
            </w:pPr>
            <w:r>
              <w:rPr>
                <w:rFonts w:hint="eastAsia"/>
                <w:szCs w:val="28"/>
                <w:highlight w:val="none"/>
              </w:rPr>
              <w:t>符合法律、行政法规规定的其他条件或磋商文件列明的其他要求。</w:t>
            </w:r>
          </w:p>
        </w:tc>
      </w:tr>
      <w:tr w14:paraId="7403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vAlign w:val="center"/>
          </w:tcPr>
          <w:p w14:paraId="7DF3086F">
            <w:pPr>
              <w:adjustRightInd w:val="0"/>
              <w:snapToGrid w:val="0"/>
              <w:ind w:firstLine="0" w:firstLineChars="0"/>
              <w:jc w:val="left"/>
              <w:rPr>
                <w:rFonts w:ascii="Calibri" w:hAnsi="Calibri" w:cs="Times New Roman"/>
                <w:kern w:val="2"/>
                <w:szCs w:val="22"/>
                <w:highlight w:val="none"/>
              </w:rPr>
            </w:pPr>
            <w:r>
              <w:rPr>
                <w:rFonts w:hint="eastAsia" w:ascii="Calibri" w:hAnsi="Calibri" w:cs="Times New Roman"/>
                <w:kern w:val="2"/>
                <w:szCs w:val="22"/>
                <w:highlight w:val="none"/>
              </w:rPr>
              <w:t>评审指标通过标准：供应商必须通过上述全部指标。</w:t>
            </w:r>
          </w:p>
        </w:tc>
      </w:tr>
    </w:tbl>
    <w:p w14:paraId="038C367E">
      <w:pPr>
        <w:ind w:firstLine="482"/>
        <w:rPr>
          <w:rFonts w:asciiTheme="minorEastAsia" w:hAnsiTheme="minorEastAsia" w:eastAsiaTheme="minorEastAsia"/>
          <w:highlight w:val="none"/>
        </w:rPr>
      </w:pPr>
      <w:r>
        <w:rPr>
          <w:rFonts w:hint="eastAsia" w:asciiTheme="minorEastAsia" w:hAnsiTheme="minorEastAsia" w:eastAsiaTheme="minorEastAsia"/>
          <w:b/>
          <w:bCs/>
          <w:highlight w:val="none"/>
        </w:rPr>
        <w:t>初审指标通过标准：</w:t>
      </w:r>
      <w:r>
        <w:rPr>
          <w:rFonts w:hint="eastAsia" w:asciiTheme="minorEastAsia" w:hAnsiTheme="minorEastAsia" w:eastAsiaTheme="minorEastAsia"/>
          <w:highlight w:val="none"/>
        </w:rPr>
        <w:t>供应商必须通过初审表中的全部评审指标。</w:t>
      </w:r>
    </w:p>
    <w:p w14:paraId="3CEC7902">
      <w:pPr>
        <w:ind w:firstLine="482"/>
        <w:rPr>
          <w:rFonts w:hint="eastAsia" w:asciiTheme="minorEastAsia" w:hAnsiTheme="minorEastAsia" w:eastAsiaTheme="minorEastAsia"/>
          <w:b/>
          <w:highlight w:val="none"/>
        </w:rPr>
      </w:pPr>
    </w:p>
    <w:p w14:paraId="13D78840">
      <w:pPr>
        <w:ind w:firstLine="482"/>
        <w:rPr>
          <w:rFonts w:hint="eastAsia" w:asciiTheme="minorEastAsia" w:hAnsiTheme="minorEastAsia" w:eastAsiaTheme="minorEastAsia"/>
          <w:b/>
          <w:highlight w:val="none"/>
        </w:rPr>
      </w:pPr>
    </w:p>
    <w:p w14:paraId="4EDE2031">
      <w:pPr>
        <w:ind w:firstLine="482"/>
        <w:rPr>
          <w:rFonts w:hint="eastAsia" w:asciiTheme="minorEastAsia" w:hAnsiTheme="minorEastAsia" w:eastAsiaTheme="minorEastAsia"/>
          <w:b/>
          <w:highlight w:val="none"/>
        </w:rPr>
      </w:pPr>
    </w:p>
    <w:p w14:paraId="1C810F67">
      <w:pPr>
        <w:ind w:firstLine="482"/>
        <w:rPr>
          <w:rFonts w:asciiTheme="minorEastAsia" w:hAnsiTheme="minorEastAsia" w:eastAsiaTheme="minorEastAsia"/>
          <w:b/>
          <w:highlight w:val="none"/>
        </w:rPr>
      </w:pPr>
      <w:r>
        <w:rPr>
          <w:rFonts w:hint="eastAsia" w:asciiTheme="minorEastAsia" w:hAnsiTheme="minorEastAsia" w:eastAsiaTheme="minorEastAsia"/>
          <w:b/>
          <w:highlight w:val="none"/>
        </w:rPr>
        <w:t>2.2综合评分</w:t>
      </w:r>
    </w:p>
    <w:p w14:paraId="330DEEEF">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.1</w:t>
      </w:r>
      <w:r>
        <w:rPr>
          <w:rFonts w:hint="eastAsia" w:asciiTheme="minorEastAsia" w:hAnsiTheme="minorEastAsia" w:eastAsiaTheme="minorEastAsia"/>
          <w:highlight w:val="none"/>
        </w:rPr>
        <w:t>评审委员会按照下表对</w:t>
      </w:r>
      <w:r>
        <w:rPr>
          <w:rFonts w:hint="eastAsia"/>
          <w:highlight w:val="none"/>
        </w:rPr>
        <w:t>进入综合评分的所有供应商的</w:t>
      </w:r>
      <w:r>
        <w:rPr>
          <w:rFonts w:hint="eastAsia" w:asciiTheme="minorEastAsia" w:hAnsiTheme="minorEastAsia" w:eastAsiaTheme="minorEastAsia"/>
          <w:highlight w:val="none"/>
        </w:rPr>
        <w:t>响应文件进行综合评分。</w:t>
      </w:r>
    </w:p>
    <w:p w14:paraId="6DE4D9CD">
      <w:pPr>
        <w:ind w:firstLine="480"/>
        <w:rPr>
          <w:rFonts w:asciiTheme="minorEastAsia" w:hAnsiTheme="minorEastAsia" w:eastAsiaTheme="minorEastAsia"/>
          <w:highlight w:val="none"/>
        </w:rPr>
      </w:pPr>
      <w:r>
        <w:rPr>
          <w:rFonts w:hint="eastAsia" w:asciiTheme="minorEastAsia" w:hAnsiTheme="minorEastAsia" w:eastAsiaTheme="minorEastAsia"/>
          <w:b/>
          <w:bCs/>
          <w:highlight w:val="none"/>
        </w:rPr>
        <w:t>2</w:t>
      </w:r>
      <w:r>
        <w:rPr>
          <w:rFonts w:asciiTheme="minorEastAsia" w:hAnsiTheme="minorEastAsia" w:eastAsiaTheme="minorEastAsia"/>
          <w:b/>
          <w:bCs/>
          <w:highlight w:val="none"/>
        </w:rPr>
        <w:t>.</w:t>
      </w:r>
      <w:r>
        <w:rPr>
          <w:rFonts w:hint="eastAsia" w:asciiTheme="minorEastAsia" w:hAnsiTheme="minorEastAsia" w:eastAsiaTheme="minorEastAsia"/>
          <w:b/>
          <w:bCs/>
          <w:highlight w:val="none"/>
        </w:rPr>
        <w:t>2</w:t>
      </w:r>
      <w:r>
        <w:rPr>
          <w:rFonts w:asciiTheme="minorEastAsia" w:hAnsiTheme="minorEastAsia" w:eastAsiaTheme="minorEastAsia"/>
          <w:b/>
          <w:bCs/>
          <w:highlight w:val="none"/>
        </w:rPr>
        <w:t>.2</w:t>
      </w:r>
      <w:r>
        <w:rPr>
          <w:rFonts w:hint="eastAsia" w:ascii="宋体" w:hAnsi="宋体" w:eastAsia="宋体" w:cs="宋体"/>
          <w:b/>
          <w:bCs/>
          <w:color w:val="000000"/>
          <w:kern w:val="0"/>
          <w:sz w:val="24"/>
          <w:szCs w:val="24"/>
          <w:lang w:val="en-US" w:eastAsia="zh-CN" w:bidi="ar"/>
        </w:rPr>
        <w:t>本项目综合评分满分为100分，其中：技术资信分值占总分值的权重为</w:t>
      </w:r>
      <w:r>
        <w:rPr>
          <w:rFonts w:hint="eastAsia" w:cs="宋体"/>
          <w:b/>
          <w:bCs/>
          <w:color w:val="000000"/>
          <w:kern w:val="0"/>
          <w:sz w:val="24"/>
          <w:szCs w:val="24"/>
          <w:u w:val="single"/>
          <w:lang w:val="en-US" w:eastAsia="zh-CN" w:bidi="ar"/>
        </w:rPr>
        <w:t>70</w:t>
      </w:r>
      <w:r>
        <w:rPr>
          <w:rFonts w:hint="eastAsia" w:ascii="宋体" w:hAnsi="宋体" w:eastAsia="宋体" w:cs="宋体"/>
          <w:b/>
          <w:bCs/>
          <w:color w:val="000000"/>
          <w:kern w:val="0"/>
          <w:sz w:val="24"/>
          <w:szCs w:val="24"/>
          <w:lang w:val="en-US" w:eastAsia="zh-CN" w:bidi="ar"/>
        </w:rPr>
        <w:t>%，价格分值占总分值的权重为</w:t>
      </w:r>
      <w:r>
        <w:rPr>
          <w:rFonts w:hint="eastAsia" w:cs="宋体"/>
          <w:b/>
          <w:bCs/>
          <w:color w:val="000000"/>
          <w:kern w:val="0"/>
          <w:sz w:val="24"/>
          <w:szCs w:val="24"/>
          <w:u w:val="single"/>
          <w:lang w:val="en-US" w:eastAsia="zh-CN" w:bidi="ar"/>
        </w:rPr>
        <w:t>30</w:t>
      </w:r>
      <w:r>
        <w:rPr>
          <w:rFonts w:hint="eastAsia" w:ascii="宋体" w:hAnsi="宋体" w:eastAsia="宋体" w:cs="宋体"/>
          <w:b/>
          <w:bCs/>
          <w:color w:val="000000"/>
          <w:kern w:val="0"/>
          <w:sz w:val="24"/>
          <w:szCs w:val="24"/>
          <w:lang w:val="en-US" w:eastAsia="zh-CN" w:bidi="ar"/>
        </w:rPr>
        <w:t>%。具体评分细则如下：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37"/>
        <w:gridCol w:w="4954"/>
        <w:gridCol w:w="1212"/>
      </w:tblGrid>
      <w:tr w14:paraId="3D71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56" w:type="pct"/>
            <w:tcBorders>
              <w:top w:val="single" w:color="auto" w:sz="4" w:space="0"/>
              <w:left w:val="single" w:color="auto" w:sz="4" w:space="0"/>
              <w:bottom w:val="single" w:color="auto" w:sz="4" w:space="0"/>
              <w:right w:val="single" w:color="auto" w:sz="4" w:space="0"/>
            </w:tcBorders>
            <w:noWrap w:val="0"/>
            <w:vAlign w:val="center"/>
          </w:tcPr>
          <w:p w14:paraId="587BE37E">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b/>
                <w:bCs/>
                <w:color w:val="000000"/>
                <w:sz w:val="24"/>
                <w:u w:val="none"/>
              </w:rPr>
              <w:t>类别</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3C14B68">
            <w:pPr>
              <w:spacing w:line="360" w:lineRule="auto"/>
              <w:ind w:left="0" w:leftChars="0" w:firstLine="0" w:firstLineChars="0"/>
              <w:jc w:val="both"/>
              <w:rPr>
                <w:rFonts w:hint="eastAsia" w:ascii="宋体" w:hAnsi="宋体" w:eastAsia="宋体" w:cs="宋体"/>
                <w:b/>
                <w:bCs/>
                <w:color w:val="000000"/>
                <w:sz w:val="24"/>
                <w:u w:val="none"/>
              </w:rPr>
            </w:pPr>
            <w:r>
              <w:rPr>
                <w:rFonts w:hint="eastAsia" w:ascii="宋体" w:hAnsi="宋体" w:eastAsia="宋体" w:cs="宋体"/>
                <w:b/>
                <w:bCs/>
                <w:color w:val="000000"/>
                <w:sz w:val="24"/>
                <w:u w:val="none"/>
              </w:rPr>
              <w:t>评分内容</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502ECE52">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b/>
                <w:bCs/>
                <w:color w:val="000000"/>
                <w:sz w:val="24"/>
                <w:u w:val="none"/>
              </w:rPr>
              <w:t>评分标准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58F3B8AC">
            <w:pPr>
              <w:spacing w:line="360" w:lineRule="auto"/>
              <w:ind w:left="0" w:leftChars="0" w:firstLine="0" w:firstLineChars="0"/>
              <w:jc w:val="both"/>
              <w:rPr>
                <w:rFonts w:hint="eastAsia" w:ascii="宋体" w:hAnsi="宋体" w:eastAsia="宋体" w:cs="宋体"/>
                <w:b/>
                <w:bCs/>
                <w:color w:val="000000"/>
                <w:sz w:val="24"/>
                <w:u w:val="none"/>
              </w:rPr>
            </w:pPr>
            <w:r>
              <w:rPr>
                <w:rFonts w:hint="eastAsia" w:ascii="宋体" w:hAnsi="宋体" w:eastAsia="宋体" w:cs="宋体"/>
                <w:b/>
                <w:bCs/>
                <w:color w:val="000000"/>
                <w:sz w:val="24"/>
                <w:u w:val="none"/>
              </w:rPr>
              <w:t>分值范围</w:t>
            </w:r>
          </w:p>
        </w:tc>
      </w:tr>
      <w:tr w14:paraId="66BC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restart"/>
            <w:tcBorders>
              <w:top w:val="single" w:color="auto" w:sz="4" w:space="0"/>
              <w:left w:val="single" w:color="auto" w:sz="4" w:space="0"/>
              <w:right w:val="single" w:color="auto" w:sz="4" w:space="0"/>
            </w:tcBorders>
            <w:noWrap w:val="0"/>
            <w:vAlign w:val="center"/>
          </w:tcPr>
          <w:p w14:paraId="5C249607">
            <w:pPr>
              <w:spacing w:line="360" w:lineRule="auto"/>
              <w:ind w:left="0" w:leftChars="0" w:firstLine="0" w:firstLineChars="0"/>
              <w:jc w:val="center"/>
              <w:rPr>
                <w:rFonts w:hint="eastAsia" w:ascii="宋体" w:hAnsi="宋体" w:eastAsia="宋体" w:cs="宋体"/>
                <w:color w:val="000000"/>
                <w:sz w:val="24"/>
                <w:u w:val="none"/>
              </w:rPr>
            </w:pPr>
            <w:r>
              <w:rPr>
                <w:rFonts w:hint="eastAsia" w:ascii="宋体" w:hAnsi="宋体" w:eastAsia="宋体" w:cs="宋体"/>
                <w:color w:val="000000"/>
                <w:sz w:val="24"/>
                <w:u w:val="none"/>
              </w:rPr>
              <w:t>技术资信分</w:t>
            </w:r>
          </w:p>
          <w:p w14:paraId="5C48BCF2">
            <w:pPr>
              <w:spacing w:line="360" w:lineRule="auto"/>
              <w:ind w:left="0" w:leftChars="0" w:firstLine="0" w:firstLineChars="0"/>
              <w:jc w:val="left"/>
              <w:rPr>
                <w:rFonts w:hint="eastAsia" w:ascii="宋体" w:hAnsi="宋体" w:eastAsia="宋体" w:cs="宋体"/>
                <w:b/>
                <w:bCs/>
                <w:color w:val="000000"/>
                <w:sz w:val="24"/>
                <w:u w:val="none"/>
              </w:rPr>
            </w:pPr>
            <w:r>
              <w:rPr>
                <w:rFonts w:hint="eastAsia" w:ascii="宋体" w:hAnsi="宋体" w:eastAsia="宋体" w:cs="宋体"/>
                <w:color w:val="000000"/>
                <w:sz w:val="24"/>
                <w:u w:val="none"/>
              </w:rPr>
              <w:t>（</w:t>
            </w:r>
            <w:r>
              <w:rPr>
                <w:rFonts w:hint="eastAsia" w:cs="宋体"/>
                <w:color w:val="000000"/>
                <w:sz w:val="24"/>
                <w:u w:val="none"/>
                <w:lang w:val="en-US" w:eastAsia="zh-CN"/>
              </w:rPr>
              <w:t>70</w:t>
            </w:r>
            <w:r>
              <w:rPr>
                <w:rFonts w:hint="eastAsia" w:ascii="宋体" w:hAnsi="宋体" w:eastAsia="宋体" w:cs="宋体"/>
                <w:color w:val="000000"/>
                <w:sz w:val="24"/>
                <w:u w:val="none"/>
              </w:rPr>
              <w:t>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5807000">
            <w:pPr>
              <w:spacing w:line="360" w:lineRule="auto"/>
              <w:ind w:left="0" w:leftChars="0" w:firstLine="0" w:firstLineChars="0"/>
              <w:jc w:val="center"/>
              <w:rPr>
                <w:rFonts w:hint="eastAsia" w:ascii="宋体" w:hAnsi="宋体" w:eastAsia="宋体" w:cs="宋体"/>
                <w:bCs/>
                <w:color w:val="000000"/>
                <w:sz w:val="24"/>
                <w:u w:val="none"/>
              </w:rPr>
            </w:pPr>
            <w:r>
              <w:rPr>
                <w:rFonts w:hint="eastAsia" w:cs="宋体"/>
                <w:bCs/>
                <w:color w:val="000000"/>
                <w:sz w:val="24"/>
                <w:u w:val="none"/>
                <w:lang w:val="en-US" w:eastAsia="zh-CN"/>
              </w:rPr>
              <w:t>洗涤</w:t>
            </w:r>
            <w:r>
              <w:rPr>
                <w:rFonts w:hint="eastAsia" w:ascii="宋体" w:hAnsi="宋体" w:eastAsia="宋体" w:cs="宋体"/>
                <w:bCs/>
                <w:color w:val="000000"/>
                <w:sz w:val="24"/>
                <w:u w:val="none"/>
              </w:rPr>
              <w:t>服务方案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15489613">
            <w:pPr>
              <w:spacing w:line="360" w:lineRule="auto"/>
              <w:ind w:left="0" w:leftChars="0" w:firstLine="0" w:firstLineChars="0"/>
              <w:jc w:val="left"/>
              <w:rPr>
                <w:rFonts w:hint="eastAsia" w:ascii="宋体" w:hAnsi="宋体" w:eastAsia="宋体" w:cs="宋体"/>
                <w:bCs/>
                <w:color w:val="000000"/>
                <w:sz w:val="24"/>
                <w:u w:val="none"/>
                <w:lang w:val="en-US" w:eastAsia="zh-CN"/>
              </w:rPr>
            </w:pPr>
            <w:r>
              <w:rPr>
                <w:rFonts w:hint="eastAsia" w:ascii="宋体" w:hAnsi="宋体" w:eastAsia="宋体" w:cs="宋体"/>
                <w:bCs/>
                <w:color w:val="000000"/>
                <w:sz w:val="24"/>
                <w:u w:val="none"/>
                <w:lang w:val="en-US" w:eastAsia="zh-CN"/>
              </w:rPr>
              <w:t>磋商小组根据供应商提供的洗涤服务方案进行综合评审，包括但不限于：综合体现洗涤设备条件、洗净能力、洗涤承接能力，以及洗涤及时性保障、布草损耗控制、洗涤卫生性保障等内容。</w:t>
            </w:r>
          </w:p>
          <w:p w14:paraId="658F173E">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color w:val="000000"/>
                <w:sz w:val="24"/>
                <w:u w:val="none"/>
              </w:rPr>
              <w:t>服务方案全面详尽、定位准确，服务内容针对性强</w:t>
            </w:r>
            <w:r>
              <w:rPr>
                <w:rFonts w:hint="eastAsia" w:ascii="宋体" w:hAnsi="宋体" w:eastAsia="宋体" w:cs="宋体"/>
                <w:b/>
                <w:color w:val="000000"/>
                <w:sz w:val="24"/>
                <w:u w:val="none"/>
                <w:lang w:val="en-US" w:eastAsia="zh-CN"/>
              </w:rPr>
              <w:t>25</w:t>
            </w:r>
            <w:r>
              <w:rPr>
                <w:rFonts w:hint="eastAsia" w:ascii="宋体" w:hAnsi="宋体" w:eastAsia="宋体" w:cs="宋体"/>
                <w:b/>
                <w:color w:val="000000"/>
                <w:sz w:val="24"/>
                <w:u w:val="none"/>
              </w:rPr>
              <w:t>≤F≤</w:t>
            </w:r>
            <w:r>
              <w:rPr>
                <w:rFonts w:hint="eastAsia" w:ascii="宋体" w:hAnsi="宋体" w:eastAsia="宋体" w:cs="宋体"/>
                <w:b/>
                <w:color w:val="000000"/>
                <w:sz w:val="24"/>
                <w:u w:val="none"/>
                <w:lang w:val="en-US" w:eastAsia="zh-CN"/>
              </w:rPr>
              <w:t>35</w:t>
            </w:r>
            <w:r>
              <w:rPr>
                <w:rFonts w:hint="eastAsia" w:ascii="宋体" w:hAnsi="宋体" w:eastAsia="宋体" w:cs="宋体"/>
                <w:b/>
                <w:color w:val="000000"/>
                <w:sz w:val="24"/>
                <w:u w:val="none"/>
              </w:rPr>
              <w:t>分；</w:t>
            </w:r>
          </w:p>
          <w:p w14:paraId="34200CBD">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color w:val="000000"/>
                <w:sz w:val="24"/>
                <w:u w:val="none"/>
              </w:rPr>
              <w:t>服务方案基本符合实际，具有一定实用性的，</w:t>
            </w:r>
            <w:r>
              <w:rPr>
                <w:rFonts w:hint="eastAsia" w:ascii="宋体" w:hAnsi="宋体" w:eastAsia="宋体" w:cs="宋体"/>
                <w:b/>
                <w:color w:val="000000"/>
                <w:sz w:val="24"/>
                <w:u w:val="none"/>
                <w:lang w:val="en-US" w:eastAsia="zh-CN"/>
              </w:rPr>
              <w:t>15</w:t>
            </w:r>
            <w:r>
              <w:rPr>
                <w:rFonts w:hint="eastAsia" w:ascii="宋体" w:hAnsi="宋体" w:eastAsia="宋体" w:cs="宋体"/>
                <w:b/>
                <w:color w:val="000000"/>
                <w:sz w:val="24"/>
                <w:u w:val="none"/>
              </w:rPr>
              <w:t>≤F＜</w:t>
            </w:r>
            <w:r>
              <w:rPr>
                <w:rFonts w:hint="eastAsia" w:ascii="宋体" w:hAnsi="宋体" w:eastAsia="宋体" w:cs="宋体"/>
                <w:b/>
                <w:color w:val="000000"/>
                <w:sz w:val="24"/>
                <w:u w:val="none"/>
                <w:lang w:val="en-US" w:eastAsia="zh-CN"/>
              </w:rPr>
              <w:t>25</w:t>
            </w:r>
            <w:r>
              <w:rPr>
                <w:rFonts w:hint="eastAsia" w:ascii="宋体" w:hAnsi="宋体" w:eastAsia="宋体" w:cs="宋体"/>
                <w:b/>
                <w:color w:val="000000"/>
                <w:sz w:val="24"/>
                <w:u w:val="none"/>
              </w:rPr>
              <w:t>分；</w:t>
            </w:r>
          </w:p>
          <w:p w14:paraId="450888E3">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color w:val="000000"/>
                <w:sz w:val="24"/>
                <w:u w:val="none"/>
              </w:rPr>
              <w:t>服务方案待完整0≤F＜</w:t>
            </w:r>
            <w:r>
              <w:rPr>
                <w:rFonts w:hint="eastAsia" w:ascii="宋体" w:hAnsi="宋体" w:eastAsia="宋体" w:cs="宋体"/>
                <w:b/>
                <w:color w:val="000000"/>
                <w:sz w:val="24"/>
                <w:u w:val="none"/>
                <w:lang w:val="en-US" w:eastAsia="zh-CN"/>
              </w:rPr>
              <w:t>15</w:t>
            </w:r>
            <w:r>
              <w:rPr>
                <w:rFonts w:hint="eastAsia" w:ascii="宋体" w:hAnsi="宋体" w:eastAsia="宋体" w:cs="宋体"/>
                <w:b/>
                <w:color w:val="000000"/>
                <w:sz w:val="24"/>
                <w:u w:val="none"/>
              </w:rPr>
              <w:t>分。</w:t>
            </w:r>
          </w:p>
          <w:p w14:paraId="4DE8273A">
            <w:pPr>
              <w:spacing w:line="360" w:lineRule="auto"/>
              <w:ind w:left="0" w:leftChars="0" w:firstLine="0" w:firstLineChars="0"/>
              <w:jc w:val="left"/>
              <w:rPr>
                <w:rFonts w:hint="eastAsia" w:ascii="宋体" w:hAnsi="宋体" w:eastAsia="宋体" w:cs="宋体"/>
                <w:b/>
                <w:color w:val="000000"/>
                <w:sz w:val="24"/>
                <w:u w:val="none"/>
              </w:rPr>
            </w:pPr>
            <w:r>
              <w:rPr>
                <w:rFonts w:hint="eastAsia" w:ascii="宋体" w:hAnsi="宋体" w:eastAsia="宋体" w:cs="宋体"/>
                <w:b/>
                <w:color w:val="000000"/>
                <w:sz w:val="24"/>
                <w:u w:val="none"/>
              </w:rPr>
              <w:t>注：F为本项得分。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6824932">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color w:val="000000"/>
                <w:sz w:val="24"/>
                <w:u w:val="none"/>
              </w:rPr>
              <w:t>0-</w:t>
            </w:r>
            <w:r>
              <w:rPr>
                <w:rFonts w:hint="eastAsia" w:cs="宋体"/>
                <w:color w:val="000000"/>
                <w:sz w:val="24"/>
                <w:u w:val="none"/>
                <w:lang w:val="en-US" w:eastAsia="zh-CN"/>
              </w:rPr>
              <w:t>35</w:t>
            </w:r>
            <w:r>
              <w:rPr>
                <w:rFonts w:hint="eastAsia" w:ascii="宋体" w:hAnsi="宋体" w:eastAsia="宋体" w:cs="宋体"/>
                <w:color w:val="000000"/>
                <w:sz w:val="24"/>
                <w:u w:val="none"/>
              </w:rPr>
              <w:t>分</w:t>
            </w:r>
          </w:p>
        </w:tc>
      </w:tr>
      <w:tr w14:paraId="7784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5BCD13C2">
            <w:pPr>
              <w:spacing w:line="360" w:lineRule="auto"/>
              <w:ind w:left="0" w:leftChars="0" w:firstLine="0" w:firstLineChars="0"/>
              <w:jc w:val="left"/>
              <w:rPr>
                <w:rFonts w:hint="eastAsia" w:ascii="宋体" w:hAnsi="宋体" w:eastAsia="宋体" w:cs="宋体"/>
                <w:color w:val="000000"/>
                <w:sz w:val="24"/>
                <w:u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0BB3DCC">
            <w:pPr>
              <w:spacing w:line="360" w:lineRule="auto"/>
              <w:ind w:left="0" w:leftChars="0" w:firstLine="0" w:firstLineChars="0"/>
              <w:jc w:val="center"/>
              <w:rPr>
                <w:rFonts w:hint="eastAsia" w:ascii="宋体" w:hAnsi="宋体" w:eastAsia="宋体" w:cs="宋体"/>
                <w:bCs/>
                <w:color w:val="000000"/>
                <w:sz w:val="24"/>
                <w:u w:val="none"/>
              </w:rPr>
            </w:pPr>
            <w:r>
              <w:rPr>
                <w:rFonts w:hint="eastAsia" w:cs="宋体"/>
                <w:bCs/>
                <w:color w:val="000000"/>
                <w:sz w:val="24"/>
                <w:u w:val="none"/>
                <w:lang w:val="en-US" w:eastAsia="zh-CN"/>
              </w:rPr>
              <w:t>配送服务方案</w:t>
            </w:r>
          </w:p>
        </w:tc>
        <w:tc>
          <w:tcPr>
            <w:tcW w:w="4954" w:type="dxa"/>
            <w:tcBorders>
              <w:top w:val="single" w:color="auto" w:sz="4" w:space="0"/>
              <w:left w:val="single" w:color="auto" w:sz="4" w:space="0"/>
              <w:bottom w:val="single" w:color="auto" w:sz="4" w:space="0"/>
              <w:right w:val="single" w:color="auto" w:sz="4" w:space="0"/>
            </w:tcBorders>
            <w:noWrap w:val="0"/>
            <w:vAlign w:val="center"/>
          </w:tcPr>
          <w:p w14:paraId="64824169">
            <w:pPr>
              <w:spacing w:line="360" w:lineRule="auto"/>
              <w:ind w:left="0" w:leftChars="0" w:firstLine="0" w:firstLineChars="0"/>
              <w:jc w:val="left"/>
              <w:rPr>
                <w:rFonts w:hint="eastAsia" w:ascii="宋体" w:hAnsi="宋体" w:eastAsia="宋体" w:cs="宋体"/>
                <w:bCs/>
                <w:color w:val="000000"/>
                <w:sz w:val="24"/>
                <w:u w:val="none"/>
              </w:rPr>
            </w:pPr>
            <w:r>
              <w:rPr>
                <w:rFonts w:hint="eastAsia" w:ascii="宋体" w:hAnsi="宋体" w:eastAsia="宋体" w:cs="宋体"/>
                <w:bCs/>
                <w:color w:val="000000"/>
                <w:sz w:val="24"/>
                <w:u w:val="none"/>
                <w:lang w:val="en-US" w:eastAsia="zh-CN"/>
              </w:rPr>
              <w:t>磋商小组</w:t>
            </w:r>
            <w:r>
              <w:rPr>
                <w:rFonts w:hint="eastAsia" w:ascii="宋体" w:hAnsi="宋体" w:eastAsia="宋体" w:cs="宋体"/>
                <w:bCs/>
                <w:color w:val="000000"/>
                <w:sz w:val="24"/>
                <w:u w:val="none"/>
              </w:rPr>
              <w:t>根据</w:t>
            </w:r>
            <w:r>
              <w:rPr>
                <w:rFonts w:hint="eastAsia" w:ascii="宋体" w:hAnsi="宋体" w:eastAsia="宋体" w:cs="宋体"/>
                <w:bCs/>
                <w:color w:val="000000"/>
                <w:sz w:val="24"/>
                <w:u w:val="none"/>
                <w:lang w:val="en-US" w:eastAsia="zh-CN"/>
              </w:rPr>
              <w:t>供应商提供的</w:t>
            </w:r>
            <w:r>
              <w:rPr>
                <w:rFonts w:hint="eastAsia" w:cs="宋体"/>
                <w:bCs/>
                <w:color w:val="000000"/>
                <w:sz w:val="24"/>
                <w:u w:val="none"/>
                <w:lang w:val="en-US" w:eastAsia="zh-CN"/>
              </w:rPr>
              <w:t>配送</w:t>
            </w:r>
            <w:r>
              <w:rPr>
                <w:rFonts w:hint="eastAsia" w:ascii="宋体" w:hAnsi="宋体" w:eastAsia="宋体" w:cs="宋体"/>
                <w:bCs/>
                <w:color w:val="000000"/>
                <w:sz w:val="24"/>
                <w:u w:val="none"/>
                <w:lang w:val="en-US" w:eastAsia="zh-CN"/>
              </w:rPr>
              <w:t>服务方案</w:t>
            </w:r>
            <w:r>
              <w:rPr>
                <w:rFonts w:hint="eastAsia" w:cs="宋体"/>
                <w:sz w:val="24"/>
                <w:szCs w:val="22"/>
                <w:highlight w:val="none"/>
                <w:lang w:val="en-US" w:eastAsia="zh-CN" w:bidi="ar-SA"/>
              </w:rPr>
              <w:t>进行综合评审，包括但不限于：配送车辆卫生条件保障、取送时效性保障等内容。</w:t>
            </w:r>
          </w:p>
          <w:p w14:paraId="27410EBE">
            <w:pPr>
              <w:spacing w:line="360" w:lineRule="auto"/>
              <w:ind w:left="0" w:leftChars="0" w:firstLine="0" w:firstLineChars="0"/>
              <w:jc w:val="left"/>
              <w:rPr>
                <w:rFonts w:hint="eastAsia" w:ascii="宋体" w:hAnsi="宋体" w:eastAsia="宋体" w:cs="宋体"/>
                <w:b/>
                <w:bCs w:val="0"/>
                <w:color w:val="000000"/>
                <w:sz w:val="24"/>
                <w:u w:val="none"/>
              </w:rPr>
            </w:pPr>
            <w:r>
              <w:rPr>
                <w:rFonts w:hint="eastAsia" w:ascii="宋体" w:hAnsi="宋体" w:eastAsia="宋体" w:cs="宋体"/>
                <w:b/>
                <w:bCs w:val="0"/>
                <w:color w:val="000000"/>
                <w:sz w:val="24"/>
                <w:u w:val="none"/>
                <w:lang w:val="en-US" w:eastAsia="zh-CN"/>
              </w:rPr>
              <w:t>配送</w:t>
            </w:r>
            <w:r>
              <w:rPr>
                <w:rFonts w:hint="eastAsia" w:ascii="宋体" w:hAnsi="宋体" w:eastAsia="宋体" w:cs="宋体"/>
                <w:b/>
                <w:bCs w:val="0"/>
                <w:color w:val="000000"/>
                <w:sz w:val="24"/>
                <w:u w:val="none"/>
              </w:rPr>
              <w:t>服务方案全面详尽、定位准确，服务内容针对性强</w:t>
            </w:r>
            <w:r>
              <w:rPr>
                <w:rFonts w:hint="eastAsia" w:cs="宋体"/>
                <w:b/>
                <w:bCs w:val="0"/>
                <w:color w:val="000000"/>
                <w:sz w:val="24"/>
                <w:u w:val="none"/>
                <w:lang w:val="en-US" w:eastAsia="zh-CN"/>
              </w:rPr>
              <w:t>15</w:t>
            </w:r>
            <w:r>
              <w:rPr>
                <w:rFonts w:hint="eastAsia" w:ascii="宋体" w:hAnsi="宋体" w:eastAsia="宋体" w:cs="宋体"/>
                <w:b/>
                <w:bCs w:val="0"/>
                <w:color w:val="000000"/>
                <w:sz w:val="24"/>
                <w:u w:val="none"/>
              </w:rPr>
              <w:t>≤F≤</w:t>
            </w:r>
            <w:r>
              <w:rPr>
                <w:rFonts w:hint="eastAsia" w:cs="宋体"/>
                <w:b/>
                <w:bCs w:val="0"/>
                <w:color w:val="000000"/>
                <w:sz w:val="24"/>
                <w:u w:val="none"/>
                <w:lang w:val="en-US" w:eastAsia="zh-CN"/>
              </w:rPr>
              <w:t>20</w:t>
            </w:r>
            <w:r>
              <w:rPr>
                <w:rFonts w:hint="eastAsia" w:ascii="宋体" w:hAnsi="宋体" w:eastAsia="宋体" w:cs="宋体"/>
                <w:b/>
                <w:bCs w:val="0"/>
                <w:color w:val="000000"/>
                <w:sz w:val="24"/>
                <w:u w:val="none"/>
              </w:rPr>
              <w:t>分；</w:t>
            </w:r>
          </w:p>
          <w:p w14:paraId="2FEDDC03">
            <w:pPr>
              <w:spacing w:line="360" w:lineRule="auto"/>
              <w:ind w:left="0" w:leftChars="0" w:firstLine="0" w:firstLineChars="0"/>
              <w:jc w:val="left"/>
              <w:rPr>
                <w:rFonts w:hint="eastAsia" w:ascii="宋体" w:hAnsi="宋体" w:eastAsia="宋体" w:cs="宋体"/>
                <w:b/>
                <w:bCs w:val="0"/>
                <w:color w:val="000000"/>
                <w:sz w:val="24"/>
                <w:u w:val="none"/>
              </w:rPr>
            </w:pPr>
            <w:r>
              <w:rPr>
                <w:rFonts w:hint="eastAsia" w:ascii="宋体" w:hAnsi="宋体" w:eastAsia="宋体" w:cs="宋体"/>
                <w:b/>
                <w:bCs w:val="0"/>
                <w:color w:val="000000"/>
                <w:sz w:val="24"/>
                <w:u w:val="none"/>
                <w:lang w:val="en-US" w:eastAsia="zh-CN"/>
              </w:rPr>
              <w:t>配送</w:t>
            </w:r>
            <w:r>
              <w:rPr>
                <w:rFonts w:hint="eastAsia" w:ascii="宋体" w:hAnsi="宋体" w:eastAsia="宋体" w:cs="宋体"/>
                <w:b/>
                <w:bCs w:val="0"/>
                <w:color w:val="000000"/>
                <w:sz w:val="24"/>
                <w:u w:val="none"/>
              </w:rPr>
              <w:t>服务方案基本符合实际，具有一定实用性的，</w:t>
            </w:r>
            <w:r>
              <w:rPr>
                <w:rFonts w:hint="eastAsia" w:cs="宋体"/>
                <w:b/>
                <w:bCs w:val="0"/>
                <w:color w:val="000000"/>
                <w:sz w:val="24"/>
                <w:u w:val="none"/>
                <w:lang w:val="en-US" w:eastAsia="zh-CN"/>
              </w:rPr>
              <w:t>10</w:t>
            </w:r>
            <w:r>
              <w:rPr>
                <w:rFonts w:hint="eastAsia" w:ascii="宋体" w:hAnsi="宋体" w:eastAsia="宋体" w:cs="宋体"/>
                <w:b/>
                <w:bCs w:val="0"/>
                <w:color w:val="000000"/>
                <w:sz w:val="24"/>
                <w:u w:val="none"/>
              </w:rPr>
              <w:t>≤F＜</w:t>
            </w:r>
            <w:r>
              <w:rPr>
                <w:rFonts w:hint="eastAsia" w:cs="宋体"/>
                <w:b/>
                <w:bCs w:val="0"/>
                <w:color w:val="000000"/>
                <w:sz w:val="24"/>
                <w:u w:val="none"/>
                <w:lang w:val="en-US" w:eastAsia="zh-CN"/>
              </w:rPr>
              <w:t>15</w:t>
            </w:r>
            <w:r>
              <w:rPr>
                <w:rFonts w:hint="eastAsia" w:ascii="宋体" w:hAnsi="宋体" w:eastAsia="宋体" w:cs="宋体"/>
                <w:b/>
                <w:bCs w:val="0"/>
                <w:color w:val="000000"/>
                <w:sz w:val="24"/>
                <w:u w:val="none"/>
              </w:rPr>
              <w:t>分；</w:t>
            </w:r>
          </w:p>
          <w:p w14:paraId="2B1D20A4">
            <w:pPr>
              <w:spacing w:line="360" w:lineRule="auto"/>
              <w:ind w:left="0" w:leftChars="0" w:firstLine="0" w:firstLineChars="0"/>
              <w:jc w:val="left"/>
              <w:rPr>
                <w:rFonts w:hint="eastAsia" w:ascii="宋体" w:hAnsi="宋体" w:eastAsia="宋体" w:cs="宋体"/>
                <w:b/>
                <w:bCs w:val="0"/>
                <w:color w:val="000000"/>
                <w:sz w:val="24"/>
                <w:u w:val="none"/>
              </w:rPr>
            </w:pPr>
            <w:r>
              <w:rPr>
                <w:rFonts w:hint="eastAsia" w:ascii="宋体" w:hAnsi="宋体" w:eastAsia="宋体" w:cs="宋体"/>
                <w:b/>
                <w:bCs w:val="0"/>
                <w:color w:val="000000"/>
                <w:sz w:val="24"/>
                <w:u w:val="none"/>
              </w:rPr>
              <w:t>服务方案待完整0≤F＜</w:t>
            </w:r>
            <w:r>
              <w:rPr>
                <w:rFonts w:hint="eastAsia" w:cs="宋体"/>
                <w:b/>
                <w:bCs w:val="0"/>
                <w:color w:val="000000"/>
                <w:sz w:val="24"/>
                <w:u w:val="none"/>
                <w:lang w:val="en-US" w:eastAsia="zh-CN"/>
              </w:rPr>
              <w:t>10</w:t>
            </w:r>
            <w:r>
              <w:rPr>
                <w:rFonts w:hint="eastAsia" w:ascii="宋体" w:hAnsi="宋体" w:eastAsia="宋体" w:cs="宋体"/>
                <w:b/>
                <w:bCs w:val="0"/>
                <w:color w:val="000000"/>
                <w:sz w:val="24"/>
                <w:u w:val="none"/>
              </w:rPr>
              <w:t>分。</w:t>
            </w:r>
          </w:p>
          <w:p w14:paraId="2ADD5265">
            <w:pPr>
              <w:spacing w:line="360" w:lineRule="auto"/>
              <w:ind w:left="0" w:leftChars="0" w:firstLine="0" w:firstLineChars="0"/>
              <w:jc w:val="left"/>
              <w:rPr>
                <w:rFonts w:hint="eastAsia" w:ascii="宋体" w:hAnsi="宋体" w:eastAsia="宋体" w:cs="宋体"/>
                <w:b/>
                <w:bCs/>
                <w:color w:val="000000"/>
                <w:sz w:val="24"/>
                <w:u w:val="none"/>
              </w:rPr>
            </w:pPr>
            <w:r>
              <w:rPr>
                <w:rFonts w:hint="eastAsia" w:ascii="宋体" w:hAnsi="宋体" w:eastAsia="宋体" w:cs="宋体"/>
                <w:b/>
                <w:bCs/>
                <w:color w:val="000000"/>
                <w:sz w:val="24"/>
                <w:u w:val="none"/>
              </w:rPr>
              <w:t>注：</w:t>
            </w:r>
            <w:r>
              <w:rPr>
                <w:rFonts w:hint="eastAsia" w:ascii="宋体" w:hAnsi="宋体" w:eastAsia="宋体" w:cs="宋体"/>
                <w:b/>
                <w:color w:val="000000"/>
                <w:sz w:val="24"/>
                <w:u w:val="none"/>
              </w:rPr>
              <w:t>F为本项得分</w:t>
            </w:r>
            <w:r>
              <w:rPr>
                <w:rFonts w:hint="eastAsia" w:ascii="宋体" w:hAnsi="宋体" w:eastAsia="宋体" w:cs="宋体"/>
                <w:b/>
                <w:bCs/>
                <w:color w:val="000000"/>
                <w:sz w:val="24"/>
                <w:u w:val="none"/>
              </w:rPr>
              <w:t>。</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8F777E7">
            <w:pPr>
              <w:spacing w:line="360" w:lineRule="auto"/>
              <w:ind w:left="0" w:leftChars="0" w:firstLine="0" w:firstLineChars="0"/>
              <w:jc w:val="center"/>
              <w:rPr>
                <w:rFonts w:hint="eastAsia" w:ascii="宋体" w:hAnsi="宋体" w:eastAsia="宋体" w:cs="宋体"/>
                <w:color w:val="000000"/>
                <w:sz w:val="24"/>
                <w:u w:val="none"/>
              </w:rPr>
            </w:pPr>
            <w:r>
              <w:rPr>
                <w:rFonts w:hint="eastAsia" w:cs="宋体"/>
                <w:color w:val="000000"/>
                <w:sz w:val="24"/>
                <w:u w:val="none"/>
                <w:lang w:val="en-US" w:eastAsia="zh-CN"/>
              </w:rPr>
              <w:t>0-20分</w:t>
            </w:r>
          </w:p>
        </w:tc>
      </w:tr>
      <w:tr w14:paraId="10FF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1CBEC97B">
            <w:pPr>
              <w:spacing w:line="360" w:lineRule="auto"/>
              <w:ind w:firstLine="435"/>
              <w:jc w:val="left"/>
              <w:rPr>
                <w:rFonts w:hint="eastAsia" w:ascii="宋体" w:hAnsi="宋体" w:eastAsia="宋体" w:cs="宋体"/>
                <w:b/>
                <w:bCs/>
                <w:color w:val="000000"/>
                <w:sz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7420972B">
            <w:pPr>
              <w:spacing w:line="360" w:lineRule="auto"/>
              <w:ind w:left="0" w:leftChars="0" w:firstLine="0" w:firstLineChars="0"/>
              <w:jc w:val="center"/>
              <w:rPr>
                <w:rFonts w:hint="eastAsia" w:ascii="宋体" w:hAnsi="宋体" w:eastAsia="宋体" w:cs="宋体"/>
                <w:i/>
                <w:color w:val="000000"/>
                <w:sz w:val="24"/>
                <w:u w:val="none"/>
              </w:rPr>
            </w:pPr>
            <w:r>
              <w:rPr>
                <w:rFonts w:hint="eastAsia" w:ascii="宋体" w:hAnsi="宋体" w:eastAsia="宋体" w:cs="宋体"/>
                <w:color w:val="000000"/>
                <w:sz w:val="24"/>
                <w:u w:val="none"/>
              </w:rPr>
              <w:t>业绩</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7A0BF06E">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自2</w:t>
            </w:r>
            <w:r>
              <w:rPr>
                <w:rFonts w:hint="eastAsia" w:ascii="宋体" w:hAnsi="宋体" w:eastAsia="宋体" w:cs="宋体"/>
                <w:color w:val="000000"/>
                <w:sz w:val="24"/>
                <w:u w:val="none"/>
                <w:lang w:val="en-US" w:eastAsia="zh-CN"/>
              </w:rPr>
              <w:t>02</w:t>
            </w:r>
            <w:r>
              <w:rPr>
                <w:rFonts w:hint="eastAsia" w:cs="宋体"/>
                <w:color w:val="000000"/>
                <w:sz w:val="24"/>
                <w:u w:val="none"/>
                <w:lang w:val="en-US" w:eastAsia="zh-CN"/>
              </w:rPr>
              <w:t>3</w:t>
            </w:r>
            <w:r>
              <w:rPr>
                <w:rFonts w:hint="eastAsia" w:ascii="宋体" w:hAnsi="宋体" w:eastAsia="宋体" w:cs="宋体"/>
                <w:color w:val="000000"/>
                <w:sz w:val="24"/>
                <w:u w:val="none"/>
              </w:rPr>
              <w:t>年1月1日以来</w:t>
            </w:r>
            <w:r>
              <w:rPr>
                <w:rFonts w:hint="eastAsia" w:ascii="宋体" w:hAnsi="宋体" w:eastAsia="宋体" w:cs="宋体"/>
                <w:b/>
                <w:bCs/>
                <w:color w:val="000000"/>
                <w:sz w:val="24"/>
                <w:u w:val="none"/>
              </w:rPr>
              <w:t>（以合同签订时间为准）</w:t>
            </w:r>
            <w:r>
              <w:rPr>
                <w:rFonts w:hint="eastAsia" w:ascii="宋体" w:hAnsi="宋体" w:eastAsia="宋体" w:cs="宋体"/>
                <w:color w:val="000000"/>
                <w:sz w:val="24"/>
                <w:u w:val="none"/>
              </w:rPr>
              <w:t>，</w:t>
            </w:r>
            <w:r>
              <w:rPr>
                <w:rFonts w:hint="eastAsia" w:ascii="宋体" w:hAnsi="宋体" w:eastAsia="宋体" w:cs="宋体"/>
                <w:color w:val="000000"/>
                <w:sz w:val="24"/>
                <w:u w:val="none"/>
                <w:lang w:eastAsia="zh-CN"/>
              </w:rPr>
              <w:t>供应商</w:t>
            </w:r>
            <w:r>
              <w:rPr>
                <w:rFonts w:hint="eastAsia" w:ascii="宋体" w:hAnsi="宋体" w:eastAsia="宋体" w:cs="宋体"/>
                <w:color w:val="000000"/>
                <w:sz w:val="24"/>
                <w:u w:val="none"/>
              </w:rPr>
              <w:t>具有</w:t>
            </w:r>
            <w:r>
              <w:rPr>
                <w:rFonts w:hint="eastAsia" w:cs="宋体"/>
                <w:b/>
                <w:bCs/>
                <w:color w:val="000000"/>
                <w:sz w:val="24"/>
                <w:highlight w:val="none"/>
                <w:u w:val="none"/>
                <w:lang w:val="en-US" w:eastAsia="zh-CN"/>
              </w:rPr>
              <w:t>布草洗涤服务项目业绩</w:t>
            </w:r>
            <w:r>
              <w:rPr>
                <w:rFonts w:hint="eastAsia" w:ascii="宋体" w:hAnsi="宋体" w:eastAsia="宋体" w:cs="宋体"/>
                <w:b/>
                <w:bCs/>
                <w:color w:val="000000"/>
                <w:sz w:val="24"/>
                <w:szCs w:val="24"/>
                <w:highlight w:val="none"/>
              </w:rPr>
              <w:t>的</w:t>
            </w:r>
            <w:r>
              <w:rPr>
                <w:rFonts w:hint="eastAsia" w:ascii="宋体" w:hAnsi="宋体" w:eastAsia="宋体" w:cs="宋体"/>
                <w:b/>
                <w:bCs/>
                <w:color w:val="000000"/>
                <w:sz w:val="24"/>
                <w:u w:val="none"/>
              </w:rPr>
              <w:t>（含在管/已履约完毕）</w:t>
            </w:r>
            <w:r>
              <w:rPr>
                <w:rFonts w:hint="eastAsia" w:ascii="宋体" w:hAnsi="宋体" w:eastAsia="宋体" w:cs="宋体"/>
                <w:color w:val="000000"/>
                <w:sz w:val="24"/>
                <w:u w:val="none"/>
              </w:rPr>
              <w:t>，每个业绩得</w:t>
            </w:r>
            <w:r>
              <w:rPr>
                <w:rFonts w:hint="eastAsia" w:cs="宋体"/>
                <w:color w:val="000000"/>
                <w:sz w:val="24"/>
                <w:u w:val="none"/>
                <w:lang w:val="en-US" w:eastAsia="zh-CN"/>
              </w:rPr>
              <w:t>5</w:t>
            </w:r>
            <w:r>
              <w:rPr>
                <w:rFonts w:hint="eastAsia" w:ascii="宋体" w:hAnsi="宋体" w:eastAsia="宋体" w:cs="宋体"/>
                <w:color w:val="000000"/>
                <w:sz w:val="24"/>
                <w:u w:val="none"/>
              </w:rPr>
              <w:t>分，最高得</w:t>
            </w:r>
            <w:r>
              <w:rPr>
                <w:rFonts w:hint="eastAsia" w:cs="宋体"/>
                <w:color w:val="000000"/>
                <w:sz w:val="24"/>
                <w:u w:val="none"/>
                <w:lang w:val="en-US" w:eastAsia="zh-CN"/>
              </w:rPr>
              <w:t>15</w:t>
            </w:r>
            <w:r>
              <w:rPr>
                <w:rFonts w:hint="eastAsia" w:ascii="宋体" w:hAnsi="宋体" w:eastAsia="宋体" w:cs="宋体"/>
                <w:color w:val="000000"/>
                <w:sz w:val="24"/>
                <w:u w:val="none"/>
              </w:rPr>
              <w:t>分。</w:t>
            </w:r>
          </w:p>
          <w:p w14:paraId="58D9A1B0">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b/>
                <w:bCs/>
                <w:color w:val="000000"/>
                <w:sz w:val="24"/>
                <w:u w:val="none"/>
              </w:rPr>
              <w:t>注：</w:t>
            </w:r>
            <w:r>
              <w:rPr>
                <w:rFonts w:hint="eastAsia" w:ascii="宋体" w:hAnsi="宋体" w:eastAsia="宋体" w:cs="宋体"/>
                <w:b/>
                <w:bCs/>
                <w:color w:val="000000"/>
                <w:sz w:val="24"/>
                <w:u w:val="none"/>
                <w:lang w:eastAsia="zh-CN"/>
              </w:rPr>
              <w:t>响应文件</w:t>
            </w:r>
            <w:r>
              <w:rPr>
                <w:rFonts w:hint="eastAsia" w:ascii="宋体" w:hAnsi="宋体" w:eastAsia="宋体" w:cs="宋体"/>
                <w:b/>
                <w:bCs/>
                <w:color w:val="000000"/>
                <w:sz w:val="24"/>
                <w:u w:val="none"/>
              </w:rPr>
              <w:t>中提供业绩合同扫描件，若合同中无法体现签订时间、服务内容等关键评审因素的，须同时提供业主（合同甲方）证明材料，否则不得分。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A94BD2C">
            <w:pPr>
              <w:spacing w:line="360" w:lineRule="auto"/>
              <w:ind w:left="0" w:leftChars="0" w:firstLine="0" w:firstLineChars="0"/>
              <w:jc w:val="center"/>
              <w:rPr>
                <w:rFonts w:hint="eastAsia" w:ascii="宋体" w:hAnsi="宋体" w:eastAsia="宋体" w:cs="宋体"/>
                <w:b/>
                <w:bCs/>
                <w:color w:val="000000"/>
                <w:sz w:val="24"/>
                <w:u w:val="none"/>
              </w:rPr>
            </w:pPr>
            <w:r>
              <w:rPr>
                <w:rFonts w:hint="eastAsia" w:ascii="宋体" w:hAnsi="宋体" w:eastAsia="宋体" w:cs="宋体"/>
                <w:color w:val="000000"/>
                <w:sz w:val="24"/>
                <w:u w:val="none"/>
              </w:rPr>
              <w:t>0-</w:t>
            </w:r>
            <w:r>
              <w:rPr>
                <w:rFonts w:hint="eastAsia" w:cs="宋体"/>
                <w:color w:val="000000"/>
                <w:sz w:val="24"/>
                <w:u w:val="none"/>
                <w:lang w:val="en-US" w:eastAsia="zh-CN"/>
              </w:rPr>
              <w:t>15</w:t>
            </w:r>
            <w:r>
              <w:rPr>
                <w:rFonts w:hint="eastAsia" w:ascii="宋体" w:hAnsi="宋体" w:eastAsia="宋体" w:cs="宋体"/>
                <w:color w:val="000000"/>
                <w:sz w:val="24"/>
                <w:u w:val="none"/>
              </w:rPr>
              <w:t>分</w:t>
            </w:r>
          </w:p>
        </w:tc>
      </w:tr>
      <w:tr w14:paraId="3314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tcBorders>
              <w:left w:val="single" w:color="auto" w:sz="4" w:space="0"/>
              <w:right w:val="single" w:color="auto" w:sz="4" w:space="0"/>
            </w:tcBorders>
            <w:noWrap w:val="0"/>
            <w:vAlign w:val="center"/>
          </w:tcPr>
          <w:p w14:paraId="0E14148F">
            <w:pPr>
              <w:spacing w:line="360" w:lineRule="auto"/>
              <w:ind w:left="0" w:leftChars="0" w:firstLine="0" w:firstLineChars="0"/>
              <w:jc w:val="center"/>
              <w:rPr>
                <w:rFonts w:hint="eastAsia" w:ascii="宋体" w:hAnsi="宋体" w:eastAsia="宋体" w:cs="宋体"/>
                <w:color w:val="000000"/>
                <w:sz w:val="24"/>
                <w:u w:val="none"/>
              </w:rPr>
            </w:pPr>
            <w:r>
              <w:rPr>
                <w:rFonts w:hint="eastAsia" w:ascii="宋体" w:hAnsi="宋体" w:eastAsia="宋体" w:cs="宋体"/>
                <w:color w:val="000000"/>
                <w:sz w:val="24"/>
                <w:u w:val="none"/>
              </w:rPr>
              <w:t>价格分</w:t>
            </w:r>
          </w:p>
          <w:p w14:paraId="2C406AE3">
            <w:pPr>
              <w:spacing w:line="360" w:lineRule="auto"/>
              <w:ind w:left="0" w:leftChars="0" w:firstLine="0" w:firstLineChars="0"/>
              <w:jc w:val="left"/>
              <w:rPr>
                <w:rFonts w:hint="default" w:ascii="宋体" w:hAnsi="宋体" w:eastAsia="宋体" w:cs="宋体"/>
                <w:b/>
                <w:bCs/>
                <w:color w:val="000000"/>
                <w:sz w:val="24"/>
                <w:u w:val="none"/>
                <w:lang w:val="en-US" w:eastAsia="zh-CN"/>
              </w:rPr>
            </w:pPr>
            <w:r>
              <w:rPr>
                <w:rFonts w:hint="eastAsia" w:ascii="宋体" w:hAnsi="宋体" w:eastAsia="宋体" w:cs="宋体"/>
                <w:color w:val="000000"/>
                <w:sz w:val="24"/>
                <w:highlight w:val="none"/>
                <w:u w:val="none"/>
              </w:rPr>
              <w:t>（</w:t>
            </w:r>
            <w:r>
              <w:rPr>
                <w:rFonts w:hint="eastAsia" w:cs="宋体"/>
                <w:color w:val="000000"/>
                <w:sz w:val="24"/>
                <w:highlight w:val="none"/>
                <w:u w:val="none"/>
                <w:lang w:val="en-US" w:eastAsia="zh-CN"/>
              </w:rPr>
              <w:t>30</w:t>
            </w:r>
            <w:r>
              <w:rPr>
                <w:rFonts w:hint="eastAsia" w:ascii="宋体" w:hAnsi="宋体" w:eastAsia="宋体" w:cs="宋体"/>
                <w:color w:val="000000"/>
                <w:sz w:val="24"/>
                <w:highlight w:val="none"/>
                <w:u w:val="none"/>
              </w:rPr>
              <w:t>分）</w:t>
            </w:r>
          </w:p>
        </w:tc>
        <w:tc>
          <w:tcPr>
            <w:tcW w:w="4343" w:type="pct"/>
            <w:gridSpan w:val="3"/>
            <w:tcBorders>
              <w:top w:val="single" w:color="auto" w:sz="4" w:space="0"/>
              <w:left w:val="single" w:color="auto" w:sz="4" w:space="0"/>
              <w:bottom w:val="single" w:color="auto" w:sz="4" w:space="0"/>
              <w:right w:val="single" w:color="auto" w:sz="4" w:space="0"/>
            </w:tcBorders>
            <w:noWrap w:val="0"/>
            <w:vAlign w:val="center"/>
          </w:tcPr>
          <w:p w14:paraId="52BDA295">
            <w:pPr>
              <w:spacing w:line="360" w:lineRule="auto"/>
              <w:ind w:left="0" w:leftChars="0" w:firstLine="0" w:firstLineChars="0"/>
              <w:jc w:val="left"/>
              <w:rPr>
                <w:rFonts w:hint="eastAsia" w:ascii="宋体" w:hAnsi="宋体" w:eastAsia="宋体" w:cs="宋体"/>
                <w:color w:val="000000"/>
                <w:sz w:val="24"/>
                <w:u w:val="none"/>
              </w:rPr>
            </w:pPr>
            <w:r>
              <w:rPr>
                <w:rFonts w:hint="eastAsia" w:ascii="宋体" w:hAnsi="宋体" w:eastAsia="宋体" w:cs="宋体"/>
                <w:color w:val="000000"/>
                <w:sz w:val="24"/>
                <w:u w:val="none"/>
              </w:rPr>
              <w:t>价格分统一采用低价优先法，即满足</w:t>
            </w:r>
            <w:r>
              <w:rPr>
                <w:rFonts w:hint="eastAsia" w:ascii="宋体" w:hAnsi="宋体" w:eastAsia="宋体" w:cs="宋体"/>
                <w:color w:val="000000"/>
                <w:sz w:val="24"/>
                <w:u w:val="none"/>
                <w:lang w:val="en-US" w:eastAsia="zh-CN"/>
              </w:rPr>
              <w:t>磋商</w:t>
            </w:r>
            <w:r>
              <w:rPr>
                <w:rFonts w:hint="eastAsia" w:ascii="宋体" w:hAnsi="宋体" w:eastAsia="宋体" w:cs="宋体"/>
                <w:color w:val="000000"/>
                <w:sz w:val="24"/>
                <w:u w:val="none"/>
              </w:rPr>
              <w:t>文件要求且最低的报价为评标基准价，其价格分为满分</w:t>
            </w:r>
            <w:r>
              <w:rPr>
                <w:rFonts w:hint="eastAsia" w:cs="宋体"/>
                <w:color w:val="000000"/>
                <w:sz w:val="24"/>
                <w:u w:val="none"/>
                <w:lang w:val="en-US" w:eastAsia="zh-CN"/>
              </w:rPr>
              <w:t>30</w:t>
            </w:r>
            <w:r>
              <w:rPr>
                <w:rFonts w:hint="eastAsia" w:ascii="宋体" w:hAnsi="宋体" w:eastAsia="宋体" w:cs="宋体"/>
                <w:color w:val="000000"/>
                <w:sz w:val="24"/>
                <w:u w:val="none"/>
              </w:rPr>
              <w:t>分。其他</w:t>
            </w:r>
            <w:r>
              <w:rPr>
                <w:rFonts w:hint="eastAsia" w:ascii="宋体" w:hAnsi="宋体" w:eastAsia="宋体" w:cs="宋体"/>
                <w:color w:val="000000"/>
                <w:sz w:val="24"/>
                <w:u w:val="none"/>
                <w:lang w:val="en-US" w:eastAsia="zh-CN"/>
              </w:rPr>
              <w:t>供应商</w:t>
            </w:r>
            <w:r>
              <w:rPr>
                <w:rFonts w:hint="eastAsia" w:ascii="宋体" w:hAnsi="宋体" w:eastAsia="宋体" w:cs="宋体"/>
                <w:color w:val="000000"/>
                <w:sz w:val="24"/>
                <w:u w:val="none"/>
              </w:rPr>
              <w:t>的价格分统一按照下列公式计算：</w:t>
            </w:r>
          </w:p>
          <w:p w14:paraId="26AE4AAA">
            <w:pPr>
              <w:spacing w:line="360" w:lineRule="auto"/>
              <w:ind w:left="0" w:leftChars="0" w:firstLine="0" w:firstLineChars="0"/>
              <w:jc w:val="left"/>
              <w:rPr>
                <w:rFonts w:hint="eastAsia" w:ascii="宋体" w:hAnsi="宋体" w:eastAsia="宋体" w:cs="宋体"/>
                <w:b/>
                <w:bCs/>
                <w:color w:val="000000"/>
                <w:sz w:val="24"/>
                <w:u w:val="none"/>
              </w:rPr>
            </w:pPr>
            <w:r>
              <w:rPr>
                <w:rFonts w:hint="eastAsia" w:ascii="宋体" w:hAnsi="宋体" w:eastAsia="宋体" w:cs="宋体"/>
                <w:color w:val="000000"/>
                <w:sz w:val="24"/>
                <w:u w:val="none"/>
              </w:rPr>
              <w:t>报价得分＝（评标基准价/报价）×</w:t>
            </w:r>
            <w:r>
              <w:rPr>
                <w:rFonts w:hint="eastAsia" w:cs="宋体"/>
                <w:color w:val="000000"/>
                <w:sz w:val="24"/>
                <w:u w:val="none"/>
                <w:lang w:val="en-US" w:eastAsia="zh-CN"/>
              </w:rPr>
              <w:t>30</w:t>
            </w:r>
            <w:r>
              <w:rPr>
                <w:rFonts w:hint="eastAsia" w:ascii="宋体" w:hAnsi="宋体" w:eastAsia="宋体" w:cs="宋体"/>
                <w:color w:val="000000"/>
                <w:sz w:val="24"/>
                <w:u w:val="none"/>
              </w:rPr>
              <w:t>％×100</w:t>
            </w:r>
          </w:p>
        </w:tc>
      </w:tr>
    </w:tbl>
    <w:p w14:paraId="00BBC765">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.3</w:t>
      </w:r>
      <w:r>
        <w:rPr>
          <w:rFonts w:hint="eastAsia" w:asciiTheme="minorEastAsia" w:hAnsiTheme="minorEastAsia" w:eastAsiaTheme="minorEastAsia"/>
          <w:highlight w:val="none"/>
        </w:rPr>
        <w:t>分值汇总</w:t>
      </w:r>
    </w:p>
    <w:p w14:paraId="4C6BC833">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评审委员会</w:t>
      </w:r>
      <w:r>
        <w:rPr>
          <w:rFonts w:asciiTheme="minorEastAsia" w:hAnsiTheme="minorEastAsia" w:eastAsiaTheme="minorEastAsia"/>
          <w:highlight w:val="none"/>
        </w:rPr>
        <w:t>各成员应当独立对每个有效响应的文件进行评价、打分，然后汇总每个</w:t>
      </w:r>
      <w:r>
        <w:rPr>
          <w:rFonts w:hint="eastAsia" w:asciiTheme="minorEastAsia" w:hAnsiTheme="minorEastAsia" w:eastAsiaTheme="minorEastAsia"/>
          <w:highlight w:val="none"/>
        </w:rPr>
        <w:t>供应商</w:t>
      </w:r>
      <w:r>
        <w:rPr>
          <w:rFonts w:asciiTheme="minorEastAsia" w:hAnsiTheme="minorEastAsia" w:eastAsiaTheme="minorEastAsia"/>
          <w:highlight w:val="none"/>
        </w:rPr>
        <w:t>每项评分因素的得分，再取各位评委评分之平均值，四舍五入保留至小数点后两位数，得到该</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的技术资信分。</w:t>
      </w:r>
    </w:p>
    <w:p w14:paraId="0ADDB2D5">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2）将每个</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的技术资信分加上根据上述标准计算出的价格分，即为该</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的综合总得分。</w:t>
      </w:r>
    </w:p>
    <w:p w14:paraId="75CA4F47">
      <w:pPr>
        <w:widowControl/>
        <w:ind w:firstLine="480"/>
        <w:jc w:val="left"/>
        <w:rPr>
          <w:rFonts w:asciiTheme="minorEastAsia" w:hAnsiTheme="minorEastAsia" w:eastAsiaTheme="minorEastAsia"/>
          <w:highlight w:val="none"/>
        </w:rPr>
      </w:pPr>
      <w:r>
        <w:rPr>
          <w:rFonts w:asciiTheme="minorEastAsia" w:hAnsiTheme="minorEastAsia" w:eastAsiaTheme="minorEastAsia"/>
          <w:highlight w:val="none"/>
        </w:rPr>
        <w:br w:type="page"/>
      </w:r>
    </w:p>
    <w:p w14:paraId="0F5273F5">
      <w:pPr>
        <w:spacing w:before="312" w:beforeLines="100"/>
        <w:ind w:left="0" w:leftChars="0" w:firstLine="0" w:firstLineChars="0"/>
        <w:jc w:val="center"/>
        <w:outlineLvl w:val="1"/>
        <w:rPr>
          <w:rFonts w:hint="eastAsia" w:asciiTheme="minorEastAsia" w:hAnsiTheme="minorEastAsia" w:eastAsiaTheme="minorEastAsia"/>
          <w:b/>
          <w:sz w:val="28"/>
          <w:highlight w:val="none"/>
        </w:rPr>
      </w:pPr>
      <w:bookmarkStart w:id="16" w:name="_Toc21411"/>
      <w:r>
        <w:rPr>
          <w:rFonts w:hint="eastAsia" w:asciiTheme="minorEastAsia" w:hAnsiTheme="minorEastAsia" w:eastAsiaTheme="minorEastAsia"/>
          <w:b/>
          <w:sz w:val="28"/>
          <w:highlight w:val="none"/>
        </w:rPr>
        <w:t>第五章  合同</w:t>
      </w:r>
      <w:bookmarkEnd w:id="16"/>
    </w:p>
    <w:p w14:paraId="61D01D33">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outlineLvl w:val="0"/>
        <w:rPr>
          <w:rFonts w:hint="eastAsia" w:ascii="宋体" w:hAnsi="宋体" w:eastAsia="宋体" w:cs="宋体"/>
          <w:sz w:val="44"/>
          <w:szCs w:val="44"/>
          <w:highlight w:val="none"/>
          <w:lang w:eastAsia="zh-CN"/>
        </w:rPr>
      </w:pPr>
      <w:bookmarkStart w:id="17" w:name="_Toc29427"/>
      <w:bookmarkStart w:id="18" w:name="OLE_LINK3"/>
      <w:r>
        <w:rPr>
          <w:rFonts w:hint="eastAsia" w:ascii="宋体" w:hAnsi="宋体" w:eastAsia="宋体" w:cs="宋体"/>
          <w:b/>
          <w:bCs/>
          <w:sz w:val="44"/>
          <w:szCs w:val="44"/>
          <w:highlight w:val="none"/>
          <w:lang w:eastAsia="zh-CN"/>
        </w:rPr>
        <w:t>布草洗涤合同</w:t>
      </w:r>
      <w:bookmarkEnd w:id="17"/>
    </w:p>
    <w:p w14:paraId="40DF1D85">
      <w:pPr>
        <w:pStyle w:val="4"/>
        <w:keepNext w:val="0"/>
        <w:keepLines w:val="0"/>
        <w:pageBreakBefore w:val="0"/>
        <w:widowControl w:val="0"/>
        <w:kinsoku/>
        <w:wordWrap/>
        <w:overflowPunct/>
        <w:topLinePunct w:val="0"/>
        <w:autoSpaceDE/>
        <w:autoSpaceDN/>
        <w:bidi w:val="0"/>
        <w:adjustRightInd/>
        <w:snapToGrid/>
        <w:spacing w:before="68" w:line="219" w:lineRule="auto"/>
        <w:ind w:left="3" w:right="0"/>
        <w:jc w:val="both"/>
        <w:textAlignment w:val="auto"/>
        <w:rPr>
          <w:rFonts w:hint="eastAsia" w:ascii="宋体" w:hAnsi="宋体" w:eastAsia="宋体" w:cs="宋体"/>
          <w:sz w:val="32"/>
          <w:szCs w:val="32"/>
          <w:highlight w:val="none"/>
          <w:lang w:eastAsia="zh-CN"/>
        </w:rPr>
      </w:pPr>
      <w:r>
        <w:rPr>
          <w:rFonts w:hint="eastAsia" w:ascii="宋体" w:hAnsi="宋体" w:eastAsia="宋体" w:cs="宋体"/>
          <w:bCs/>
          <w:spacing w:val="5"/>
          <w:sz w:val="32"/>
          <w:szCs w:val="32"/>
          <w:highlight w:val="none"/>
          <w:lang w:eastAsia="zh-CN"/>
        </w:rPr>
        <w:t>甲方：肥西县庐月又酒店管理有限公司</w:t>
      </w:r>
    </w:p>
    <w:p w14:paraId="21E59A92">
      <w:pPr>
        <w:pStyle w:val="4"/>
        <w:keepNext w:val="0"/>
        <w:keepLines w:val="0"/>
        <w:pageBreakBefore w:val="0"/>
        <w:widowControl w:val="0"/>
        <w:kinsoku/>
        <w:wordWrap/>
        <w:overflowPunct/>
        <w:topLinePunct w:val="0"/>
        <w:autoSpaceDE/>
        <w:autoSpaceDN/>
        <w:bidi w:val="0"/>
        <w:adjustRightInd/>
        <w:snapToGrid/>
        <w:spacing w:before="69" w:line="219" w:lineRule="auto"/>
        <w:ind w:right="0"/>
        <w:jc w:val="both"/>
        <w:textAlignment w:val="auto"/>
        <w:rPr>
          <w:rFonts w:hint="eastAsia" w:ascii="宋体" w:hAnsi="宋体" w:eastAsia="宋体" w:cs="宋体"/>
          <w:sz w:val="32"/>
          <w:szCs w:val="32"/>
          <w:highlight w:val="none"/>
          <w:lang w:eastAsia="zh-CN"/>
        </w:rPr>
      </w:pPr>
      <w:r>
        <w:rPr>
          <w:rFonts w:hint="eastAsia" w:ascii="宋体" w:hAnsi="宋体" w:eastAsia="宋体" w:cs="宋体"/>
          <w:spacing w:val="7"/>
          <w:sz w:val="32"/>
          <w:szCs w:val="32"/>
          <w:highlight w:val="none"/>
          <w:lang w:eastAsia="zh-CN"/>
        </w:rPr>
        <w:t>乙方：</w:t>
      </w:r>
      <w:r>
        <w:rPr>
          <w:rFonts w:hint="eastAsia" w:ascii="宋体" w:hAnsi="宋体" w:eastAsia="宋体" w:cs="宋体"/>
          <w:sz w:val="32"/>
          <w:szCs w:val="32"/>
          <w:highlight w:val="none"/>
          <w:lang w:eastAsia="zh-CN"/>
        </w:rPr>
        <w:t xml:space="preserve"> </w:t>
      </w:r>
    </w:p>
    <w:p w14:paraId="355D6672">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根据《中华人民共和国民法典》及相关法律法规规定，甲乙双方在平等自愿、协商一致的基础上，就乙方为甲方提供布草洗涤服务事宜，达成如下协议，以资共同信守。</w:t>
      </w:r>
    </w:p>
    <w:p w14:paraId="3520E75D">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一、服务地点与期限</w:t>
      </w:r>
    </w:p>
    <w:p w14:paraId="63134F9C">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1.本协议服务地点包括</w:t>
      </w:r>
      <w:r>
        <w:rPr>
          <w:rFonts w:hint="eastAsia" w:ascii="宋体" w:hAnsi="宋体" w:eastAsia="宋体" w:cs="宋体"/>
          <w:sz w:val="32"/>
          <w:szCs w:val="32"/>
          <w:highlight w:val="none"/>
          <w:u w:val="single"/>
          <w:lang w:eastAsia="zh-CN"/>
        </w:rPr>
        <w:t>庐月又省园</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u w:val="single"/>
          <w:lang w:eastAsia="zh-CN"/>
        </w:rPr>
        <w:t>聚星粮驿1953</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u w:val="single"/>
          <w:lang w:val="en-US" w:eastAsia="zh-CN"/>
        </w:rPr>
        <w:t>肥西</w:t>
      </w:r>
      <w:r>
        <w:rPr>
          <w:rFonts w:hint="eastAsia" w:ascii="宋体" w:hAnsi="宋体" w:eastAsia="宋体" w:cs="宋体"/>
          <w:sz w:val="32"/>
          <w:szCs w:val="32"/>
          <w:highlight w:val="none"/>
          <w:u w:val="single"/>
          <w:lang w:eastAsia="zh-CN"/>
        </w:rPr>
        <w:t>党校</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u w:val="single"/>
          <w:lang w:val="en-US" w:eastAsia="zh-CN"/>
        </w:rPr>
        <w:t>山南钓影园</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lang w:eastAsia="zh-CN"/>
        </w:rPr>
        <w:t>，服务期限自______年____月____日起至______年____月____日止。</w:t>
      </w:r>
    </w:p>
    <w:p w14:paraId="03A1E21C">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2.协议期满前30日，经双方协商一致，可续签，但单次及连续续签时长不得超过采购文件有关要求。</w:t>
      </w:r>
    </w:p>
    <w:p w14:paraId="3656251D">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二、布草交接要求</w:t>
      </w:r>
    </w:p>
    <w:p w14:paraId="63B98174">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1.甲方应提供免费停车位，供乙方收送布草的运输车辆停放。</w:t>
      </w:r>
    </w:p>
    <w:p w14:paraId="4263AFF6">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2.甲方需将送洗布草集中至固定地点，按品类分类摆放并核对准确数量，由双方工作人员共同清点确认后，在交接单上签字留存。</w:t>
      </w:r>
    </w:p>
    <w:p w14:paraId="18314F20">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3.乙方收接布草时，若发现甲方送洗物因使用不当出现非正常严重污损、损坏、染色、褪色、缩水等情况，有权提出拒收。若甲方仍要求洗涤，需在相关说明上签名确认，洗涤质量不佳及原破损后果由甲方自行承担。</w:t>
      </w:r>
    </w:p>
    <w:p w14:paraId="38E1F658">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4.布草的品种、数量经双方指定人员核对后，在乙方提供的交接单上签名确认，甲乙双方各执一份作为结算凭证；若一方遗失，以另一方留存凭证为准。</w:t>
      </w:r>
    </w:p>
    <w:p w14:paraId="57A523CA">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三、服务交付时限</w:t>
      </w:r>
    </w:p>
    <w:p w14:paraId="6640FAED">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乙方收洗甲方布草后，除特殊情况（如春节休假等）经双方提前协商达成一致意见外，原则上应在 24 小时内完成清洗并送回。</w:t>
      </w:r>
    </w:p>
    <w:p w14:paraId="2C4A0291">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受道路交通影响，送货时效提前或延后 1-3 小时，均视作正常交付。因地震、洪涝等不可抗力引发的损失，乙方无需承担赔偿责任。若停水、停电、停气等不可抗力致使服务无法按时开展，乙方需第一时间告知甲方，双方在保障服务品质基础上协商处置方案。</w:t>
      </w:r>
    </w:p>
    <w:p w14:paraId="16903ACA">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四、费用结算与支付</w:t>
      </w:r>
    </w:p>
    <w:p w14:paraId="164473ED">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洗涤费用按月结算，结算周期为每月 1 日至当月月末。乙方于周期结束后按双方确认的洗涤单价及数量、品类（详见附件）核对账目，及时向甲方开具并交付增值税普通发票。甲方收讫发票后，15 个工作日内付清当期款项。</w:t>
      </w:r>
    </w:p>
    <w:p w14:paraId="7511BE18">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五、乙方收款账户</w:t>
      </w:r>
    </w:p>
    <w:p w14:paraId="37004BC1">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开户名：________________________</w:t>
      </w:r>
    </w:p>
    <w:p w14:paraId="16D57F2E">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开户行：________________________</w:t>
      </w:r>
    </w:p>
    <w:p w14:paraId="6E28E604">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银行账号：________________________</w:t>
      </w:r>
    </w:p>
    <w:p w14:paraId="4D8C5E74">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六、布草跟踪管理</w:t>
      </w:r>
    </w:p>
    <w:p w14:paraId="17E0F0FD">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甲方新投入使用的布草，由乙方在布件上加盖投放日期标识，用于跟踪布件使用寿命，作为后续洗损等情况的赔偿核算的依据。</w:t>
      </w:r>
    </w:p>
    <w:p w14:paraId="5CA604A0">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七、布草损坏与遗失赔偿</w:t>
      </w:r>
    </w:p>
    <w:p w14:paraId="30737A6A">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保用期内的布草因乙方洗涤操作不当造成损坏的，按乙方加盖的投放日期为依据计算赔偿，公式为：赔偿价格 = 该布件市场价 × 对应赔偿比例。</w:t>
      </w:r>
    </w:p>
    <w:p w14:paraId="23523D57">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赔偿比例标准：</w:t>
      </w:r>
    </w:p>
    <w:p w14:paraId="4B7EF721">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客房 TC 布料、毛巾类及餐饮化纤质布料，新布草累计使用 3 个月内，按市场价 100% 赔偿；</w:t>
      </w:r>
    </w:p>
    <w:p w14:paraId="23772DA6">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3-6 个月内，按市场价 80% 赔偿；</w:t>
      </w:r>
    </w:p>
    <w:p w14:paraId="2EF15EFF">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7-12 个月内，按市场价 60% 赔偿；</w:t>
      </w:r>
    </w:p>
    <w:p w14:paraId="36C52A03">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13-18 个月内，按市场价 40% 赔偿；</w:t>
      </w:r>
    </w:p>
    <w:p w14:paraId="1A8DF586">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使用 18 个月后损坏，乙方不予赔偿；若发生丢失，按采购价 30% 赔付。</w:t>
      </w:r>
    </w:p>
    <w:p w14:paraId="3C6E5707">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布草已超过保用期或因甲方原因未加盖乙方投放日期标识的，乙方对损坏或遗失不承担赔偿责任。</w:t>
      </w:r>
    </w:p>
    <w:p w14:paraId="4EE17669">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八、责任免除条款</w:t>
      </w:r>
    </w:p>
    <w:p w14:paraId="62949A19">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因洗涤行业特性，衣物在使用和洗涤过程中存在自然质量损耗，非因乙方原因导致下列情形，乙方不承担以下责任：</w:t>
      </w:r>
    </w:p>
    <w:p w14:paraId="647B7B43">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送洗衣物的自然褪色、缩水、纽扣丢失；</w:t>
      </w:r>
    </w:p>
    <w:p w14:paraId="6A261B88">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衣物内财物丢失、自然霉烂；</w:t>
      </w:r>
    </w:p>
    <w:p w14:paraId="7081F2DF">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无法清除的固有污染物；</w:t>
      </w:r>
    </w:p>
    <w:p w14:paraId="226C2191">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衣物本身劣质、变形、开线等自身质量问题。</w:t>
      </w:r>
    </w:p>
    <w:p w14:paraId="5334D42B">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若因乙方在洗涤、搬运过程中操作不当造成衣物损坏、染色、丢失，按本协议第七条约定计赔。</w:t>
      </w:r>
    </w:p>
    <w:p w14:paraId="2A943B64">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九、协议终止</w:t>
      </w:r>
    </w:p>
    <w:p w14:paraId="545AD7A9">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甲乙双方任何一方需终止合作的，应提前 15 日以书面形式通知对方，经双方协商一致，在结清所有款项、交接完布草后，本协议终止。</w:t>
      </w:r>
    </w:p>
    <w:p w14:paraId="75E24A5B">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十、卫生与环保要求</w:t>
      </w:r>
    </w:p>
    <w:p w14:paraId="169C7BC8">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乙方使用的洗涤用品需符合国家卫生及环保标准，严格遵照卫生程序进行消毒，收送布草过程中使用专用包装布封装。</w:t>
      </w:r>
    </w:p>
    <w:p w14:paraId="389B7AED">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十一、争议解决</w:t>
      </w:r>
    </w:p>
    <w:p w14:paraId="75BE6809">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本协议履行过程中发生的纠纷，双方应优先协商解决；协商不成的，任何一方均有权向肥西县人民法院提起诉讼。</w:t>
      </w:r>
    </w:p>
    <w:p w14:paraId="13D1F9AE">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本协议一式肆份，甲方执叁份，乙方执壹份，由甲乙双方法定代表人或其授权代表签名并加盖公章后正式生效，具有同等法律效力。</w:t>
      </w:r>
    </w:p>
    <w:p w14:paraId="442EAB3D">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十二、甲方免责退出机制</w:t>
      </w:r>
    </w:p>
    <w:p w14:paraId="6960A299">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1.若乙方出现下列严重洗涤质量问题或严重违约行为之一的，甲方有权立即单方解除本协议，且不承担任何违约责任、不支付任何违约金或补偿金，并有权要求乙方赔偿全部损失：</w:t>
      </w:r>
    </w:p>
    <w:p w14:paraId="7FBAC579">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（1）单次交付的布草中，30% 以上存在未洗净、发黄、发灰、异味、严重褶皱、变形、破损、染色等质量问题，经甲方书面通知后3 日内未整改合格；</w:t>
      </w:r>
    </w:p>
    <w:p w14:paraId="16F30AF6">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（2）连续 3 次交付的布草均存在明显质量问题，影响甲方正常经营；</w:t>
      </w:r>
    </w:p>
    <w:p w14:paraId="7B7DC080">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（3）因乙方洗涤原因导致布草批量损坏、染色或丢失，单次损失金额超过5000 元；</w:t>
      </w:r>
    </w:p>
    <w:p w14:paraId="7FF3F229">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（4）乙方使用不合格洗涤用品、未按国家卫生标准消毒，导致甲方布草卫生不达标或引发客诉、舆情；</w:t>
      </w:r>
    </w:p>
    <w:p w14:paraId="42E2CC3D">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（5）乙方擅自将甲方布草转交第三方洗涤、分包或转包本合同义务；</w:t>
      </w:r>
    </w:p>
    <w:p w14:paraId="4929167F">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（6）乙方无正当理由逾期送回布草超过 24 小时，严重影响甲方运营。</w:t>
      </w:r>
    </w:p>
    <w:p w14:paraId="73943F80">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2.甲方依据本条解除本协议的，仅需向乙方发出书面解除通知，通知送达之日起协议立即终止，甲方无需提前 15 日通知。</w:t>
      </w:r>
    </w:p>
    <w:p w14:paraId="2D9AF5D8">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3.协议解除后，双方应在3 日内结清已发生的洗涤费用、完成剩余布草交接；乙方应立即返还甲方所有未洗涤及已洗涤未交付的布草，逾期返还的，按每日1000 元向甲方支付违约金。</w:t>
      </w:r>
    </w:p>
    <w:p w14:paraId="28B76ECC">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4.因乙方本条所列行为导致甲方解除协议的，乙方应赔偿甲方因此遭受的全部直接损失与间接损失（包括但不限于布草重置费、客诉赔偿、品牌损失、停业损失等）。</w:t>
      </w:r>
    </w:p>
    <w:p w14:paraId="1714E70E">
      <w:pPr>
        <w:pStyle w:val="4"/>
        <w:keepNext w:val="0"/>
        <w:keepLines w:val="0"/>
        <w:pageBreakBefore w:val="0"/>
        <w:widowControl w:val="0"/>
        <w:kinsoku/>
        <w:wordWrap/>
        <w:overflowPunct/>
        <w:topLinePunct w:val="0"/>
        <w:autoSpaceDE/>
        <w:autoSpaceDN/>
        <w:bidi w:val="0"/>
        <w:adjustRightInd/>
        <w:snapToGrid/>
        <w:spacing w:before="105" w:line="360" w:lineRule="auto"/>
        <w:ind w:right="0" w:firstLine="640" w:firstLineChars="200"/>
        <w:jc w:val="both"/>
        <w:textAlignment w:val="auto"/>
        <w:rPr>
          <w:rFonts w:hint="eastAsia" w:ascii="宋体" w:hAnsi="宋体" w:eastAsia="宋体" w:cs="宋体"/>
          <w:sz w:val="32"/>
          <w:szCs w:val="32"/>
          <w:highlight w:val="none"/>
          <w:lang w:eastAsia="zh-CN"/>
        </w:rPr>
      </w:pPr>
    </w:p>
    <w:p w14:paraId="08417E41">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 xml:space="preserve">甲方（盖章）：                   乙方（盖章）：                         </w:t>
      </w:r>
    </w:p>
    <w:p w14:paraId="5EBB2C59">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法人 / 授权代表（签字）：        法人 / 授权代表（签字）：</w:t>
      </w:r>
    </w:p>
    <w:p w14:paraId="23B81E08">
      <w:pPr>
        <w:pStyle w:val="4"/>
        <w:keepNext w:val="0"/>
        <w:keepLines w:val="0"/>
        <w:pageBreakBefore w:val="0"/>
        <w:widowControl w:val="0"/>
        <w:kinsoku/>
        <w:wordWrap/>
        <w:overflowPunct/>
        <w:topLinePunct w:val="0"/>
        <w:autoSpaceDE/>
        <w:autoSpaceDN/>
        <w:bidi w:val="0"/>
        <w:adjustRightInd/>
        <w:snapToGrid/>
        <w:spacing w:before="105" w:line="360" w:lineRule="auto"/>
        <w:ind w:right="0"/>
        <w:jc w:val="both"/>
        <w:textAlignment w:val="auto"/>
        <w:rPr>
          <w:rFonts w:hint="eastAsia" w:ascii="宋体" w:hAnsi="宋体" w:eastAsia="宋体" w:cs="宋体"/>
          <w:sz w:val="25"/>
          <w:szCs w:val="25"/>
          <w:highlight w:val="none"/>
          <w:lang w:eastAsia="zh-CN"/>
        </w:rPr>
      </w:pPr>
      <w:r>
        <w:rPr>
          <w:rFonts w:hint="eastAsia" w:ascii="宋体" w:hAnsi="宋体" w:eastAsia="宋体" w:cs="宋体"/>
          <w:sz w:val="30"/>
          <w:szCs w:val="30"/>
          <w:highlight w:val="none"/>
          <w:lang w:eastAsia="zh-CN"/>
        </w:rPr>
        <w:t xml:space="preserve">签订日期：                       签订日期：   </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shd w:val="clear" w:color="auto" w:fill="FFFFFF"/>
          <w:lang w:eastAsia="zh-CN"/>
        </w:rPr>
        <w:t xml:space="preserve">    </w:t>
      </w:r>
    </w:p>
    <w:p w14:paraId="60C8505E">
      <w:pPr>
        <w:widowControl/>
        <w:spacing w:line="240" w:lineRule="auto"/>
        <w:ind w:firstLine="0" w:firstLineChars="0"/>
        <w:jc w:val="left"/>
        <w:rPr>
          <w:rFonts w:cs="宋体"/>
          <w:b/>
          <w:bCs/>
          <w:kern w:val="2"/>
          <w:sz w:val="32"/>
          <w:szCs w:val="40"/>
          <w:highlight w:val="none"/>
        </w:rPr>
      </w:pPr>
    </w:p>
    <w:p w14:paraId="47FC095D">
      <w:pPr>
        <w:widowControl/>
        <w:spacing w:line="240" w:lineRule="auto"/>
        <w:ind w:firstLine="0" w:firstLineChars="0"/>
        <w:jc w:val="left"/>
        <w:rPr>
          <w:rFonts w:cs="宋体"/>
          <w:b/>
          <w:bCs/>
          <w:kern w:val="2"/>
          <w:sz w:val="32"/>
          <w:szCs w:val="40"/>
          <w:highlight w:val="none"/>
        </w:rPr>
      </w:pPr>
      <w:r>
        <w:rPr>
          <w:rFonts w:hint="eastAsia" w:cs="宋体"/>
          <w:b/>
          <w:bCs/>
          <w:kern w:val="2"/>
          <w:sz w:val="32"/>
          <w:szCs w:val="40"/>
          <w:highlight w:val="none"/>
        </w:rPr>
        <w:br w:type="page"/>
      </w:r>
    </w:p>
    <w:bookmarkEnd w:id="18"/>
    <w:p w14:paraId="53C06F3E">
      <w:pPr>
        <w:spacing w:before="312" w:beforeLines="100"/>
        <w:ind w:left="0" w:leftChars="0" w:firstLine="0" w:firstLineChars="0"/>
        <w:jc w:val="center"/>
        <w:outlineLvl w:val="1"/>
        <w:rPr>
          <w:rFonts w:hint="eastAsia" w:asciiTheme="minorEastAsia" w:hAnsiTheme="minorEastAsia" w:eastAsiaTheme="minorEastAsia"/>
          <w:b/>
          <w:sz w:val="28"/>
          <w:highlight w:val="none"/>
        </w:rPr>
      </w:pPr>
      <w:bookmarkStart w:id="19" w:name="_Toc1627"/>
      <w:r>
        <w:rPr>
          <w:rFonts w:hint="eastAsia" w:asciiTheme="minorEastAsia" w:hAnsiTheme="minorEastAsia" w:eastAsiaTheme="minorEastAsia"/>
          <w:b/>
          <w:sz w:val="28"/>
          <w:highlight w:val="none"/>
        </w:rPr>
        <w:t>第六章  响应文件格式</w:t>
      </w:r>
      <w:bookmarkEnd w:id="19"/>
    </w:p>
    <w:p w14:paraId="6EBA571B">
      <w:pPr>
        <w:spacing w:line="900" w:lineRule="exact"/>
        <w:ind w:firstLine="723"/>
        <w:jc w:val="center"/>
        <w:rPr>
          <w:rFonts w:hint="eastAsia" w:asciiTheme="minorEastAsia" w:hAnsiTheme="minorEastAsia" w:eastAsiaTheme="minorEastAsia"/>
          <w:b/>
          <w:sz w:val="36"/>
          <w:szCs w:val="21"/>
          <w:highlight w:val="none"/>
          <w:lang w:eastAsia="zh-CN"/>
        </w:rPr>
      </w:pPr>
      <w:r>
        <w:rPr>
          <w:rFonts w:hint="eastAsia" w:asciiTheme="minorEastAsia" w:hAnsiTheme="minorEastAsia" w:eastAsiaTheme="minorEastAsia"/>
          <w:b/>
          <w:sz w:val="36"/>
          <w:szCs w:val="21"/>
          <w:highlight w:val="none"/>
          <w:lang w:eastAsia="zh-CN"/>
        </w:rPr>
        <w:t>布草洗涤服务供应商采购项目</w:t>
      </w:r>
    </w:p>
    <w:p w14:paraId="1683C4A6">
      <w:pPr>
        <w:spacing w:line="900" w:lineRule="exact"/>
        <w:ind w:firstLine="1446"/>
        <w:jc w:val="center"/>
        <w:rPr>
          <w:rFonts w:asciiTheme="minorEastAsia" w:hAnsiTheme="minorEastAsia" w:eastAsiaTheme="minorEastAsia"/>
          <w:b/>
          <w:sz w:val="72"/>
          <w:highlight w:val="none"/>
        </w:rPr>
      </w:pPr>
    </w:p>
    <w:p w14:paraId="00248EF9">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4D36B184">
      <w:pPr>
        <w:spacing w:line="900" w:lineRule="exact"/>
        <w:ind w:firstLine="1446"/>
        <w:jc w:val="center"/>
        <w:rPr>
          <w:rFonts w:asciiTheme="minorEastAsia" w:hAnsiTheme="minorEastAsia" w:eastAsiaTheme="minorEastAsia"/>
          <w:b/>
          <w:sz w:val="72"/>
          <w:highlight w:val="none"/>
        </w:rPr>
      </w:pPr>
    </w:p>
    <w:p w14:paraId="70534965">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61E284D4">
      <w:pPr>
        <w:spacing w:line="900" w:lineRule="exact"/>
        <w:ind w:firstLine="1446"/>
        <w:jc w:val="center"/>
        <w:rPr>
          <w:rFonts w:asciiTheme="minorEastAsia" w:hAnsiTheme="minorEastAsia" w:eastAsiaTheme="minorEastAsia"/>
          <w:b/>
          <w:sz w:val="72"/>
          <w:highlight w:val="none"/>
        </w:rPr>
      </w:pPr>
    </w:p>
    <w:p w14:paraId="255775B5">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6EFAE1AD">
      <w:pPr>
        <w:spacing w:line="900" w:lineRule="exact"/>
        <w:ind w:firstLine="1446"/>
        <w:jc w:val="center"/>
        <w:rPr>
          <w:rFonts w:asciiTheme="minorEastAsia" w:hAnsiTheme="minorEastAsia" w:eastAsiaTheme="minorEastAsia"/>
          <w:b/>
          <w:sz w:val="72"/>
          <w:highlight w:val="none"/>
        </w:rPr>
      </w:pPr>
    </w:p>
    <w:p w14:paraId="337FB6FE">
      <w:pPr>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73E9CB13">
      <w:pPr>
        <w:spacing w:after="156" w:afterLines="50"/>
        <w:ind w:firstLine="1446"/>
        <w:jc w:val="center"/>
        <w:rPr>
          <w:rFonts w:asciiTheme="minorEastAsia" w:hAnsiTheme="minorEastAsia" w:eastAsiaTheme="minorEastAsia"/>
          <w:b/>
          <w:sz w:val="72"/>
          <w:highlight w:val="none"/>
        </w:rPr>
      </w:pPr>
    </w:p>
    <w:p w14:paraId="48A1C0EB">
      <w:pPr>
        <w:spacing w:after="156" w:afterLines="50" w:line="500" w:lineRule="exact"/>
        <w:ind w:firstLine="562"/>
        <w:jc w:val="center"/>
        <w:rPr>
          <w:rFonts w:asciiTheme="minorEastAsia" w:hAnsiTheme="minorEastAsia" w:eastAsiaTheme="minorEastAsia"/>
          <w:b/>
          <w:sz w:val="28"/>
          <w:szCs w:val="28"/>
          <w:highlight w:val="none"/>
        </w:rPr>
      </w:pPr>
    </w:p>
    <w:p w14:paraId="2B5EB60D">
      <w:pPr>
        <w:spacing w:after="156" w:afterLines="50" w:line="500" w:lineRule="exact"/>
        <w:ind w:firstLine="1446"/>
        <w:jc w:val="center"/>
        <w:rPr>
          <w:rFonts w:asciiTheme="minorEastAsia" w:hAnsiTheme="minorEastAsia" w:eastAsiaTheme="minorEastAsia"/>
          <w:b/>
          <w:sz w:val="72"/>
          <w:highlight w:val="none"/>
        </w:rPr>
      </w:pPr>
    </w:p>
    <w:p w14:paraId="6927830C">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w:t>
      </w:r>
      <w:r>
        <w:rPr>
          <w:rFonts w:hint="eastAsia" w:asciiTheme="minorEastAsia" w:hAnsiTheme="minorEastAsia" w:eastAsiaTheme="minorEastAsia"/>
          <w:b/>
          <w:sz w:val="32"/>
          <w:highlight w:val="none"/>
          <w:u w:val="single"/>
        </w:rPr>
        <w:t xml:space="preserve">               </w:t>
      </w:r>
    </w:p>
    <w:p w14:paraId="56CEA33E">
      <w:pPr>
        <w:spacing w:after="156" w:afterLines="50" w:line="500" w:lineRule="exact"/>
        <w:ind w:firstLine="643"/>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41898BC5">
      <w:pPr>
        <w:widowControl/>
        <w:ind w:firstLine="562"/>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3EF05FF">
      <w:pPr>
        <w:ind w:firstLine="482"/>
        <w:jc w:val="center"/>
        <w:outlineLvl w:val="2"/>
        <w:rPr>
          <w:rFonts w:asciiTheme="minorEastAsia" w:hAnsiTheme="minorEastAsia" w:eastAsiaTheme="minorEastAsia"/>
          <w:b/>
          <w:highlight w:val="none"/>
        </w:rPr>
      </w:pPr>
      <w:bookmarkStart w:id="20" w:name="_Toc461056631"/>
      <w:bookmarkStart w:id="21" w:name="_Toc461053086"/>
      <w:bookmarkStart w:id="22" w:name="_Toc520983587"/>
      <w:r>
        <w:rPr>
          <w:rFonts w:hint="eastAsia" w:asciiTheme="minorEastAsia" w:hAnsiTheme="minorEastAsia" w:eastAsiaTheme="minorEastAsia"/>
          <w:b/>
          <w:highlight w:val="none"/>
        </w:rPr>
        <w:t>一</w:t>
      </w:r>
      <w:bookmarkEnd w:id="20"/>
      <w:bookmarkEnd w:id="21"/>
      <w:r>
        <w:rPr>
          <w:rFonts w:hint="eastAsia" w:asciiTheme="minorEastAsia" w:hAnsiTheme="minorEastAsia" w:eastAsiaTheme="minorEastAsia"/>
          <w:b/>
          <w:highlight w:val="none"/>
        </w:rPr>
        <w:t>、报价表格式</w:t>
      </w:r>
      <w:bookmarkEnd w:id="22"/>
    </w:p>
    <w:p w14:paraId="45819377">
      <w:pPr>
        <w:spacing w:before="156" w:beforeLines="50" w:after="156" w:afterLines="50"/>
        <w:ind w:firstLine="482"/>
        <w:jc w:val="left"/>
        <w:rPr>
          <w:rFonts w:cs="@仿宋_GB2312" w:asciiTheme="minorEastAsia" w:hAnsiTheme="minorEastAsia" w:eastAsiaTheme="minorEastAsia"/>
          <w:b/>
          <w:kern w:val="2"/>
          <w:szCs w:val="24"/>
          <w:highlight w:val="none"/>
        </w:rPr>
      </w:pPr>
      <w:r>
        <w:rPr>
          <w:rFonts w:hint="eastAsia" w:cs="@仿宋_GB2312" w:asciiTheme="minorEastAsia" w:hAnsiTheme="minorEastAsia" w:eastAsiaTheme="minorEastAsia"/>
          <w:b/>
          <w:kern w:val="2"/>
          <w:szCs w:val="24"/>
          <w:highlight w:val="none"/>
        </w:rPr>
        <w:t>1-1 报价表</w:t>
      </w:r>
    </w:p>
    <w:p w14:paraId="2F9621DA">
      <w:pPr>
        <w:snapToGrid w:val="0"/>
        <w:ind w:firstLine="482"/>
        <w:jc w:val="left"/>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项目名称：</w:t>
      </w:r>
      <w:r>
        <w:rPr>
          <w:rFonts w:hint="eastAsia" w:cs="宋体" w:asciiTheme="minorEastAsia" w:hAnsiTheme="minorEastAsia" w:eastAsiaTheme="minorEastAsia"/>
          <w:b/>
          <w:kern w:val="2"/>
          <w:szCs w:val="24"/>
          <w:highlight w:val="none"/>
          <w:u w:val="single"/>
        </w:rPr>
        <w:t xml:space="preserve"> </w:t>
      </w:r>
      <w:r>
        <w:rPr>
          <w:rFonts w:hint="eastAsia" w:cs="宋体" w:asciiTheme="minorEastAsia" w:hAnsiTheme="minorEastAsia" w:eastAsiaTheme="minorEastAsia"/>
          <w:b/>
          <w:kern w:val="2"/>
          <w:szCs w:val="24"/>
          <w:highlight w:val="none"/>
          <w:u w:val="single"/>
          <w:lang w:eastAsia="zh-CN"/>
        </w:rPr>
        <w:t>布草洗涤服务供应商采购项目</w:t>
      </w:r>
      <w:r>
        <w:rPr>
          <w:rFonts w:hint="eastAsia" w:cs="宋体" w:asciiTheme="minorEastAsia" w:hAnsiTheme="minorEastAsia" w:eastAsiaTheme="minorEastAsia"/>
          <w:b/>
          <w:kern w:val="2"/>
          <w:szCs w:val="24"/>
          <w:highlight w:val="none"/>
          <w:u w:val="single"/>
        </w:rPr>
        <w:t xml:space="preserve">    </w:t>
      </w:r>
    </w:p>
    <w:p w14:paraId="1AFDC7A8">
      <w:pPr>
        <w:snapToGrid w:val="0"/>
        <w:spacing w:after="156" w:afterLines="50"/>
        <w:ind w:firstLine="482"/>
        <w:jc w:val="left"/>
        <w:rPr>
          <w:rFonts w:cs="宋体" w:asciiTheme="minorEastAsia" w:hAnsiTheme="minorEastAsia" w:eastAsiaTheme="minorEastAsia"/>
          <w:b/>
          <w:bCs/>
          <w:kern w:val="2"/>
          <w:szCs w:val="24"/>
          <w:highlight w:val="none"/>
          <w:u w:val="single"/>
        </w:rPr>
      </w:pPr>
      <w:r>
        <w:rPr>
          <w:rFonts w:hint="eastAsia" w:cs="宋体" w:asciiTheme="minorEastAsia" w:hAnsiTheme="minorEastAsia" w:eastAsiaTheme="minorEastAsia"/>
          <w:b/>
          <w:kern w:val="2"/>
          <w:szCs w:val="24"/>
          <w:highlight w:val="none"/>
        </w:rPr>
        <w:t>项目编号：</w:t>
      </w:r>
      <w:r>
        <w:rPr>
          <w:rFonts w:hint="eastAsia" w:cs="宋体" w:asciiTheme="minorEastAsia" w:hAnsiTheme="minorEastAsia" w:eastAsiaTheme="minorEastAsia"/>
          <w:b/>
          <w:kern w:val="2"/>
          <w:szCs w:val="24"/>
          <w:highlight w:val="none"/>
          <w:u w:val="single"/>
        </w:rPr>
        <w:t xml:space="preserve"> </w:t>
      </w:r>
      <w:r>
        <w:rPr>
          <w:rFonts w:hint="eastAsia" w:cs="宋体" w:asciiTheme="minorEastAsia" w:hAnsiTheme="minorEastAsia" w:eastAsiaTheme="minorEastAsia"/>
          <w:b/>
          <w:kern w:val="2"/>
          <w:szCs w:val="24"/>
          <w:highlight w:val="none"/>
          <w:u w:val="single"/>
          <w:lang w:eastAsia="zh-CN"/>
        </w:rPr>
        <w:t>2026PHBN289</w:t>
      </w:r>
      <w:r>
        <w:rPr>
          <w:rFonts w:hint="eastAsia" w:cs="宋体" w:asciiTheme="minorEastAsia" w:hAnsiTheme="minorEastAsia" w:eastAsiaTheme="minorEastAsia"/>
          <w:b/>
          <w:kern w:val="2"/>
          <w:szCs w:val="24"/>
          <w:highlight w:val="none"/>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107A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2D29AC6">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供应商名称</w:t>
            </w:r>
          </w:p>
        </w:tc>
        <w:tc>
          <w:tcPr>
            <w:tcW w:w="3558" w:type="pct"/>
            <w:tcBorders>
              <w:left w:val="single" w:color="auto" w:sz="4" w:space="0"/>
            </w:tcBorders>
          </w:tcPr>
          <w:p w14:paraId="0CFF7175">
            <w:pPr>
              <w:ind w:left="0" w:leftChars="0" w:firstLine="0" w:firstLineChars="0"/>
              <w:rPr>
                <w:rFonts w:cs="宋体" w:asciiTheme="minorEastAsia" w:hAnsiTheme="minorEastAsia" w:eastAsiaTheme="minorEastAsia"/>
                <w:b/>
                <w:kern w:val="2"/>
                <w:szCs w:val="24"/>
                <w:highlight w:val="none"/>
              </w:rPr>
            </w:pPr>
          </w:p>
        </w:tc>
      </w:tr>
      <w:tr w14:paraId="4CAC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BB49EAF">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bCs/>
                <w:kern w:val="2"/>
                <w:szCs w:val="24"/>
                <w:highlight w:val="none"/>
              </w:rPr>
              <w:t>磋商</w:t>
            </w:r>
            <w:r>
              <w:rPr>
                <w:rFonts w:hint="eastAsia" w:cs="宋体" w:asciiTheme="minorEastAsia" w:hAnsiTheme="minorEastAsia" w:eastAsiaTheme="minorEastAsia"/>
                <w:b/>
                <w:kern w:val="2"/>
                <w:szCs w:val="24"/>
                <w:highlight w:val="none"/>
              </w:rPr>
              <w:t>范围</w:t>
            </w:r>
          </w:p>
        </w:tc>
        <w:tc>
          <w:tcPr>
            <w:tcW w:w="3558" w:type="pct"/>
            <w:tcBorders>
              <w:left w:val="single" w:color="auto" w:sz="4" w:space="0"/>
            </w:tcBorders>
            <w:vAlign w:val="center"/>
          </w:tcPr>
          <w:p w14:paraId="79965AE5">
            <w:pPr>
              <w:widowControl/>
              <w:ind w:left="0" w:leftChars="0" w:firstLine="0" w:firstLineChars="0"/>
              <w:rPr>
                <w:rFonts w:cs="宋体" w:asciiTheme="minorEastAsia" w:hAnsiTheme="minorEastAsia" w:eastAsiaTheme="minorEastAsia"/>
                <w:b/>
                <w:kern w:val="2"/>
                <w:szCs w:val="24"/>
                <w:highlight w:val="none"/>
              </w:rPr>
            </w:pPr>
            <w:r>
              <w:rPr>
                <w:rFonts w:hint="eastAsia" w:cs="@仿宋_GB2312" w:asciiTheme="minorEastAsia" w:hAnsiTheme="minorEastAsia" w:eastAsiaTheme="minorEastAsia"/>
                <w:kern w:val="2"/>
                <w:szCs w:val="28"/>
                <w:highlight w:val="none"/>
              </w:rPr>
              <w:t>全部</w:t>
            </w:r>
          </w:p>
        </w:tc>
      </w:tr>
      <w:tr w14:paraId="1074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9C31C77">
            <w:pPr>
              <w:ind w:left="0" w:leftChars="0" w:firstLine="0" w:firstLineChars="0"/>
              <w:jc w:val="center"/>
              <w:rPr>
                <w:rFonts w:cs="@仿宋_GB2312"/>
                <w:b/>
                <w:kern w:val="2"/>
                <w:highlight w:val="none"/>
              </w:rPr>
            </w:pPr>
            <w:r>
              <w:rPr>
                <w:rFonts w:hint="eastAsia" w:cs="@仿宋_GB2312"/>
                <w:b/>
                <w:kern w:val="2"/>
                <w:highlight w:val="none"/>
              </w:rPr>
              <w:t>报价</w:t>
            </w:r>
          </w:p>
          <w:p w14:paraId="63BA77F5">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（详见备注说明）</w:t>
            </w:r>
          </w:p>
        </w:tc>
        <w:tc>
          <w:tcPr>
            <w:tcW w:w="3558" w:type="pct"/>
            <w:vAlign w:val="center"/>
          </w:tcPr>
          <w:p w14:paraId="5226C336">
            <w:pPr>
              <w:pStyle w:val="24"/>
              <w:ind w:left="0" w:leftChars="0" w:firstLine="0" w:firstLineChars="0"/>
              <w:rPr>
                <w:rFonts w:hint="default" w:eastAsia="宋体" w:cs="宋体" w:asciiTheme="minorEastAsia" w:hAnsiTheme="minorEastAsia"/>
                <w:b/>
                <w:kern w:val="2"/>
                <w:highlight w:val="none"/>
                <w:u w:val="single"/>
                <w:lang w:val="en-US" w:eastAsia="zh-CN"/>
              </w:rPr>
            </w:pPr>
            <w:r>
              <w:rPr>
                <w:rFonts w:hint="eastAsia" w:cs="宋体" w:asciiTheme="minorEastAsia" w:hAnsiTheme="minorEastAsia"/>
                <w:b/>
                <w:kern w:val="2"/>
                <w:highlight w:val="none"/>
                <w:u w:val="none"/>
                <w:lang w:val="en-US" w:eastAsia="zh-CN"/>
              </w:rPr>
              <w:t>费率：</w:t>
            </w:r>
            <w:r>
              <w:rPr>
                <w:rFonts w:hint="eastAsia" w:cs="宋体" w:asciiTheme="minorEastAsia" w:hAnsiTheme="minorEastAsia"/>
                <w:b/>
                <w:kern w:val="2"/>
                <w:highlight w:val="none"/>
                <w:u w:val="single"/>
                <w:lang w:val="en-US" w:eastAsia="zh-CN"/>
              </w:rPr>
              <w:t xml:space="preserve">        %</w:t>
            </w:r>
          </w:p>
        </w:tc>
      </w:tr>
      <w:tr w14:paraId="6CAB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3462F589">
            <w:pPr>
              <w:snapToGrid w:val="0"/>
              <w:ind w:left="0" w:leftChars="0" w:firstLine="0" w:firstLineChars="0"/>
              <w:jc w:val="center"/>
              <w:rPr>
                <w:rFonts w:cs="宋体" w:asciiTheme="minorEastAsia" w:hAnsiTheme="minorEastAsia" w:eastAsiaTheme="minorEastAsia"/>
                <w:b/>
                <w:strike/>
                <w:kern w:val="2"/>
                <w:szCs w:val="24"/>
                <w:highlight w:val="none"/>
              </w:rPr>
            </w:pPr>
            <w:r>
              <w:rPr>
                <w:rFonts w:hint="eastAsia" w:cs="宋体" w:asciiTheme="minorEastAsia" w:hAnsiTheme="minorEastAsia" w:eastAsiaTheme="minorEastAsia"/>
                <w:b/>
                <w:kern w:val="2"/>
                <w:szCs w:val="24"/>
                <w:highlight w:val="none"/>
              </w:rPr>
              <w:t>服务期限</w:t>
            </w:r>
          </w:p>
        </w:tc>
        <w:tc>
          <w:tcPr>
            <w:tcW w:w="3558" w:type="pct"/>
            <w:vAlign w:val="center"/>
          </w:tcPr>
          <w:p w14:paraId="191F2BC5">
            <w:pPr>
              <w:snapToGrid w:val="0"/>
              <w:ind w:left="0" w:leftChars="0" w:firstLine="0" w:firstLineChars="0"/>
              <w:rPr>
                <w:rFonts w:cs="宋体" w:asciiTheme="minorEastAsia" w:hAnsiTheme="minorEastAsia" w:eastAsiaTheme="minorEastAsia"/>
                <w:b/>
                <w:strike/>
                <w:kern w:val="2"/>
                <w:szCs w:val="24"/>
                <w:highlight w:val="none"/>
              </w:rPr>
            </w:pPr>
          </w:p>
        </w:tc>
      </w:tr>
      <w:tr w14:paraId="1EA4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1FEF162B">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备注说明</w:t>
            </w:r>
          </w:p>
        </w:tc>
        <w:tc>
          <w:tcPr>
            <w:tcW w:w="3558" w:type="pct"/>
          </w:tcPr>
          <w:p w14:paraId="7309C6AD">
            <w:pPr>
              <w:ind w:left="0" w:leftChars="0" w:firstLine="0" w:firstLineChars="0"/>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本项目无二次报价</w:t>
            </w:r>
          </w:p>
        </w:tc>
      </w:tr>
    </w:tbl>
    <w:p w14:paraId="1CE39BA5">
      <w:pPr>
        <w:spacing w:line="440" w:lineRule="exact"/>
        <w:ind w:firstLine="4800" w:firstLineChars="2000"/>
        <w:rPr>
          <w:rFonts w:cs="@仿宋_GB2312"/>
          <w:kern w:val="2"/>
          <w:szCs w:val="24"/>
          <w:highlight w:val="none"/>
          <w:u w:val="single"/>
        </w:rPr>
      </w:pPr>
      <w:r>
        <w:rPr>
          <w:rFonts w:hint="eastAsia" w:cs="@仿宋_GB2312"/>
          <w:kern w:val="2"/>
          <w:szCs w:val="24"/>
          <w:highlight w:val="none"/>
        </w:rPr>
        <w:t>供应商电子签章或公章：</w:t>
      </w:r>
      <w:r>
        <w:rPr>
          <w:rFonts w:hint="eastAsia" w:cs="@仿宋_GB2312"/>
          <w:kern w:val="2"/>
          <w:szCs w:val="24"/>
          <w:highlight w:val="none"/>
          <w:u w:val="single"/>
        </w:rPr>
        <w:t xml:space="preserve">     </w:t>
      </w:r>
      <w:r>
        <w:rPr>
          <w:rFonts w:cs="@仿宋_GB2312"/>
          <w:kern w:val="2"/>
          <w:szCs w:val="24"/>
          <w:highlight w:val="none"/>
          <w:u w:val="single"/>
        </w:rPr>
        <w:t xml:space="preserve">    </w:t>
      </w:r>
      <w:r>
        <w:rPr>
          <w:rFonts w:hint="eastAsia" w:cs="@仿宋_GB2312"/>
          <w:kern w:val="2"/>
          <w:szCs w:val="24"/>
          <w:highlight w:val="none"/>
          <w:u w:val="single"/>
        </w:rPr>
        <w:t xml:space="preserve">    </w:t>
      </w:r>
    </w:p>
    <w:p w14:paraId="3BCCB064">
      <w:pPr>
        <w:spacing w:line="440" w:lineRule="exact"/>
        <w:ind w:firstLine="4800" w:firstLineChars="2000"/>
        <w:rPr>
          <w:rFonts w:cs="@仿宋_GB2312"/>
          <w:kern w:val="2"/>
          <w:szCs w:val="24"/>
          <w:highlight w:val="none"/>
          <w:u w:val="single"/>
        </w:rPr>
      </w:pPr>
      <w:r>
        <w:rPr>
          <w:rFonts w:hint="eastAsia" w:cs="@仿宋_GB2312"/>
          <w:kern w:val="2"/>
          <w:szCs w:val="24"/>
          <w:highlight w:val="none"/>
        </w:rPr>
        <w:t xml:space="preserve">日     </w:t>
      </w:r>
      <w:r>
        <w:rPr>
          <w:rFonts w:cs="@仿宋_GB2312"/>
          <w:kern w:val="2"/>
          <w:szCs w:val="24"/>
          <w:highlight w:val="none"/>
        </w:rPr>
        <w:t xml:space="preserve">    </w:t>
      </w:r>
      <w:r>
        <w:rPr>
          <w:rFonts w:hint="eastAsia" w:cs="@仿宋_GB2312"/>
          <w:kern w:val="2"/>
          <w:szCs w:val="24"/>
          <w:highlight w:val="none"/>
        </w:rPr>
        <w:t xml:space="preserve"> 期：</w:t>
      </w:r>
      <w:r>
        <w:rPr>
          <w:rFonts w:hint="eastAsia" w:cs="@仿宋_GB2312"/>
          <w:kern w:val="2"/>
          <w:szCs w:val="24"/>
          <w:highlight w:val="none"/>
          <w:u w:val="single"/>
        </w:rPr>
        <w:t xml:space="preserve">             </w:t>
      </w:r>
    </w:p>
    <w:p w14:paraId="25E91026">
      <w:pPr>
        <w:adjustRightInd w:val="0"/>
        <w:snapToGrid w:val="0"/>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注：</w:t>
      </w:r>
    </w:p>
    <w:p w14:paraId="2559E04C">
      <w:pPr>
        <w:adjustRightInd w:val="0"/>
        <w:snapToGrid w:val="0"/>
        <w:ind w:firstLine="482"/>
        <w:rPr>
          <w:rFonts w:cs="宋体" w:asciiTheme="minorEastAsia" w:hAnsiTheme="minorEastAsia" w:eastAsiaTheme="minorEastAsia"/>
          <w:kern w:val="2"/>
          <w:szCs w:val="24"/>
          <w:highlight w:val="none"/>
        </w:rPr>
      </w:pPr>
      <w:r>
        <w:rPr>
          <w:rFonts w:hint="eastAsia" w:cs="宋体" w:asciiTheme="minorEastAsia" w:hAnsiTheme="minorEastAsia" w:eastAsiaTheme="minorEastAsia"/>
          <w:b/>
          <w:bCs/>
          <w:kern w:val="2"/>
          <w:szCs w:val="24"/>
          <w:highlight w:val="none"/>
        </w:rPr>
        <w:t>1.本表内容根据磋商文件要求包括了磋商文件要求提供的全部内容的所有费用。</w:t>
      </w:r>
    </w:p>
    <w:p w14:paraId="398CC0A8">
      <w:pPr>
        <w:adjustRightInd w:val="0"/>
        <w:snapToGrid w:val="0"/>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2.特殊事项在备注</w:t>
      </w:r>
      <w:r>
        <w:rPr>
          <w:rFonts w:hint="eastAsia" w:cs="宋体" w:asciiTheme="minorEastAsia" w:hAnsiTheme="minorEastAsia" w:eastAsiaTheme="minorEastAsia"/>
          <w:b/>
          <w:kern w:val="2"/>
          <w:szCs w:val="24"/>
          <w:highlight w:val="none"/>
        </w:rPr>
        <w:t>说明</w:t>
      </w:r>
      <w:r>
        <w:rPr>
          <w:rFonts w:hint="eastAsia" w:cs="宋体" w:asciiTheme="minorEastAsia" w:hAnsiTheme="minorEastAsia" w:eastAsiaTheme="minorEastAsia"/>
          <w:b/>
          <w:bCs/>
          <w:kern w:val="2"/>
          <w:szCs w:val="24"/>
          <w:highlight w:val="none"/>
        </w:rPr>
        <w:t>中注明。</w:t>
      </w:r>
    </w:p>
    <w:p w14:paraId="34FFA600">
      <w:pPr>
        <w:adjustRightInd w:val="0"/>
        <w:snapToGrid w:val="0"/>
        <w:ind w:firstLine="482"/>
        <w:rPr>
          <w:rFonts w:cs="宋体" w:asciiTheme="minorEastAsia" w:hAnsiTheme="minorEastAsia" w:eastAsiaTheme="minorEastAsia"/>
          <w:b/>
          <w:bCs/>
          <w:kern w:val="2"/>
          <w:szCs w:val="24"/>
          <w:highlight w:val="none"/>
        </w:rPr>
      </w:pPr>
      <w:r>
        <w:rPr>
          <w:rFonts w:cs="宋体" w:asciiTheme="minorEastAsia" w:hAnsiTheme="minorEastAsia" w:eastAsiaTheme="minorEastAsia"/>
          <w:b/>
          <w:bCs/>
          <w:kern w:val="2"/>
          <w:szCs w:val="24"/>
          <w:highlight w:val="none"/>
        </w:rPr>
        <w:br w:type="page"/>
      </w:r>
    </w:p>
    <w:p w14:paraId="3EC827F7">
      <w:pPr>
        <w:ind w:firstLine="482"/>
        <w:jc w:val="center"/>
        <w:outlineLvl w:val="2"/>
        <w:rPr>
          <w:rFonts w:cs="宋体"/>
          <w:sz w:val="32"/>
          <w:szCs w:val="32"/>
          <w:highlight w:val="none"/>
        </w:rPr>
      </w:pPr>
      <w:bookmarkStart w:id="23" w:name="_Toc520983591"/>
      <w:r>
        <w:rPr>
          <w:rFonts w:hint="eastAsia" w:asciiTheme="minorEastAsia" w:hAnsiTheme="minorEastAsia" w:eastAsiaTheme="minorEastAsia"/>
          <w:b/>
          <w:highlight w:val="none"/>
        </w:rPr>
        <w:t>二、供应商综合情况简介</w:t>
      </w:r>
    </w:p>
    <w:p w14:paraId="6CA0A5E1">
      <w:pPr>
        <w:spacing w:before="156" w:beforeLines="50" w:after="156" w:afterLines="50"/>
        <w:ind w:firstLine="235" w:firstLineChars="98"/>
        <w:jc w:val="center"/>
        <w:rPr>
          <w:rFonts w:cs="Times New Roman"/>
          <w:szCs w:val="28"/>
          <w:highlight w:val="none"/>
        </w:rPr>
      </w:pPr>
      <w:r>
        <w:rPr>
          <w:rFonts w:hint="eastAsia" w:cs="Times New Roman"/>
          <w:szCs w:val="28"/>
          <w:highlight w:val="none"/>
        </w:rPr>
        <w:t>（</w:t>
      </w:r>
      <w:r>
        <w:rPr>
          <w:rFonts w:hint="eastAsia" w:cs="Times New Roman"/>
          <w:szCs w:val="18"/>
          <w:highlight w:val="none"/>
        </w:rPr>
        <w:t>供应商</w:t>
      </w:r>
      <w:r>
        <w:rPr>
          <w:rFonts w:hint="eastAsia" w:cs="Times New Roman"/>
          <w:szCs w:val="28"/>
          <w:highlight w:val="none"/>
        </w:rPr>
        <w:t>可自行制作格式）</w:t>
      </w:r>
    </w:p>
    <w:p w14:paraId="7153DEA5">
      <w:pPr>
        <w:widowControl/>
        <w:ind w:firstLine="482"/>
        <w:jc w:val="left"/>
        <w:rPr>
          <w:rFonts w:asciiTheme="minorEastAsia" w:hAnsiTheme="minorEastAsia" w:eastAsiaTheme="minorEastAsia"/>
          <w:b/>
          <w:highlight w:val="none"/>
        </w:rPr>
      </w:pPr>
    </w:p>
    <w:p w14:paraId="3A703642">
      <w:pPr>
        <w:widowControl/>
        <w:ind w:firstLine="482"/>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p w14:paraId="7B6E8A52">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三、磋商响应函</w:t>
      </w:r>
    </w:p>
    <w:p w14:paraId="77E75B6C">
      <w:pPr>
        <w:ind w:left="0" w:leftChars="0" w:firstLine="0" w:firstLineChars="0"/>
        <w:rPr>
          <w:rFonts w:hint="eastAsia" w:cs="宋体" w:asciiTheme="minorEastAsia" w:hAnsiTheme="minorEastAsia" w:eastAsiaTheme="minorEastAsia"/>
          <w:b/>
          <w:kern w:val="2"/>
          <w:szCs w:val="24"/>
          <w:highlight w:val="none"/>
          <w:u w:val="single"/>
          <w:lang w:eastAsia="zh-CN"/>
        </w:rPr>
      </w:pPr>
      <w:r>
        <w:rPr>
          <w:rFonts w:hint="eastAsia" w:cs="宋体" w:asciiTheme="minorEastAsia" w:hAnsiTheme="minorEastAsia" w:eastAsiaTheme="minorEastAsia"/>
          <w:b/>
          <w:kern w:val="2"/>
          <w:szCs w:val="24"/>
          <w:highlight w:val="none"/>
        </w:rPr>
        <w:t>致：</w:t>
      </w:r>
      <w:r>
        <w:rPr>
          <w:rFonts w:hint="eastAsia" w:cs="宋体" w:asciiTheme="minorEastAsia" w:hAnsiTheme="minorEastAsia" w:eastAsiaTheme="minorEastAsia"/>
          <w:b/>
          <w:kern w:val="2"/>
          <w:szCs w:val="24"/>
          <w:highlight w:val="none"/>
          <w:u w:val="single"/>
          <w:lang w:eastAsia="zh-CN"/>
        </w:rPr>
        <w:t>肥西县庐月又酒店管理有限公司</w:t>
      </w:r>
    </w:p>
    <w:p w14:paraId="161CA397">
      <w:pPr>
        <w:ind w:left="0" w:leftChars="0" w:firstLine="482" w:firstLineChars="200"/>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u w:val="single"/>
        </w:rPr>
        <w:t>肥西县公共资源交易有限责任公司</w:t>
      </w:r>
    </w:p>
    <w:p w14:paraId="47EA8898">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根据贵方的磋商文件，我方承诺如下：</w:t>
      </w:r>
    </w:p>
    <w:p w14:paraId="09B3AE6F">
      <w:pPr>
        <w:ind w:firstLine="480"/>
        <w:rPr>
          <w:rFonts w:cs="宋体" w:asciiTheme="minorEastAsia" w:hAnsiTheme="minorEastAsia" w:eastAsiaTheme="minorEastAsia"/>
          <w:kern w:val="2"/>
          <w:szCs w:val="24"/>
          <w:highlight w:val="none"/>
          <w:u w:val="single"/>
        </w:rPr>
      </w:pPr>
      <w:r>
        <w:rPr>
          <w:rFonts w:hint="eastAsia" w:cs="宋体" w:asciiTheme="minorEastAsia" w:hAnsiTheme="minorEastAsia" w:eastAsiaTheme="minorEastAsia"/>
          <w:kern w:val="2"/>
          <w:szCs w:val="24"/>
          <w:highlight w:val="none"/>
        </w:rPr>
        <w:t>1.经踏勘项目现场和研究上述磋商文件的磋商须知、合同条款、业主单位要求及其他有关文件后，我方接受上述文件要求。我方</w:t>
      </w:r>
      <w:r>
        <w:rPr>
          <w:rFonts w:hint="eastAsia" w:cs="宋体" w:asciiTheme="minorEastAsia" w:hAnsiTheme="minorEastAsia" w:eastAsiaTheme="minorEastAsia"/>
          <w:bCs/>
          <w:kern w:val="2"/>
          <w:szCs w:val="24"/>
          <w:highlight w:val="none"/>
        </w:rPr>
        <w:t>承诺按本磋商文件、合同条款和业主单位要求承担上述项目的全部内容。</w:t>
      </w:r>
    </w:p>
    <w:p w14:paraId="05D2876E">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194DCE8F">
      <w:pPr>
        <w:ind w:firstLine="480"/>
        <w:rPr>
          <w:highlight w:val="none"/>
        </w:rPr>
      </w:pPr>
      <w:r>
        <w:rPr>
          <w:rFonts w:hint="eastAsia"/>
          <w:highlight w:val="none"/>
        </w:rPr>
        <w:t>3.如我方成交，我方承诺愿意按磋商文件规定缴纳履约保证金和代理费用。按本次磋商文件规定及</w:t>
      </w:r>
      <w:r>
        <w:rPr>
          <w:rFonts w:cs="宋体"/>
          <w:szCs w:val="24"/>
          <w:highlight w:val="none"/>
        </w:rPr>
        <w:t>最终报价</w:t>
      </w:r>
      <w:r>
        <w:rPr>
          <w:rFonts w:hint="eastAsia"/>
          <w:highlight w:val="none"/>
        </w:rPr>
        <w:t>承诺提供服务。</w:t>
      </w:r>
    </w:p>
    <w:p w14:paraId="6A641869">
      <w:pPr>
        <w:ind w:firstLine="480"/>
        <w:rPr>
          <w:highlight w:val="none"/>
        </w:rPr>
      </w:pPr>
      <w:r>
        <w:rPr>
          <w:rFonts w:hint="eastAsia"/>
          <w:highlight w:val="none"/>
        </w:rPr>
        <w:t>4.我方根据本次磋商文件的规定，严格履行合同的责任和义务</w:t>
      </w:r>
      <w:r>
        <w:rPr>
          <w:highlight w:val="none"/>
        </w:rPr>
        <w:t>,</w:t>
      </w:r>
      <w:r>
        <w:rPr>
          <w:rFonts w:hint="eastAsia"/>
          <w:highlight w:val="none"/>
        </w:rPr>
        <w:t>并保证于你方要求的日期内完成合同规定的全部义务。</w:t>
      </w:r>
    </w:p>
    <w:p w14:paraId="32369450">
      <w:pPr>
        <w:ind w:firstLine="480"/>
        <w:rPr>
          <w:highlight w:val="none"/>
        </w:rPr>
      </w:pPr>
      <w:r>
        <w:rPr>
          <w:rFonts w:hint="eastAsia"/>
          <w:highlight w:val="none"/>
        </w:rPr>
        <w:t>5.我方同意按你方要求在磋商规定时间内向你方提供与其磋商有关的任何证据或补充资料，否则，我方的响应文件可被你方拒绝。</w:t>
      </w:r>
    </w:p>
    <w:p w14:paraId="56B537A6">
      <w:pPr>
        <w:ind w:firstLine="480"/>
        <w:rPr>
          <w:highlight w:val="none"/>
        </w:rPr>
      </w:pPr>
      <w:r>
        <w:rPr>
          <w:rFonts w:hint="eastAsia"/>
          <w:highlight w:val="none"/>
        </w:rPr>
        <w:t>6.我方完全理解你方不一定接受最低报价的磋商。</w:t>
      </w:r>
    </w:p>
    <w:p w14:paraId="217BAE49">
      <w:pPr>
        <w:ind w:firstLine="480"/>
        <w:rPr>
          <w:highlight w:val="none"/>
        </w:rPr>
      </w:pPr>
      <w:r>
        <w:rPr>
          <w:rFonts w:hint="eastAsia"/>
          <w:highlight w:val="none"/>
        </w:rPr>
        <w:t>7.我方同意磋商文件规定的付款方式、服务期限。</w:t>
      </w:r>
    </w:p>
    <w:p w14:paraId="1C769AA9">
      <w:pPr>
        <w:ind w:firstLine="480"/>
        <w:rPr>
          <w:highlight w:val="none"/>
        </w:rPr>
      </w:pPr>
      <w:r>
        <w:rPr>
          <w:rFonts w:hint="eastAsia"/>
          <w:highlight w:val="none"/>
        </w:rPr>
        <w:t>8.我方对响应文件中所提供资料、文件、证书及证件的真实性和有效性负责。</w:t>
      </w:r>
    </w:p>
    <w:p w14:paraId="09B56594">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9.我方同意所提交的响应文件在磋商文件规定的磋商有效期内有效，在此期间内如果成交，我方将受此约束。</w:t>
      </w:r>
    </w:p>
    <w:p w14:paraId="4AFD2A6A">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10.除非另外达成协议并生效，你方的成交通知书和本响应文件以及磋商文件、磋商文件澄清、修改、补充将成为约束双方的合同文件的组成部分。</w:t>
      </w:r>
    </w:p>
    <w:p w14:paraId="46FAA9E8">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11.我方不存在磋商公告中“供应商资格要求”的“不良信用记录情形”规定的任何一种情形。</w:t>
      </w:r>
    </w:p>
    <w:p w14:paraId="5779B378">
      <w:pPr>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12.我方声明下述内容真实有效，如有虚假，将依法承担相应责任：</w:t>
      </w:r>
    </w:p>
    <w:p w14:paraId="0A547133">
      <w:pPr>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与我单位存在单位负责人为同一人或者存在直接控股、管理关系的其他法人单位信息如下：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6FB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B5CB7C">
            <w:pPr>
              <w:widowControl/>
              <w:spacing w:before="156" w:beforeLines="50" w:after="10"/>
              <w:ind w:firstLine="480"/>
              <w:jc w:val="center"/>
              <w:rPr>
                <w:rFonts w:cs="宋体"/>
                <w:color w:val="000000"/>
                <w:szCs w:val="24"/>
                <w:highlight w:val="none"/>
                <w:lang w:bidi="ar"/>
              </w:rPr>
            </w:pPr>
            <w:r>
              <w:rPr>
                <w:rFonts w:hint="eastAsia" w:cs="宋体"/>
                <w:color w:val="000000"/>
                <w:szCs w:val="24"/>
                <w:highlight w:val="none"/>
                <w:lang w:bidi="ar"/>
              </w:rPr>
              <w:t>序号</w:t>
            </w:r>
          </w:p>
        </w:tc>
        <w:tc>
          <w:tcPr>
            <w:tcW w:w="2841" w:type="dxa"/>
          </w:tcPr>
          <w:p w14:paraId="44F34A2B">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单位名称</w:t>
            </w:r>
          </w:p>
        </w:tc>
        <w:tc>
          <w:tcPr>
            <w:tcW w:w="2841" w:type="dxa"/>
          </w:tcPr>
          <w:p w14:paraId="4DB8553E">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相互关系</w:t>
            </w:r>
          </w:p>
        </w:tc>
      </w:tr>
      <w:tr w14:paraId="6D6E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C2F85DD">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1</w:t>
            </w:r>
          </w:p>
        </w:tc>
        <w:tc>
          <w:tcPr>
            <w:tcW w:w="2841" w:type="dxa"/>
          </w:tcPr>
          <w:p w14:paraId="6A4C6D64">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1EEEEB2A">
            <w:pPr>
              <w:pStyle w:val="4"/>
              <w:spacing w:before="156" w:beforeLines="50" w:after="10"/>
              <w:ind w:left="300" w:firstLine="480"/>
              <w:jc w:val="center"/>
              <w:rPr>
                <w:rFonts w:ascii="宋体" w:hAnsi="宋体" w:eastAsia="宋体" w:cs="宋体"/>
                <w:color w:val="000000"/>
                <w:highlight w:val="none"/>
                <w:lang w:val="en-US" w:bidi="ar"/>
              </w:rPr>
            </w:pPr>
          </w:p>
        </w:tc>
      </w:tr>
      <w:tr w14:paraId="2535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964760">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2</w:t>
            </w:r>
          </w:p>
        </w:tc>
        <w:tc>
          <w:tcPr>
            <w:tcW w:w="2841" w:type="dxa"/>
          </w:tcPr>
          <w:p w14:paraId="191392AE">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6D1A29BB">
            <w:pPr>
              <w:pStyle w:val="4"/>
              <w:spacing w:before="156" w:beforeLines="50" w:after="10"/>
              <w:ind w:left="300" w:firstLine="480"/>
              <w:jc w:val="center"/>
              <w:rPr>
                <w:rFonts w:ascii="宋体" w:hAnsi="宋体" w:eastAsia="宋体" w:cs="宋体"/>
                <w:color w:val="000000"/>
                <w:highlight w:val="none"/>
                <w:lang w:val="en-US" w:bidi="ar"/>
              </w:rPr>
            </w:pPr>
          </w:p>
        </w:tc>
      </w:tr>
      <w:tr w14:paraId="6FC9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5E61F5">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41C6E70D">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41ADD0BB">
            <w:pPr>
              <w:pStyle w:val="4"/>
              <w:spacing w:before="156" w:beforeLines="50" w:after="10"/>
              <w:ind w:left="300" w:firstLine="480"/>
              <w:jc w:val="center"/>
              <w:rPr>
                <w:rFonts w:ascii="宋体" w:hAnsi="宋体" w:eastAsia="宋体" w:cs="宋体"/>
                <w:color w:val="000000"/>
                <w:highlight w:val="none"/>
                <w:lang w:val="en-US" w:bidi="ar"/>
              </w:rPr>
            </w:pPr>
          </w:p>
        </w:tc>
      </w:tr>
    </w:tbl>
    <w:p w14:paraId="0FD2F2F6">
      <w:pPr>
        <w:ind w:firstLine="480"/>
        <w:rPr>
          <w:rFonts w:cs="宋体" w:asciiTheme="minorEastAsia" w:hAnsiTheme="minorEastAsia" w:eastAsiaTheme="minorEastAsia"/>
          <w:kern w:val="2"/>
          <w:szCs w:val="24"/>
          <w:highlight w:val="none"/>
        </w:rPr>
      </w:pPr>
    </w:p>
    <w:p w14:paraId="5BE9E719">
      <w:pPr>
        <w:ind w:firstLine="480"/>
        <w:rPr>
          <w:highlight w:val="none"/>
        </w:rPr>
      </w:pPr>
      <w:r>
        <w:rPr>
          <w:rFonts w:cs="宋体" w:asciiTheme="minorEastAsia" w:hAnsiTheme="minorEastAsia" w:eastAsiaTheme="minorEastAsia"/>
          <w:kern w:val="2"/>
          <w:szCs w:val="24"/>
          <w:highlight w:val="none"/>
        </w:rPr>
        <w:t>1</w:t>
      </w:r>
      <w:r>
        <w:rPr>
          <w:rFonts w:hint="eastAsia" w:cs="宋体" w:asciiTheme="minorEastAsia" w:hAnsiTheme="minorEastAsia" w:eastAsiaTheme="minorEastAsia"/>
          <w:kern w:val="2"/>
          <w:szCs w:val="24"/>
          <w:highlight w:val="none"/>
        </w:rPr>
        <w:t>3.其他补充说明：</w:t>
      </w:r>
      <w:r>
        <w:rPr>
          <w:rFonts w:hint="eastAsia" w:cs="宋体" w:asciiTheme="minorEastAsia" w:hAnsiTheme="minorEastAsia" w:eastAsiaTheme="minorEastAsia"/>
          <w:kern w:val="2"/>
          <w:szCs w:val="24"/>
          <w:highlight w:val="none"/>
          <w:u w:val="single"/>
        </w:rPr>
        <w:t xml:space="preserve">             补充说明事项（如有）       </w:t>
      </w:r>
    </w:p>
    <w:p w14:paraId="2939862E">
      <w:pPr>
        <w:pStyle w:val="12"/>
        <w:ind w:firstLine="240"/>
        <w:rPr>
          <w:highlight w:val="none"/>
        </w:rPr>
      </w:pPr>
    </w:p>
    <w:p w14:paraId="0F99EB90">
      <w:pPr>
        <w:ind w:firstLine="4800" w:firstLineChars="2000"/>
        <w:rPr>
          <w:rFonts w:cs="@仿宋_GB2312"/>
          <w:kern w:val="2"/>
          <w:highlight w:val="none"/>
        </w:rPr>
      </w:pPr>
      <w:r>
        <w:rPr>
          <w:rFonts w:hint="eastAsia" w:cs="@仿宋_GB2312"/>
          <w:kern w:val="2"/>
          <w:szCs w:val="24"/>
          <w:highlight w:val="none"/>
        </w:rPr>
        <w:t>供应商电子签章或公章</w:t>
      </w:r>
      <w:r>
        <w:rPr>
          <w:rFonts w:hint="eastAsia" w:cs="@仿宋_GB2312"/>
          <w:kern w:val="2"/>
          <w:highlight w:val="none"/>
        </w:rPr>
        <w:t>：</w:t>
      </w:r>
      <w:r>
        <w:rPr>
          <w:rFonts w:hint="eastAsia" w:cs="@仿宋_GB2312"/>
          <w:kern w:val="2"/>
          <w:highlight w:val="none"/>
          <w:u w:val="single"/>
        </w:rPr>
        <w:t xml:space="preserve">             </w:t>
      </w:r>
    </w:p>
    <w:p w14:paraId="118C0CA5">
      <w:pPr>
        <w:ind w:firstLine="4800" w:firstLineChars="2000"/>
        <w:rPr>
          <w:rFonts w:cs="@仿宋_GB2312"/>
          <w:kern w:val="2"/>
          <w:highlight w:val="none"/>
          <w:u w:val="single"/>
        </w:rPr>
      </w:pPr>
      <w:r>
        <w:rPr>
          <w:rFonts w:hint="eastAsia" w:cs="@仿宋_GB2312"/>
          <w:kern w:val="2"/>
          <w:highlight w:val="none"/>
        </w:rPr>
        <w:t>日          期：</w:t>
      </w:r>
      <w:r>
        <w:rPr>
          <w:rFonts w:hint="eastAsia" w:cs="@仿宋_GB2312"/>
          <w:kern w:val="2"/>
          <w:highlight w:val="none"/>
          <w:u w:val="single"/>
        </w:rPr>
        <w:t xml:space="preserve">             </w:t>
      </w:r>
    </w:p>
    <w:p w14:paraId="097073E1">
      <w:pPr>
        <w:widowControl/>
        <w:ind w:firstLine="480"/>
        <w:jc w:val="left"/>
        <w:rPr>
          <w:highlight w:val="none"/>
        </w:rPr>
      </w:pPr>
      <w:r>
        <w:rPr>
          <w:highlight w:val="none"/>
        </w:rPr>
        <w:br w:type="page"/>
      </w:r>
    </w:p>
    <w:p w14:paraId="7B945041">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四、无不良信用记录声明函</w:t>
      </w:r>
    </w:p>
    <w:p w14:paraId="032F1587">
      <w:pPr>
        <w:ind w:firstLine="480"/>
        <w:jc w:val="center"/>
        <w:rPr>
          <w:szCs w:val="24"/>
          <w:highlight w:val="none"/>
        </w:rPr>
      </w:pPr>
      <w:r>
        <w:rPr>
          <w:rFonts w:hint="eastAsia"/>
          <w:szCs w:val="24"/>
          <w:highlight w:val="none"/>
        </w:rPr>
        <w:t>（联合体参加磋商的，联合体双方均须提供）</w:t>
      </w:r>
    </w:p>
    <w:p w14:paraId="4FB6556B">
      <w:pPr>
        <w:ind w:firstLine="480"/>
        <w:rPr>
          <w:szCs w:val="24"/>
          <w:highlight w:val="none"/>
        </w:rPr>
      </w:pPr>
      <w:r>
        <w:rPr>
          <w:rFonts w:hint="eastAsia"/>
          <w:szCs w:val="24"/>
          <w:highlight w:val="none"/>
        </w:rPr>
        <w:t>1、本单位郑重声明，我单位无以下不良信用记录情形：</w:t>
      </w:r>
    </w:p>
    <w:p w14:paraId="054EEB4E">
      <w:pPr>
        <w:ind w:firstLine="480"/>
        <w:rPr>
          <w:szCs w:val="24"/>
          <w:highlight w:val="none"/>
        </w:rPr>
      </w:pPr>
      <w:r>
        <w:rPr>
          <w:rFonts w:hint="eastAsia"/>
          <w:szCs w:val="24"/>
          <w:highlight w:val="none"/>
        </w:rPr>
        <w:t>（1）在最近三年内（自磋商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34553115">
      <w:pPr>
        <w:ind w:firstLine="480"/>
        <w:rPr>
          <w:szCs w:val="24"/>
          <w:highlight w:val="none"/>
        </w:rPr>
      </w:pPr>
      <w:r>
        <w:rPr>
          <w:rFonts w:hint="eastAsia"/>
          <w:szCs w:val="24"/>
          <w:highlight w:val="none"/>
        </w:rPr>
        <w:t>（2）被责令停业，暂扣或吊销执照，或吊销资质证书；</w:t>
      </w:r>
    </w:p>
    <w:p w14:paraId="0DDA9B82">
      <w:pPr>
        <w:ind w:firstLine="480"/>
        <w:rPr>
          <w:szCs w:val="24"/>
          <w:highlight w:val="none"/>
        </w:rPr>
      </w:pPr>
      <w:r>
        <w:rPr>
          <w:rFonts w:hint="eastAsia"/>
          <w:szCs w:val="24"/>
          <w:highlight w:val="none"/>
        </w:rPr>
        <w:t>（3）进入清算程序，或被宣告破产，或其他丧失履约能力的情形；</w:t>
      </w:r>
    </w:p>
    <w:p w14:paraId="17091F0A">
      <w:pPr>
        <w:ind w:firstLine="480"/>
        <w:rPr>
          <w:szCs w:val="24"/>
          <w:highlight w:val="none"/>
        </w:rPr>
      </w:pPr>
      <w:r>
        <w:rPr>
          <w:rFonts w:hint="eastAsia"/>
          <w:szCs w:val="24"/>
          <w:highlight w:val="none"/>
        </w:rPr>
        <w:t>（4）在国家企业信用信息公示系统（http://www.gsxt.gov.cn/）中被列入严重违法失信企业名单；</w:t>
      </w:r>
    </w:p>
    <w:p w14:paraId="0C104279">
      <w:pPr>
        <w:ind w:firstLine="480"/>
        <w:rPr>
          <w:szCs w:val="24"/>
          <w:highlight w:val="none"/>
        </w:rPr>
      </w:pPr>
      <w:r>
        <w:rPr>
          <w:rFonts w:hint="eastAsia"/>
          <w:szCs w:val="24"/>
          <w:highlight w:val="none"/>
        </w:rPr>
        <w:t>（5）在“信用中国”网站（http://www.creditchina.gov.cn/）中被列入失信被执行人名单；</w:t>
      </w:r>
    </w:p>
    <w:p w14:paraId="63415353">
      <w:pPr>
        <w:ind w:firstLine="480"/>
        <w:rPr>
          <w:szCs w:val="24"/>
          <w:highlight w:val="none"/>
        </w:rPr>
      </w:pPr>
      <w:r>
        <w:rPr>
          <w:rFonts w:hint="eastAsia"/>
          <w:szCs w:val="24"/>
          <w:highlight w:val="none"/>
        </w:rPr>
        <w:t>（6）在“信用中国”网站（http://www.creditchina.gov.cn/）中被列入重大税收违法案件当事人名单；</w:t>
      </w:r>
    </w:p>
    <w:p w14:paraId="34FEEF99">
      <w:pPr>
        <w:ind w:firstLine="480"/>
        <w:rPr>
          <w:szCs w:val="24"/>
          <w:highlight w:val="none"/>
        </w:rPr>
      </w:pPr>
      <w:r>
        <w:rPr>
          <w:rFonts w:hint="eastAsia"/>
          <w:szCs w:val="24"/>
          <w:highlight w:val="none"/>
        </w:rPr>
        <w:t>（7）供应商被设区的市级及以上建设行政主管部门/房屋建筑和市政基础设施工程招标投标活动的监督部门因安全生产责任事故限制本次磋商项目工程所在地或公共资源交易平台所在地承接新的工程项目且在限制期内。</w:t>
      </w:r>
    </w:p>
    <w:p w14:paraId="61079DE1">
      <w:pPr>
        <w:ind w:firstLine="480"/>
        <w:rPr>
          <w:szCs w:val="24"/>
          <w:highlight w:val="none"/>
        </w:rPr>
      </w:pPr>
      <w:r>
        <w:rPr>
          <w:rFonts w:hint="eastAsia"/>
          <w:szCs w:val="24"/>
          <w:highlight w:val="none"/>
        </w:rPr>
        <w:t>本单位对上述声明的真实性负责。如有虚假，将依法承担相应责任。</w:t>
      </w:r>
    </w:p>
    <w:p w14:paraId="5174674A">
      <w:pPr>
        <w:ind w:firstLine="480"/>
        <w:rPr>
          <w:szCs w:val="24"/>
          <w:highlight w:val="none"/>
        </w:rPr>
      </w:pPr>
    </w:p>
    <w:p w14:paraId="7D9E8563">
      <w:pPr>
        <w:ind w:firstLine="560"/>
        <w:jc w:val="right"/>
        <w:rPr>
          <w:sz w:val="28"/>
          <w:szCs w:val="28"/>
          <w:highlight w:val="none"/>
        </w:rPr>
      </w:pPr>
    </w:p>
    <w:p w14:paraId="0750B7A2">
      <w:pPr>
        <w:ind w:left="5280" w:leftChars="2200" w:firstLine="480"/>
        <w:jc w:val="left"/>
        <w:rPr>
          <w:szCs w:val="24"/>
          <w:highlight w:val="none"/>
        </w:rPr>
      </w:pPr>
      <w:r>
        <w:rPr>
          <w:rFonts w:hint="eastAsia"/>
          <w:szCs w:val="24"/>
          <w:highlight w:val="none"/>
        </w:rPr>
        <w:t>供应商电子签章：</w:t>
      </w:r>
      <w:r>
        <w:rPr>
          <w:rFonts w:hint="eastAsia"/>
          <w:szCs w:val="24"/>
          <w:highlight w:val="none"/>
          <w:u w:val="single"/>
          <w:lang w:val="en-US" w:eastAsia="zh-CN"/>
        </w:rPr>
        <w:t xml:space="preserve">        </w:t>
      </w:r>
      <w:r>
        <w:rPr>
          <w:rFonts w:hint="eastAsia"/>
          <w:szCs w:val="24"/>
          <w:highlight w:val="none"/>
        </w:rPr>
        <w:t xml:space="preserve">                     </w:t>
      </w:r>
    </w:p>
    <w:p w14:paraId="2FDF09BA">
      <w:pPr>
        <w:ind w:left="5280" w:leftChars="2200" w:firstLine="480"/>
        <w:jc w:val="left"/>
        <w:rPr>
          <w:rFonts w:asciiTheme="minorEastAsia" w:hAnsiTheme="minorEastAsia" w:eastAsiaTheme="minorEastAsia"/>
          <w:b/>
          <w:highlight w:val="none"/>
        </w:rPr>
      </w:pPr>
      <w:r>
        <w:rPr>
          <w:rFonts w:hint="eastAsia"/>
          <w:szCs w:val="24"/>
          <w:highlight w:val="none"/>
        </w:rPr>
        <w:t>日期：</w:t>
      </w:r>
      <w:r>
        <w:rPr>
          <w:rFonts w:hint="eastAsia"/>
          <w:szCs w:val="24"/>
          <w:highlight w:val="none"/>
          <w:u w:val="single"/>
          <w:lang w:val="en-US" w:eastAsia="zh-CN"/>
        </w:rPr>
        <w:t xml:space="preserve">                </w:t>
      </w:r>
      <w:r>
        <w:rPr>
          <w:rFonts w:hint="eastAsia" w:asciiTheme="minorEastAsia" w:hAnsiTheme="minorEastAsia" w:eastAsiaTheme="minorEastAsia"/>
          <w:b/>
          <w:szCs w:val="24"/>
          <w:highlight w:val="none"/>
        </w:rPr>
        <w:t xml:space="preserve">                 </w:t>
      </w:r>
      <w:r>
        <w:rPr>
          <w:rFonts w:hint="eastAsia" w:asciiTheme="minorEastAsia" w:hAnsiTheme="minorEastAsia" w:eastAsiaTheme="minorEastAsia"/>
          <w:b/>
          <w:highlight w:val="none"/>
        </w:rPr>
        <w:t xml:space="preserve">    </w:t>
      </w:r>
    </w:p>
    <w:p w14:paraId="676389E5">
      <w:pPr>
        <w:widowControl/>
        <w:ind w:firstLine="482"/>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bookmarkEnd w:id="23"/>
    <w:p w14:paraId="094413C8">
      <w:pPr>
        <w:ind w:firstLine="482"/>
        <w:jc w:val="center"/>
        <w:outlineLvl w:val="2"/>
        <w:rPr>
          <w:rFonts w:asciiTheme="minorEastAsia" w:hAnsiTheme="minorEastAsia" w:eastAsiaTheme="minorEastAsia"/>
          <w:b/>
          <w:highlight w:val="none"/>
        </w:rPr>
      </w:pPr>
      <w:bookmarkStart w:id="24" w:name="_Toc204594911"/>
      <w:bookmarkStart w:id="25" w:name="_Toc121626298"/>
      <w:bookmarkStart w:id="26" w:name="_Toc520983594"/>
      <w:bookmarkStart w:id="27" w:name="_Toc516969106"/>
      <w:r>
        <w:rPr>
          <w:rFonts w:hint="eastAsia" w:asciiTheme="minorEastAsia" w:hAnsiTheme="minorEastAsia" w:eastAsiaTheme="minorEastAsia"/>
          <w:b/>
          <w:highlight w:val="none"/>
        </w:rPr>
        <w:t>五、授权书</w:t>
      </w:r>
      <w:bookmarkEnd w:id="24"/>
      <w:bookmarkEnd w:id="25"/>
      <w:bookmarkEnd w:id="26"/>
      <w:bookmarkEnd w:id="27"/>
    </w:p>
    <w:p w14:paraId="6FA297B3">
      <w:pPr>
        <w:ind w:firstLine="482"/>
        <w:jc w:val="center"/>
        <w:rPr>
          <w:rFonts w:asciiTheme="minorEastAsia" w:hAnsiTheme="minorEastAsia" w:eastAsiaTheme="minorEastAsia"/>
          <w:b/>
          <w:highlight w:val="none"/>
        </w:rPr>
      </w:pPr>
    </w:p>
    <w:p w14:paraId="0B3C8B7D">
      <w:pPr>
        <w:pStyle w:val="7"/>
        <w:snapToGrid w:val="0"/>
        <w:ind w:firstLine="480"/>
        <w:jc w:val="left"/>
        <w:rPr>
          <w:rFonts w:hAnsi="宋体" w:eastAsia="宋体"/>
          <w:szCs w:val="28"/>
          <w:highlight w:val="none"/>
        </w:rPr>
      </w:pPr>
      <w:r>
        <w:rPr>
          <w:rFonts w:hint="eastAsia" w:hAnsi="宋体" w:eastAsia="宋体"/>
          <w:szCs w:val="28"/>
          <w:highlight w:val="none"/>
        </w:rPr>
        <w:t>本授权书声明：</w:t>
      </w:r>
      <w:r>
        <w:rPr>
          <w:rFonts w:hint="eastAsia" w:hAnsi="宋体" w:eastAsia="宋体"/>
          <w:szCs w:val="28"/>
          <w:highlight w:val="none"/>
          <w:u w:val="single"/>
        </w:rPr>
        <w:t xml:space="preserve">           </w:t>
      </w:r>
      <w:r>
        <w:rPr>
          <w:rFonts w:hint="eastAsia" w:hAnsi="宋体" w:eastAsia="宋体"/>
          <w:szCs w:val="28"/>
          <w:highlight w:val="none"/>
        </w:rPr>
        <w:t>（供应商名称）授权</w:t>
      </w:r>
      <w:r>
        <w:rPr>
          <w:rFonts w:hint="eastAsia" w:hAnsi="宋体" w:eastAsia="宋体"/>
          <w:szCs w:val="28"/>
          <w:highlight w:val="none"/>
          <w:u w:val="single"/>
        </w:rPr>
        <w:t xml:space="preserve">       </w:t>
      </w:r>
      <w:r>
        <w:rPr>
          <w:rFonts w:hint="eastAsia" w:hAnsi="宋体" w:eastAsia="宋体"/>
          <w:szCs w:val="28"/>
          <w:highlight w:val="none"/>
        </w:rPr>
        <w:t>（供应商授权代表姓名）代表我方参加本项目</w:t>
      </w:r>
      <w:r>
        <w:rPr>
          <w:rFonts w:hint="eastAsia" w:hAnsi="宋体" w:eastAsia="宋体"/>
          <w:bCs/>
          <w:szCs w:val="28"/>
          <w:highlight w:val="none"/>
        </w:rPr>
        <w:t>磋商活动</w:t>
      </w:r>
      <w:r>
        <w:rPr>
          <w:rFonts w:hint="eastAsia" w:hAnsi="宋体" w:eastAsia="宋体"/>
          <w:szCs w:val="28"/>
          <w:highlight w:val="none"/>
        </w:rPr>
        <w:t>，全权代表我方处理磋商过程的一切事宜，包括但不限于：提交响应文件、参与磋商、签约等。供应商授权代表在磋商活动过程中所签署的一切文件和处理与之有关的一切事务，本公司均予以认可并对此承担责任。供应商授权代表无转委托权。特此授权。</w:t>
      </w:r>
    </w:p>
    <w:p w14:paraId="3705A1B1">
      <w:pPr>
        <w:pStyle w:val="7"/>
        <w:snapToGrid w:val="0"/>
        <w:ind w:firstLine="480"/>
        <w:jc w:val="left"/>
        <w:rPr>
          <w:rFonts w:hAnsi="宋体" w:eastAsia="宋体"/>
          <w:szCs w:val="28"/>
          <w:highlight w:val="none"/>
        </w:rPr>
      </w:pPr>
      <w:r>
        <w:rPr>
          <w:rFonts w:hint="eastAsia" w:hAnsi="宋体" w:eastAsia="宋体"/>
          <w:szCs w:val="28"/>
          <w:highlight w:val="none"/>
        </w:rPr>
        <w:t>本授权书自出具之日起生效。</w:t>
      </w:r>
    </w:p>
    <w:p w14:paraId="5777CB2E">
      <w:pPr>
        <w:pStyle w:val="7"/>
        <w:snapToGrid w:val="0"/>
        <w:ind w:firstLine="480"/>
        <w:jc w:val="left"/>
        <w:rPr>
          <w:rFonts w:hAnsi="宋体" w:eastAsia="宋体"/>
          <w:highlight w:val="none"/>
        </w:rPr>
      </w:pPr>
    </w:p>
    <w:p w14:paraId="73C4133E">
      <w:pPr>
        <w:pStyle w:val="7"/>
        <w:snapToGrid w:val="0"/>
        <w:ind w:firstLine="480"/>
        <w:jc w:val="left"/>
        <w:rPr>
          <w:rFonts w:hAnsi="宋体" w:eastAsia="宋体"/>
          <w:highlight w:val="none"/>
        </w:rPr>
      </w:pPr>
    </w:p>
    <w:p w14:paraId="5F2D4073">
      <w:pPr>
        <w:pStyle w:val="7"/>
        <w:snapToGrid w:val="0"/>
        <w:ind w:firstLine="480"/>
        <w:jc w:val="left"/>
        <w:rPr>
          <w:rFonts w:hAnsi="宋体" w:eastAsia="宋体"/>
          <w:highlight w:val="none"/>
        </w:rPr>
      </w:pPr>
    </w:p>
    <w:p w14:paraId="28665EE8">
      <w:pPr>
        <w:pStyle w:val="7"/>
        <w:snapToGrid w:val="0"/>
        <w:ind w:firstLine="480"/>
        <w:jc w:val="left"/>
        <w:rPr>
          <w:rFonts w:hAnsi="宋体" w:eastAsia="宋体"/>
          <w:szCs w:val="28"/>
          <w:highlight w:val="none"/>
          <w:u w:val="single"/>
        </w:rPr>
      </w:pPr>
      <w:r>
        <w:rPr>
          <w:rFonts w:hint="eastAsia" w:hAnsi="宋体" w:eastAsia="宋体"/>
          <w:szCs w:val="28"/>
          <w:highlight w:val="none"/>
        </w:rPr>
        <w:t>授权代表联系方式：</w:t>
      </w:r>
      <w:r>
        <w:rPr>
          <w:rFonts w:hint="eastAsia" w:hAnsi="宋体" w:eastAsia="宋体"/>
          <w:szCs w:val="28"/>
          <w:highlight w:val="none"/>
          <w:u w:val="single"/>
        </w:rPr>
        <w:t xml:space="preserve">          （请填写手机号码）</w:t>
      </w:r>
    </w:p>
    <w:p w14:paraId="644BEF3C">
      <w:pPr>
        <w:pStyle w:val="7"/>
        <w:snapToGrid w:val="0"/>
        <w:ind w:firstLine="480"/>
        <w:jc w:val="left"/>
        <w:rPr>
          <w:rFonts w:hAnsi="宋体" w:eastAsia="宋体"/>
          <w:szCs w:val="28"/>
          <w:highlight w:val="none"/>
        </w:rPr>
      </w:pPr>
    </w:p>
    <w:p w14:paraId="364486F2">
      <w:pPr>
        <w:ind w:firstLine="360" w:firstLineChars="150"/>
        <w:rPr>
          <w:szCs w:val="28"/>
          <w:highlight w:val="none"/>
        </w:rPr>
      </w:pPr>
      <w:r>
        <w:rPr>
          <w:rFonts w:hint="eastAsia"/>
          <w:szCs w:val="28"/>
          <w:highlight w:val="none"/>
        </w:rPr>
        <w:t>特此声明。</w:t>
      </w:r>
    </w:p>
    <w:p w14:paraId="3C842A49">
      <w:pPr>
        <w:ind w:firstLine="480"/>
        <w:rPr>
          <w:szCs w:val="28"/>
          <w:highlight w:val="none"/>
        </w:rPr>
      </w:pPr>
    </w:p>
    <w:p w14:paraId="61967132">
      <w:pPr>
        <w:ind w:firstLine="480"/>
        <w:rPr>
          <w:bCs/>
          <w:szCs w:val="28"/>
          <w:highlight w:val="none"/>
        </w:rPr>
      </w:pPr>
      <w:r>
        <w:rPr>
          <w:rFonts w:hint="eastAsia" w:cs="@仿宋_GB2312"/>
          <w:kern w:val="2"/>
          <w:szCs w:val="24"/>
          <w:highlight w:val="none"/>
        </w:rPr>
        <w:t>供应商电子签章或公章</w:t>
      </w:r>
      <w:r>
        <w:rPr>
          <w:rFonts w:hint="eastAsia"/>
          <w:bCs/>
          <w:szCs w:val="28"/>
          <w:highlight w:val="none"/>
        </w:rPr>
        <w:t>：</w:t>
      </w:r>
      <w:r>
        <w:rPr>
          <w:rFonts w:hint="eastAsia"/>
          <w:bCs/>
          <w:szCs w:val="28"/>
          <w:highlight w:val="none"/>
          <w:u w:val="single"/>
        </w:rPr>
        <w:t xml:space="preserve">                    </w:t>
      </w:r>
    </w:p>
    <w:p w14:paraId="56583DBC">
      <w:pPr>
        <w:ind w:firstLine="480"/>
        <w:rPr>
          <w:szCs w:val="28"/>
          <w:highlight w:val="none"/>
        </w:rPr>
      </w:pPr>
      <w:r>
        <w:rPr>
          <w:rFonts w:hint="eastAsia"/>
          <w:szCs w:val="28"/>
          <w:highlight w:val="none"/>
        </w:rPr>
        <w:t>日      期：</w:t>
      </w:r>
      <w:r>
        <w:rPr>
          <w:rFonts w:hint="eastAsia"/>
          <w:szCs w:val="28"/>
          <w:highlight w:val="none"/>
          <w:u w:val="single"/>
        </w:rPr>
        <w:t xml:space="preserve">            </w:t>
      </w:r>
      <w:r>
        <w:rPr>
          <w:rFonts w:hint="eastAsia"/>
          <w:szCs w:val="28"/>
          <w:highlight w:val="none"/>
          <w:u w:val="single"/>
          <w:lang w:val="en-US" w:eastAsia="zh-CN"/>
        </w:rPr>
        <w:t xml:space="preserve">          </w:t>
      </w:r>
      <w:r>
        <w:rPr>
          <w:rFonts w:hint="eastAsia"/>
          <w:szCs w:val="28"/>
          <w:highlight w:val="none"/>
          <w:u w:val="single"/>
        </w:rPr>
        <w:t xml:space="preserve">        </w:t>
      </w:r>
    </w:p>
    <w:p w14:paraId="22352F5B">
      <w:pPr>
        <w:ind w:firstLine="480"/>
        <w:rPr>
          <w:szCs w:val="28"/>
          <w:highlight w:val="none"/>
        </w:rPr>
      </w:pPr>
    </w:p>
    <w:p w14:paraId="292B3582">
      <w:pPr>
        <w:ind w:firstLine="480"/>
        <w:rPr>
          <w:szCs w:val="28"/>
          <w:highlight w:val="none"/>
        </w:rPr>
      </w:pPr>
    </w:p>
    <w:p w14:paraId="6AD4BFC1">
      <w:pPr>
        <w:pStyle w:val="7"/>
        <w:snapToGrid w:val="0"/>
        <w:ind w:firstLine="480"/>
        <w:jc w:val="left"/>
        <w:rPr>
          <w:rFonts w:hAnsi="宋体" w:eastAsia="宋体"/>
          <w:szCs w:val="28"/>
          <w:highlight w:val="none"/>
        </w:rPr>
      </w:pPr>
      <w:r>
        <w:rPr>
          <w:rFonts w:hint="eastAsia" w:hAnsi="宋体" w:eastAsia="宋体"/>
          <w:szCs w:val="28"/>
          <w:highlight w:val="none"/>
        </w:rPr>
        <w:t>注：</w:t>
      </w:r>
    </w:p>
    <w:p w14:paraId="713DAB3E">
      <w:pPr>
        <w:pStyle w:val="7"/>
        <w:snapToGrid w:val="0"/>
        <w:ind w:firstLine="480"/>
        <w:jc w:val="left"/>
        <w:rPr>
          <w:rFonts w:hAnsi="宋体" w:eastAsia="宋体"/>
          <w:szCs w:val="28"/>
          <w:highlight w:val="none"/>
        </w:rPr>
      </w:pPr>
      <w:r>
        <w:rPr>
          <w:rFonts w:hint="eastAsia" w:hAnsi="宋体" w:eastAsia="宋体"/>
          <w:szCs w:val="28"/>
          <w:highlight w:val="none"/>
        </w:rPr>
        <w:t>1.本项目只允许有唯一的供应商授权代表；</w:t>
      </w:r>
    </w:p>
    <w:p w14:paraId="11115217">
      <w:pPr>
        <w:ind w:firstLine="480"/>
        <w:jc w:val="left"/>
        <w:rPr>
          <w:highlight w:val="none"/>
        </w:rPr>
      </w:pPr>
      <w:r>
        <w:rPr>
          <w:rFonts w:hint="eastAsia"/>
          <w:highlight w:val="none"/>
        </w:rPr>
        <w:t>2.法定代表人参加磋商的无需提供授权书，仅提供法定代表人身份证明书。</w:t>
      </w:r>
    </w:p>
    <w:p w14:paraId="59C32059">
      <w:pPr>
        <w:widowControl/>
        <w:ind w:firstLine="480"/>
        <w:jc w:val="left"/>
        <w:rPr>
          <w:highlight w:val="none"/>
        </w:rPr>
      </w:pPr>
      <w:r>
        <w:rPr>
          <w:highlight w:val="none"/>
        </w:rPr>
        <w:br w:type="page"/>
      </w:r>
    </w:p>
    <w:p w14:paraId="17AE7D1F">
      <w:pPr>
        <w:keepNext/>
        <w:keepLines/>
        <w:spacing w:before="260" w:after="260" w:line="416" w:lineRule="auto"/>
        <w:ind w:firstLine="482"/>
        <w:jc w:val="center"/>
        <w:outlineLvl w:val="2"/>
        <w:rPr>
          <w:rFonts w:cs="@仿宋_GB2312" w:asciiTheme="minorEastAsia" w:hAnsiTheme="minorEastAsia" w:eastAsiaTheme="minorEastAsia"/>
          <w:b/>
          <w:bCs/>
          <w:kern w:val="2"/>
          <w:szCs w:val="24"/>
          <w:highlight w:val="none"/>
        </w:rPr>
      </w:pPr>
      <w:r>
        <w:rPr>
          <w:rFonts w:hint="eastAsia" w:cs="@仿宋_GB2312" w:asciiTheme="minorEastAsia" w:hAnsiTheme="minorEastAsia" w:eastAsiaTheme="minorEastAsia"/>
          <w:b/>
          <w:bCs/>
          <w:kern w:val="2"/>
          <w:szCs w:val="24"/>
          <w:highlight w:val="none"/>
        </w:rPr>
        <w:t>六、法定代表人身份证明书</w:t>
      </w:r>
    </w:p>
    <w:p w14:paraId="72927BA6">
      <w:pPr>
        <w:autoSpaceDE w:val="0"/>
        <w:autoSpaceDN w:val="0"/>
        <w:adjustRightInd w:val="0"/>
        <w:ind w:firstLine="413"/>
        <w:jc w:val="center"/>
        <w:rPr>
          <w:rFonts w:ascii="@仿宋_GB2312" w:eastAsia="@仿宋_GB2312" w:cs="宋体"/>
          <w:b/>
          <w:kern w:val="2"/>
          <w:sz w:val="21"/>
          <w:szCs w:val="24"/>
          <w:highlight w:val="none"/>
          <w:lang w:val="zh-CN"/>
        </w:rPr>
      </w:pPr>
    </w:p>
    <w:p w14:paraId="1220D685">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单位名称：</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7A3DB31E">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单位性质：</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77139B05">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地    址：</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46C657A1">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成立时间：</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年</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月</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日</w:t>
      </w:r>
    </w:p>
    <w:p w14:paraId="2B01C6CF">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经营期限：</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430E9172">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姓    名：</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性 </w:t>
      </w:r>
      <w:r>
        <w:rPr>
          <w:rFonts w:ascii="Calibri" w:hAnsi="Calibri" w:cs="Times New Roman"/>
          <w:kern w:val="2"/>
          <w:szCs w:val="28"/>
          <w:highlight w:val="none"/>
        </w:rPr>
        <w:t xml:space="preserve">  </w:t>
      </w:r>
      <w:r>
        <w:rPr>
          <w:rFonts w:hint="eastAsia" w:ascii="Calibri" w:hAnsi="Calibri" w:cs="Times New Roman"/>
          <w:kern w:val="2"/>
          <w:szCs w:val="28"/>
          <w:highlight w:val="none"/>
        </w:rPr>
        <w:t xml:space="preserve"> 别：</w:t>
      </w:r>
      <w:r>
        <w:rPr>
          <w:rFonts w:hint="eastAsia" w:ascii="Calibri" w:hAnsi="Calibri" w:cs="Times New Roman"/>
          <w:kern w:val="2"/>
          <w:szCs w:val="28"/>
          <w:highlight w:val="none"/>
          <w:u w:val="single"/>
        </w:rPr>
        <w:t xml:space="preserve">             </w:t>
      </w:r>
    </w:p>
    <w:p w14:paraId="3702F844">
      <w:pPr>
        <w:snapToGrid w:val="0"/>
        <w:ind w:firstLine="480"/>
        <w:jc w:val="left"/>
        <w:rPr>
          <w:rFonts w:ascii="Calibri" w:hAnsi="Calibri" w:cs="Times New Roman"/>
          <w:kern w:val="2"/>
          <w:szCs w:val="28"/>
          <w:highlight w:val="none"/>
          <w:u w:val="single"/>
        </w:rPr>
      </w:pPr>
      <w:r>
        <w:rPr>
          <w:rFonts w:hint="eastAsia" w:ascii="Calibri" w:hAnsi="Calibri" w:cs="Times New Roman"/>
          <w:kern w:val="2"/>
          <w:szCs w:val="28"/>
          <w:highlight w:val="none"/>
        </w:rPr>
        <w:t>年    龄：</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职    务：</w:t>
      </w:r>
      <w:r>
        <w:rPr>
          <w:rFonts w:hint="eastAsia" w:ascii="Calibri" w:hAnsi="Calibri" w:cs="Times New Roman"/>
          <w:kern w:val="2"/>
          <w:szCs w:val="28"/>
          <w:highlight w:val="none"/>
          <w:u w:val="single"/>
        </w:rPr>
        <w:t xml:space="preserve">             </w:t>
      </w:r>
    </w:p>
    <w:p w14:paraId="5D982EC4">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联系</w:t>
      </w:r>
      <w:r>
        <w:rPr>
          <w:rFonts w:ascii="Calibri" w:hAnsi="Calibri" w:cs="Times New Roman"/>
          <w:kern w:val="2"/>
          <w:szCs w:val="28"/>
          <w:highlight w:val="none"/>
        </w:rPr>
        <w:t>电话</w:t>
      </w:r>
      <w:r>
        <w:rPr>
          <w:rFonts w:hint="eastAsia" w:ascii="Calibri" w:hAnsi="Calibri" w:cs="Times New Roman"/>
          <w:kern w:val="2"/>
          <w:szCs w:val="28"/>
          <w:highlight w:val="none"/>
        </w:rPr>
        <w:t>：</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手机号码：</w:t>
      </w:r>
      <w:r>
        <w:rPr>
          <w:rFonts w:hint="eastAsia" w:ascii="Calibri" w:hAnsi="Calibri" w:cs="Times New Roman"/>
          <w:kern w:val="2"/>
          <w:szCs w:val="28"/>
          <w:highlight w:val="none"/>
          <w:u w:val="single"/>
        </w:rPr>
        <w:t xml:space="preserve">             </w:t>
      </w:r>
    </w:p>
    <w:p w14:paraId="2440B55D">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系  </w:t>
      </w:r>
      <w:r>
        <w:rPr>
          <w:rFonts w:hint="eastAsia" w:ascii="Calibri" w:hAnsi="Calibri" w:cs="Times New Roman"/>
          <w:kern w:val="2"/>
          <w:szCs w:val="28"/>
          <w:highlight w:val="none"/>
          <w:u w:val="single"/>
        </w:rPr>
        <w:t xml:space="preserve">   （供应商单位名称）       </w:t>
      </w:r>
      <w:r>
        <w:rPr>
          <w:rFonts w:hint="eastAsia" w:ascii="Calibri" w:hAnsi="Calibri" w:cs="Times New Roman"/>
          <w:kern w:val="2"/>
          <w:szCs w:val="28"/>
          <w:highlight w:val="none"/>
        </w:rPr>
        <w:t>的法定代表人。</w:t>
      </w:r>
    </w:p>
    <w:p w14:paraId="3818031A">
      <w:pPr>
        <w:spacing w:before="62" w:beforeLines="20" w:after="62" w:afterLines="20" w:line="540" w:lineRule="exact"/>
        <w:ind w:firstLine="480"/>
        <w:rPr>
          <w:rFonts w:ascii="@仿宋_GB2312" w:hAnsi="Calibri" w:eastAsia="@仿宋_GB2312" w:cs="宋体"/>
          <w:kern w:val="2"/>
          <w:szCs w:val="24"/>
          <w:highlight w:val="none"/>
        </w:rPr>
      </w:pPr>
    </w:p>
    <w:p w14:paraId="1C78F919">
      <w:pPr>
        <w:spacing w:before="62" w:beforeLines="20" w:after="62" w:afterLines="20" w:line="540" w:lineRule="exact"/>
        <w:ind w:left="480" w:leftChars="200" w:firstLine="240" w:firstLineChars="100"/>
        <w:rPr>
          <w:rFonts w:ascii="Calibri" w:hAnsi="Calibri" w:cs="宋体"/>
          <w:kern w:val="2"/>
          <w:szCs w:val="24"/>
          <w:highlight w:val="none"/>
        </w:rPr>
      </w:pPr>
      <w:r>
        <w:rPr>
          <w:rFonts w:hint="eastAsia" w:ascii="Calibri" w:hAnsi="Calibri" w:cs="宋体"/>
          <w:kern w:val="2"/>
          <w:szCs w:val="24"/>
          <w:highlight w:val="none"/>
        </w:rPr>
        <w:t>特此证明。</w:t>
      </w:r>
    </w:p>
    <w:p w14:paraId="7DDBE5B0">
      <w:pPr>
        <w:tabs>
          <w:tab w:val="left" w:pos="720"/>
          <w:tab w:val="left" w:pos="900"/>
        </w:tabs>
        <w:spacing w:before="62" w:beforeLines="20" w:after="62" w:afterLines="20" w:line="540" w:lineRule="exact"/>
        <w:ind w:firstLine="480"/>
        <w:rPr>
          <w:rFonts w:ascii="Calibri" w:hAnsi="Calibri" w:cs="宋体"/>
          <w:kern w:val="2"/>
          <w:szCs w:val="24"/>
          <w:highlight w:val="none"/>
        </w:rPr>
      </w:pPr>
      <w:r>
        <w:rPr>
          <w:rFonts w:hint="eastAsia" w:ascii="Calibri" w:hAnsi="Calibri" w:cs="宋体"/>
          <w:kern w:val="2"/>
          <w:szCs w:val="24"/>
          <w:highlight w:val="none"/>
        </w:rPr>
        <w:t>附：法定代表人身份证扫描件</w:t>
      </w:r>
    </w:p>
    <w:p w14:paraId="48F0342D">
      <w:pPr>
        <w:tabs>
          <w:tab w:val="left" w:pos="720"/>
          <w:tab w:val="left" w:pos="900"/>
        </w:tabs>
        <w:spacing w:before="62" w:beforeLines="20" w:after="62" w:afterLines="20" w:line="540" w:lineRule="exact"/>
        <w:ind w:firstLine="480"/>
        <w:rPr>
          <w:rFonts w:ascii="@仿宋_GB2312" w:hAnsi="Calibri" w:eastAsia="@仿宋_GB2312" w:cs="宋体"/>
          <w:kern w:val="2"/>
          <w:szCs w:val="24"/>
          <w:highlight w:val="none"/>
        </w:rPr>
      </w:pPr>
    </w:p>
    <w:p w14:paraId="22C81B7F">
      <w:pPr>
        <w:tabs>
          <w:tab w:val="left" w:pos="720"/>
          <w:tab w:val="left" w:pos="900"/>
        </w:tabs>
        <w:spacing w:before="62" w:beforeLines="20" w:after="62" w:afterLines="20" w:line="540" w:lineRule="exact"/>
        <w:ind w:firstLine="4560" w:firstLineChars="1900"/>
        <w:rPr>
          <w:rFonts w:ascii="@仿宋_GB2312" w:hAnsi="Calibri" w:eastAsia="@仿宋_GB2312" w:cs="宋体"/>
          <w:kern w:val="2"/>
          <w:szCs w:val="24"/>
          <w:highlight w:val="none"/>
        </w:rPr>
      </w:pPr>
    </w:p>
    <w:p w14:paraId="0B0D56BA">
      <w:pPr>
        <w:ind w:firstLine="3840" w:firstLineChars="1600"/>
        <w:rPr>
          <w:rFonts w:cs="宋体"/>
          <w:kern w:val="2"/>
          <w:szCs w:val="24"/>
          <w:highlight w:val="none"/>
        </w:rPr>
      </w:pPr>
      <w:r>
        <w:rPr>
          <w:rFonts w:hint="eastAsia" w:cs="@仿宋_GB2312"/>
          <w:kern w:val="2"/>
          <w:szCs w:val="24"/>
          <w:highlight w:val="none"/>
        </w:rPr>
        <w:t>供应商电子签章或公章</w:t>
      </w:r>
      <w:r>
        <w:rPr>
          <w:rFonts w:hint="eastAsia" w:cs="宋体"/>
          <w:kern w:val="2"/>
          <w:szCs w:val="24"/>
          <w:highlight w:val="none"/>
        </w:rPr>
        <w:t>：</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p>
    <w:p w14:paraId="75F09F5E">
      <w:pPr>
        <w:ind w:firstLine="3840" w:firstLineChars="1600"/>
        <w:rPr>
          <w:rFonts w:cs="宋体"/>
          <w:kern w:val="2"/>
          <w:szCs w:val="24"/>
          <w:highlight w:val="none"/>
        </w:rPr>
      </w:pPr>
      <w:r>
        <w:rPr>
          <w:rFonts w:hint="eastAsia" w:cs="宋体"/>
          <w:kern w:val="2"/>
          <w:szCs w:val="24"/>
          <w:highlight w:val="none"/>
        </w:rPr>
        <w:t>日</w:t>
      </w:r>
      <w:r>
        <w:rPr>
          <w:rFonts w:cs="宋体"/>
          <w:kern w:val="2"/>
          <w:szCs w:val="24"/>
          <w:highlight w:val="none"/>
        </w:rPr>
        <w:t xml:space="preserve">   </w:t>
      </w:r>
      <w:r>
        <w:rPr>
          <w:rFonts w:hint="eastAsia" w:cs="宋体"/>
          <w:kern w:val="2"/>
          <w:szCs w:val="24"/>
          <w:highlight w:val="none"/>
        </w:rPr>
        <w:t xml:space="preserve">    </w:t>
      </w:r>
      <w:r>
        <w:rPr>
          <w:rFonts w:cs="宋体"/>
          <w:kern w:val="2"/>
          <w:szCs w:val="24"/>
          <w:highlight w:val="none"/>
        </w:rPr>
        <w:t xml:space="preserve">   </w:t>
      </w:r>
      <w:r>
        <w:rPr>
          <w:rFonts w:hint="eastAsia" w:cs="宋体"/>
          <w:kern w:val="2"/>
          <w:szCs w:val="24"/>
          <w:highlight w:val="none"/>
        </w:rPr>
        <w:t>期：</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p>
    <w:p w14:paraId="5C1389EB">
      <w:pPr>
        <w:widowControl/>
        <w:ind w:firstLine="480"/>
        <w:jc w:val="left"/>
        <w:rPr>
          <w:rFonts w:cs="@仿宋_GB2312" w:asciiTheme="minorEastAsia" w:hAnsiTheme="minorEastAsia" w:eastAsiaTheme="minorEastAsia"/>
          <w:b/>
          <w:bCs/>
          <w:kern w:val="2"/>
          <w:szCs w:val="24"/>
          <w:highlight w:val="none"/>
        </w:rPr>
      </w:pPr>
      <w:r>
        <w:rPr>
          <w:rFonts w:cs="@仿宋_GB2312" w:asciiTheme="minorEastAsia" w:hAnsiTheme="minorEastAsia" w:eastAsiaTheme="minorEastAsia"/>
          <w:kern w:val="2"/>
          <w:szCs w:val="24"/>
          <w:highlight w:val="none"/>
        </w:rPr>
        <w:br w:type="page"/>
      </w:r>
    </w:p>
    <w:p w14:paraId="288D05BB">
      <w:pPr>
        <w:keepNext/>
        <w:keepLines/>
        <w:spacing w:before="260" w:after="260" w:line="416" w:lineRule="auto"/>
        <w:ind w:firstLine="482"/>
        <w:jc w:val="center"/>
        <w:outlineLvl w:val="2"/>
        <w:rPr>
          <w:rFonts w:cs="@仿宋_GB2312" w:asciiTheme="minorEastAsia" w:hAnsiTheme="minorEastAsia" w:eastAsiaTheme="minorEastAsia"/>
          <w:b/>
          <w:bCs/>
          <w:kern w:val="2"/>
          <w:szCs w:val="24"/>
          <w:highlight w:val="none"/>
        </w:rPr>
      </w:pPr>
      <w:r>
        <w:rPr>
          <w:rFonts w:hint="eastAsia" w:cs="@仿宋_GB2312" w:asciiTheme="minorEastAsia" w:hAnsiTheme="minorEastAsia" w:eastAsiaTheme="minorEastAsia"/>
          <w:b/>
          <w:bCs/>
          <w:kern w:val="2"/>
          <w:szCs w:val="24"/>
          <w:highlight w:val="none"/>
        </w:rPr>
        <w:t>七、业绩及证明材料</w:t>
      </w:r>
    </w:p>
    <w:p w14:paraId="4327F00E">
      <w:pPr>
        <w:keepNext/>
        <w:keepLines/>
        <w:numPr>
          <w:ilvl w:val="0"/>
          <w:numId w:val="3"/>
        </w:numPr>
        <w:ind w:firstLine="480"/>
        <w:jc w:val="center"/>
        <w:rPr>
          <w:szCs w:val="24"/>
          <w:highlight w:val="none"/>
        </w:rPr>
      </w:pPr>
      <w:r>
        <w:rPr>
          <w:rFonts w:hint="eastAsia"/>
          <w:szCs w:val="24"/>
          <w:highlight w:val="none"/>
        </w:rPr>
        <w:t>业绩表</w:t>
      </w:r>
    </w:p>
    <w:p w14:paraId="7E8E779F">
      <w:pPr>
        <w:keepNext/>
        <w:keepLines/>
        <w:ind w:firstLine="480"/>
        <w:jc w:val="center"/>
        <w:rPr>
          <w:szCs w:val="24"/>
          <w:highlight w:val="none"/>
        </w:rPr>
      </w:pPr>
      <w:r>
        <w:rPr>
          <w:rFonts w:hint="eastAsia"/>
          <w:szCs w:val="24"/>
          <w:highlight w:val="none"/>
        </w:rPr>
        <w:t>（格式仅供参考）</w:t>
      </w:r>
    </w:p>
    <w:p w14:paraId="57C29FDD">
      <w:pPr>
        <w:ind w:firstLine="420"/>
        <w:rPr>
          <w:rFonts w:eastAsia="@仿宋_GB2312" w:cs="@仿宋_GB2312"/>
          <w:kern w:val="2"/>
          <w:sz w:val="21"/>
          <w:highlight w:val="none"/>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17BB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3818C2FC">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序号</w:t>
            </w:r>
          </w:p>
        </w:tc>
        <w:tc>
          <w:tcPr>
            <w:tcW w:w="971" w:type="pct"/>
            <w:vAlign w:val="center"/>
          </w:tcPr>
          <w:p w14:paraId="14EABB64">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项目名称</w:t>
            </w:r>
          </w:p>
        </w:tc>
        <w:tc>
          <w:tcPr>
            <w:tcW w:w="874" w:type="pct"/>
            <w:vAlign w:val="center"/>
          </w:tcPr>
          <w:p w14:paraId="430E7ABA">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项目内容</w:t>
            </w:r>
          </w:p>
        </w:tc>
        <w:tc>
          <w:tcPr>
            <w:tcW w:w="918" w:type="pct"/>
            <w:vAlign w:val="center"/>
          </w:tcPr>
          <w:p w14:paraId="646C33C6">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合同总金额</w:t>
            </w:r>
          </w:p>
        </w:tc>
        <w:tc>
          <w:tcPr>
            <w:tcW w:w="1043" w:type="pct"/>
            <w:vAlign w:val="center"/>
          </w:tcPr>
          <w:p w14:paraId="2674544E">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业绩合同甲方及联系电话</w:t>
            </w:r>
          </w:p>
        </w:tc>
        <w:tc>
          <w:tcPr>
            <w:tcW w:w="636" w:type="pct"/>
            <w:vAlign w:val="center"/>
          </w:tcPr>
          <w:p w14:paraId="68C7F18D">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备注</w:t>
            </w:r>
          </w:p>
        </w:tc>
      </w:tr>
      <w:tr w14:paraId="7B7B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755ACA79">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供应商初审业绩（资格门槛业绩，如有）</w:t>
            </w:r>
          </w:p>
        </w:tc>
      </w:tr>
      <w:tr w14:paraId="4767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8909D1C">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477D3554">
            <w:pPr>
              <w:ind w:firstLine="0" w:firstLineChars="0"/>
              <w:rPr>
                <w:rFonts w:cs="宋体" w:asciiTheme="minorEastAsia" w:hAnsiTheme="minorEastAsia" w:eastAsiaTheme="minorEastAsia"/>
                <w:bCs/>
                <w:kern w:val="2"/>
                <w:szCs w:val="24"/>
                <w:highlight w:val="none"/>
              </w:rPr>
            </w:pPr>
          </w:p>
        </w:tc>
        <w:tc>
          <w:tcPr>
            <w:tcW w:w="874" w:type="pct"/>
            <w:vAlign w:val="center"/>
          </w:tcPr>
          <w:p w14:paraId="570A4B3D">
            <w:pPr>
              <w:ind w:firstLine="0" w:firstLineChars="0"/>
              <w:rPr>
                <w:rFonts w:cs="宋体" w:asciiTheme="minorEastAsia" w:hAnsiTheme="minorEastAsia" w:eastAsiaTheme="minorEastAsia"/>
                <w:bCs/>
                <w:kern w:val="2"/>
                <w:szCs w:val="24"/>
                <w:highlight w:val="none"/>
              </w:rPr>
            </w:pPr>
          </w:p>
        </w:tc>
        <w:tc>
          <w:tcPr>
            <w:tcW w:w="918" w:type="pct"/>
            <w:vAlign w:val="center"/>
          </w:tcPr>
          <w:p w14:paraId="3DC3F9E5">
            <w:pPr>
              <w:ind w:firstLine="0" w:firstLineChars="0"/>
              <w:rPr>
                <w:rFonts w:cs="宋体" w:asciiTheme="minorEastAsia" w:hAnsiTheme="minorEastAsia" w:eastAsiaTheme="minorEastAsia"/>
                <w:bCs/>
                <w:kern w:val="2"/>
                <w:szCs w:val="24"/>
                <w:highlight w:val="none"/>
              </w:rPr>
            </w:pPr>
          </w:p>
        </w:tc>
        <w:tc>
          <w:tcPr>
            <w:tcW w:w="1043" w:type="pct"/>
            <w:vAlign w:val="center"/>
          </w:tcPr>
          <w:p w14:paraId="53A0ECD9">
            <w:pPr>
              <w:ind w:firstLine="0" w:firstLineChars="0"/>
              <w:rPr>
                <w:rFonts w:cs="宋体" w:asciiTheme="minorEastAsia" w:hAnsiTheme="minorEastAsia" w:eastAsiaTheme="minorEastAsia"/>
                <w:bCs/>
                <w:kern w:val="2"/>
                <w:szCs w:val="24"/>
                <w:highlight w:val="none"/>
              </w:rPr>
            </w:pPr>
          </w:p>
        </w:tc>
        <w:tc>
          <w:tcPr>
            <w:tcW w:w="636" w:type="pct"/>
            <w:vAlign w:val="center"/>
          </w:tcPr>
          <w:p w14:paraId="418B9762">
            <w:pPr>
              <w:ind w:firstLine="0" w:firstLineChars="0"/>
              <w:rPr>
                <w:rFonts w:cs="宋体" w:asciiTheme="minorEastAsia" w:hAnsiTheme="minorEastAsia" w:eastAsiaTheme="minorEastAsia"/>
                <w:bCs/>
                <w:kern w:val="2"/>
                <w:szCs w:val="24"/>
                <w:highlight w:val="none"/>
              </w:rPr>
            </w:pPr>
          </w:p>
        </w:tc>
      </w:tr>
      <w:tr w14:paraId="0A6A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3D88C5B">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项目负责人初审业绩（资格门槛业绩，如有）</w:t>
            </w:r>
          </w:p>
        </w:tc>
      </w:tr>
      <w:tr w14:paraId="0FAE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F14C169">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35751A2E">
            <w:pPr>
              <w:ind w:firstLine="0" w:firstLineChars="0"/>
              <w:rPr>
                <w:rFonts w:cs="宋体" w:asciiTheme="minorEastAsia" w:hAnsiTheme="minorEastAsia" w:eastAsiaTheme="minorEastAsia"/>
                <w:bCs/>
                <w:kern w:val="2"/>
                <w:szCs w:val="24"/>
                <w:highlight w:val="none"/>
              </w:rPr>
            </w:pPr>
          </w:p>
        </w:tc>
        <w:tc>
          <w:tcPr>
            <w:tcW w:w="874" w:type="pct"/>
            <w:vAlign w:val="center"/>
          </w:tcPr>
          <w:p w14:paraId="1C5D6DAD">
            <w:pPr>
              <w:ind w:firstLine="0" w:firstLineChars="0"/>
              <w:rPr>
                <w:rFonts w:cs="宋体" w:asciiTheme="minorEastAsia" w:hAnsiTheme="minorEastAsia" w:eastAsiaTheme="minorEastAsia"/>
                <w:bCs/>
                <w:kern w:val="2"/>
                <w:szCs w:val="24"/>
                <w:highlight w:val="none"/>
              </w:rPr>
            </w:pPr>
          </w:p>
        </w:tc>
        <w:tc>
          <w:tcPr>
            <w:tcW w:w="918" w:type="pct"/>
            <w:vAlign w:val="center"/>
          </w:tcPr>
          <w:p w14:paraId="08746D28">
            <w:pPr>
              <w:ind w:firstLine="0" w:firstLineChars="0"/>
              <w:rPr>
                <w:rFonts w:cs="宋体" w:asciiTheme="minorEastAsia" w:hAnsiTheme="minorEastAsia" w:eastAsiaTheme="minorEastAsia"/>
                <w:bCs/>
                <w:kern w:val="2"/>
                <w:szCs w:val="24"/>
                <w:highlight w:val="none"/>
              </w:rPr>
            </w:pPr>
          </w:p>
        </w:tc>
        <w:tc>
          <w:tcPr>
            <w:tcW w:w="1043" w:type="pct"/>
            <w:vAlign w:val="center"/>
          </w:tcPr>
          <w:p w14:paraId="6CD4E8A2">
            <w:pPr>
              <w:ind w:firstLine="0" w:firstLineChars="0"/>
              <w:rPr>
                <w:rFonts w:cs="宋体" w:asciiTheme="minorEastAsia" w:hAnsiTheme="minorEastAsia" w:eastAsiaTheme="minorEastAsia"/>
                <w:bCs/>
                <w:kern w:val="2"/>
                <w:szCs w:val="24"/>
                <w:highlight w:val="none"/>
              </w:rPr>
            </w:pPr>
          </w:p>
        </w:tc>
        <w:tc>
          <w:tcPr>
            <w:tcW w:w="636" w:type="pct"/>
            <w:vAlign w:val="center"/>
          </w:tcPr>
          <w:p w14:paraId="14351B35">
            <w:pPr>
              <w:ind w:firstLine="0" w:firstLineChars="0"/>
              <w:rPr>
                <w:rFonts w:cs="宋体" w:asciiTheme="minorEastAsia" w:hAnsiTheme="minorEastAsia" w:eastAsiaTheme="minorEastAsia"/>
                <w:bCs/>
                <w:kern w:val="2"/>
                <w:szCs w:val="24"/>
                <w:highlight w:val="none"/>
              </w:rPr>
            </w:pPr>
          </w:p>
        </w:tc>
      </w:tr>
      <w:tr w14:paraId="5EAF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0CEFB257">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供应商评审业绩（打分业绩，如有）</w:t>
            </w:r>
          </w:p>
        </w:tc>
      </w:tr>
      <w:tr w14:paraId="08D7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11033D8">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2E1A21CF">
            <w:pPr>
              <w:ind w:firstLine="0" w:firstLineChars="0"/>
              <w:rPr>
                <w:rFonts w:cs="宋体" w:asciiTheme="minorEastAsia" w:hAnsiTheme="minorEastAsia" w:eastAsiaTheme="minorEastAsia"/>
                <w:bCs/>
                <w:kern w:val="2"/>
                <w:szCs w:val="24"/>
                <w:highlight w:val="none"/>
              </w:rPr>
            </w:pPr>
          </w:p>
        </w:tc>
        <w:tc>
          <w:tcPr>
            <w:tcW w:w="874" w:type="pct"/>
            <w:vAlign w:val="center"/>
          </w:tcPr>
          <w:p w14:paraId="60C8E88B">
            <w:pPr>
              <w:ind w:firstLine="0" w:firstLineChars="0"/>
              <w:rPr>
                <w:rFonts w:cs="宋体" w:asciiTheme="minorEastAsia" w:hAnsiTheme="minorEastAsia" w:eastAsiaTheme="minorEastAsia"/>
                <w:bCs/>
                <w:kern w:val="2"/>
                <w:szCs w:val="24"/>
                <w:highlight w:val="none"/>
              </w:rPr>
            </w:pPr>
          </w:p>
        </w:tc>
        <w:tc>
          <w:tcPr>
            <w:tcW w:w="918" w:type="pct"/>
            <w:vAlign w:val="center"/>
          </w:tcPr>
          <w:p w14:paraId="2A690A68">
            <w:pPr>
              <w:ind w:firstLine="0" w:firstLineChars="0"/>
              <w:rPr>
                <w:rFonts w:cs="宋体" w:asciiTheme="minorEastAsia" w:hAnsiTheme="minorEastAsia" w:eastAsiaTheme="minorEastAsia"/>
                <w:bCs/>
                <w:kern w:val="2"/>
                <w:szCs w:val="24"/>
                <w:highlight w:val="none"/>
              </w:rPr>
            </w:pPr>
          </w:p>
        </w:tc>
        <w:tc>
          <w:tcPr>
            <w:tcW w:w="1043" w:type="pct"/>
            <w:vAlign w:val="center"/>
          </w:tcPr>
          <w:p w14:paraId="3DB2F7F3">
            <w:pPr>
              <w:ind w:firstLine="0" w:firstLineChars="0"/>
              <w:rPr>
                <w:rFonts w:cs="宋体" w:asciiTheme="minorEastAsia" w:hAnsiTheme="minorEastAsia" w:eastAsiaTheme="minorEastAsia"/>
                <w:bCs/>
                <w:kern w:val="2"/>
                <w:szCs w:val="24"/>
                <w:highlight w:val="none"/>
              </w:rPr>
            </w:pPr>
          </w:p>
        </w:tc>
        <w:tc>
          <w:tcPr>
            <w:tcW w:w="636" w:type="pct"/>
            <w:vAlign w:val="center"/>
          </w:tcPr>
          <w:p w14:paraId="04AB08C9">
            <w:pPr>
              <w:ind w:firstLine="0" w:firstLineChars="0"/>
              <w:rPr>
                <w:rFonts w:cs="宋体" w:asciiTheme="minorEastAsia" w:hAnsiTheme="minorEastAsia" w:eastAsiaTheme="minorEastAsia"/>
                <w:bCs/>
                <w:kern w:val="2"/>
                <w:szCs w:val="24"/>
                <w:highlight w:val="none"/>
              </w:rPr>
            </w:pPr>
          </w:p>
        </w:tc>
      </w:tr>
      <w:tr w14:paraId="589D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1C8C334">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2</w:t>
            </w:r>
          </w:p>
        </w:tc>
        <w:tc>
          <w:tcPr>
            <w:tcW w:w="971" w:type="pct"/>
            <w:vAlign w:val="center"/>
          </w:tcPr>
          <w:p w14:paraId="2791DAE1">
            <w:pPr>
              <w:ind w:firstLine="0" w:firstLineChars="0"/>
              <w:rPr>
                <w:rFonts w:cs="宋体" w:asciiTheme="minorEastAsia" w:hAnsiTheme="minorEastAsia" w:eastAsiaTheme="minorEastAsia"/>
                <w:bCs/>
                <w:kern w:val="2"/>
                <w:szCs w:val="24"/>
                <w:highlight w:val="none"/>
              </w:rPr>
            </w:pPr>
          </w:p>
        </w:tc>
        <w:tc>
          <w:tcPr>
            <w:tcW w:w="874" w:type="pct"/>
            <w:vAlign w:val="center"/>
          </w:tcPr>
          <w:p w14:paraId="5A955446">
            <w:pPr>
              <w:ind w:firstLine="0" w:firstLineChars="0"/>
              <w:rPr>
                <w:rFonts w:cs="宋体" w:asciiTheme="minorEastAsia" w:hAnsiTheme="minorEastAsia" w:eastAsiaTheme="minorEastAsia"/>
                <w:bCs/>
                <w:kern w:val="2"/>
                <w:szCs w:val="24"/>
                <w:highlight w:val="none"/>
              </w:rPr>
            </w:pPr>
          </w:p>
        </w:tc>
        <w:tc>
          <w:tcPr>
            <w:tcW w:w="918" w:type="pct"/>
            <w:vAlign w:val="center"/>
          </w:tcPr>
          <w:p w14:paraId="6B683250">
            <w:pPr>
              <w:ind w:firstLine="0" w:firstLineChars="0"/>
              <w:rPr>
                <w:rFonts w:cs="宋体" w:asciiTheme="minorEastAsia" w:hAnsiTheme="minorEastAsia" w:eastAsiaTheme="minorEastAsia"/>
                <w:bCs/>
                <w:kern w:val="2"/>
                <w:szCs w:val="24"/>
                <w:highlight w:val="none"/>
              </w:rPr>
            </w:pPr>
          </w:p>
        </w:tc>
        <w:tc>
          <w:tcPr>
            <w:tcW w:w="1043" w:type="pct"/>
            <w:vAlign w:val="center"/>
          </w:tcPr>
          <w:p w14:paraId="6F6C82D5">
            <w:pPr>
              <w:ind w:firstLine="0" w:firstLineChars="0"/>
              <w:rPr>
                <w:rFonts w:cs="宋体" w:asciiTheme="minorEastAsia" w:hAnsiTheme="minorEastAsia" w:eastAsiaTheme="minorEastAsia"/>
                <w:bCs/>
                <w:kern w:val="2"/>
                <w:szCs w:val="24"/>
                <w:highlight w:val="none"/>
              </w:rPr>
            </w:pPr>
          </w:p>
        </w:tc>
        <w:tc>
          <w:tcPr>
            <w:tcW w:w="636" w:type="pct"/>
            <w:vAlign w:val="center"/>
          </w:tcPr>
          <w:p w14:paraId="148A6666">
            <w:pPr>
              <w:ind w:firstLine="0" w:firstLineChars="0"/>
              <w:rPr>
                <w:rFonts w:cs="宋体" w:asciiTheme="minorEastAsia" w:hAnsiTheme="minorEastAsia" w:eastAsiaTheme="minorEastAsia"/>
                <w:bCs/>
                <w:kern w:val="2"/>
                <w:szCs w:val="24"/>
                <w:highlight w:val="none"/>
              </w:rPr>
            </w:pPr>
          </w:p>
        </w:tc>
      </w:tr>
      <w:tr w14:paraId="4CFE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63C2E6F0">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项目负责人评审业绩（打分业绩，如有）</w:t>
            </w:r>
          </w:p>
        </w:tc>
      </w:tr>
      <w:tr w14:paraId="3231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D2CD674">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54D1F06D">
            <w:pPr>
              <w:ind w:firstLine="0" w:firstLineChars="0"/>
              <w:rPr>
                <w:rFonts w:cs="宋体" w:asciiTheme="minorEastAsia" w:hAnsiTheme="minorEastAsia" w:eastAsiaTheme="minorEastAsia"/>
                <w:b/>
                <w:kern w:val="2"/>
                <w:szCs w:val="24"/>
                <w:highlight w:val="none"/>
              </w:rPr>
            </w:pPr>
          </w:p>
        </w:tc>
        <w:tc>
          <w:tcPr>
            <w:tcW w:w="874" w:type="pct"/>
            <w:vAlign w:val="center"/>
          </w:tcPr>
          <w:p w14:paraId="7749222E">
            <w:pPr>
              <w:ind w:firstLine="0" w:firstLineChars="0"/>
              <w:rPr>
                <w:rFonts w:cs="宋体" w:asciiTheme="minorEastAsia" w:hAnsiTheme="minorEastAsia" w:eastAsiaTheme="minorEastAsia"/>
                <w:b/>
                <w:kern w:val="2"/>
                <w:szCs w:val="24"/>
                <w:highlight w:val="none"/>
              </w:rPr>
            </w:pPr>
          </w:p>
        </w:tc>
        <w:tc>
          <w:tcPr>
            <w:tcW w:w="918" w:type="pct"/>
            <w:vAlign w:val="center"/>
          </w:tcPr>
          <w:p w14:paraId="55915662">
            <w:pPr>
              <w:ind w:firstLine="0" w:firstLineChars="0"/>
              <w:rPr>
                <w:rFonts w:cs="宋体" w:asciiTheme="minorEastAsia" w:hAnsiTheme="minorEastAsia" w:eastAsiaTheme="minorEastAsia"/>
                <w:b/>
                <w:kern w:val="2"/>
                <w:szCs w:val="24"/>
                <w:highlight w:val="none"/>
              </w:rPr>
            </w:pPr>
          </w:p>
        </w:tc>
        <w:tc>
          <w:tcPr>
            <w:tcW w:w="1043" w:type="pct"/>
            <w:vAlign w:val="center"/>
          </w:tcPr>
          <w:p w14:paraId="4A0BAB3B">
            <w:pPr>
              <w:ind w:firstLine="0" w:firstLineChars="0"/>
              <w:rPr>
                <w:rFonts w:cs="宋体" w:asciiTheme="minorEastAsia" w:hAnsiTheme="minorEastAsia" w:eastAsiaTheme="minorEastAsia"/>
                <w:b/>
                <w:kern w:val="2"/>
                <w:szCs w:val="24"/>
                <w:highlight w:val="none"/>
              </w:rPr>
            </w:pPr>
          </w:p>
        </w:tc>
        <w:tc>
          <w:tcPr>
            <w:tcW w:w="636" w:type="pct"/>
            <w:vAlign w:val="center"/>
          </w:tcPr>
          <w:p w14:paraId="2C346493">
            <w:pPr>
              <w:ind w:firstLine="0" w:firstLineChars="0"/>
              <w:rPr>
                <w:rFonts w:cs="宋体" w:asciiTheme="minorEastAsia" w:hAnsiTheme="minorEastAsia" w:eastAsiaTheme="minorEastAsia"/>
                <w:b/>
                <w:kern w:val="2"/>
                <w:szCs w:val="24"/>
                <w:highlight w:val="none"/>
              </w:rPr>
            </w:pPr>
          </w:p>
        </w:tc>
      </w:tr>
      <w:tr w14:paraId="6556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58D7487">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2</w:t>
            </w:r>
          </w:p>
        </w:tc>
        <w:tc>
          <w:tcPr>
            <w:tcW w:w="971" w:type="pct"/>
            <w:vAlign w:val="center"/>
          </w:tcPr>
          <w:p w14:paraId="640F291A">
            <w:pPr>
              <w:ind w:firstLine="0" w:firstLineChars="0"/>
              <w:rPr>
                <w:rFonts w:cs="宋体" w:asciiTheme="minorEastAsia" w:hAnsiTheme="minorEastAsia" w:eastAsiaTheme="minorEastAsia"/>
                <w:b/>
                <w:kern w:val="2"/>
                <w:szCs w:val="24"/>
                <w:highlight w:val="none"/>
              </w:rPr>
            </w:pPr>
          </w:p>
        </w:tc>
        <w:tc>
          <w:tcPr>
            <w:tcW w:w="874" w:type="pct"/>
            <w:vAlign w:val="center"/>
          </w:tcPr>
          <w:p w14:paraId="1D7BE3DF">
            <w:pPr>
              <w:ind w:firstLine="0" w:firstLineChars="0"/>
              <w:rPr>
                <w:rFonts w:cs="宋体" w:asciiTheme="minorEastAsia" w:hAnsiTheme="minorEastAsia" w:eastAsiaTheme="minorEastAsia"/>
                <w:b/>
                <w:kern w:val="2"/>
                <w:szCs w:val="24"/>
                <w:highlight w:val="none"/>
              </w:rPr>
            </w:pPr>
          </w:p>
        </w:tc>
        <w:tc>
          <w:tcPr>
            <w:tcW w:w="918" w:type="pct"/>
            <w:vAlign w:val="center"/>
          </w:tcPr>
          <w:p w14:paraId="4A3154E7">
            <w:pPr>
              <w:ind w:firstLine="0" w:firstLineChars="0"/>
              <w:rPr>
                <w:rFonts w:cs="宋体" w:asciiTheme="minorEastAsia" w:hAnsiTheme="minorEastAsia" w:eastAsiaTheme="minorEastAsia"/>
                <w:b/>
                <w:kern w:val="2"/>
                <w:szCs w:val="24"/>
                <w:highlight w:val="none"/>
              </w:rPr>
            </w:pPr>
          </w:p>
        </w:tc>
        <w:tc>
          <w:tcPr>
            <w:tcW w:w="1043" w:type="pct"/>
            <w:vAlign w:val="center"/>
          </w:tcPr>
          <w:p w14:paraId="612EFE05">
            <w:pPr>
              <w:ind w:firstLine="0" w:firstLineChars="0"/>
              <w:rPr>
                <w:rFonts w:cs="宋体" w:asciiTheme="minorEastAsia" w:hAnsiTheme="minorEastAsia" w:eastAsiaTheme="minorEastAsia"/>
                <w:b/>
                <w:kern w:val="2"/>
                <w:szCs w:val="24"/>
                <w:highlight w:val="none"/>
              </w:rPr>
            </w:pPr>
          </w:p>
        </w:tc>
        <w:tc>
          <w:tcPr>
            <w:tcW w:w="636" w:type="pct"/>
            <w:vAlign w:val="center"/>
          </w:tcPr>
          <w:p w14:paraId="04E9C16A">
            <w:pPr>
              <w:ind w:firstLine="0" w:firstLineChars="0"/>
              <w:rPr>
                <w:rFonts w:cs="宋体" w:asciiTheme="minorEastAsia" w:hAnsiTheme="minorEastAsia" w:eastAsiaTheme="minorEastAsia"/>
                <w:b/>
                <w:kern w:val="2"/>
                <w:szCs w:val="24"/>
                <w:highlight w:val="none"/>
              </w:rPr>
            </w:pPr>
          </w:p>
        </w:tc>
      </w:tr>
      <w:tr w14:paraId="5985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9956058">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w:t>
            </w:r>
          </w:p>
        </w:tc>
        <w:tc>
          <w:tcPr>
            <w:tcW w:w="971" w:type="pct"/>
            <w:vAlign w:val="center"/>
          </w:tcPr>
          <w:p w14:paraId="34F75838">
            <w:pPr>
              <w:ind w:firstLine="0" w:firstLineChars="0"/>
              <w:rPr>
                <w:rFonts w:cs="宋体" w:asciiTheme="minorEastAsia" w:hAnsiTheme="minorEastAsia" w:eastAsiaTheme="minorEastAsia"/>
                <w:b/>
                <w:kern w:val="2"/>
                <w:szCs w:val="24"/>
                <w:highlight w:val="none"/>
              </w:rPr>
            </w:pPr>
          </w:p>
        </w:tc>
        <w:tc>
          <w:tcPr>
            <w:tcW w:w="874" w:type="pct"/>
            <w:vAlign w:val="center"/>
          </w:tcPr>
          <w:p w14:paraId="1AD2D4DB">
            <w:pPr>
              <w:ind w:firstLine="0" w:firstLineChars="0"/>
              <w:rPr>
                <w:rFonts w:cs="宋体" w:asciiTheme="minorEastAsia" w:hAnsiTheme="minorEastAsia" w:eastAsiaTheme="minorEastAsia"/>
                <w:b/>
                <w:kern w:val="2"/>
                <w:szCs w:val="24"/>
                <w:highlight w:val="none"/>
              </w:rPr>
            </w:pPr>
          </w:p>
        </w:tc>
        <w:tc>
          <w:tcPr>
            <w:tcW w:w="918" w:type="pct"/>
            <w:vAlign w:val="center"/>
          </w:tcPr>
          <w:p w14:paraId="1AD80523">
            <w:pPr>
              <w:ind w:firstLine="0" w:firstLineChars="0"/>
              <w:rPr>
                <w:rFonts w:cs="宋体" w:asciiTheme="minorEastAsia" w:hAnsiTheme="minorEastAsia" w:eastAsiaTheme="minorEastAsia"/>
                <w:b/>
                <w:kern w:val="2"/>
                <w:szCs w:val="24"/>
                <w:highlight w:val="none"/>
              </w:rPr>
            </w:pPr>
          </w:p>
        </w:tc>
        <w:tc>
          <w:tcPr>
            <w:tcW w:w="1043" w:type="pct"/>
            <w:vAlign w:val="center"/>
          </w:tcPr>
          <w:p w14:paraId="28ECE2F1">
            <w:pPr>
              <w:ind w:firstLine="0" w:firstLineChars="0"/>
              <w:rPr>
                <w:rFonts w:cs="宋体" w:asciiTheme="minorEastAsia" w:hAnsiTheme="minorEastAsia" w:eastAsiaTheme="minorEastAsia"/>
                <w:b/>
                <w:kern w:val="2"/>
                <w:szCs w:val="24"/>
                <w:highlight w:val="none"/>
              </w:rPr>
            </w:pPr>
          </w:p>
        </w:tc>
        <w:tc>
          <w:tcPr>
            <w:tcW w:w="636" w:type="pct"/>
            <w:vAlign w:val="center"/>
          </w:tcPr>
          <w:p w14:paraId="09278AA5">
            <w:pPr>
              <w:ind w:firstLine="0" w:firstLineChars="0"/>
              <w:rPr>
                <w:rFonts w:cs="宋体" w:asciiTheme="minorEastAsia" w:hAnsiTheme="minorEastAsia" w:eastAsiaTheme="minorEastAsia"/>
                <w:b/>
                <w:kern w:val="2"/>
                <w:szCs w:val="24"/>
                <w:highlight w:val="none"/>
              </w:rPr>
            </w:pPr>
          </w:p>
        </w:tc>
      </w:tr>
    </w:tbl>
    <w:p w14:paraId="64E8FDE6">
      <w:pPr>
        <w:widowControl/>
        <w:ind w:firstLine="482"/>
        <w:jc w:val="left"/>
        <w:rPr>
          <w:rFonts w:asciiTheme="minorEastAsia" w:hAnsiTheme="minorEastAsia" w:eastAsiaTheme="minorEastAsia"/>
          <w:b/>
          <w:highlight w:val="none"/>
        </w:rPr>
      </w:pPr>
    </w:p>
    <w:p w14:paraId="79C60A20">
      <w:pPr>
        <w:keepNext/>
        <w:keepLines/>
        <w:ind w:firstLine="480"/>
        <w:rPr>
          <w:szCs w:val="24"/>
          <w:highlight w:val="none"/>
        </w:rPr>
      </w:pPr>
    </w:p>
    <w:p w14:paraId="0D8B074D">
      <w:pPr>
        <w:keepNext/>
        <w:keepLines/>
        <w:numPr>
          <w:ilvl w:val="0"/>
          <w:numId w:val="3"/>
        </w:numPr>
        <w:ind w:firstLine="480"/>
        <w:jc w:val="center"/>
        <w:rPr>
          <w:szCs w:val="24"/>
          <w:highlight w:val="none"/>
        </w:rPr>
      </w:pPr>
      <w:r>
        <w:rPr>
          <w:rFonts w:hint="eastAsia"/>
          <w:szCs w:val="24"/>
          <w:highlight w:val="none"/>
        </w:rPr>
        <w:t>业绩证明材料</w:t>
      </w:r>
    </w:p>
    <w:p w14:paraId="470B6CA2">
      <w:pPr>
        <w:keepNext/>
        <w:keepLines/>
        <w:ind w:firstLine="480"/>
        <w:jc w:val="center"/>
        <w:rPr>
          <w:rFonts w:asciiTheme="minorEastAsia" w:hAnsiTheme="minorEastAsia" w:eastAsiaTheme="minorEastAsia"/>
          <w:b/>
          <w:highlight w:val="none"/>
        </w:rPr>
      </w:pPr>
      <w:r>
        <w:rPr>
          <w:rFonts w:hint="eastAsia"/>
          <w:szCs w:val="24"/>
          <w:highlight w:val="none"/>
        </w:rPr>
        <w:t>（建议与上述“（一）业绩表”填写的业绩一一对应）</w:t>
      </w:r>
      <w:r>
        <w:rPr>
          <w:rFonts w:asciiTheme="minorEastAsia" w:hAnsiTheme="minorEastAsia" w:eastAsiaTheme="minorEastAsia"/>
          <w:b/>
          <w:highlight w:val="none"/>
        </w:rPr>
        <w:br w:type="page"/>
      </w:r>
    </w:p>
    <w:p w14:paraId="1BB079EC">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lang w:val="en-US" w:eastAsia="zh-CN"/>
        </w:rPr>
        <w:t>八</w:t>
      </w:r>
      <w:r>
        <w:rPr>
          <w:rFonts w:hint="eastAsia" w:asciiTheme="minorEastAsia" w:hAnsiTheme="minorEastAsia" w:eastAsiaTheme="minorEastAsia"/>
          <w:b/>
          <w:highlight w:val="none"/>
        </w:rPr>
        <w:t>、磋商保证金及电子交易服务费用</w:t>
      </w:r>
    </w:p>
    <w:p w14:paraId="327872A9">
      <w:pPr>
        <w:snapToGrid w:val="0"/>
        <w:ind w:firstLine="0" w:firstLineChars="0"/>
        <w:jc w:val="center"/>
        <w:rPr>
          <w:rFonts w:cs="Times New Roman"/>
          <w:szCs w:val="28"/>
          <w:highlight w:val="none"/>
        </w:rPr>
      </w:pPr>
      <w:r>
        <w:rPr>
          <w:rFonts w:hint="eastAsia" w:cs="Times New Roman"/>
          <w:szCs w:val="28"/>
          <w:highlight w:val="none"/>
        </w:rPr>
        <w:t>供应商应在此提供银行回单的扫描件。</w:t>
      </w:r>
    </w:p>
    <w:p w14:paraId="0AF80F0B">
      <w:pPr>
        <w:widowControl/>
        <w:spacing w:line="240" w:lineRule="auto"/>
        <w:ind w:firstLine="0" w:firstLineChars="0"/>
        <w:jc w:val="center"/>
        <w:rPr>
          <w:rFonts w:cs="@仿宋_GB2312"/>
          <w:b/>
          <w:bCs/>
          <w:kern w:val="2"/>
          <w:szCs w:val="24"/>
          <w:highlight w:val="none"/>
        </w:rPr>
      </w:pPr>
    </w:p>
    <w:p w14:paraId="611B4155">
      <w:pPr>
        <w:widowControl/>
        <w:spacing w:line="240" w:lineRule="auto"/>
        <w:ind w:firstLine="0" w:firstLineChars="0"/>
        <w:jc w:val="center"/>
        <w:rPr>
          <w:rFonts w:cs="@仿宋_GB2312"/>
          <w:b/>
          <w:bCs/>
          <w:kern w:val="2"/>
          <w:szCs w:val="24"/>
          <w:highlight w:val="none"/>
        </w:rPr>
      </w:pPr>
    </w:p>
    <w:p w14:paraId="24D5FB16">
      <w:pPr>
        <w:widowControl/>
        <w:spacing w:line="240" w:lineRule="auto"/>
        <w:ind w:firstLine="0" w:firstLineChars="0"/>
        <w:jc w:val="center"/>
        <w:rPr>
          <w:rFonts w:cs="@仿宋_GB2312"/>
          <w:b/>
          <w:bCs/>
          <w:kern w:val="2"/>
          <w:szCs w:val="24"/>
          <w:highlight w:val="none"/>
        </w:rPr>
      </w:pPr>
    </w:p>
    <w:p w14:paraId="642820C9">
      <w:pPr>
        <w:widowControl/>
        <w:spacing w:line="240" w:lineRule="auto"/>
        <w:ind w:firstLine="0" w:firstLineChars="0"/>
        <w:jc w:val="center"/>
        <w:rPr>
          <w:rFonts w:cs="@仿宋_GB2312"/>
          <w:b/>
          <w:bCs/>
          <w:kern w:val="2"/>
          <w:szCs w:val="24"/>
          <w:highlight w:val="none"/>
        </w:rPr>
      </w:pPr>
    </w:p>
    <w:p w14:paraId="10870E4F">
      <w:pPr>
        <w:widowControl/>
        <w:spacing w:line="240" w:lineRule="auto"/>
        <w:ind w:firstLine="0" w:firstLineChars="0"/>
        <w:jc w:val="center"/>
        <w:rPr>
          <w:rFonts w:cs="@仿宋_GB2312"/>
          <w:b/>
          <w:bCs/>
          <w:kern w:val="2"/>
          <w:szCs w:val="24"/>
          <w:highlight w:val="none"/>
        </w:rPr>
      </w:pPr>
    </w:p>
    <w:p w14:paraId="44503C6F">
      <w:pPr>
        <w:widowControl/>
        <w:spacing w:line="240" w:lineRule="auto"/>
        <w:ind w:firstLine="0" w:firstLineChars="0"/>
        <w:jc w:val="center"/>
        <w:rPr>
          <w:rFonts w:cs="@仿宋_GB2312"/>
          <w:b/>
          <w:bCs/>
          <w:kern w:val="2"/>
          <w:szCs w:val="24"/>
          <w:highlight w:val="none"/>
        </w:rPr>
      </w:pPr>
    </w:p>
    <w:p w14:paraId="37ADF476">
      <w:pPr>
        <w:widowControl/>
        <w:spacing w:line="240" w:lineRule="auto"/>
        <w:ind w:firstLine="0" w:firstLineChars="0"/>
        <w:jc w:val="center"/>
        <w:rPr>
          <w:rFonts w:cs="@仿宋_GB2312"/>
          <w:b/>
          <w:bCs/>
          <w:kern w:val="2"/>
          <w:szCs w:val="24"/>
          <w:highlight w:val="none"/>
        </w:rPr>
      </w:pPr>
    </w:p>
    <w:p w14:paraId="0508A582">
      <w:pPr>
        <w:widowControl/>
        <w:spacing w:line="240" w:lineRule="auto"/>
        <w:ind w:firstLine="0" w:firstLineChars="0"/>
        <w:jc w:val="center"/>
        <w:rPr>
          <w:rFonts w:cs="@仿宋_GB2312"/>
          <w:b/>
          <w:bCs/>
          <w:kern w:val="2"/>
          <w:szCs w:val="24"/>
          <w:highlight w:val="none"/>
        </w:rPr>
      </w:pPr>
    </w:p>
    <w:p w14:paraId="29BD20BE">
      <w:pPr>
        <w:widowControl/>
        <w:spacing w:line="240" w:lineRule="auto"/>
        <w:ind w:firstLine="0" w:firstLineChars="0"/>
        <w:jc w:val="center"/>
        <w:rPr>
          <w:rFonts w:cs="@仿宋_GB2312"/>
          <w:b/>
          <w:bCs/>
          <w:kern w:val="2"/>
          <w:szCs w:val="24"/>
          <w:highlight w:val="none"/>
        </w:rPr>
      </w:pPr>
    </w:p>
    <w:p w14:paraId="1DE142EE">
      <w:pPr>
        <w:widowControl/>
        <w:spacing w:line="240" w:lineRule="auto"/>
        <w:ind w:firstLine="0" w:firstLineChars="0"/>
        <w:jc w:val="center"/>
        <w:rPr>
          <w:rFonts w:cs="@仿宋_GB2312"/>
          <w:b/>
          <w:bCs/>
          <w:kern w:val="2"/>
          <w:szCs w:val="24"/>
          <w:highlight w:val="none"/>
        </w:rPr>
      </w:pPr>
    </w:p>
    <w:p w14:paraId="436CB504">
      <w:pPr>
        <w:widowControl/>
        <w:spacing w:line="240" w:lineRule="auto"/>
        <w:ind w:firstLine="0" w:firstLineChars="0"/>
        <w:jc w:val="center"/>
        <w:rPr>
          <w:rFonts w:cs="@仿宋_GB2312"/>
          <w:b/>
          <w:bCs/>
          <w:kern w:val="2"/>
          <w:szCs w:val="24"/>
          <w:highlight w:val="none"/>
        </w:rPr>
      </w:pPr>
    </w:p>
    <w:p w14:paraId="0557FFED">
      <w:pPr>
        <w:widowControl/>
        <w:spacing w:line="240" w:lineRule="auto"/>
        <w:ind w:firstLine="0" w:firstLineChars="0"/>
        <w:jc w:val="center"/>
        <w:rPr>
          <w:rFonts w:cs="@仿宋_GB2312"/>
          <w:b/>
          <w:bCs/>
          <w:kern w:val="2"/>
          <w:szCs w:val="24"/>
          <w:highlight w:val="none"/>
        </w:rPr>
      </w:pPr>
    </w:p>
    <w:p w14:paraId="1F0CB6ED">
      <w:pPr>
        <w:widowControl/>
        <w:spacing w:line="240" w:lineRule="auto"/>
        <w:ind w:firstLine="0" w:firstLineChars="0"/>
        <w:jc w:val="center"/>
        <w:rPr>
          <w:rFonts w:cs="@仿宋_GB2312"/>
          <w:b/>
          <w:bCs/>
          <w:kern w:val="2"/>
          <w:szCs w:val="24"/>
          <w:highlight w:val="none"/>
        </w:rPr>
      </w:pPr>
    </w:p>
    <w:p w14:paraId="018D7853">
      <w:pPr>
        <w:spacing w:after="120" w:line="480" w:lineRule="auto"/>
        <w:ind w:firstLine="482"/>
        <w:rPr>
          <w:rFonts w:cs="宋体"/>
          <w:b/>
          <w:bCs/>
          <w:kern w:val="2"/>
          <w:szCs w:val="24"/>
          <w:highlight w:val="none"/>
        </w:rPr>
      </w:pPr>
      <w:r>
        <w:rPr>
          <w:rFonts w:hint="eastAsia" w:cs="宋体"/>
          <w:b/>
          <w:bCs/>
          <w:kern w:val="2"/>
          <w:szCs w:val="24"/>
          <w:highlight w:val="none"/>
        </w:rPr>
        <w:t>如需开具电子交易服务费用发票请在本页附上开票信息，开票信息按照下列格式填写，发票开具后可在单位税务数字账户中查收，如未填写或填写不完整后期自行带转账回单至肥光办公区3号楼2楼开具。</w:t>
      </w:r>
    </w:p>
    <w:p w14:paraId="7F77B4E7">
      <w:pPr>
        <w:ind w:firstLine="0" w:firstLineChars="0"/>
        <w:rPr>
          <w:rFonts w:cs="宋体"/>
          <w:b/>
          <w:kern w:val="2"/>
          <w:szCs w:val="24"/>
          <w:highlight w:val="none"/>
        </w:rPr>
      </w:pPr>
      <w:r>
        <w:rPr>
          <w:rFonts w:hint="eastAsia" w:cs="宋体"/>
          <w:b/>
          <w:kern w:val="2"/>
          <w:szCs w:val="24"/>
          <w:highlight w:val="none"/>
        </w:rPr>
        <w:t>开票信息：</w:t>
      </w:r>
    </w:p>
    <w:p w14:paraId="03F028BB">
      <w:pPr>
        <w:spacing w:after="120"/>
        <w:ind w:firstLine="0" w:firstLineChars="0"/>
        <w:rPr>
          <w:rFonts w:cs="宋体"/>
          <w:b/>
          <w:kern w:val="2"/>
          <w:szCs w:val="24"/>
          <w:highlight w:val="none"/>
        </w:rPr>
      </w:pPr>
      <w:r>
        <w:rPr>
          <w:rFonts w:hint="eastAsia" w:cs="宋体"/>
          <w:b/>
          <w:kern w:val="2"/>
          <w:szCs w:val="24"/>
          <w:highlight w:val="none"/>
        </w:rPr>
        <w:t>发票类型：</w:t>
      </w:r>
      <w:r>
        <w:rPr>
          <w:rFonts w:hint="eastAsia" w:cs="宋体"/>
          <w:b/>
          <w:kern w:val="2"/>
          <w:szCs w:val="24"/>
          <w:highlight w:val="none"/>
          <w:u w:val="single"/>
        </w:rPr>
        <w:t xml:space="preserve">               </w:t>
      </w:r>
      <w:r>
        <w:rPr>
          <w:rFonts w:hint="eastAsia" w:cs="宋体"/>
          <w:b/>
          <w:kern w:val="2"/>
          <w:szCs w:val="24"/>
          <w:highlight w:val="none"/>
        </w:rPr>
        <w:t>（专票或普票）</w:t>
      </w:r>
    </w:p>
    <w:p w14:paraId="245836F5">
      <w:pPr>
        <w:ind w:firstLine="0" w:firstLineChars="0"/>
        <w:rPr>
          <w:rFonts w:cs="宋体"/>
          <w:b/>
          <w:kern w:val="2"/>
          <w:szCs w:val="24"/>
          <w:highlight w:val="none"/>
        </w:rPr>
      </w:pPr>
      <w:r>
        <w:rPr>
          <w:rFonts w:hint="eastAsia" w:cs="宋体"/>
          <w:b/>
          <w:kern w:val="2"/>
          <w:szCs w:val="24"/>
          <w:highlight w:val="none"/>
        </w:rPr>
        <w:t>公司名称：</w:t>
      </w:r>
      <w:r>
        <w:rPr>
          <w:rFonts w:hint="eastAsia" w:cs="宋体"/>
          <w:kern w:val="1"/>
          <w:szCs w:val="24"/>
          <w:highlight w:val="none"/>
        </w:rPr>
        <w:t xml:space="preserve"> </w:t>
      </w:r>
      <w:r>
        <w:rPr>
          <w:rFonts w:hint="eastAsia" w:cs="宋体"/>
          <w:kern w:val="1"/>
          <w:szCs w:val="24"/>
          <w:highlight w:val="none"/>
          <w:u w:val="single"/>
        </w:rPr>
        <w:t xml:space="preserve">                           </w:t>
      </w:r>
      <w:r>
        <w:rPr>
          <w:rFonts w:hint="eastAsia" w:cs="宋体"/>
          <w:kern w:val="1"/>
          <w:szCs w:val="24"/>
          <w:highlight w:val="none"/>
        </w:rPr>
        <w:t xml:space="preserve">     </w:t>
      </w:r>
    </w:p>
    <w:p w14:paraId="33BA2D04">
      <w:pPr>
        <w:widowControl/>
        <w:ind w:firstLine="0" w:firstLineChars="0"/>
        <w:jc w:val="left"/>
        <w:rPr>
          <w:rFonts w:cs="宋体"/>
          <w:b/>
          <w:kern w:val="2"/>
          <w:szCs w:val="24"/>
          <w:highlight w:val="none"/>
          <w:u w:val="single"/>
        </w:rPr>
      </w:pPr>
      <w:r>
        <w:rPr>
          <w:rFonts w:hint="eastAsia" w:cs="宋体"/>
          <w:b/>
          <w:kern w:val="2"/>
          <w:szCs w:val="24"/>
          <w:highlight w:val="none"/>
        </w:rPr>
        <w:t>纳税识别号：</w:t>
      </w:r>
      <w:r>
        <w:rPr>
          <w:rFonts w:hint="eastAsia" w:cs="宋体"/>
          <w:b/>
          <w:kern w:val="2"/>
          <w:szCs w:val="24"/>
          <w:highlight w:val="none"/>
          <w:u w:val="single"/>
        </w:rPr>
        <w:t xml:space="preserve">                          </w:t>
      </w:r>
    </w:p>
    <w:p w14:paraId="330EC8D9">
      <w:pPr>
        <w:widowControl/>
        <w:ind w:firstLine="0" w:firstLineChars="0"/>
        <w:jc w:val="left"/>
        <w:rPr>
          <w:rFonts w:cs="宋体"/>
          <w:b/>
          <w:kern w:val="2"/>
          <w:szCs w:val="24"/>
          <w:highlight w:val="none"/>
          <w:u w:val="single"/>
        </w:rPr>
      </w:pPr>
      <w:r>
        <w:rPr>
          <w:rFonts w:hint="eastAsia" w:cs="宋体"/>
          <w:b/>
          <w:kern w:val="2"/>
          <w:szCs w:val="24"/>
          <w:highlight w:val="none"/>
        </w:rPr>
        <w:t>开户行名称：</w:t>
      </w:r>
      <w:r>
        <w:rPr>
          <w:rFonts w:hint="eastAsia" w:cs="宋体"/>
          <w:b/>
          <w:kern w:val="2"/>
          <w:szCs w:val="24"/>
          <w:highlight w:val="none"/>
          <w:u w:val="single"/>
        </w:rPr>
        <w:t xml:space="preserve">                          </w:t>
      </w:r>
    </w:p>
    <w:p w14:paraId="7AC69A13">
      <w:pPr>
        <w:widowControl/>
        <w:spacing w:line="240" w:lineRule="auto"/>
        <w:ind w:firstLine="0" w:firstLineChars="0"/>
        <w:jc w:val="left"/>
        <w:rPr>
          <w:rFonts w:cs="宋体"/>
          <w:b/>
          <w:bCs/>
          <w:kern w:val="2"/>
          <w:szCs w:val="24"/>
          <w:highlight w:val="none"/>
        </w:rPr>
      </w:pPr>
      <w:r>
        <w:rPr>
          <w:rFonts w:hint="eastAsia" w:cs="宋体"/>
          <w:b/>
          <w:kern w:val="2"/>
          <w:szCs w:val="24"/>
          <w:highlight w:val="none"/>
        </w:rPr>
        <w:t>开户行账号：</w:t>
      </w:r>
      <w:r>
        <w:rPr>
          <w:rFonts w:hint="eastAsia" w:cs="宋体"/>
          <w:b/>
          <w:kern w:val="2"/>
          <w:szCs w:val="24"/>
          <w:highlight w:val="none"/>
          <w:u w:val="single"/>
        </w:rPr>
        <w:t xml:space="preserve">                          </w:t>
      </w:r>
    </w:p>
    <w:p w14:paraId="6BAE6CA4">
      <w:pPr>
        <w:widowControl/>
        <w:spacing w:line="240" w:lineRule="auto"/>
        <w:ind w:firstLine="0" w:firstLineChars="0"/>
        <w:rPr>
          <w:rFonts w:cs="@仿宋_GB2312"/>
          <w:b/>
          <w:bCs/>
          <w:kern w:val="2"/>
          <w:szCs w:val="24"/>
          <w:highlight w:val="none"/>
        </w:rPr>
      </w:pPr>
    </w:p>
    <w:p w14:paraId="628BDB00">
      <w:pPr>
        <w:widowControl/>
        <w:spacing w:line="240" w:lineRule="auto"/>
        <w:ind w:firstLine="0" w:firstLineChars="0"/>
        <w:jc w:val="center"/>
        <w:rPr>
          <w:rFonts w:cs="@仿宋_GB2312"/>
          <w:b/>
          <w:bCs/>
          <w:kern w:val="2"/>
          <w:szCs w:val="24"/>
          <w:highlight w:val="none"/>
        </w:rPr>
      </w:pPr>
    </w:p>
    <w:p w14:paraId="5A14EBA9">
      <w:pPr>
        <w:widowControl/>
        <w:spacing w:line="240" w:lineRule="auto"/>
        <w:ind w:firstLine="0" w:firstLineChars="0"/>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p w14:paraId="1A90D7F9">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lang w:val="en-US" w:eastAsia="zh-CN"/>
        </w:rPr>
        <w:t>九</w:t>
      </w:r>
      <w:r>
        <w:rPr>
          <w:rFonts w:hint="eastAsia" w:asciiTheme="minorEastAsia" w:hAnsiTheme="minorEastAsia" w:eastAsiaTheme="minorEastAsia"/>
          <w:b/>
          <w:highlight w:val="none"/>
        </w:rPr>
        <w:t>、其他相关证明材料</w:t>
      </w:r>
    </w:p>
    <w:p w14:paraId="04D05088">
      <w:pPr>
        <w:ind w:firstLine="480"/>
        <w:jc w:val="center"/>
        <w:rPr>
          <w:szCs w:val="24"/>
          <w:highlight w:val="none"/>
        </w:rPr>
      </w:pPr>
      <w:bookmarkStart w:id="28" w:name="_Toc19685"/>
      <w:bookmarkStart w:id="29" w:name="_Toc29973"/>
      <w:r>
        <w:rPr>
          <w:rFonts w:hint="eastAsia"/>
          <w:szCs w:val="24"/>
          <w:highlight w:val="none"/>
        </w:rPr>
        <w:t>供应商按照第四章评审方法和标准放置的其他资料。</w:t>
      </w:r>
      <w:bookmarkEnd w:id="28"/>
      <w:bookmarkEnd w:id="29"/>
    </w:p>
    <w:p w14:paraId="1375AA81">
      <w:pPr>
        <w:ind w:firstLine="480"/>
        <w:rPr>
          <w:szCs w:val="22"/>
          <w:highlight w:val="none"/>
        </w:rPr>
      </w:pPr>
      <w:r>
        <w:rPr>
          <w:rFonts w:hint="eastAsia"/>
          <w:szCs w:val="22"/>
          <w:highlight w:val="none"/>
        </w:rPr>
        <w:br w:type="page"/>
      </w:r>
    </w:p>
    <w:p w14:paraId="10085D69">
      <w:pPr>
        <w:ind w:firstLine="883"/>
        <w:rPr>
          <w:rFonts w:cs="宋体"/>
          <w:b/>
          <w:bCs/>
          <w:sz w:val="44"/>
          <w:szCs w:val="44"/>
          <w:highlight w:val="none"/>
        </w:rPr>
      </w:pPr>
      <w:r>
        <w:rPr>
          <w:rFonts w:hint="eastAsia" w:cs="宋体"/>
          <w:b/>
          <w:bCs/>
          <w:sz w:val="44"/>
          <w:szCs w:val="44"/>
          <w:highlight w:val="none"/>
        </w:rPr>
        <w:t>附件：全流程电子招标采购具体要求</w:t>
      </w:r>
      <w:r>
        <w:rPr>
          <w:rStyle w:val="17"/>
          <w:rFonts w:hint="eastAsia" w:cs="宋体"/>
          <w:b/>
          <w:bCs/>
          <w:sz w:val="44"/>
          <w:szCs w:val="44"/>
          <w:highlight w:val="none"/>
        </w:rPr>
        <w:footnoteReference w:id="0"/>
      </w:r>
    </w:p>
    <w:p w14:paraId="1E627691">
      <w:pPr>
        <w:spacing w:line="400" w:lineRule="exact"/>
        <w:ind w:firstLine="480"/>
        <w:rPr>
          <w:rFonts w:cs="宋体"/>
          <w:szCs w:val="24"/>
          <w:highlight w:val="none"/>
        </w:rPr>
      </w:pPr>
      <w:r>
        <w:rPr>
          <w:rFonts w:hint="eastAsia" w:cs="宋体"/>
          <w:szCs w:val="24"/>
          <w:highlight w:val="none"/>
        </w:rPr>
        <w:t>说明：当采用非招标方式进行全流程电子采购活动时，按照本规定执行，其中本要求“供应商”按“</w:t>
      </w:r>
      <w:r>
        <w:rPr>
          <w:rFonts w:hint="eastAsia"/>
          <w:szCs w:val="18"/>
          <w:highlight w:val="none"/>
        </w:rPr>
        <w:t>供应商</w:t>
      </w:r>
      <w:r>
        <w:rPr>
          <w:rFonts w:hint="eastAsia" w:cs="宋体"/>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69AE5E18">
      <w:pPr>
        <w:spacing w:line="400" w:lineRule="exact"/>
        <w:ind w:firstLine="480"/>
        <w:rPr>
          <w:rFonts w:cs="宋体"/>
          <w:szCs w:val="24"/>
          <w:highlight w:val="none"/>
        </w:rPr>
      </w:pPr>
    </w:p>
    <w:p w14:paraId="4857048A">
      <w:pPr>
        <w:spacing w:line="400" w:lineRule="exact"/>
        <w:ind w:firstLine="480"/>
        <w:rPr>
          <w:rFonts w:cs="宋体"/>
          <w:szCs w:val="24"/>
          <w:highlight w:val="none"/>
        </w:rPr>
      </w:pPr>
      <w:r>
        <w:rPr>
          <w:rFonts w:hint="eastAsia" w:cs="宋体"/>
          <w:szCs w:val="24"/>
          <w:highlight w:val="none"/>
        </w:rPr>
        <w:t>一、</w:t>
      </w:r>
      <w:r>
        <w:rPr>
          <w:rFonts w:hint="eastAsia" w:cs="宋体"/>
          <w:highlight w:val="none"/>
        </w:rPr>
        <w:t>CA</w:t>
      </w:r>
      <w:r>
        <w:rPr>
          <w:rFonts w:hint="eastAsia" w:cs="宋体"/>
          <w:szCs w:val="24"/>
          <w:highlight w:val="none"/>
        </w:rPr>
        <w:t>证书办理和注意事项</w:t>
      </w:r>
    </w:p>
    <w:p w14:paraId="04CBC4E7">
      <w:pPr>
        <w:spacing w:line="400" w:lineRule="exact"/>
        <w:ind w:firstLine="480"/>
        <w:rPr>
          <w:rFonts w:cs="宋体"/>
          <w:highlight w:val="none"/>
        </w:rPr>
      </w:pPr>
      <w:r>
        <w:rPr>
          <w:rFonts w:hint="eastAsia" w:cs="宋体"/>
          <w:szCs w:val="24"/>
          <w:highlight w:val="none"/>
        </w:rPr>
        <w:t>1.本项目采用全流程电子招标采购方式，</w:t>
      </w:r>
      <w:r>
        <w:rPr>
          <w:rFonts w:hint="eastAsia" w:cs="宋体"/>
          <w:highlight w:val="none"/>
        </w:rPr>
        <w:t>潜在</w:t>
      </w:r>
      <w:r>
        <w:rPr>
          <w:rFonts w:hint="eastAsia"/>
          <w:szCs w:val="18"/>
          <w:highlight w:val="none"/>
        </w:rPr>
        <w:t>供应商</w:t>
      </w:r>
      <w:r>
        <w:rPr>
          <w:rFonts w:hint="eastAsia" w:cs="宋体"/>
          <w:highlight w:val="none"/>
        </w:rPr>
        <w:t>应及时办理CA证书，用于对投标文件进行电子签章及加、解密。</w:t>
      </w:r>
    </w:p>
    <w:p w14:paraId="56870B1B">
      <w:pPr>
        <w:spacing w:line="400" w:lineRule="exact"/>
        <w:ind w:firstLine="480"/>
        <w:rPr>
          <w:rFonts w:cs="宋体"/>
          <w:bCs/>
          <w:highlight w:val="none"/>
        </w:rPr>
      </w:pPr>
      <w:r>
        <w:rPr>
          <w:rFonts w:hint="eastAsia" w:cs="宋体"/>
          <w:szCs w:val="24"/>
          <w:highlight w:val="none"/>
        </w:rPr>
        <w:t>2.CA</w:t>
      </w:r>
      <w:r>
        <w:rPr>
          <w:rFonts w:hint="eastAsia" w:cs="宋体"/>
          <w:highlight w:val="none"/>
        </w:rPr>
        <w:t>证书</w:t>
      </w:r>
      <w:r>
        <w:rPr>
          <w:rFonts w:hint="eastAsia" w:cs="宋体"/>
          <w:szCs w:val="24"/>
          <w:highlight w:val="none"/>
        </w:rPr>
        <w:t>办理详见</w:t>
      </w:r>
      <w:r>
        <w:rPr>
          <w:rFonts w:hint="eastAsia" w:cs="宋体"/>
          <w:bCs/>
          <w:highlight w:val="none"/>
        </w:rPr>
        <w:t>《优质采平台CA数字证书办理说明》：</w:t>
      </w:r>
    </w:p>
    <w:p w14:paraId="0498D2AC">
      <w:pPr>
        <w:spacing w:line="400" w:lineRule="exact"/>
        <w:ind w:firstLine="480"/>
        <w:rPr>
          <w:rFonts w:cs="宋体"/>
          <w:b/>
          <w:bCs/>
          <w:highlight w:val="none"/>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16"/>
          <w:rFonts w:hint="eastAsia" w:cs="宋体"/>
          <w:bCs/>
          <w:color w:val="auto"/>
          <w:highlight w:val="none"/>
        </w:rPr>
        <w:t>http://www.youzhicai.com/ActivityTopic/AdviceDetail/8f80a7ec-911f-4c4d-a123-f</w:t>
      </w:r>
      <w:bookmarkStart w:id="30" w:name="_Hlt105085548"/>
      <w:bookmarkStart w:id="31" w:name="_Hlt105085547"/>
      <w:r>
        <w:rPr>
          <w:rStyle w:val="16"/>
          <w:rFonts w:hint="eastAsia" w:cs="宋体"/>
          <w:bCs/>
          <w:color w:val="auto"/>
          <w:highlight w:val="none"/>
        </w:rPr>
        <w:t>8</w:t>
      </w:r>
      <w:bookmarkEnd w:id="30"/>
      <w:bookmarkEnd w:id="31"/>
      <w:r>
        <w:rPr>
          <w:rStyle w:val="16"/>
          <w:rFonts w:hint="eastAsia" w:cs="宋体"/>
          <w:bCs/>
          <w:color w:val="auto"/>
          <w:highlight w:val="none"/>
        </w:rPr>
        <w:t>849880f045</w:t>
      </w:r>
      <w:r>
        <w:rPr>
          <w:rStyle w:val="16"/>
          <w:rFonts w:hint="eastAsia" w:cs="宋体"/>
          <w:bCs/>
          <w:color w:val="auto"/>
          <w:highlight w:val="none"/>
        </w:rPr>
        <w:fldChar w:fldCharType="end"/>
      </w:r>
      <w:r>
        <w:rPr>
          <w:rFonts w:hint="eastAsia" w:cs="宋体"/>
          <w:bCs/>
          <w:highlight w:val="none"/>
        </w:rPr>
        <w:t>。</w:t>
      </w:r>
    </w:p>
    <w:p w14:paraId="3D01A97A">
      <w:pPr>
        <w:spacing w:line="400" w:lineRule="exact"/>
        <w:ind w:firstLine="480"/>
        <w:rPr>
          <w:rFonts w:cs="宋体"/>
          <w:highlight w:val="none"/>
        </w:rPr>
      </w:pPr>
      <w:r>
        <w:rPr>
          <w:rFonts w:hint="eastAsia" w:cs="宋体"/>
          <w:szCs w:val="24"/>
          <w:highlight w:val="none"/>
        </w:rPr>
        <w:t>3.CA</w:t>
      </w:r>
      <w:r>
        <w:rPr>
          <w:rFonts w:hint="eastAsia" w:cs="宋体"/>
          <w:highlight w:val="none"/>
        </w:rPr>
        <w:t>证书</w:t>
      </w:r>
      <w:r>
        <w:rPr>
          <w:rFonts w:hint="eastAsia" w:cs="宋体"/>
          <w:szCs w:val="24"/>
          <w:highlight w:val="none"/>
        </w:rPr>
        <w:t>到期或即将到期，须在递交投标文件前办理续期。</w:t>
      </w:r>
    </w:p>
    <w:p w14:paraId="0759B9F5">
      <w:pPr>
        <w:spacing w:line="400" w:lineRule="exact"/>
        <w:ind w:firstLine="480"/>
        <w:rPr>
          <w:rFonts w:cs="宋体"/>
          <w:highlight w:val="none"/>
        </w:rPr>
      </w:pPr>
      <w:r>
        <w:rPr>
          <w:rFonts w:hint="eastAsia" w:cs="宋体"/>
          <w:szCs w:val="24"/>
          <w:highlight w:val="none"/>
        </w:rPr>
        <w:t>4.CA锁</w:t>
      </w:r>
      <w:r>
        <w:rPr>
          <w:rFonts w:hint="eastAsia" w:cs="宋体"/>
          <w:highlight w:val="none"/>
        </w:rPr>
        <w:t>遗失、损坏等无法使用，须在递交投标文件前补办CA锁。</w:t>
      </w:r>
    </w:p>
    <w:p w14:paraId="59F55E51">
      <w:pPr>
        <w:spacing w:line="400" w:lineRule="exact"/>
        <w:ind w:firstLine="480"/>
        <w:rPr>
          <w:rFonts w:cs="宋体"/>
          <w:highlight w:val="none"/>
        </w:rPr>
      </w:pPr>
      <w:r>
        <w:rPr>
          <w:rFonts w:hint="eastAsia" w:cs="宋体"/>
          <w:szCs w:val="24"/>
          <w:highlight w:val="none"/>
        </w:rPr>
        <w:t>5.企业</w:t>
      </w:r>
      <w:r>
        <w:rPr>
          <w:rFonts w:hint="eastAsia" w:cs="宋体"/>
          <w:highlight w:val="none"/>
        </w:rPr>
        <w:t>信息（包括但不限于企业名称和法定代表人信息）发生变更的，须在递交投标文件前变更CA证书。</w:t>
      </w:r>
    </w:p>
    <w:p w14:paraId="05F1AE5B">
      <w:pPr>
        <w:spacing w:line="400" w:lineRule="exact"/>
        <w:ind w:firstLine="480"/>
        <w:rPr>
          <w:rFonts w:cs="宋体"/>
          <w:szCs w:val="24"/>
          <w:highlight w:val="none"/>
        </w:rPr>
      </w:pPr>
      <w:r>
        <w:rPr>
          <w:rFonts w:hint="eastAsia" w:cs="宋体"/>
          <w:szCs w:val="24"/>
          <w:highlight w:val="none"/>
        </w:rPr>
        <w:tab/>
      </w:r>
      <w:r>
        <w:rPr>
          <w:rFonts w:hint="eastAsia" w:cs="宋体"/>
          <w:szCs w:val="24"/>
          <w:highlight w:val="none"/>
        </w:rPr>
        <w:t>6.</w:t>
      </w:r>
      <w:r>
        <w:rPr>
          <w:rFonts w:hint="eastAsia"/>
          <w:szCs w:val="18"/>
          <w:highlight w:val="none"/>
        </w:rPr>
        <w:t xml:space="preserve"> 供应商</w:t>
      </w:r>
      <w:r>
        <w:rPr>
          <w:rFonts w:hint="eastAsia" w:cs="宋体"/>
          <w:szCs w:val="24"/>
          <w:highlight w:val="none"/>
        </w:rPr>
        <w:t>由于</w:t>
      </w:r>
      <w:r>
        <w:rPr>
          <w:rFonts w:hint="eastAsia" w:cs="宋体"/>
          <w:highlight w:val="none"/>
        </w:rPr>
        <w:t>CA证书</w:t>
      </w:r>
      <w:r>
        <w:rPr>
          <w:rFonts w:hint="eastAsia" w:cs="宋体"/>
          <w:szCs w:val="24"/>
          <w:highlight w:val="none"/>
        </w:rPr>
        <w:t>遗失、损坏、更换、续期、企业信息变更等情况导致投标文件无法解密的，由</w:t>
      </w:r>
      <w:r>
        <w:rPr>
          <w:rFonts w:hint="eastAsia"/>
          <w:szCs w:val="18"/>
          <w:highlight w:val="none"/>
        </w:rPr>
        <w:t>供应商</w:t>
      </w:r>
      <w:r>
        <w:rPr>
          <w:rFonts w:hint="eastAsia" w:cs="宋体"/>
          <w:szCs w:val="24"/>
          <w:highlight w:val="none"/>
        </w:rPr>
        <w:t>自行承担责任；</w:t>
      </w:r>
    </w:p>
    <w:p w14:paraId="78A0262F">
      <w:pPr>
        <w:spacing w:line="400" w:lineRule="exact"/>
        <w:ind w:firstLine="480"/>
        <w:rPr>
          <w:rFonts w:cs="宋体"/>
          <w:szCs w:val="24"/>
          <w:highlight w:val="none"/>
        </w:rPr>
      </w:pPr>
      <w:r>
        <w:rPr>
          <w:rFonts w:hint="eastAsia" w:cs="宋体"/>
          <w:szCs w:val="24"/>
          <w:highlight w:val="none"/>
        </w:rPr>
        <w:t>7.加密和解密投标文件</w:t>
      </w:r>
      <w:r>
        <w:rPr>
          <w:rFonts w:hint="eastAsia" w:cs="宋体"/>
          <w:highlight w:val="none"/>
        </w:rPr>
        <w:t>必须使用同一个CA证书</w:t>
      </w:r>
      <w:r>
        <w:rPr>
          <w:rFonts w:hint="eastAsia" w:cs="宋体"/>
          <w:szCs w:val="24"/>
          <w:highlight w:val="none"/>
        </w:rPr>
        <w:t>。</w:t>
      </w:r>
    </w:p>
    <w:p w14:paraId="04756CDD">
      <w:pPr>
        <w:spacing w:line="400" w:lineRule="exact"/>
        <w:ind w:firstLine="480"/>
        <w:rPr>
          <w:rFonts w:cs="宋体"/>
          <w:szCs w:val="24"/>
          <w:highlight w:val="none"/>
        </w:rPr>
      </w:pPr>
      <w:r>
        <w:rPr>
          <w:rFonts w:hint="eastAsia" w:cs="宋体"/>
          <w:szCs w:val="24"/>
          <w:highlight w:val="none"/>
        </w:rPr>
        <w:t>二、制作、签章、加密、上传电子投标文件</w:t>
      </w:r>
    </w:p>
    <w:p w14:paraId="0D1D7479">
      <w:pPr>
        <w:spacing w:line="400" w:lineRule="exact"/>
        <w:ind w:firstLine="480"/>
        <w:rPr>
          <w:rStyle w:val="16"/>
          <w:rFonts w:cs="宋体"/>
          <w:color w:val="auto"/>
          <w:highlight w:val="none"/>
        </w:rPr>
      </w:pPr>
      <w:r>
        <w:rPr>
          <w:rFonts w:hint="eastAsia" w:cs="宋体"/>
          <w:szCs w:val="24"/>
          <w:highlight w:val="none"/>
        </w:rPr>
        <w:t>8.本项目采用全流程电子化招标采购方式，潜在</w:t>
      </w:r>
      <w:r>
        <w:rPr>
          <w:rFonts w:hint="eastAsia"/>
          <w:szCs w:val="18"/>
          <w:highlight w:val="none"/>
        </w:rPr>
        <w:t>供应商</w:t>
      </w:r>
      <w:r>
        <w:rPr>
          <w:rFonts w:hint="eastAsia" w:cs="宋体"/>
          <w:highlight w:val="none"/>
        </w:rPr>
        <w:t>需使用</w:t>
      </w:r>
      <w:r>
        <w:rPr>
          <w:rFonts w:hint="eastAsia" w:cs="宋体"/>
          <w:szCs w:val="24"/>
          <w:highlight w:val="none"/>
        </w:rPr>
        <w:t>“优质采投标工具客户端”（以下简称“投标工具”）制作</w:t>
      </w:r>
      <w:r>
        <w:rPr>
          <w:rFonts w:hint="eastAsia" w:cs="宋体"/>
          <w:highlight w:val="none"/>
        </w:rPr>
        <w:t>电子投标文件，</w:t>
      </w:r>
      <w:r>
        <w:rPr>
          <w:rFonts w:hint="eastAsia" w:cs="宋体"/>
          <w:szCs w:val="24"/>
          <w:highlight w:val="none"/>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16"/>
          <w:rFonts w:hint="eastAsia" w:cs="宋体"/>
          <w:color w:val="auto"/>
          <w:highlight w:val="none"/>
        </w:rPr>
        <w:t>https://toolcdn.youzhicai.com/tools/BidderTools.zip</w:t>
      </w:r>
      <w:r>
        <w:rPr>
          <w:rStyle w:val="16"/>
          <w:rFonts w:hint="eastAsia" w:cs="宋体"/>
          <w:color w:val="auto"/>
          <w:highlight w:val="none"/>
        </w:rPr>
        <w:fldChar w:fldCharType="end"/>
      </w:r>
      <w:r>
        <w:rPr>
          <w:rStyle w:val="16"/>
          <w:rFonts w:hint="eastAsia" w:cs="宋体"/>
          <w:color w:val="auto"/>
          <w:highlight w:val="none"/>
        </w:rPr>
        <w:t>。</w:t>
      </w:r>
    </w:p>
    <w:p w14:paraId="01620C0E">
      <w:pPr>
        <w:spacing w:line="400" w:lineRule="exact"/>
        <w:ind w:firstLine="480"/>
        <w:rPr>
          <w:rStyle w:val="16"/>
          <w:rFonts w:cs="宋体"/>
          <w:color w:val="auto"/>
          <w:highlight w:val="none"/>
          <w:u w:val="none"/>
        </w:rPr>
      </w:pPr>
      <w:r>
        <w:rPr>
          <w:rStyle w:val="16"/>
          <w:rFonts w:hint="eastAsia" w:cs="宋体"/>
          <w:color w:val="auto"/>
          <w:highlight w:val="none"/>
          <w:u w:val="none"/>
        </w:rPr>
        <w:tab/>
      </w:r>
      <w:r>
        <w:rPr>
          <w:rStyle w:val="16"/>
          <w:rFonts w:hint="eastAsia" w:cs="宋体"/>
          <w:color w:val="auto"/>
          <w:highlight w:val="none"/>
          <w:u w:val="none"/>
        </w:rPr>
        <w:t>8.1.投标工具建议在window7或windows10操作系统下使用；</w:t>
      </w:r>
    </w:p>
    <w:p w14:paraId="0420AFB0">
      <w:pPr>
        <w:spacing w:line="400" w:lineRule="exact"/>
        <w:ind w:firstLine="480"/>
        <w:rPr>
          <w:rFonts w:cs="宋体"/>
          <w:bCs/>
          <w:sz w:val="18"/>
          <w:highlight w:val="none"/>
        </w:rPr>
      </w:pPr>
      <w:r>
        <w:rPr>
          <w:rStyle w:val="16"/>
          <w:rFonts w:hint="eastAsia" w:cs="宋体"/>
          <w:color w:val="auto"/>
          <w:highlight w:val="none"/>
          <w:u w:val="none"/>
        </w:rPr>
        <w:tab/>
      </w:r>
      <w:r>
        <w:rPr>
          <w:rStyle w:val="16"/>
          <w:rFonts w:hint="eastAsia" w:cs="宋体"/>
          <w:color w:val="auto"/>
          <w:highlight w:val="none"/>
          <w:u w:val="none"/>
        </w:rPr>
        <w:t>8.2.电子投标文件编制建议使用</w:t>
      </w:r>
      <w:r>
        <w:rPr>
          <w:rFonts w:hint="eastAsia" w:cs="宋体"/>
          <w:highlight w:val="none"/>
        </w:rPr>
        <w:t>office2010版本。</w:t>
      </w:r>
    </w:p>
    <w:p w14:paraId="7FAC397D">
      <w:pPr>
        <w:wordWrap w:val="0"/>
        <w:spacing w:line="400" w:lineRule="exact"/>
        <w:ind w:firstLine="480"/>
        <w:rPr>
          <w:rFonts w:cs="宋体"/>
          <w:bCs/>
          <w:highlight w:val="none"/>
          <w:u w:val="single"/>
        </w:rPr>
      </w:pPr>
      <w:r>
        <w:rPr>
          <w:rFonts w:hint="eastAsia" w:cs="宋体"/>
          <w:szCs w:val="24"/>
          <w:highlight w:val="none"/>
        </w:rPr>
        <w:tab/>
      </w:r>
      <w:r>
        <w:rPr>
          <w:rFonts w:hint="eastAsia" w:cs="宋体"/>
          <w:szCs w:val="24"/>
          <w:highlight w:val="none"/>
        </w:rPr>
        <w:t>9.</w:t>
      </w:r>
      <w:r>
        <w:rPr>
          <w:rFonts w:hint="eastAsia" w:cs="宋体"/>
          <w:highlight w:val="none"/>
        </w:rPr>
        <w:t>潜在</w:t>
      </w:r>
      <w:r>
        <w:rPr>
          <w:rFonts w:hint="eastAsia"/>
          <w:szCs w:val="18"/>
          <w:highlight w:val="none"/>
        </w:rPr>
        <w:t>供应商</w:t>
      </w:r>
      <w:r>
        <w:rPr>
          <w:rFonts w:hint="eastAsia" w:cs="宋体"/>
          <w:highlight w:val="none"/>
        </w:rPr>
        <w:t>制作电子投标文件后，需在</w:t>
      </w:r>
      <w:r>
        <w:rPr>
          <w:rFonts w:hint="eastAsia" w:cs="宋体"/>
          <w:szCs w:val="24"/>
          <w:highlight w:val="none"/>
        </w:rPr>
        <w:t>投标工具</w:t>
      </w:r>
      <w:r>
        <w:rPr>
          <w:rFonts w:hint="eastAsia" w:cs="宋体"/>
          <w:highlight w:val="none"/>
        </w:rPr>
        <w:t>对电子投标文件进行电子签章（项目有特殊说明的除外），并使用CA</w:t>
      </w:r>
      <w:r>
        <w:rPr>
          <w:rFonts w:hint="eastAsia" w:cs="宋体"/>
          <w:szCs w:val="24"/>
          <w:highlight w:val="none"/>
        </w:rPr>
        <w:t>证书进行</w:t>
      </w:r>
      <w:r>
        <w:rPr>
          <w:rFonts w:hint="eastAsia" w:cs="宋体"/>
          <w:highlight w:val="none"/>
        </w:rPr>
        <w:t>加密。在</w:t>
      </w:r>
      <w:r>
        <w:rPr>
          <w:rFonts w:hint="eastAsia" w:cs="宋体"/>
          <w:szCs w:val="24"/>
          <w:highlight w:val="none"/>
        </w:rPr>
        <w:t>投标工具使用CA证书</w:t>
      </w:r>
      <w:r>
        <w:rPr>
          <w:rFonts w:hint="eastAsia" w:cs="宋体"/>
          <w:highlight w:val="none"/>
        </w:rPr>
        <w:t>时需安装“优质采数字证书助手”</w:t>
      </w:r>
      <w:r>
        <w:rPr>
          <w:rFonts w:hint="eastAsia" w:cs="宋体"/>
          <w:szCs w:val="24"/>
          <w:highlight w:val="none"/>
        </w:rPr>
        <w:t xml:space="preserve"> （即数字证书驱动）</w:t>
      </w:r>
      <w:r>
        <w:rPr>
          <w:rFonts w:hint="eastAsia" w:cs="宋体"/>
          <w:highlight w:val="none"/>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16"/>
          <w:rFonts w:hint="eastAsia" w:cs="宋体"/>
          <w:color w:val="auto"/>
          <w:highlight w:val="none"/>
        </w:rPr>
        <w:t>https://toolcdn.youzhicai.com/ca.zip</w:t>
      </w:r>
      <w:r>
        <w:rPr>
          <w:rStyle w:val="16"/>
          <w:rFonts w:hint="eastAsia" w:cs="宋体"/>
          <w:color w:val="auto"/>
          <w:highlight w:val="none"/>
        </w:rPr>
        <w:fldChar w:fldCharType="end"/>
      </w:r>
      <w:r>
        <w:rPr>
          <w:rStyle w:val="16"/>
          <w:rFonts w:hint="eastAsia" w:cs="宋体"/>
          <w:color w:val="auto"/>
          <w:highlight w:val="none"/>
        </w:rPr>
        <w:t>。</w:t>
      </w:r>
    </w:p>
    <w:p w14:paraId="714F3B47">
      <w:pPr>
        <w:wordWrap w:val="0"/>
        <w:spacing w:line="400" w:lineRule="exact"/>
        <w:ind w:firstLine="480"/>
        <w:rPr>
          <w:rFonts w:cs="宋体"/>
          <w:szCs w:val="24"/>
          <w:highlight w:val="none"/>
        </w:rPr>
      </w:pPr>
      <w:r>
        <w:rPr>
          <w:rFonts w:hint="eastAsia" w:cs="宋体"/>
          <w:highlight w:val="none"/>
        </w:rPr>
        <w:tab/>
      </w:r>
      <w:r>
        <w:rPr>
          <w:rFonts w:hint="eastAsia" w:cs="宋体"/>
          <w:szCs w:val="24"/>
          <w:highlight w:val="none"/>
        </w:rPr>
        <w:t>10.潜在</w:t>
      </w:r>
      <w:r>
        <w:rPr>
          <w:rFonts w:hint="eastAsia"/>
          <w:szCs w:val="18"/>
          <w:highlight w:val="none"/>
        </w:rPr>
        <w:t>供应商</w:t>
      </w:r>
      <w:r>
        <w:rPr>
          <w:rFonts w:hint="eastAsia" w:cs="宋体"/>
          <w:szCs w:val="24"/>
          <w:highlight w:val="none"/>
        </w:rPr>
        <w:t>完成制作、签章、加密投标文件后，需在</w:t>
      </w:r>
      <w:r>
        <w:rPr>
          <w:rFonts w:hint="eastAsia" w:cs="宋体"/>
          <w:highlight w:val="none"/>
        </w:rPr>
        <w:t>招标文件规定的投标截止时间前在</w:t>
      </w:r>
      <w:r>
        <w:rPr>
          <w:rFonts w:hint="eastAsia" w:cs="宋体"/>
          <w:szCs w:val="24"/>
          <w:highlight w:val="none"/>
        </w:rPr>
        <w:t>投标工具</w:t>
      </w:r>
      <w:r>
        <w:rPr>
          <w:rFonts w:hint="eastAsia" w:cs="宋体"/>
          <w:highlight w:val="none"/>
        </w:rPr>
        <w:t>完成上传。</w:t>
      </w:r>
      <w:r>
        <w:rPr>
          <w:rFonts w:hint="eastAsia" w:cs="宋体"/>
          <w:szCs w:val="24"/>
          <w:highlight w:val="none"/>
        </w:rPr>
        <w:t>投标截止时间以优质采云采购平台（</w:t>
      </w:r>
      <w:r>
        <w:rPr>
          <w:rFonts w:cs="宋体"/>
          <w:szCs w:val="24"/>
          <w:highlight w:val="none"/>
        </w:rPr>
        <w:t>http://www.youzhicai.com/</w:t>
      </w:r>
      <w:r>
        <w:rPr>
          <w:rFonts w:hint="eastAsia" w:cs="宋体"/>
          <w:szCs w:val="24"/>
          <w:highlight w:val="none"/>
        </w:rPr>
        <w:t>）系统的时间为准，如未在投标截止时间前完成电子投标文件上传，系统将自动关闭上传通道。潜在</w:t>
      </w:r>
      <w:r>
        <w:rPr>
          <w:rFonts w:hint="eastAsia"/>
          <w:szCs w:val="18"/>
          <w:highlight w:val="none"/>
        </w:rPr>
        <w:t>供应商</w:t>
      </w:r>
      <w:r>
        <w:rPr>
          <w:rFonts w:hint="eastAsia" w:cs="宋体"/>
          <w:szCs w:val="24"/>
          <w:highlight w:val="none"/>
        </w:rPr>
        <w:t>未完成电子投标文件上传的，视为没有递交投标文件。</w:t>
      </w:r>
    </w:p>
    <w:p w14:paraId="045B5783">
      <w:pPr>
        <w:wordWrap w:val="0"/>
        <w:spacing w:line="400" w:lineRule="exact"/>
        <w:ind w:firstLine="480"/>
        <w:rPr>
          <w:rFonts w:cs="宋体"/>
          <w:szCs w:val="24"/>
          <w:highlight w:val="none"/>
        </w:rPr>
      </w:pPr>
      <w:r>
        <w:rPr>
          <w:rFonts w:hint="eastAsia" w:cs="宋体"/>
          <w:szCs w:val="24"/>
          <w:highlight w:val="none"/>
        </w:rPr>
        <w:t>11.潜在</w:t>
      </w:r>
      <w:r>
        <w:rPr>
          <w:rFonts w:hint="eastAsia"/>
          <w:szCs w:val="18"/>
          <w:highlight w:val="none"/>
        </w:rPr>
        <w:t>供应商</w:t>
      </w:r>
      <w:r>
        <w:rPr>
          <w:rFonts w:hint="eastAsia" w:cs="宋体"/>
          <w:szCs w:val="24"/>
          <w:highlight w:val="none"/>
        </w:rPr>
        <w:t>在投标文件递交截止时间前，可以对其所递交的电子投标文件进行撤回，修改后重新上传。</w:t>
      </w:r>
    </w:p>
    <w:p w14:paraId="1A52B2F7">
      <w:pPr>
        <w:spacing w:line="400" w:lineRule="exact"/>
        <w:ind w:firstLine="480"/>
        <w:rPr>
          <w:rFonts w:cs="宋体"/>
          <w:szCs w:val="24"/>
          <w:highlight w:val="none"/>
        </w:rPr>
      </w:pPr>
      <w:r>
        <w:rPr>
          <w:rFonts w:hint="eastAsia" w:cs="宋体"/>
          <w:szCs w:val="24"/>
          <w:highlight w:val="none"/>
        </w:rPr>
        <w:t>12.潜在</w:t>
      </w:r>
      <w:r>
        <w:rPr>
          <w:rFonts w:hint="eastAsia"/>
          <w:szCs w:val="18"/>
          <w:highlight w:val="none"/>
        </w:rPr>
        <w:t>供应商</w:t>
      </w:r>
      <w:r>
        <w:rPr>
          <w:rFonts w:hint="eastAsia" w:cs="宋体"/>
          <w:szCs w:val="24"/>
          <w:highlight w:val="none"/>
        </w:rPr>
        <w:t>在制作、签章、加密、上传电子投标文件过程中，若存在技术操作问题，请及时联系优质采云采购平台客服人员，客服电话：400-0099-555，0551-62220164。</w:t>
      </w:r>
    </w:p>
    <w:p w14:paraId="5156837E">
      <w:pPr>
        <w:spacing w:line="400" w:lineRule="exact"/>
        <w:ind w:firstLine="480"/>
        <w:rPr>
          <w:rFonts w:cs="宋体"/>
          <w:szCs w:val="24"/>
          <w:highlight w:val="none"/>
        </w:rPr>
      </w:pPr>
      <w:r>
        <w:rPr>
          <w:rFonts w:hint="eastAsia" w:cs="宋体"/>
          <w:szCs w:val="24"/>
          <w:highlight w:val="none"/>
        </w:rPr>
        <w:t>三、开标和解密</w:t>
      </w:r>
    </w:p>
    <w:p w14:paraId="1A0D10DC">
      <w:pPr>
        <w:spacing w:line="400" w:lineRule="exact"/>
        <w:ind w:firstLine="480"/>
        <w:rPr>
          <w:rFonts w:cs="宋体"/>
          <w:szCs w:val="24"/>
          <w:highlight w:val="none"/>
        </w:rPr>
      </w:pPr>
      <w:r>
        <w:rPr>
          <w:rFonts w:hint="eastAsia" w:cs="宋体"/>
          <w:szCs w:val="24"/>
          <w:highlight w:val="none"/>
        </w:rPr>
        <w:t>13.</w:t>
      </w:r>
      <w:r>
        <w:rPr>
          <w:rFonts w:hint="eastAsia"/>
          <w:szCs w:val="18"/>
          <w:highlight w:val="none"/>
        </w:rPr>
        <w:t>业主单位</w:t>
      </w:r>
      <w:r>
        <w:rPr>
          <w:rFonts w:hint="eastAsia" w:cs="宋体"/>
          <w:szCs w:val="24"/>
          <w:highlight w:val="none"/>
        </w:rPr>
        <w:t>或代理机构工作人员（以下简称工作人员）根据有关规定登录系统组织开标。投标文件递交截止时间后由</w:t>
      </w:r>
      <w:r>
        <w:rPr>
          <w:rFonts w:hint="eastAsia"/>
          <w:szCs w:val="18"/>
          <w:highlight w:val="none"/>
        </w:rPr>
        <w:t>供应商</w:t>
      </w:r>
      <w:r>
        <w:rPr>
          <w:rFonts w:hint="eastAsia" w:cs="宋体"/>
          <w:szCs w:val="24"/>
          <w:highlight w:val="none"/>
        </w:rPr>
        <w:t>使用</w:t>
      </w:r>
      <w:r>
        <w:rPr>
          <w:rFonts w:hint="eastAsia" w:cs="宋体"/>
          <w:highlight w:val="none"/>
        </w:rPr>
        <w:t>CA证书</w:t>
      </w:r>
      <w:r>
        <w:rPr>
          <w:rFonts w:hint="eastAsia" w:cs="宋体"/>
          <w:szCs w:val="24"/>
          <w:highlight w:val="none"/>
        </w:rPr>
        <w:t>解密投标文件，工作人员导入已解密投标文件并公布开标结果。</w:t>
      </w:r>
    </w:p>
    <w:p w14:paraId="54BF6269">
      <w:pPr>
        <w:spacing w:line="400" w:lineRule="exact"/>
        <w:ind w:firstLine="480"/>
        <w:rPr>
          <w:rFonts w:cs="宋体"/>
          <w:szCs w:val="24"/>
          <w:highlight w:val="none"/>
        </w:rPr>
      </w:pPr>
      <w:r>
        <w:rPr>
          <w:rFonts w:hint="eastAsia" w:cs="宋体"/>
          <w:szCs w:val="24"/>
          <w:highlight w:val="none"/>
        </w:rPr>
        <w:t>14.投标文件可远程解密，</w:t>
      </w:r>
      <w:r>
        <w:rPr>
          <w:rFonts w:hint="eastAsia"/>
          <w:szCs w:val="18"/>
          <w:highlight w:val="none"/>
        </w:rPr>
        <w:t>供应商</w:t>
      </w:r>
      <w:r>
        <w:rPr>
          <w:rFonts w:hint="eastAsia" w:cs="宋体"/>
          <w:szCs w:val="24"/>
          <w:highlight w:val="none"/>
        </w:rPr>
        <w:t>无需到达开标现场。招标文件“</w:t>
      </w:r>
      <w:r>
        <w:rPr>
          <w:rFonts w:hint="eastAsia"/>
          <w:szCs w:val="18"/>
          <w:highlight w:val="none"/>
        </w:rPr>
        <w:t>供应商</w:t>
      </w:r>
      <w:r>
        <w:rPr>
          <w:rFonts w:hint="eastAsia" w:cs="宋体"/>
          <w:szCs w:val="24"/>
          <w:highlight w:val="none"/>
        </w:rPr>
        <w:t>须知”中另有规定的，从其规定。</w:t>
      </w:r>
    </w:p>
    <w:p w14:paraId="43CCEEF4">
      <w:pPr>
        <w:spacing w:line="400" w:lineRule="exact"/>
        <w:ind w:firstLine="480"/>
        <w:rPr>
          <w:rFonts w:cs="宋体"/>
          <w:szCs w:val="24"/>
          <w:highlight w:val="none"/>
        </w:rPr>
      </w:pPr>
      <w:r>
        <w:rPr>
          <w:rFonts w:hint="eastAsia" w:cs="宋体"/>
          <w:szCs w:val="24"/>
          <w:highlight w:val="none"/>
        </w:rPr>
        <w:t>15.潜在</w:t>
      </w:r>
      <w:r>
        <w:rPr>
          <w:rFonts w:hint="eastAsia"/>
          <w:szCs w:val="18"/>
          <w:highlight w:val="none"/>
        </w:rPr>
        <w:t>供应商</w:t>
      </w:r>
      <w:r>
        <w:rPr>
          <w:rFonts w:hint="eastAsia" w:cs="宋体"/>
          <w:szCs w:val="24"/>
          <w:highlight w:val="none"/>
        </w:rPr>
        <w:t>须按照招标文件的要求在投标文件递交截止时间前登录投标工具并保持在线，关注开标互动大厅消息直到项目评审结束。</w:t>
      </w:r>
    </w:p>
    <w:p w14:paraId="5B5B155B">
      <w:pPr>
        <w:spacing w:line="400" w:lineRule="exact"/>
        <w:ind w:firstLine="480"/>
        <w:rPr>
          <w:rFonts w:cs="宋体"/>
          <w:szCs w:val="24"/>
          <w:highlight w:val="none"/>
        </w:rPr>
      </w:pPr>
      <w:r>
        <w:rPr>
          <w:rFonts w:hint="eastAsia" w:cs="宋体"/>
          <w:szCs w:val="24"/>
          <w:highlight w:val="none"/>
        </w:rPr>
        <w:t>16.投标文件解密时限为投标文件递交截止时间后30分钟（招标文件“</w:t>
      </w:r>
      <w:r>
        <w:rPr>
          <w:rFonts w:hint="eastAsia"/>
          <w:szCs w:val="18"/>
          <w:highlight w:val="none"/>
        </w:rPr>
        <w:t>供应商</w:t>
      </w:r>
      <w:r>
        <w:rPr>
          <w:rFonts w:hint="eastAsia" w:cs="宋体"/>
          <w:szCs w:val="24"/>
          <w:highlight w:val="none"/>
        </w:rPr>
        <w:t>须知”中另有规定的，从其规定）。潜在</w:t>
      </w:r>
      <w:r>
        <w:rPr>
          <w:rFonts w:hint="eastAsia"/>
          <w:szCs w:val="18"/>
          <w:highlight w:val="none"/>
        </w:rPr>
        <w:t>供应商</w:t>
      </w:r>
      <w:r>
        <w:rPr>
          <w:rFonts w:hint="eastAsia" w:cs="宋体"/>
          <w:szCs w:val="24"/>
          <w:highlight w:val="none"/>
        </w:rPr>
        <w:t>须在投标文件解密时限内完成投标文件解密，未能成功解密的视为放弃投标。招标文件“</w:t>
      </w:r>
      <w:r>
        <w:rPr>
          <w:rFonts w:hint="eastAsia"/>
          <w:szCs w:val="18"/>
          <w:highlight w:val="none"/>
        </w:rPr>
        <w:t>供应商</w:t>
      </w:r>
      <w:r>
        <w:rPr>
          <w:rFonts w:hint="eastAsia" w:cs="宋体"/>
          <w:szCs w:val="24"/>
          <w:highlight w:val="none"/>
        </w:rPr>
        <w:t>须知”中对投标文件解密设有线下补救方案的，执行该补救方案。</w:t>
      </w:r>
    </w:p>
    <w:p w14:paraId="5F4C157D">
      <w:pPr>
        <w:spacing w:line="400" w:lineRule="exact"/>
        <w:ind w:firstLine="480"/>
        <w:rPr>
          <w:rFonts w:cs="宋体"/>
          <w:szCs w:val="24"/>
          <w:highlight w:val="none"/>
        </w:rPr>
      </w:pPr>
      <w:r>
        <w:rPr>
          <w:rFonts w:hint="eastAsia" w:cs="宋体"/>
          <w:szCs w:val="24"/>
          <w:highlight w:val="none"/>
        </w:rPr>
        <w:t>四、评审和询标</w:t>
      </w:r>
    </w:p>
    <w:p w14:paraId="01BB2456">
      <w:pPr>
        <w:spacing w:line="400" w:lineRule="exact"/>
        <w:ind w:firstLine="480"/>
        <w:rPr>
          <w:rFonts w:cs="宋体"/>
          <w:szCs w:val="24"/>
          <w:highlight w:val="none"/>
        </w:rPr>
      </w:pPr>
      <w:r>
        <w:rPr>
          <w:rFonts w:hint="eastAsia" w:cs="宋体"/>
          <w:szCs w:val="24"/>
          <w:highlight w:val="none"/>
        </w:rPr>
        <w:t>17.评审委员会通过优质采电子评审工具将需要澄清、说明或补正的内容以询标函的形式发送给</w:t>
      </w:r>
      <w:r>
        <w:rPr>
          <w:rFonts w:hint="eastAsia"/>
          <w:szCs w:val="18"/>
          <w:highlight w:val="none"/>
        </w:rPr>
        <w:t>供应商</w:t>
      </w:r>
      <w:r>
        <w:rPr>
          <w:rFonts w:hint="eastAsia" w:cs="宋体"/>
          <w:szCs w:val="24"/>
          <w:highlight w:val="none"/>
        </w:rPr>
        <w:t>，</w:t>
      </w:r>
      <w:r>
        <w:rPr>
          <w:rFonts w:hint="eastAsia"/>
          <w:szCs w:val="18"/>
          <w:highlight w:val="none"/>
        </w:rPr>
        <w:t>供应商</w:t>
      </w:r>
      <w:r>
        <w:rPr>
          <w:rFonts w:hint="eastAsia" w:cs="宋体"/>
          <w:szCs w:val="24"/>
          <w:highlight w:val="none"/>
        </w:rPr>
        <w:t>应登录投标工具并保持在线状态，以便及时接收评审委员会可能发出的询标函，并在询标函载明的时间内回复，若</w:t>
      </w:r>
      <w:r>
        <w:rPr>
          <w:rFonts w:hint="eastAsia"/>
          <w:szCs w:val="18"/>
          <w:highlight w:val="none"/>
        </w:rPr>
        <w:t>供应商</w:t>
      </w:r>
      <w:r>
        <w:rPr>
          <w:rFonts w:hint="eastAsia" w:cs="宋体"/>
          <w:szCs w:val="24"/>
          <w:highlight w:val="none"/>
        </w:rPr>
        <w:t>未及时回复，视为放弃澄清。</w:t>
      </w:r>
    </w:p>
    <w:p w14:paraId="522A17BE">
      <w:pPr>
        <w:spacing w:line="400" w:lineRule="exact"/>
        <w:ind w:firstLine="480"/>
        <w:rPr>
          <w:rFonts w:cs="宋体"/>
          <w:highlight w:val="none"/>
        </w:rPr>
      </w:pPr>
      <w:r>
        <w:rPr>
          <w:rFonts w:hint="eastAsia" w:cs="宋体"/>
          <w:highlight w:val="none"/>
        </w:rPr>
        <w:t>五、异常情形</w:t>
      </w:r>
    </w:p>
    <w:p w14:paraId="20CB9030">
      <w:pPr>
        <w:spacing w:line="400" w:lineRule="exact"/>
        <w:ind w:firstLine="480"/>
        <w:rPr>
          <w:rFonts w:cs="宋体"/>
          <w:szCs w:val="24"/>
          <w:highlight w:val="none"/>
        </w:rPr>
      </w:pPr>
      <w:r>
        <w:rPr>
          <w:rFonts w:hint="eastAsia" w:cs="宋体"/>
          <w:szCs w:val="24"/>
          <w:highlight w:val="none"/>
        </w:rPr>
        <w:t>18.出现下列情形导致电子交易系统无法正常运行，影响招投标过程的公平、公正和信息安全，经第三方机构认定后，各方当事人免责：</w:t>
      </w:r>
    </w:p>
    <w:p w14:paraId="33CCA73E">
      <w:pPr>
        <w:spacing w:line="400" w:lineRule="exact"/>
        <w:ind w:firstLine="480"/>
        <w:rPr>
          <w:rFonts w:cs="宋体"/>
          <w:szCs w:val="24"/>
          <w:highlight w:val="none"/>
        </w:rPr>
      </w:pPr>
      <w:r>
        <w:rPr>
          <w:rFonts w:hint="eastAsia" w:cs="宋体"/>
          <w:szCs w:val="24"/>
          <w:highlight w:val="none"/>
        </w:rPr>
        <w:t>(1)网络、服务器、数据库发生故障造成无法访问或使用的；</w:t>
      </w:r>
    </w:p>
    <w:p w14:paraId="4AB226C3">
      <w:pPr>
        <w:spacing w:line="400" w:lineRule="exact"/>
        <w:ind w:firstLine="480"/>
        <w:rPr>
          <w:rFonts w:cs="宋体"/>
          <w:szCs w:val="24"/>
          <w:highlight w:val="none"/>
        </w:rPr>
      </w:pPr>
      <w:r>
        <w:rPr>
          <w:rFonts w:hint="eastAsia" w:cs="宋体"/>
          <w:szCs w:val="24"/>
          <w:highlight w:val="none"/>
        </w:rPr>
        <w:t>(2)电力系统发生故障导致电子服务系统或电子交易系统无法运行；</w:t>
      </w:r>
    </w:p>
    <w:p w14:paraId="21292818">
      <w:pPr>
        <w:spacing w:line="400" w:lineRule="exact"/>
        <w:ind w:firstLine="480"/>
        <w:rPr>
          <w:rFonts w:cs="宋体"/>
          <w:szCs w:val="24"/>
          <w:highlight w:val="none"/>
        </w:rPr>
      </w:pPr>
      <w:r>
        <w:rPr>
          <w:rFonts w:hint="eastAsia" w:cs="宋体"/>
          <w:szCs w:val="24"/>
          <w:highlight w:val="none"/>
        </w:rPr>
        <w:t>(3)出现网络攻击、病毒入侵以及电子服务系统或电子交易系统安全漏洞导致无法正常提供服务的；</w:t>
      </w:r>
    </w:p>
    <w:p w14:paraId="5C271F40">
      <w:pPr>
        <w:spacing w:line="400" w:lineRule="exact"/>
        <w:ind w:firstLine="480"/>
        <w:rPr>
          <w:rFonts w:cs="宋体"/>
          <w:szCs w:val="24"/>
          <w:highlight w:val="none"/>
        </w:rPr>
      </w:pPr>
      <w:r>
        <w:rPr>
          <w:rFonts w:hint="eastAsia" w:cs="宋体"/>
          <w:szCs w:val="24"/>
          <w:highlight w:val="none"/>
        </w:rPr>
        <w:t>(4)其他无法保证招投标过程公平、公正和信息安全的情形。</w:t>
      </w:r>
    </w:p>
    <w:p w14:paraId="3AB49F15">
      <w:pPr>
        <w:spacing w:line="400" w:lineRule="exact"/>
        <w:ind w:firstLine="480"/>
        <w:rPr>
          <w:rFonts w:cs="宋体"/>
          <w:highlight w:val="none"/>
        </w:rPr>
      </w:pPr>
      <w:r>
        <w:rPr>
          <w:rFonts w:hint="eastAsia" w:cs="宋体"/>
          <w:highlight w:val="none"/>
        </w:rPr>
        <w:t>六、异常情形处理</w:t>
      </w:r>
    </w:p>
    <w:p w14:paraId="797B2A82">
      <w:pPr>
        <w:spacing w:line="400" w:lineRule="exact"/>
        <w:ind w:firstLine="480"/>
        <w:rPr>
          <w:rFonts w:cs="宋体"/>
          <w:highlight w:val="none"/>
        </w:rPr>
      </w:pPr>
      <w:r>
        <w:rPr>
          <w:rFonts w:hint="eastAsia" w:cs="宋体"/>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220E9560">
      <w:pPr>
        <w:spacing w:line="400" w:lineRule="exact"/>
        <w:ind w:firstLine="480"/>
        <w:rPr>
          <w:rFonts w:cs="宋体"/>
          <w:highlight w:val="none"/>
        </w:rPr>
      </w:pPr>
      <w:r>
        <w:rPr>
          <w:rFonts w:hint="eastAsia" w:cs="宋体"/>
          <w:highlight w:val="none"/>
        </w:rPr>
        <w:t>（1）项目中止，中止期限由</w:t>
      </w:r>
      <w:r>
        <w:rPr>
          <w:rFonts w:hint="eastAsia"/>
          <w:szCs w:val="18"/>
          <w:highlight w:val="none"/>
        </w:rPr>
        <w:t>业主单位</w:t>
      </w:r>
      <w:r>
        <w:rPr>
          <w:rFonts w:hint="eastAsia" w:cs="宋体"/>
          <w:highlight w:val="none"/>
        </w:rPr>
        <w:t>或代理机构根据项目具体情况确定。中止期限届满后中止情形尚未消除的，</w:t>
      </w:r>
      <w:r>
        <w:rPr>
          <w:rFonts w:hint="eastAsia"/>
          <w:szCs w:val="18"/>
          <w:highlight w:val="none"/>
        </w:rPr>
        <w:t>业主单位</w:t>
      </w:r>
      <w:r>
        <w:rPr>
          <w:rFonts w:hint="eastAsia" w:cs="宋体"/>
          <w:highlight w:val="none"/>
        </w:rPr>
        <w:t>或代理机构可以根据实际情况决定延长中止期限。决定延长中止期限的，应向</w:t>
      </w:r>
      <w:r>
        <w:rPr>
          <w:rFonts w:hint="eastAsia"/>
          <w:szCs w:val="18"/>
          <w:highlight w:val="none"/>
        </w:rPr>
        <w:t>供应商</w:t>
      </w:r>
      <w:r>
        <w:rPr>
          <w:rFonts w:hint="eastAsia" w:cs="宋体"/>
          <w:highlight w:val="none"/>
        </w:rPr>
        <w:t>发出延长中止期限通知，并发布公布。</w:t>
      </w:r>
    </w:p>
    <w:p w14:paraId="5AB19F9C">
      <w:pPr>
        <w:spacing w:line="400" w:lineRule="exact"/>
        <w:ind w:firstLine="480"/>
        <w:rPr>
          <w:rFonts w:cs="宋体"/>
          <w:highlight w:val="none"/>
        </w:rPr>
      </w:pPr>
      <w:r>
        <w:rPr>
          <w:rFonts w:hint="eastAsia" w:cs="宋体"/>
          <w:highlight w:val="none"/>
        </w:rPr>
        <w:t>（2）项目恢复，导致项目中止的情形消除后，</w:t>
      </w:r>
      <w:r>
        <w:rPr>
          <w:rFonts w:hint="eastAsia"/>
          <w:szCs w:val="18"/>
          <w:highlight w:val="none"/>
        </w:rPr>
        <w:t>业主单位</w:t>
      </w:r>
      <w:r>
        <w:rPr>
          <w:rFonts w:hint="eastAsia" w:cs="宋体"/>
          <w:highlight w:val="none"/>
        </w:rPr>
        <w:t>或代理机构应当尽快恢复招投标程序，向</w:t>
      </w:r>
      <w:r>
        <w:rPr>
          <w:rFonts w:hint="eastAsia"/>
          <w:szCs w:val="18"/>
          <w:highlight w:val="none"/>
        </w:rPr>
        <w:t>供应商</w:t>
      </w:r>
      <w:r>
        <w:rPr>
          <w:rFonts w:hint="eastAsia" w:cs="宋体"/>
          <w:highlight w:val="none"/>
        </w:rPr>
        <w:t>发出恢复交易通知，并发布公布；已发出延长中止期限通知的，按通知执行。</w:t>
      </w:r>
    </w:p>
    <w:p w14:paraId="51DE9424">
      <w:pPr>
        <w:ind w:firstLine="480"/>
        <w:rPr>
          <w:highlight w:val="none"/>
        </w:rPr>
      </w:pPr>
    </w:p>
    <w:p w14:paraId="735208A9">
      <w:pPr>
        <w:ind w:firstLine="721"/>
        <w:jc w:val="center"/>
        <w:rPr>
          <w:rFonts w:ascii="华文宋体" w:hAnsi="华文宋体" w:eastAsia="华文宋体" w:cs="华文宋体"/>
          <w:b/>
          <w:bCs/>
          <w:sz w:val="36"/>
          <w:szCs w:val="44"/>
          <w:highlight w:val="none"/>
        </w:rPr>
      </w:pPr>
    </w:p>
    <w:p w14:paraId="3ED39087">
      <w:pPr>
        <w:ind w:firstLine="721"/>
        <w:jc w:val="center"/>
        <w:rPr>
          <w:rFonts w:ascii="华文宋体" w:hAnsi="华文宋体" w:eastAsia="华文宋体" w:cs="华文宋体"/>
          <w:b/>
          <w:bCs/>
          <w:sz w:val="36"/>
          <w:szCs w:val="44"/>
          <w:highlight w:val="none"/>
        </w:rPr>
      </w:pPr>
    </w:p>
    <w:p w14:paraId="2388FDF3">
      <w:pPr>
        <w:ind w:firstLine="721"/>
        <w:jc w:val="center"/>
        <w:rPr>
          <w:rFonts w:ascii="华文宋体" w:hAnsi="华文宋体" w:eastAsia="华文宋体" w:cs="华文宋体"/>
          <w:b/>
          <w:bCs/>
          <w:sz w:val="36"/>
          <w:szCs w:val="44"/>
          <w:highlight w:val="none"/>
        </w:rPr>
      </w:pPr>
    </w:p>
    <w:p w14:paraId="2C45A302">
      <w:pPr>
        <w:ind w:firstLine="721"/>
        <w:jc w:val="center"/>
        <w:rPr>
          <w:rFonts w:ascii="华文宋体" w:hAnsi="华文宋体" w:eastAsia="华文宋体" w:cs="华文宋体"/>
          <w:b/>
          <w:bCs/>
          <w:sz w:val="36"/>
          <w:szCs w:val="44"/>
          <w:highlight w:val="none"/>
        </w:rPr>
      </w:pPr>
    </w:p>
    <w:p w14:paraId="73189428">
      <w:pPr>
        <w:ind w:firstLine="721"/>
        <w:jc w:val="center"/>
        <w:rPr>
          <w:rFonts w:ascii="华文宋体" w:hAnsi="华文宋体" w:eastAsia="华文宋体" w:cs="华文宋体"/>
          <w:b/>
          <w:bCs/>
          <w:sz w:val="36"/>
          <w:szCs w:val="44"/>
          <w:highlight w:val="none"/>
        </w:rPr>
      </w:pPr>
    </w:p>
    <w:p w14:paraId="754C1F34">
      <w:pPr>
        <w:ind w:firstLine="721"/>
        <w:jc w:val="center"/>
        <w:rPr>
          <w:rFonts w:ascii="华文宋体" w:hAnsi="华文宋体" w:eastAsia="华文宋体" w:cs="华文宋体"/>
          <w:b/>
          <w:bCs/>
          <w:sz w:val="36"/>
          <w:szCs w:val="44"/>
          <w:highlight w:val="none"/>
        </w:rPr>
      </w:pPr>
    </w:p>
    <w:p w14:paraId="3ED151B9">
      <w:pPr>
        <w:ind w:firstLine="721"/>
        <w:jc w:val="center"/>
        <w:rPr>
          <w:rFonts w:ascii="华文宋体" w:hAnsi="华文宋体" w:eastAsia="华文宋体" w:cs="华文宋体"/>
          <w:b/>
          <w:bCs/>
          <w:sz w:val="36"/>
          <w:szCs w:val="44"/>
          <w:highlight w:val="none"/>
        </w:rPr>
      </w:pPr>
    </w:p>
    <w:p w14:paraId="464A6385">
      <w:pPr>
        <w:ind w:firstLine="721"/>
        <w:jc w:val="center"/>
        <w:rPr>
          <w:rFonts w:ascii="华文宋体" w:hAnsi="华文宋体" w:eastAsia="华文宋体" w:cs="华文宋体"/>
          <w:b/>
          <w:bCs/>
          <w:sz w:val="36"/>
          <w:szCs w:val="44"/>
          <w:highlight w:val="none"/>
        </w:rPr>
      </w:pPr>
    </w:p>
    <w:p w14:paraId="23F55E92">
      <w:pPr>
        <w:ind w:firstLine="721"/>
        <w:jc w:val="center"/>
        <w:rPr>
          <w:rFonts w:ascii="华文宋体" w:hAnsi="华文宋体" w:eastAsia="华文宋体" w:cs="华文宋体"/>
          <w:b/>
          <w:bCs/>
          <w:sz w:val="36"/>
          <w:szCs w:val="44"/>
          <w:highlight w:val="none"/>
        </w:rPr>
      </w:pPr>
    </w:p>
    <w:p w14:paraId="7BF94277">
      <w:pPr>
        <w:ind w:firstLine="721"/>
        <w:jc w:val="center"/>
        <w:rPr>
          <w:rFonts w:ascii="华文宋体" w:hAnsi="华文宋体" w:eastAsia="华文宋体" w:cs="华文宋体"/>
          <w:b/>
          <w:bCs/>
          <w:sz w:val="36"/>
          <w:szCs w:val="44"/>
          <w:highlight w:val="none"/>
        </w:rPr>
      </w:pPr>
    </w:p>
    <w:p w14:paraId="6AD10C62">
      <w:pPr>
        <w:ind w:firstLine="721"/>
        <w:jc w:val="center"/>
        <w:rPr>
          <w:rFonts w:ascii="华文宋体" w:hAnsi="华文宋体" w:eastAsia="华文宋体" w:cs="华文宋体"/>
          <w:b/>
          <w:bCs/>
          <w:sz w:val="36"/>
          <w:szCs w:val="44"/>
          <w:highlight w:val="none"/>
        </w:rPr>
      </w:pPr>
    </w:p>
    <w:p w14:paraId="08A3D48E">
      <w:pPr>
        <w:ind w:firstLine="721"/>
        <w:jc w:val="center"/>
        <w:rPr>
          <w:rFonts w:ascii="华文宋体" w:hAnsi="华文宋体" w:eastAsia="华文宋体" w:cs="华文宋体"/>
          <w:b/>
          <w:bCs/>
          <w:sz w:val="36"/>
          <w:szCs w:val="44"/>
          <w:highlight w:val="none"/>
        </w:rPr>
      </w:pPr>
    </w:p>
    <w:p w14:paraId="608476F2">
      <w:pPr>
        <w:ind w:firstLine="721"/>
        <w:jc w:val="center"/>
        <w:rPr>
          <w:rFonts w:ascii="华文宋体" w:hAnsi="华文宋体" w:eastAsia="华文宋体" w:cs="华文宋体"/>
          <w:b/>
          <w:bCs/>
          <w:sz w:val="36"/>
          <w:szCs w:val="44"/>
          <w:highlight w:val="none"/>
        </w:rPr>
      </w:pPr>
    </w:p>
    <w:p w14:paraId="04394D21">
      <w:pPr>
        <w:ind w:left="0" w:leftChars="0" w:firstLine="0" w:firstLineChars="0"/>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F9C88">
    <w:pPr>
      <w:pStyle w:val="8"/>
      <w:ind w:firstLine="360"/>
      <w:jc w:val="center"/>
    </w:pPr>
  </w:p>
  <w:p w14:paraId="304263A9">
    <w:pPr>
      <w:pStyle w:val="8"/>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76D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345F">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530867"/>
    </w:sdtPr>
    <w:sdtContent>
      <w:p w14:paraId="3DD51B8F">
        <w:pPr>
          <w:pStyle w:val="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7193357E">
      <w:pPr>
        <w:pStyle w:val="10"/>
        <w:ind w:firstLine="360"/>
      </w:pPr>
      <w:r>
        <w:rPr>
          <w:rStyle w:val="17"/>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F4B23">
    <w:pPr>
      <w:pStyle w:val="9"/>
      <w:ind w:firstLine="360"/>
      <w:jc w:val="lef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211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54B4">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3FD0">
    <w:pPr>
      <w:pStyle w:val="9"/>
      <w:ind w:firstLine="360"/>
      <w:jc w:val="left"/>
    </w:pPr>
    <w:r>
      <w:rPr>
        <w:rFonts w:hint="eastAsia"/>
      </w:rPr>
      <w:t>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960BD"/>
    <w:rsid w:val="0DB63E8C"/>
    <w:rsid w:val="47A9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rFonts w:ascii="Calibri" w:hAnsi="Calibri" w:cs="Calibri"/>
      <w:kern w:val="2"/>
      <w:sz w:val="18"/>
      <w:szCs w:val="18"/>
    </w:r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unhideWhenUsed/>
    <w:qFormat/>
    <w:uiPriority w:val="0"/>
    <w:pPr>
      <w:spacing w:after="120"/>
      <w:ind w:left="420" w:leftChars="200"/>
    </w:pPr>
    <w:rPr>
      <w:rFonts w:asciiTheme="minorHAnsi" w:hAnsiTheme="minorHAnsi"/>
      <w:kern w:val="2"/>
      <w:sz w:val="21"/>
      <w:szCs w:val="22"/>
    </w:rPr>
  </w:style>
  <w:style w:type="paragraph" w:styleId="6">
    <w:name w:val="envelope return"/>
    <w:basedOn w:val="1"/>
    <w:next w:val="3"/>
    <w:qFormat/>
    <w:uiPriority w:val="0"/>
  </w:style>
  <w:style w:type="paragraph" w:styleId="7">
    <w:name w:val="Plain Text"/>
    <w:basedOn w:val="1"/>
    <w:qFormat/>
    <w:uiPriority w:val="0"/>
    <w:rPr>
      <w:rFonts w:hAnsi="Courier New" w:eastAsiaTheme="minorEastAsia"/>
      <w:szCs w:val="2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2">
    <w:name w:val="Body Text First Indent"/>
    <w:basedOn w:val="4"/>
    <w:unhideWhenUsed/>
    <w:qFormat/>
    <w:uiPriority w:val="99"/>
    <w:pPr>
      <w:ind w:firstLine="420" w:firstLineChars="100"/>
    </w:p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styleId="17">
    <w:name w:val="footnote reference"/>
    <w:unhideWhenUsed/>
    <w:qFormat/>
    <w:uiPriority w:val="0"/>
    <w:rPr>
      <w:vertAlign w:val="superscript"/>
    </w:rPr>
  </w:style>
  <w:style w:type="paragraph" w:customStyle="1" w:styleId="18">
    <w:name w:val="五级目录"/>
    <w:basedOn w:val="1"/>
    <w:qFormat/>
    <w:uiPriority w:val="0"/>
    <w:pPr>
      <w:ind w:left="150" w:leftChars="150"/>
      <w:outlineLvl w:val="4"/>
    </w:pPr>
    <w:rPr>
      <w:rFonts w:ascii="黑体" w:hAnsi="Times New Roman"/>
      <w:szCs w:val="28"/>
    </w:rPr>
  </w:style>
  <w:style w:type="paragraph" w:customStyle="1" w:styleId="19">
    <w:name w:val="正文（缩进）"/>
    <w:basedOn w:val="1"/>
    <w:qFormat/>
    <w:uiPriority w:val="0"/>
    <w:pPr>
      <w:widowControl/>
      <w:spacing w:before="156" w:after="156"/>
      <w:ind w:firstLine="480"/>
      <w:jc w:val="left"/>
    </w:pPr>
    <w:rPr>
      <w:szCs w:val="24"/>
    </w:rPr>
  </w:style>
  <w:style w:type="paragraph" w:customStyle="1" w:styleId="20">
    <w:name w:val="xl31"/>
    <w:basedOn w:val="1"/>
    <w:qFormat/>
    <w:uiPriority w:val="0"/>
    <w:pPr>
      <w:ind w:firstLine="0" w:firstLineChars="0"/>
    </w:pPr>
    <w:rPr>
      <w:rFonts w:cs="宋体"/>
      <w:bCs/>
      <w:color w:val="000000" w:themeColor="text1"/>
      <w:szCs w:val="24"/>
      <w14:textFill>
        <w14:solidFill>
          <w14:schemeClr w14:val="tx1"/>
        </w14:solidFill>
      </w14:textFill>
    </w:rPr>
  </w:style>
  <w:style w:type="paragraph" w:customStyle="1" w:styleId="21">
    <w:name w:val="D&amp;L"/>
    <w:basedOn w:val="9"/>
    <w:qFormat/>
    <w:uiPriority w:val="0"/>
    <w:pPr>
      <w:pBdr>
        <w:bottom w:val="none" w:color="auto" w:sz="0" w:space="0"/>
      </w:pBdr>
      <w:snapToGrid/>
    </w:pPr>
    <w:rPr>
      <w:rFonts w:cs="宋体"/>
      <w:bCs/>
      <w:kern w:val="2"/>
      <w:sz w:val="24"/>
      <w:szCs w:val="24"/>
    </w:rPr>
  </w:style>
  <w:style w:type="paragraph" w:customStyle="1" w:styleId="22">
    <w:name w:val="普通 (Web)"/>
    <w:basedOn w:val="1"/>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paragraph" w:customStyle="1" w:styleId="2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BodyText1I"/>
    <w:basedOn w:val="25"/>
    <w:qFormat/>
    <w:uiPriority w:val="0"/>
    <w:pPr>
      <w:ind w:firstLine="420" w:firstLineChars="100"/>
    </w:pPr>
  </w:style>
  <w:style w:type="paragraph" w:customStyle="1" w:styleId="25">
    <w:name w:val="BodyText"/>
    <w:basedOn w:val="1"/>
    <w:next w:val="26"/>
    <w:qFormat/>
    <w:uiPriority w:val="0"/>
    <w:pPr>
      <w:widowControl/>
      <w:snapToGrid w:val="0"/>
      <w:spacing w:line="240" w:lineRule="auto"/>
      <w:jc w:val="left"/>
      <w:textAlignment w:val="baseline"/>
    </w:pPr>
    <w:rPr>
      <w:color w:val="000000"/>
      <w:szCs w:val="24"/>
      <w:lang w:val="zh-CN" w:bidi="zh-CN"/>
    </w:rPr>
  </w:style>
  <w:style w:type="paragraph" w:customStyle="1" w:styleId="26">
    <w:name w:val="Acetate"/>
    <w:basedOn w:val="1"/>
    <w:qFormat/>
    <w:uiPriority w:val="0"/>
    <w:pPr>
      <w:widowControl/>
      <w:snapToGrid w:val="0"/>
      <w:spacing w:line="240" w:lineRule="auto"/>
      <w:jc w:val="left"/>
      <w:textAlignment w:val="baseline"/>
    </w:pPr>
    <w:rPr>
      <w:rFonts w:ascii="Times New Roman" w:hAnsi="Times New Roman" w:eastAsia="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18</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2026-06-09T00:36:00Z</dcterms:created>
  <dc:creator>唐晶晶</dc:creator>
  <cp:lastModifiedBy>唐晶晶</cp:lastModifiedBy>
  <dcterms:modified xsi:type="dcterms:W3CDTF">2026-06-09T00:59:49Z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4602FD25E78646B6B35F6E937EBB2F93_11</vt:lpwstr>
  </property>
  <property fmtid="{D5CDD505-2E9C-101B-9397-08002B2CF9AE}" pid="4" name="KSOTemplateDocerSaveRecord">
    <vt:lpwstr>eyJoZGlkIjoiNGNlMGMwZDBhYWZhOTllNjljOGQ4MzE3OWEwNDRhMWMiLCJ1c2VySWQiOiIxNTY2MDI5NTY5In0=</vt:lpwstr>
  </property>
</Properties>
</file>