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2FA39">
      <w:pPr>
        <w:tabs>
          <w:tab w:val="left" w:pos="315"/>
          <w:tab w:val="left" w:pos="8820"/>
        </w:tabs>
        <w:spacing w:before="240" w:beforeLines="100" w:after="120" w:afterLines="50" w:line="500" w:lineRule="exact"/>
        <w:ind w:right="305" w:rightChars="127" w:firstLine="1044"/>
        <w:jc w:val="center"/>
        <w:rPr>
          <w:rFonts w:hint="eastAsia"/>
          <w:b/>
          <w:bCs/>
          <w:sz w:val="52"/>
          <w:szCs w:val="52"/>
          <w:highlight w:val="none"/>
          <w:vertAlign w:val="superscript"/>
        </w:rPr>
      </w:pPr>
    </w:p>
    <w:p w14:paraId="521F7483">
      <w:pPr>
        <w:tabs>
          <w:tab w:val="left" w:pos="315"/>
          <w:tab w:val="left" w:pos="8820"/>
        </w:tabs>
        <w:ind w:firstLine="0" w:firstLineChars="0"/>
        <w:jc w:val="center"/>
        <w:rPr>
          <w:b/>
          <w:bCs/>
          <w:sz w:val="52"/>
          <w:szCs w:val="52"/>
          <w:highlight w:val="none"/>
        </w:rPr>
      </w:pPr>
      <w:bookmarkStart w:id="0" w:name="_Hlk9544796"/>
      <w:r>
        <w:rPr>
          <w:rFonts w:hint="eastAsia"/>
          <w:b/>
          <w:bCs/>
          <w:sz w:val="52"/>
          <w:szCs w:val="52"/>
          <w:highlight w:val="none"/>
        </w:rPr>
        <w:t>服务类项目</w:t>
      </w:r>
    </w:p>
    <w:p w14:paraId="42EAA1C6">
      <w:pPr>
        <w:tabs>
          <w:tab w:val="left" w:pos="315"/>
          <w:tab w:val="left" w:pos="8820"/>
        </w:tabs>
        <w:ind w:firstLine="0" w:firstLineChars="0"/>
        <w:jc w:val="center"/>
        <w:rPr>
          <w:sz w:val="44"/>
          <w:szCs w:val="44"/>
          <w:highlight w:val="none"/>
        </w:rPr>
      </w:pPr>
      <w:r>
        <w:rPr>
          <w:rFonts w:hint="eastAsia"/>
          <w:b/>
          <w:bCs/>
          <w:sz w:val="52"/>
          <w:szCs w:val="52"/>
          <w:highlight w:val="none"/>
        </w:rPr>
        <w:t>磋商文件</w:t>
      </w:r>
      <w:r>
        <w:rPr>
          <w:rFonts w:hint="eastAsia" w:cs="宋体"/>
          <w:highlight w:val="none"/>
        </w:rPr>
        <w:drawing>
          <wp:anchor distT="0" distB="0" distL="114300" distR="114300" simplePos="0" relativeHeight="251659264" behindDoc="0" locked="0" layoutInCell="1" allowOverlap="1">
            <wp:simplePos x="0" y="0"/>
            <wp:positionH relativeFrom="column">
              <wp:posOffset>1899285</wp:posOffset>
            </wp:positionH>
            <wp:positionV relativeFrom="paragraph">
              <wp:posOffset>1385570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4"/>
                    <a:stretch>
                      <a:fillRect/>
                    </a:stretch>
                  </pic:blipFill>
                  <pic:spPr>
                    <a:xfrm>
                      <a:off x="0" y="0"/>
                      <a:ext cx="1733550" cy="1743075"/>
                    </a:xfrm>
                    <a:prstGeom prst="rect">
                      <a:avLst/>
                    </a:prstGeom>
                    <a:noFill/>
                    <a:ln>
                      <a:noFill/>
                    </a:ln>
                  </pic:spPr>
                </pic:pic>
              </a:graphicData>
            </a:graphic>
          </wp:anchor>
        </w:drawing>
      </w:r>
      <w:bookmarkEnd w:id="0"/>
    </w:p>
    <w:p w14:paraId="66D60C5C">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631FA066">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4BACA0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7C34A02">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7FC0BF7">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1069274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38C67DFE">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2307AF84">
      <w:pPr>
        <w:tabs>
          <w:tab w:val="left" w:pos="315"/>
          <w:tab w:val="left" w:pos="8820"/>
        </w:tabs>
        <w:spacing w:before="240" w:beforeLines="100" w:after="120" w:afterLines="50" w:line="500" w:lineRule="exact"/>
        <w:ind w:right="305" w:rightChars="127" w:firstLine="883"/>
        <w:jc w:val="center"/>
        <w:rPr>
          <w:b/>
          <w:bCs/>
          <w:sz w:val="44"/>
          <w:szCs w:val="44"/>
          <w:highlight w:val="none"/>
        </w:rPr>
      </w:pPr>
    </w:p>
    <w:p w14:paraId="0C5DE246">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项目名称：</w:t>
      </w:r>
      <w:r>
        <w:rPr>
          <w:rFonts w:hint="eastAsia"/>
          <w:b/>
          <w:spacing w:val="20"/>
          <w:sz w:val="32"/>
          <w:szCs w:val="32"/>
          <w:highlight w:val="none"/>
          <w:lang w:eastAsia="zh-CN"/>
        </w:rPr>
        <w:t>引江济淮二期土地综合整治（城区段、严店镇）项目施工图设计项目</w:t>
      </w:r>
    </w:p>
    <w:p w14:paraId="280CB1FF">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项目编号：</w:t>
      </w:r>
      <w:r>
        <w:rPr>
          <w:rFonts w:hint="eastAsia"/>
          <w:b/>
          <w:spacing w:val="20"/>
          <w:sz w:val="32"/>
          <w:szCs w:val="32"/>
          <w:highlight w:val="none"/>
          <w:lang w:eastAsia="zh-CN"/>
        </w:rPr>
        <w:t>2026PHBN309</w:t>
      </w:r>
    </w:p>
    <w:p w14:paraId="51F9B238">
      <w:pPr>
        <w:tabs>
          <w:tab w:val="left" w:pos="2410"/>
        </w:tabs>
        <w:autoSpaceDE w:val="0"/>
        <w:autoSpaceDN w:val="0"/>
        <w:adjustRightInd w:val="0"/>
        <w:snapToGrid w:val="0"/>
        <w:ind w:firstLine="723"/>
        <w:rPr>
          <w:rFonts w:hint="eastAsia" w:eastAsia="宋体"/>
          <w:b/>
          <w:spacing w:val="20"/>
          <w:sz w:val="32"/>
          <w:szCs w:val="32"/>
          <w:highlight w:val="none"/>
          <w:lang w:eastAsia="zh-CN"/>
        </w:rPr>
      </w:pPr>
      <w:r>
        <w:rPr>
          <w:rFonts w:hint="eastAsia"/>
          <w:b/>
          <w:spacing w:val="20"/>
          <w:sz w:val="32"/>
          <w:szCs w:val="32"/>
          <w:highlight w:val="none"/>
        </w:rPr>
        <w:t>业主单位：</w:t>
      </w:r>
      <w:r>
        <w:rPr>
          <w:rFonts w:hint="eastAsia"/>
          <w:b/>
          <w:spacing w:val="20"/>
          <w:sz w:val="32"/>
          <w:szCs w:val="32"/>
          <w:highlight w:val="none"/>
          <w:lang w:eastAsia="zh-CN"/>
        </w:rPr>
        <w:t xml:space="preserve">肥西县乡村振兴投资集团有限公司 </w:t>
      </w:r>
    </w:p>
    <w:p w14:paraId="54C2F8F9">
      <w:pPr>
        <w:tabs>
          <w:tab w:val="left" w:pos="2410"/>
        </w:tabs>
        <w:autoSpaceDE w:val="0"/>
        <w:autoSpaceDN w:val="0"/>
        <w:adjustRightInd w:val="0"/>
        <w:snapToGrid w:val="0"/>
        <w:ind w:firstLine="723"/>
        <w:rPr>
          <w:b/>
          <w:spacing w:val="20"/>
          <w:sz w:val="32"/>
          <w:szCs w:val="32"/>
          <w:highlight w:val="none"/>
        </w:rPr>
      </w:pPr>
      <w:r>
        <w:rPr>
          <w:rFonts w:hint="eastAsia"/>
          <w:b/>
          <w:spacing w:val="20"/>
          <w:sz w:val="32"/>
          <w:szCs w:val="32"/>
          <w:highlight w:val="none"/>
        </w:rPr>
        <w:t>代理机构：肥西县公共资源交易有限责任公司</w:t>
      </w:r>
    </w:p>
    <w:p w14:paraId="4358908C">
      <w:pPr>
        <w:tabs>
          <w:tab w:val="left" w:pos="2410"/>
        </w:tabs>
        <w:autoSpaceDE w:val="0"/>
        <w:autoSpaceDN w:val="0"/>
        <w:adjustRightInd w:val="0"/>
        <w:snapToGrid w:val="0"/>
        <w:ind w:firstLine="723"/>
        <w:jc w:val="center"/>
        <w:rPr>
          <w:b/>
          <w:sz w:val="36"/>
          <w:highlight w:val="none"/>
        </w:rPr>
      </w:pPr>
    </w:p>
    <w:p w14:paraId="4AFAD8B6">
      <w:pPr>
        <w:tabs>
          <w:tab w:val="left" w:pos="2410"/>
        </w:tabs>
        <w:autoSpaceDE w:val="0"/>
        <w:autoSpaceDN w:val="0"/>
        <w:adjustRightInd w:val="0"/>
        <w:snapToGrid w:val="0"/>
        <w:ind w:firstLine="3253" w:firstLineChars="900"/>
        <w:rPr>
          <w:b/>
          <w:sz w:val="36"/>
          <w:highlight w:val="none"/>
        </w:rPr>
      </w:pPr>
      <w:r>
        <w:rPr>
          <w:rFonts w:hint="eastAsia"/>
          <w:b/>
          <w:sz w:val="36"/>
          <w:highlight w:val="none"/>
        </w:rPr>
        <w:t>202</w:t>
      </w:r>
      <w:r>
        <w:rPr>
          <w:rFonts w:hint="eastAsia"/>
          <w:b/>
          <w:sz w:val="36"/>
          <w:highlight w:val="none"/>
          <w:lang w:val="en-US" w:eastAsia="zh-CN"/>
        </w:rPr>
        <w:t>6</w:t>
      </w:r>
      <w:r>
        <w:rPr>
          <w:rFonts w:hint="eastAsia"/>
          <w:b/>
          <w:sz w:val="36"/>
          <w:highlight w:val="none"/>
        </w:rPr>
        <w:t>年</w:t>
      </w:r>
      <w:r>
        <w:rPr>
          <w:rFonts w:hint="eastAsia"/>
          <w:b/>
          <w:sz w:val="36"/>
          <w:highlight w:val="none"/>
          <w:lang w:val="en-US" w:eastAsia="zh-CN"/>
        </w:rPr>
        <w:t>6</w:t>
      </w:r>
      <w:r>
        <w:rPr>
          <w:rFonts w:hint="eastAsia"/>
          <w:b/>
          <w:sz w:val="36"/>
          <w:highlight w:val="none"/>
        </w:rPr>
        <w:t>月</w:t>
      </w:r>
      <w:r>
        <w:rPr>
          <w:b/>
          <w:sz w:val="36"/>
          <w:highlight w:val="none"/>
        </w:rPr>
        <w:br w:type="page"/>
      </w:r>
    </w:p>
    <w:p w14:paraId="5EE3C63C">
      <w:pPr>
        <w:tabs>
          <w:tab w:val="left" w:pos="2410"/>
        </w:tabs>
        <w:autoSpaceDE w:val="0"/>
        <w:autoSpaceDN w:val="0"/>
        <w:adjustRightInd w:val="0"/>
        <w:snapToGrid w:val="0"/>
        <w:ind w:firstLine="562"/>
        <w:jc w:val="center"/>
        <w:rPr>
          <w:b/>
          <w:sz w:val="28"/>
          <w:highlight w:val="none"/>
        </w:rPr>
      </w:pPr>
      <w:r>
        <w:rPr>
          <w:rFonts w:hint="eastAsia"/>
          <w:b/>
          <w:sz w:val="28"/>
          <w:highlight w:val="none"/>
        </w:rPr>
        <w:t>目  录</w:t>
      </w:r>
    </w:p>
    <w:p w14:paraId="020A1E8F">
      <w:pPr>
        <w:tabs>
          <w:tab w:val="left" w:pos="2410"/>
        </w:tabs>
        <w:autoSpaceDE w:val="0"/>
        <w:autoSpaceDN w:val="0"/>
        <w:adjustRightInd w:val="0"/>
        <w:snapToGrid w:val="0"/>
        <w:ind w:firstLine="562"/>
        <w:jc w:val="center"/>
        <w:rPr>
          <w:b/>
          <w:sz w:val="28"/>
          <w:highlight w:val="none"/>
        </w:rPr>
      </w:pPr>
    </w:p>
    <w:p w14:paraId="32A78E2F">
      <w:pPr>
        <w:pStyle w:val="11"/>
        <w:tabs>
          <w:tab w:val="right" w:leader="dot" w:pos="8859"/>
        </w:tabs>
        <w:ind w:firstLine="482"/>
        <w:rPr>
          <w:kern w:val="2"/>
          <w:szCs w:val="24"/>
          <w:highlight w:val="none"/>
          <w14:ligatures w14:val="standardContextual"/>
        </w:rPr>
      </w:pPr>
      <w:r>
        <w:rPr>
          <w:rFonts w:asciiTheme="minorEastAsia" w:hAnsiTheme="minorEastAsia"/>
          <w:b/>
          <w:sz w:val="24"/>
          <w:szCs w:val="24"/>
          <w:highlight w:val="none"/>
        </w:rPr>
        <w:fldChar w:fldCharType="begin"/>
      </w:r>
      <w:r>
        <w:rPr>
          <w:rFonts w:asciiTheme="minorEastAsia" w:hAnsiTheme="minorEastAsia"/>
          <w:b/>
          <w:sz w:val="24"/>
          <w:szCs w:val="24"/>
          <w:highlight w:val="none"/>
        </w:rPr>
        <w:instrText xml:space="preserve"> </w:instrText>
      </w:r>
      <w:r>
        <w:rPr>
          <w:rFonts w:hint="eastAsia" w:asciiTheme="minorEastAsia" w:hAnsiTheme="minorEastAsia"/>
          <w:b/>
          <w:sz w:val="24"/>
          <w:szCs w:val="24"/>
          <w:highlight w:val="none"/>
        </w:rPr>
        <w:instrText xml:space="preserve">TOC \o "1-2" \h \z \u</w:instrText>
      </w:r>
      <w:r>
        <w:rPr>
          <w:rFonts w:asciiTheme="minorEastAsia" w:hAnsiTheme="minorEastAsia"/>
          <w:b/>
          <w:sz w:val="24"/>
          <w:szCs w:val="24"/>
          <w:highlight w:val="none"/>
        </w:rPr>
        <w:instrText xml:space="preserve"> </w:instrText>
      </w:r>
      <w:r>
        <w:rPr>
          <w:rFonts w:asciiTheme="minorEastAsia" w:hAnsiTheme="minorEastAsia"/>
          <w:b/>
          <w:sz w:val="24"/>
          <w:szCs w:val="24"/>
          <w:highlight w:val="none"/>
        </w:rPr>
        <w:fldChar w:fldCharType="separate"/>
      </w:r>
      <w:r>
        <w:rPr>
          <w:highlight w:val="none"/>
        </w:rPr>
        <w:fldChar w:fldCharType="begin"/>
      </w:r>
      <w:r>
        <w:rPr>
          <w:highlight w:val="none"/>
        </w:rPr>
        <w:instrText xml:space="preserve"> HYPERLINK \l "_Toc192058170" </w:instrText>
      </w:r>
      <w:r>
        <w:rPr>
          <w:highlight w:val="none"/>
        </w:rPr>
        <w:fldChar w:fldCharType="separate"/>
      </w:r>
      <w:r>
        <w:rPr>
          <w:rStyle w:val="16"/>
          <w:rFonts w:hint="eastAsia" w:asciiTheme="minorEastAsia" w:hAnsiTheme="minorEastAsia"/>
          <w:b/>
          <w:highlight w:val="none"/>
        </w:rPr>
        <w:t xml:space="preserve">第一章 </w:t>
      </w:r>
      <w:r>
        <w:rPr>
          <w:rStyle w:val="16"/>
          <w:rFonts w:hint="eastAsia" w:asciiTheme="minorEastAsia" w:hAnsiTheme="minorEastAsia"/>
          <w:b/>
          <w:highlight w:val="none"/>
          <w:lang w:val="en-US" w:eastAsia="zh-CN"/>
        </w:rPr>
        <w:t xml:space="preserve"> </w:t>
      </w:r>
      <w:r>
        <w:rPr>
          <w:rStyle w:val="16"/>
          <w:rFonts w:hint="eastAsia" w:asciiTheme="minorEastAsia" w:hAnsiTheme="minorEastAsia"/>
          <w:b/>
          <w:highlight w:val="none"/>
        </w:rPr>
        <w:t>磋商公告</w:t>
      </w:r>
      <w:r>
        <w:rPr>
          <w:rFonts w:hint="eastAsia"/>
          <w:highlight w:val="none"/>
        </w:rPr>
        <w:tab/>
      </w:r>
      <w:r>
        <w:rPr>
          <w:rFonts w:hint="eastAsia"/>
          <w:highlight w:val="none"/>
        </w:rPr>
        <w:fldChar w:fldCharType="begin"/>
      </w:r>
      <w:r>
        <w:rPr>
          <w:rFonts w:hint="eastAsia"/>
          <w:highlight w:val="none"/>
        </w:rPr>
        <w:instrText xml:space="preserve"> </w:instrText>
      </w:r>
      <w:r>
        <w:rPr>
          <w:highlight w:val="none"/>
        </w:rPr>
        <w:instrText xml:space="preserve">PAGEREF _Toc192058170 \h</w:instrText>
      </w:r>
      <w:r>
        <w:rPr>
          <w:rFonts w:hint="eastAsia"/>
          <w:highlight w:val="none"/>
        </w:rPr>
        <w:instrText xml:space="preserve"> </w:instrText>
      </w:r>
      <w:r>
        <w:rPr>
          <w:rFonts w:hint="eastAsia"/>
          <w:highlight w:val="none"/>
        </w:rPr>
        <w:fldChar w:fldCharType="separate"/>
      </w:r>
      <w:r>
        <w:rPr>
          <w:highlight w:val="none"/>
        </w:rPr>
        <w:t>3</w:t>
      </w:r>
      <w:r>
        <w:rPr>
          <w:rFonts w:hint="eastAsia"/>
          <w:highlight w:val="none"/>
        </w:rPr>
        <w:fldChar w:fldCharType="end"/>
      </w:r>
      <w:r>
        <w:rPr>
          <w:rFonts w:hint="eastAsia"/>
          <w:highlight w:val="none"/>
        </w:rPr>
        <w:fldChar w:fldCharType="end"/>
      </w:r>
    </w:p>
    <w:p w14:paraId="5FBEAF76">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"_Toc192058171" </w:instrText>
      </w:r>
      <w:r>
        <w:rPr>
          <w:highlight w:val="none"/>
        </w:rPr>
        <w:fldChar w:fldCharType="separate"/>
      </w:r>
      <w:r>
        <w:rPr>
          <w:rStyle w:val="16"/>
          <w:rFonts w:hint="eastAsia" w:asciiTheme="minorEastAsia" w:hAnsiTheme="minorEastAsia"/>
          <w:b/>
          <w:highlight w:val="none"/>
        </w:rPr>
        <w:t>第二章  供应商须知</w:t>
      </w:r>
      <w:r>
        <w:rPr>
          <w:rFonts w:hint="eastAsia"/>
          <w:highlight w:val="none"/>
        </w:rPr>
        <w:tab/>
      </w:r>
      <w:r>
        <w:rPr>
          <w:rFonts w:hint="eastAsia"/>
          <w:highlight w:val="none"/>
        </w:rPr>
        <w:t>6</w:t>
      </w:r>
      <w:r>
        <w:rPr>
          <w:rFonts w:hint="eastAsia"/>
          <w:highlight w:val="none"/>
        </w:rPr>
        <w:fldChar w:fldCharType="end"/>
      </w:r>
    </w:p>
    <w:p w14:paraId="5B9DE7FF">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"_Toc192058172" </w:instrText>
      </w:r>
      <w:r>
        <w:rPr>
          <w:highlight w:val="none"/>
        </w:rPr>
        <w:fldChar w:fldCharType="separate"/>
      </w:r>
      <w:r>
        <w:rPr>
          <w:rStyle w:val="16"/>
          <w:rFonts w:hint="eastAsia" w:asciiTheme="minorEastAsia" w:hAnsiTheme="minorEastAsia"/>
          <w:b/>
          <w:highlight w:val="none"/>
        </w:rPr>
        <w:t>第三章  业主单位要求</w:t>
      </w:r>
      <w:r>
        <w:rPr>
          <w:rFonts w:hint="eastAsia"/>
          <w:highlight w:val="none"/>
        </w:rPr>
        <w:tab/>
      </w:r>
      <w:r>
        <w:rPr>
          <w:rFonts w:hint="eastAsia"/>
          <w:highlight w:val="none"/>
        </w:rPr>
        <w:t>2</w:t>
      </w:r>
      <w:r>
        <w:rPr>
          <w:rFonts w:hint="eastAsia"/>
          <w:highlight w:val="none"/>
        </w:rPr>
        <w:fldChar w:fldCharType="end"/>
      </w:r>
      <w:r>
        <w:rPr>
          <w:rFonts w:hint="eastAsia"/>
          <w:highlight w:val="none"/>
        </w:rPr>
        <w:t>3</w:t>
      </w:r>
    </w:p>
    <w:p w14:paraId="707FA918">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"_Toc192058173" </w:instrText>
      </w:r>
      <w:r>
        <w:rPr>
          <w:highlight w:val="none"/>
        </w:rPr>
        <w:fldChar w:fldCharType="separate"/>
      </w:r>
      <w:r>
        <w:rPr>
          <w:rStyle w:val="16"/>
          <w:rFonts w:hint="eastAsia" w:asciiTheme="minorEastAsia" w:hAnsiTheme="minorEastAsia"/>
          <w:b/>
          <w:highlight w:val="none"/>
        </w:rPr>
        <w:t>第四章  评审方法和标准</w:t>
      </w:r>
      <w:r>
        <w:rPr>
          <w:rFonts w:hint="eastAsia"/>
          <w:highlight w:val="none"/>
        </w:rPr>
        <w:tab/>
      </w:r>
      <w:r>
        <w:rPr>
          <w:rFonts w:hint="eastAsia"/>
          <w:highlight w:val="none"/>
        </w:rPr>
        <w:t>3</w:t>
      </w:r>
      <w:r>
        <w:rPr>
          <w:rFonts w:hint="eastAsia"/>
          <w:highlight w:val="none"/>
        </w:rPr>
        <w:fldChar w:fldCharType="end"/>
      </w:r>
      <w:r>
        <w:rPr>
          <w:rFonts w:hint="eastAsia"/>
          <w:highlight w:val="none"/>
        </w:rPr>
        <w:t>0</w:t>
      </w:r>
    </w:p>
    <w:p w14:paraId="53E49A6A">
      <w:pPr>
        <w:pStyle w:val="11"/>
        <w:tabs>
          <w:tab w:val="right" w:leader="dot" w:pos="8859"/>
        </w:tabs>
        <w:ind w:firstLine="440"/>
        <w:rPr>
          <w:highlight w:val="none"/>
        </w:rPr>
      </w:pPr>
      <w:r>
        <w:rPr>
          <w:highlight w:val="none"/>
        </w:rPr>
        <w:fldChar w:fldCharType="begin"/>
      </w:r>
      <w:r>
        <w:rPr>
          <w:highlight w:val="none"/>
        </w:rPr>
        <w:instrText xml:space="preserve"> HYPERLINK \l "_Toc192058174" </w:instrText>
      </w:r>
      <w:r>
        <w:rPr>
          <w:highlight w:val="none"/>
        </w:rPr>
        <w:fldChar w:fldCharType="separate"/>
      </w:r>
      <w:r>
        <w:rPr>
          <w:rStyle w:val="16"/>
          <w:rFonts w:hint="eastAsia" w:asciiTheme="minorEastAsia" w:hAnsiTheme="minorEastAsia"/>
          <w:b/>
          <w:highlight w:val="none"/>
        </w:rPr>
        <w:t>第五章  合同</w:t>
      </w:r>
      <w:r>
        <w:rPr>
          <w:rFonts w:hint="eastAsia"/>
          <w:highlight w:val="none"/>
        </w:rPr>
        <w:tab/>
      </w:r>
      <w:r>
        <w:rPr>
          <w:rFonts w:hint="eastAsia"/>
          <w:highlight w:val="none"/>
        </w:rPr>
        <w:t>3</w:t>
      </w:r>
      <w:r>
        <w:rPr>
          <w:rFonts w:hint="eastAsia"/>
          <w:highlight w:val="none"/>
        </w:rPr>
        <w:fldChar w:fldCharType="end"/>
      </w:r>
      <w:r>
        <w:rPr>
          <w:rFonts w:hint="eastAsia"/>
          <w:highlight w:val="none"/>
        </w:rPr>
        <w:t>8</w:t>
      </w:r>
    </w:p>
    <w:p w14:paraId="7757067E">
      <w:pPr>
        <w:pStyle w:val="11"/>
        <w:tabs>
          <w:tab w:val="right" w:leader="dot" w:pos="8859"/>
        </w:tabs>
        <w:ind w:firstLine="440"/>
        <w:rPr>
          <w:kern w:val="2"/>
          <w:szCs w:val="24"/>
          <w:highlight w:val="none"/>
          <w14:ligatures w14:val="standardContextual"/>
        </w:rPr>
      </w:pPr>
      <w:r>
        <w:rPr>
          <w:highlight w:val="none"/>
        </w:rPr>
        <w:fldChar w:fldCharType="begin"/>
      </w:r>
      <w:r>
        <w:rPr>
          <w:highlight w:val="none"/>
        </w:rPr>
        <w:instrText xml:space="preserve"> HYPERLINK \l "_Toc192058175" </w:instrText>
      </w:r>
      <w:r>
        <w:rPr>
          <w:highlight w:val="none"/>
        </w:rPr>
        <w:fldChar w:fldCharType="separate"/>
      </w:r>
      <w:r>
        <w:rPr>
          <w:rStyle w:val="16"/>
          <w:rFonts w:hint="eastAsia" w:asciiTheme="minorEastAsia" w:hAnsiTheme="minorEastAsia"/>
          <w:b/>
          <w:highlight w:val="none"/>
        </w:rPr>
        <w:t>第六章  响应文件格式</w:t>
      </w:r>
      <w:r>
        <w:rPr>
          <w:rFonts w:hint="eastAsia"/>
          <w:highlight w:val="none"/>
        </w:rPr>
        <w:tab/>
      </w:r>
      <w:r>
        <w:rPr>
          <w:rFonts w:hint="eastAsia"/>
          <w:highlight w:val="none"/>
        </w:rPr>
        <w:t>5</w:t>
      </w:r>
      <w:r>
        <w:rPr>
          <w:rFonts w:hint="eastAsia"/>
          <w:highlight w:val="none"/>
        </w:rPr>
        <w:fldChar w:fldCharType="end"/>
      </w:r>
      <w:r>
        <w:rPr>
          <w:rFonts w:hint="eastAsia"/>
          <w:highlight w:val="none"/>
        </w:rPr>
        <w:t>5</w:t>
      </w:r>
    </w:p>
    <w:p w14:paraId="21FBFA1C">
      <w:pPr>
        <w:pStyle w:val="11"/>
        <w:tabs>
          <w:tab w:val="right" w:leader="dot" w:pos="8296"/>
        </w:tabs>
        <w:ind w:firstLine="440"/>
        <w:rPr>
          <w:rFonts w:asciiTheme="minorEastAsia" w:hAnsiTheme="minorEastAsia"/>
          <w:szCs w:val="24"/>
          <w:highlight w:val="none"/>
        </w:rPr>
      </w:pPr>
      <w:r>
        <w:rPr>
          <w:rFonts w:asciiTheme="minorEastAsia" w:hAnsiTheme="minorEastAsia"/>
          <w:szCs w:val="24"/>
          <w:highlight w:val="none"/>
        </w:rPr>
        <w:fldChar w:fldCharType="end"/>
      </w:r>
    </w:p>
    <w:p w14:paraId="581AF928">
      <w:pPr>
        <w:pStyle w:val="18"/>
        <w:ind w:left="180" w:leftChars="75" w:firstLine="480"/>
        <w:rPr>
          <w:rFonts w:asciiTheme="minorEastAsia" w:hAnsiTheme="minorEastAsia" w:eastAsiaTheme="minorEastAsia"/>
          <w:sz w:val="28"/>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1440" w:right="1519" w:bottom="1440" w:left="1519" w:header="851" w:footer="992" w:gutter="0"/>
          <w:cols w:space="720" w:num="1"/>
          <w:docGrid w:linePitch="462" w:charSpace="0"/>
        </w:sectPr>
      </w:pPr>
      <w:r>
        <w:rPr>
          <w:rFonts w:hint="eastAsia"/>
          <w:highlight w:val="none"/>
        </w:rPr>
        <w:br w:type="page"/>
      </w:r>
    </w:p>
    <w:p w14:paraId="78CECEA5">
      <w:pPr>
        <w:numPr>
          <w:ilvl w:val="0"/>
          <w:numId w:val="1"/>
        </w:numPr>
        <w:ind w:firstLine="562"/>
        <w:jc w:val="center"/>
        <w:outlineLvl w:val="1"/>
        <w:rPr>
          <w:rFonts w:asciiTheme="minorEastAsia" w:hAnsiTheme="minorEastAsia" w:eastAsiaTheme="minorEastAsia"/>
          <w:b/>
          <w:sz w:val="28"/>
          <w:highlight w:val="none"/>
        </w:rPr>
      </w:pPr>
      <w:r>
        <w:rPr>
          <w:rFonts w:hint="eastAsia" w:asciiTheme="minorEastAsia" w:hAnsiTheme="minorEastAsia" w:eastAsiaTheme="minorEastAsia"/>
          <w:b/>
          <w:sz w:val="28"/>
          <w:highlight w:val="none"/>
        </w:rPr>
        <w:t xml:space="preserve"> </w:t>
      </w:r>
      <w:bookmarkStart w:id="1" w:name="_Toc192058170"/>
      <w:bookmarkStart w:id="2" w:name="_Hlk193096165"/>
      <w:r>
        <w:rPr>
          <w:rFonts w:hint="eastAsia" w:asciiTheme="minorEastAsia" w:hAnsiTheme="minorEastAsia" w:eastAsiaTheme="minorEastAsia"/>
          <w:b/>
          <w:sz w:val="28"/>
          <w:highlight w:val="none"/>
        </w:rPr>
        <w:t>磋商公告</w:t>
      </w:r>
      <w:bookmarkEnd w:id="1"/>
    </w:p>
    <w:p w14:paraId="6A762C61">
      <w:pPr>
        <w:pStyle w:val="19"/>
        <w:widowControl w:val="0"/>
        <w:autoSpaceDE w:val="0"/>
        <w:autoSpaceDN w:val="0"/>
        <w:adjustRightInd w:val="0"/>
        <w:spacing w:before="93" w:beforeLines="30" w:after="93" w:afterLines="30"/>
        <w:rPr>
          <w:rFonts w:asciiTheme="majorEastAsia" w:hAnsiTheme="majorEastAsia" w:eastAsiaTheme="majorEastAsia" w:cstheme="majorEastAsia"/>
          <w:highlight w:val="none"/>
        </w:rPr>
      </w:pPr>
      <w:r>
        <w:rPr>
          <w:rFonts w:hint="eastAsia" w:asciiTheme="majorEastAsia" w:hAnsiTheme="majorEastAsia" w:eastAsiaTheme="majorEastAsia" w:cstheme="majorEastAsia"/>
          <w:kern w:val="2"/>
          <w:highlight w:val="none"/>
        </w:rPr>
        <w:t>肥西县公共资源交易有限责任公司受</w:t>
      </w:r>
      <w:r>
        <w:rPr>
          <w:rFonts w:hint="eastAsia" w:asciiTheme="majorEastAsia" w:hAnsiTheme="majorEastAsia" w:eastAsiaTheme="majorEastAsia" w:cstheme="majorEastAsia"/>
          <w:kern w:val="2"/>
          <w:highlight w:val="none"/>
          <w:lang w:eastAsia="zh-CN"/>
        </w:rPr>
        <w:t>肥西县乡村振兴投资集团有限公司</w:t>
      </w:r>
      <w:r>
        <w:rPr>
          <w:rFonts w:hint="eastAsia" w:asciiTheme="majorEastAsia" w:hAnsiTheme="majorEastAsia" w:eastAsiaTheme="majorEastAsia" w:cstheme="majorEastAsia"/>
          <w:kern w:val="2"/>
          <w:highlight w:val="none"/>
        </w:rPr>
        <w:t>委托，现对</w:t>
      </w:r>
      <w:r>
        <w:rPr>
          <w:rFonts w:hint="eastAsia" w:asciiTheme="majorEastAsia" w:hAnsiTheme="majorEastAsia" w:eastAsiaTheme="majorEastAsia" w:cstheme="majorEastAsia"/>
          <w:kern w:val="2"/>
          <w:highlight w:val="none"/>
          <w:lang w:eastAsia="zh-CN"/>
        </w:rPr>
        <w:t>引江济淮二期土地综合整治（城区段、严店镇）项目施工图设计项目</w:t>
      </w:r>
      <w:r>
        <w:rPr>
          <w:rFonts w:hint="eastAsia" w:asciiTheme="majorEastAsia" w:hAnsiTheme="majorEastAsia" w:eastAsiaTheme="majorEastAsia" w:cstheme="majorEastAsia"/>
          <w:kern w:val="2"/>
          <w:highlight w:val="none"/>
        </w:rPr>
        <w:t>进行磋商，欢迎具备条件的供应商参加磋商。</w:t>
      </w:r>
    </w:p>
    <w:p w14:paraId="132A6513">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1.项目名称及内容</w:t>
      </w:r>
    </w:p>
    <w:p w14:paraId="7D3596C8">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1.1 项目编号：</w:t>
      </w:r>
      <w:r>
        <w:rPr>
          <w:rFonts w:hint="eastAsia" w:asciiTheme="majorEastAsia" w:hAnsiTheme="majorEastAsia" w:eastAsiaTheme="majorEastAsia" w:cstheme="majorEastAsia"/>
          <w:szCs w:val="24"/>
          <w:highlight w:val="none"/>
          <w:lang w:eastAsia="zh-CN"/>
        </w:rPr>
        <w:t>2026PHBN309</w:t>
      </w:r>
    </w:p>
    <w:p w14:paraId="4552C4D3">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1.2 项目名称：</w:t>
      </w:r>
      <w:r>
        <w:rPr>
          <w:rFonts w:hint="eastAsia" w:asciiTheme="majorEastAsia" w:hAnsiTheme="majorEastAsia" w:eastAsiaTheme="majorEastAsia" w:cstheme="majorEastAsia"/>
          <w:szCs w:val="24"/>
          <w:highlight w:val="none"/>
          <w:lang w:eastAsia="zh-CN"/>
        </w:rPr>
        <w:t>引江济淮二期土地综合整治（城区段、严店镇）项目施工图设计项目</w:t>
      </w:r>
    </w:p>
    <w:p w14:paraId="199F05B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1.3 项目地点：</w:t>
      </w:r>
      <w:r>
        <w:rPr>
          <w:rFonts w:hint="eastAsia" w:asciiTheme="majorEastAsia" w:hAnsiTheme="majorEastAsia" w:eastAsiaTheme="majorEastAsia" w:cstheme="majorEastAsia"/>
          <w:kern w:val="2"/>
          <w:highlight w:val="none"/>
        </w:rPr>
        <w:t>肥西县</w:t>
      </w:r>
    </w:p>
    <w:p w14:paraId="7FF3E96C">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1.4 项目单位：</w:t>
      </w:r>
      <w:r>
        <w:rPr>
          <w:rFonts w:hint="eastAsia" w:asciiTheme="majorEastAsia" w:hAnsiTheme="majorEastAsia" w:eastAsiaTheme="majorEastAsia" w:cstheme="majorEastAsia"/>
          <w:kern w:val="2"/>
          <w:highlight w:val="none"/>
          <w:lang w:eastAsia="zh-CN"/>
        </w:rPr>
        <w:t xml:space="preserve">肥西县乡村振兴投资集团有限公司 </w:t>
      </w:r>
    </w:p>
    <w:p w14:paraId="44F9193B">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1.5 项目概况：</w:t>
      </w:r>
      <w:r>
        <w:rPr>
          <w:rFonts w:hint="eastAsia" w:asciiTheme="majorEastAsia" w:hAnsiTheme="majorEastAsia" w:eastAsiaTheme="majorEastAsia" w:cstheme="majorEastAsia"/>
          <w:kern w:val="2"/>
          <w:highlight w:val="none"/>
          <w:lang w:eastAsia="zh-CN"/>
        </w:rPr>
        <w:t>项目位于肥西县严店镇、肥西经开区、上派镇，项目实施面积约4300亩，主要建设内容包括土地平整及土壤改良、田间道路工程、灌溉与排水工程、农田输配电工程、农田防护与生态环境保护工程、其他工程（含为项目建设所须的必要环境保障），总投资约9000万元，详见磋商文件。</w:t>
      </w:r>
    </w:p>
    <w:p w14:paraId="79D2E5BB">
      <w:pPr>
        <w:autoSpaceDE w:val="0"/>
        <w:autoSpaceDN w:val="0"/>
        <w:adjustRightInd w:val="0"/>
        <w:spacing w:before="93" w:beforeLines="30" w:after="93" w:afterLines="30"/>
        <w:ind w:firstLine="480"/>
        <w:jc w:val="left"/>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1.6 资金来源：</w:t>
      </w:r>
      <w:r>
        <w:rPr>
          <w:rFonts w:hint="eastAsia" w:asciiTheme="majorEastAsia" w:hAnsiTheme="majorEastAsia" w:eastAsiaTheme="majorEastAsia" w:cstheme="majorEastAsia"/>
          <w:szCs w:val="24"/>
          <w:highlight w:val="none"/>
          <w:lang w:val="en-US" w:eastAsia="zh-CN"/>
        </w:rPr>
        <w:t>复垦资金</w:t>
      </w:r>
    </w:p>
    <w:p w14:paraId="1C59B08C">
      <w:pPr>
        <w:autoSpaceDE w:val="0"/>
        <w:autoSpaceDN w:val="0"/>
        <w:adjustRightInd w:val="0"/>
        <w:spacing w:before="93" w:beforeLines="30" w:after="93" w:afterLines="30"/>
        <w:ind w:firstLine="480"/>
        <w:jc w:val="left"/>
        <w:rPr>
          <w:rFonts w:hint="default" w:eastAsiaTheme="majorEastAsia"/>
          <w:szCs w:val="24"/>
          <w:highlight w:val="none"/>
          <w:lang w:val="en-US" w:eastAsia="zh-CN"/>
        </w:rPr>
      </w:pPr>
      <w:r>
        <w:rPr>
          <w:rFonts w:hint="eastAsia" w:asciiTheme="majorEastAsia" w:hAnsiTheme="majorEastAsia" w:eastAsiaTheme="majorEastAsia" w:cstheme="majorEastAsia"/>
          <w:szCs w:val="24"/>
          <w:highlight w:val="none"/>
        </w:rPr>
        <w:t>1.7 项目预算：</w:t>
      </w:r>
      <w:r>
        <w:rPr>
          <w:rFonts w:hint="eastAsia" w:asciiTheme="majorEastAsia" w:hAnsiTheme="majorEastAsia" w:eastAsiaTheme="majorEastAsia" w:cstheme="majorEastAsia"/>
          <w:szCs w:val="24"/>
          <w:highlight w:val="none"/>
          <w:lang w:val="en-US" w:eastAsia="zh-CN"/>
        </w:rPr>
        <w:t>32.04万元</w:t>
      </w:r>
    </w:p>
    <w:p w14:paraId="060139D5">
      <w:pPr>
        <w:autoSpaceDE w:val="0"/>
        <w:autoSpaceDN w:val="0"/>
        <w:adjustRightInd w:val="0"/>
        <w:spacing w:before="93" w:beforeLines="30" w:after="93" w:afterLines="30"/>
        <w:ind w:firstLine="480"/>
        <w:jc w:val="left"/>
        <w:rPr>
          <w:rFonts w:hint="default"/>
          <w:b/>
          <w:bCs/>
          <w:szCs w:val="24"/>
          <w:highlight w:val="none"/>
          <w:lang w:val="en-US"/>
        </w:rPr>
      </w:pPr>
      <w:r>
        <w:rPr>
          <w:rFonts w:hint="eastAsia" w:asciiTheme="majorEastAsia" w:hAnsiTheme="majorEastAsia" w:eastAsiaTheme="majorEastAsia" w:cstheme="majorEastAsia"/>
          <w:b/>
          <w:bCs/>
          <w:szCs w:val="24"/>
          <w:highlight w:val="none"/>
        </w:rPr>
        <w:t>1.</w:t>
      </w:r>
      <w:r>
        <w:rPr>
          <w:rFonts w:hint="eastAsia" w:asciiTheme="majorEastAsia" w:hAnsiTheme="majorEastAsia" w:eastAsiaTheme="majorEastAsia" w:cstheme="majorEastAsia"/>
          <w:b/>
          <w:bCs/>
          <w:szCs w:val="24"/>
          <w:highlight w:val="none"/>
          <w:lang w:val="en-US" w:eastAsia="zh-CN"/>
        </w:rPr>
        <w:t>8</w:t>
      </w:r>
      <w:r>
        <w:rPr>
          <w:rFonts w:hint="eastAsia" w:asciiTheme="majorEastAsia" w:hAnsiTheme="majorEastAsia" w:eastAsiaTheme="majorEastAsia" w:cstheme="majorEastAsia"/>
          <w:b/>
          <w:bCs/>
          <w:szCs w:val="24"/>
          <w:highlight w:val="none"/>
        </w:rPr>
        <w:t xml:space="preserve"> </w:t>
      </w:r>
      <w:r>
        <w:rPr>
          <w:rFonts w:hint="eastAsia" w:asciiTheme="majorEastAsia" w:hAnsiTheme="majorEastAsia" w:eastAsiaTheme="majorEastAsia" w:cstheme="majorEastAsia"/>
          <w:b/>
          <w:bCs/>
          <w:szCs w:val="24"/>
          <w:highlight w:val="none"/>
          <w:lang w:val="en-US" w:eastAsia="zh-CN"/>
        </w:rPr>
        <w:t>最高限价</w:t>
      </w:r>
      <w:r>
        <w:rPr>
          <w:rFonts w:hint="eastAsia" w:asciiTheme="majorEastAsia" w:hAnsiTheme="majorEastAsia" w:eastAsiaTheme="majorEastAsia" w:cstheme="majorEastAsia"/>
          <w:b/>
          <w:bCs/>
          <w:szCs w:val="24"/>
          <w:highlight w:val="none"/>
        </w:rPr>
        <w:t>：</w:t>
      </w:r>
      <w:r>
        <w:rPr>
          <w:rFonts w:hint="eastAsia" w:asciiTheme="majorEastAsia" w:hAnsiTheme="majorEastAsia" w:eastAsiaTheme="majorEastAsia" w:cstheme="majorEastAsia"/>
          <w:szCs w:val="24"/>
          <w:highlight w:val="none"/>
          <w:lang w:val="en-US" w:eastAsia="zh-CN"/>
        </w:rPr>
        <w:t>32.04万元</w:t>
      </w:r>
    </w:p>
    <w:p w14:paraId="450551B4">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9</w:t>
      </w:r>
      <w:r>
        <w:rPr>
          <w:rFonts w:hint="eastAsia" w:asciiTheme="majorEastAsia" w:hAnsiTheme="majorEastAsia" w:eastAsiaTheme="majorEastAsia" w:cstheme="majorEastAsia"/>
          <w:szCs w:val="24"/>
          <w:highlight w:val="none"/>
        </w:rPr>
        <w:t xml:space="preserve"> 项目类别：服务类</w:t>
      </w:r>
    </w:p>
    <w:p w14:paraId="7A6FB6E7">
      <w:pPr>
        <w:autoSpaceDE w:val="0"/>
        <w:autoSpaceDN w:val="0"/>
        <w:adjustRightInd w:val="0"/>
        <w:spacing w:before="93" w:beforeLines="30" w:after="93" w:afterLines="30"/>
        <w:ind w:firstLine="480"/>
        <w:jc w:val="left"/>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w:t>
      </w:r>
      <w:r>
        <w:rPr>
          <w:rFonts w:hint="eastAsia" w:asciiTheme="majorEastAsia" w:hAnsiTheme="majorEastAsia" w:eastAsiaTheme="majorEastAsia" w:cstheme="majorEastAsia"/>
          <w:szCs w:val="24"/>
          <w:highlight w:val="none"/>
          <w:lang w:val="en-US" w:eastAsia="zh-CN"/>
        </w:rPr>
        <w:t>10</w:t>
      </w:r>
      <w:r>
        <w:rPr>
          <w:rFonts w:hint="eastAsia" w:asciiTheme="majorEastAsia" w:hAnsiTheme="majorEastAsia" w:eastAsiaTheme="majorEastAsia" w:cstheme="majorEastAsia"/>
          <w:szCs w:val="24"/>
          <w:highlight w:val="none"/>
        </w:rPr>
        <w:t xml:space="preserve"> 包别划分：共分1个包</w:t>
      </w:r>
    </w:p>
    <w:p w14:paraId="0B091BE2">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bCs/>
          <w:szCs w:val="24"/>
          <w:highlight w:val="none"/>
        </w:rPr>
        <w:t xml:space="preserve">2.供应商资格要求 </w:t>
      </w:r>
    </w:p>
    <w:p w14:paraId="3E7C2910">
      <w:pPr>
        <w:spacing w:before="93" w:beforeLines="30" w:after="93" w:afterLines="30"/>
        <w:ind w:firstLine="482"/>
        <w:rPr>
          <w:rFonts w:hint="eastAsia"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2.1 供应商具有独立承担民事责任的能力；</w:t>
      </w:r>
    </w:p>
    <w:p w14:paraId="2FD3E76C">
      <w:pPr>
        <w:spacing w:before="93" w:beforeLines="30" w:after="93" w:afterLines="30"/>
        <w:ind w:firstLine="482"/>
        <w:rPr>
          <w:rFonts w:hint="eastAsia"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szCs w:val="24"/>
          <w:highlight w:val="none"/>
        </w:rPr>
        <w:t>2.2 供应商资质：</w:t>
      </w:r>
      <w:r>
        <w:rPr>
          <w:rFonts w:hint="eastAsia" w:asciiTheme="majorEastAsia" w:hAnsiTheme="majorEastAsia" w:eastAsiaTheme="majorEastAsia" w:cstheme="majorEastAsia"/>
          <w:color w:val="FF0000"/>
          <w:szCs w:val="24"/>
          <w:highlight w:val="none"/>
        </w:rPr>
        <w:t>供应商须具备以下①</w:t>
      </w:r>
      <w:r>
        <w:rPr>
          <w:rFonts w:hint="eastAsia" w:asciiTheme="majorEastAsia" w:hAnsiTheme="majorEastAsia" w:eastAsiaTheme="majorEastAsia" w:cstheme="majorEastAsia"/>
          <w:color w:val="FF0000"/>
          <w:szCs w:val="24"/>
          <w:highlight w:val="none"/>
          <w:lang w:val="en-US" w:eastAsia="zh-CN"/>
        </w:rPr>
        <w:t>和</w:t>
      </w:r>
      <w:r>
        <w:rPr>
          <w:rFonts w:hint="eastAsia" w:asciiTheme="majorEastAsia" w:hAnsiTheme="majorEastAsia" w:eastAsiaTheme="majorEastAsia" w:cstheme="majorEastAsia"/>
          <w:color w:val="FF0000"/>
          <w:szCs w:val="24"/>
          <w:highlight w:val="none"/>
        </w:rPr>
        <w:t>②要求：</w:t>
      </w:r>
    </w:p>
    <w:p w14:paraId="258A01B2">
      <w:pPr>
        <w:spacing w:before="93" w:beforeLines="30" w:after="93" w:afterLines="30"/>
        <w:ind w:firstLine="482"/>
        <w:rPr>
          <w:rFonts w:hint="eastAsia"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①工程设计综合资质甲级</w:t>
      </w:r>
      <w:r>
        <w:rPr>
          <w:rFonts w:hint="eastAsia" w:asciiTheme="majorEastAsia" w:hAnsiTheme="majorEastAsia" w:eastAsiaTheme="majorEastAsia" w:cstheme="majorEastAsia"/>
          <w:color w:val="FF0000"/>
          <w:szCs w:val="24"/>
          <w:highlight w:val="none"/>
          <w:lang w:val="en-US" w:eastAsia="zh-CN"/>
        </w:rPr>
        <w:t>资质</w:t>
      </w:r>
      <w:r>
        <w:rPr>
          <w:rFonts w:hint="eastAsia" w:asciiTheme="majorEastAsia" w:hAnsiTheme="majorEastAsia" w:eastAsiaTheme="majorEastAsia" w:cstheme="majorEastAsia"/>
          <w:color w:val="FF0000"/>
          <w:szCs w:val="24"/>
          <w:highlight w:val="none"/>
        </w:rPr>
        <w:t>或水利行业设计</w:t>
      </w:r>
      <w:r>
        <w:rPr>
          <w:rFonts w:hint="eastAsia" w:asciiTheme="majorEastAsia" w:hAnsiTheme="majorEastAsia" w:eastAsiaTheme="majorEastAsia" w:cstheme="majorEastAsia"/>
          <w:color w:val="FF0000"/>
          <w:szCs w:val="24"/>
          <w:highlight w:val="none"/>
          <w:lang w:val="en-US" w:eastAsia="zh-CN"/>
        </w:rPr>
        <w:t>乙</w:t>
      </w:r>
      <w:r>
        <w:rPr>
          <w:rFonts w:hint="eastAsia" w:asciiTheme="majorEastAsia" w:hAnsiTheme="majorEastAsia" w:eastAsiaTheme="majorEastAsia" w:cstheme="majorEastAsia"/>
          <w:color w:val="FF0000"/>
          <w:szCs w:val="24"/>
          <w:highlight w:val="none"/>
        </w:rPr>
        <w:t>级</w:t>
      </w:r>
      <w:r>
        <w:rPr>
          <w:rFonts w:hint="eastAsia" w:asciiTheme="majorEastAsia" w:hAnsiTheme="majorEastAsia" w:eastAsiaTheme="majorEastAsia" w:cstheme="majorEastAsia"/>
          <w:color w:val="FF0000"/>
          <w:szCs w:val="24"/>
          <w:highlight w:val="none"/>
          <w:lang w:val="en-US" w:eastAsia="zh-CN"/>
        </w:rPr>
        <w:t>及</w:t>
      </w:r>
      <w:r>
        <w:rPr>
          <w:rFonts w:hint="eastAsia" w:asciiTheme="majorEastAsia" w:hAnsiTheme="majorEastAsia" w:eastAsiaTheme="majorEastAsia" w:cstheme="majorEastAsia"/>
          <w:color w:val="FF0000"/>
          <w:szCs w:val="24"/>
          <w:highlight w:val="none"/>
        </w:rPr>
        <w:t>以上资质</w:t>
      </w:r>
      <w:r>
        <w:rPr>
          <w:rFonts w:hint="eastAsia" w:asciiTheme="majorEastAsia" w:hAnsiTheme="majorEastAsia" w:eastAsiaTheme="majorEastAsia" w:cstheme="majorEastAsia"/>
          <w:color w:val="FF0000"/>
          <w:szCs w:val="24"/>
          <w:highlight w:val="none"/>
          <w:lang w:val="en-US" w:eastAsia="zh-CN"/>
        </w:rPr>
        <w:t>或水利行业(灌溉排涝和水土保持)专业乙级及以上工程设计资质</w:t>
      </w:r>
      <w:r>
        <w:rPr>
          <w:rFonts w:hint="eastAsia" w:asciiTheme="majorEastAsia" w:hAnsiTheme="majorEastAsia" w:eastAsiaTheme="majorEastAsia" w:cstheme="majorEastAsia"/>
          <w:color w:val="FF0000"/>
          <w:szCs w:val="24"/>
          <w:highlight w:val="none"/>
        </w:rPr>
        <w:t>；</w:t>
      </w:r>
    </w:p>
    <w:p w14:paraId="0097E1B4">
      <w:pPr>
        <w:spacing w:before="93" w:beforeLines="30" w:after="93" w:afterLines="30"/>
        <w:ind w:firstLine="482"/>
        <w:rPr>
          <w:rFonts w:hint="default" w:asciiTheme="majorEastAsia" w:hAnsiTheme="majorEastAsia" w:eastAsiaTheme="majorEastAsia" w:cstheme="majorEastAsia"/>
          <w:color w:val="FF0000"/>
          <w:szCs w:val="24"/>
          <w:highlight w:val="none"/>
          <w:lang w:val="en-US"/>
        </w:rPr>
      </w:pPr>
      <w:r>
        <w:rPr>
          <w:rFonts w:hint="eastAsia" w:asciiTheme="majorEastAsia" w:hAnsiTheme="majorEastAsia" w:eastAsiaTheme="majorEastAsia" w:cstheme="majorEastAsia"/>
          <w:color w:val="FF0000"/>
          <w:szCs w:val="24"/>
          <w:highlight w:val="none"/>
        </w:rPr>
        <w:t>②</w:t>
      </w:r>
      <w:r>
        <w:rPr>
          <w:rFonts w:hint="eastAsia" w:asciiTheme="majorEastAsia" w:hAnsiTheme="majorEastAsia" w:eastAsiaTheme="majorEastAsia" w:cstheme="majorEastAsia"/>
          <w:color w:val="FF0000"/>
          <w:szCs w:val="24"/>
          <w:highlight w:val="none"/>
          <w:lang w:val="en-US" w:eastAsia="zh-CN"/>
        </w:rPr>
        <w:t>工程勘察专业类（岩土工程（勘察））乙级及以上或工程勘察岩土工程专业乙级及以上或工程勘察综合类甲级资质。</w:t>
      </w:r>
    </w:p>
    <w:p w14:paraId="4EF55F13">
      <w:pPr>
        <w:spacing w:before="93" w:beforeLines="30" w:after="93" w:afterLines="30"/>
        <w:ind w:firstLine="482"/>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2.3 本项目</w:t>
      </w:r>
      <w:r>
        <w:rPr>
          <w:rFonts w:hint="eastAsia" w:asciiTheme="majorEastAsia" w:hAnsiTheme="majorEastAsia" w:eastAsiaTheme="majorEastAsia" w:cstheme="majorEastAsia"/>
          <w:b/>
          <w:bCs/>
          <w:color w:val="000000" w:themeColor="text1"/>
          <w:szCs w:val="24"/>
          <w:highlight w:val="none"/>
          <w14:textFill>
            <w14:solidFill>
              <w14:schemeClr w14:val="tx1"/>
            </w14:solidFill>
          </w14:textFill>
        </w:rPr>
        <w:t>接受</w:t>
      </w:r>
      <w:r>
        <w:rPr>
          <w:rFonts w:hint="eastAsia" w:asciiTheme="majorEastAsia" w:hAnsiTheme="majorEastAsia" w:eastAsiaTheme="majorEastAsia" w:cstheme="majorEastAsia"/>
          <w:szCs w:val="24"/>
          <w:highlight w:val="none"/>
        </w:rPr>
        <w:t>联合体磋商</w:t>
      </w:r>
      <w:r>
        <w:rPr>
          <w:rFonts w:hint="eastAsia" w:asciiTheme="majorEastAsia" w:hAnsiTheme="majorEastAsia" w:eastAsiaTheme="majorEastAsia" w:cstheme="majorEastAsia"/>
          <w:szCs w:val="24"/>
          <w:highlight w:val="none"/>
          <w:lang w:eastAsia="zh-CN"/>
        </w:rPr>
        <w:t>，</w:t>
      </w:r>
      <w:r>
        <w:rPr>
          <w:rFonts w:hint="eastAsia" w:ascii="宋体" w:hAnsi="宋体" w:eastAsia="宋体" w:cs="宋体"/>
          <w:b w:val="0"/>
          <w:sz w:val="24"/>
          <w:szCs w:val="24"/>
          <w:highlight w:val="none"/>
        </w:rPr>
        <w:t>联合体成员不超过2家</w:t>
      </w:r>
      <w:r>
        <w:rPr>
          <w:rFonts w:hint="eastAsia" w:asciiTheme="majorEastAsia" w:hAnsiTheme="majorEastAsia" w:eastAsiaTheme="majorEastAsia" w:cstheme="majorEastAsia"/>
          <w:szCs w:val="24"/>
          <w:highlight w:val="none"/>
          <w:lang w:eastAsia="zh-CN"/>
        </w:rPr>
        <w:t>；</w:t>
      </w:r>
    </w:p>
    <w:p w14:paraId="08AC9961">
      <w:pPr>
        <w:spacing w:before="93" w:beforeLines="30" w:after="93" w:afterLines="30"/>
        <w:ind w:firstLine="480"/>
        <w:rPr>
          <w:rFonts w:hint="eastAsia" w:asciiTheme="majorEastAsia" w:hAnsiTheme="majorEastAsia" w:eastAsiaTheme="majorEastAsia" w:cstheme="majorEastAsia"/>
          <w:b/>
          <w:bCs/>
          <w:i/>
          <w:iCs/>
          <w:szCs w:val="24"/>
          <w:highlight w:val="none"/>
          <w:lang w:eastAsia="zh-CN"/>
        </w:rPr>
      </w:pPr>
      <w:r>
        <w:rPr>
          <w:rFonts w:hint="eastAsia" w:asciiTheme="majorEastAsia" w:hAnsiTheme="majorEastAsia" w:eastAsiaTheme="majorEastAsia" w:cstheme="majorEastAsia"/>
          <w:szCs w:val="24"/>
          <w:highlight w:val="none"/>
        </w:rPr>
        <w:t>2.4 供应商存在以下不良信用记录情形之一的，不得推荐为成交候选人，不得确定为成交人</w:t>
      </w:r>
      <w:r>
        <w:rPr>
          <w:rFonts w:hint="eastAsia" w:asciiTheme="majorEastAsia" w:hAnsiTheme="majorEastAsia" w:eastAsiaTheme="majorEastAsia" w:cstheme="majorEastAsia"/>
          <w:szCs w:val="24"/>
          <w:highlight w:val="none"/>
          <w:lang w:eastAsia="zh-CN"/>
        </w:rPr>
        <w:t>；</w:t>
      </w:r>
    </w:p>
    <w:p w14:paraId="363CCD5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（1）在“信用中国”网站（http://www.creditchina.gov.cn/）中被列入失信被执行人名单；</w:t>
      </w:r>
    </w:p>
    <w:p w14:paraId="7F24E91C">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（2）在“信用中国”网站（http://www.creditchina.gov.cn/）中被列入重大税收违法失信主体名单</w:t>
      </w:r>
      <w:r>
        <w:rPr>
          <w:rFonts w:hint="eastAsia" w:asciiTheme="majorEastAsia" w:hAnsiTheme="majorEastAsia" w:eastAsiaTheme="majorEastAsia" w:cstheme="majorEastAsia"/>
          <w:szCs w:val="24"/>
          <w:highlight w:val="none"/>
          <w:lang w:eastAsia="zh-CN"/>
        </w:rPr>
        <w:t>。</w:t>
      </w:r>
    </w:p>
    <w:p w14:paraId="7F79E25B">
      <w:pPr>
        <w:tabs>
          <w:tab w:val="center" w:pos="4394"/>
        </w:tabs>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3.磋商文件的获取</w:t>
      </w:r>
      <w:r>
        <w:rPr>
          <w:rFonts w:hint="eastAsia" w:asciiTheme="majorEastAsia" w:hAnsiTheme="majorEastAsia" w:eastAsiaTheme="majorEastAsia" w:cstheme="majorEastAsia"/>
          <w:b/>
          <w:bCs/>
          <w:szCs w:val="24"/>
          <w:highlight w:val="none"/>
        </w:rPr>
        <w:tab/>
      </w:r>
    </w:p>
    <w:p w14:paraId="5E836DA6">
      <w:pPr>
        <w:adjustRightInd w:val="0"/>
        <w:snapToGrid w:val="0"/>
        <w:spacing w:before="93" w:beforeLines="30" w:after="93" w:afterLines="30"/>
        <w:ind w:firstLine="480"/>
        <w:rPr>
          <w:rFonts w:asciiTheme="majorEastAsia" w:hAnsiTheme="majorEastAsia" w:eastAsiaTheme="majorEastAsia" w:cstheme="majorEastAsia"/>
          <w:color w:val="FF0000"/>
          <w:szCs w:val="24"/>
          <w:highlight w:val="none"/>
        </w:rPr>
      </w:pPr>
      <w:r>
        <w:rPr>
          <w:rFonts w:hint="eastAsia" w:asciiTheme="majorEastAsia" w:hAnsiTheme="majorEastAsia" w:eastAsiaTheme="majorEastAsia" w:cstheme="majorEastAsia"/>
          <w:color w:val="FF0000"/>
          <w:szCs w:val="24"/>
          <w:highlight w:val="none"/>
        </w:rPr>
        <w:t>3.1 获取时间：202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17</w:t>
      </w:r>
      <w:r>
        <w:rPr>
          <w:rFonts w:hint="eastAsia" w:asciiTheme="majorEastAsia" w:hAnsiTheme="majorEastAsia" w:eastAsiaTheme="majorEastAsia" w:cstheme="majorEastAsia"/>
          <w:color w:val="FF0000"/>
          <w:szCs w:val="24"/>
          <w:highlight w:val="none"/>
        </w:rPr>
        <w:t>日至磋商时间。</w:t>
      </w:r>
    </w:p>
    <w:p w14:paraId="54B2FFE3">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3.2 获取地点：优质采云采购平台（http://www.youzhicai.com/）</w:t>
      </w:r>
    </w:p>
    <w:p w14:paraId="2DB4C021">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3.3 获取方式：在线下载</w:t>
      </w:r>
    </w:p>
    <w:p w14:paraId="3B37BAAA">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4.响应文件提交截止时间</w:t>
      </w:r>
    </w:p>
    <w:p w14:paraId="5DAF5C49">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同磋商时间。</w:t>
      </w:r>
    </w:p>
    <w:p w14:paraId="796D2C58">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5.磋商时间及地点</w:t>
      </w:r>
    </w:p>
    <w:p w14:paraId="79981470">
      <w:pPr>
        <w:adjustRightInd w:val="0"/>
        <w:snapToGrid w:val="0"/>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5.1 磋商时间：</w:t>
      </w:r>
      <w:r>
        <w:rPr>
          <w:rFonts w:hint="eastAsia" w:asciiTheme="majorEastAsia" w:hAnsiTheme="majorEastAsia" w:eastAsiaTheme="majorEastAsia" w:cstheme="majorEastAsia"/>
          <w:color w:val="FF0000"/>
          <w:szCs w:val="24"/>
          <w:highlight w:val="none"/>
        </w:rPr>
        <w:t>202</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年</w:t>
      </w:r>
      <w:r>
        <w:rPr>
          <w:rFonts w:hint="eastAsia" w:asciiTheme="majorEastAsia" w:hAnsiTheme="majorEastAsia" w:eastAsiaTheme="majorEastAsia" w:cstheme="majorEastAsia"/>
          <w:color w:val="FF0000"/>
          <w:szCs w:val="24"/>
          <w:highlight w:val="none"/>
          <w:lang w:val="en-US" w:eastAsia="zh-CN"/>
        </w:rPr>
        <w:t>6</w:t>
      </w:r>
      <w:r>
        <w:rPr>
          <w:rFonts w:hint="eastAsia" w:asciiTheme="majorEastAsia" w:hAnsiTheme="majorEastAsia" w:eastAsiaTheme="majorEastAsia" w:cstheme="majorEastAsia"/>
          <w:color w:val="FF0000"/>
          <w:szCs w:val="24"/>
          <w:highlight w:val="none"/>
        </w:rPr>
        <w:t>月</w:t>
      </w:r>
      <w:r>
        <w:rPr>
          <w:rFonts w:hint="eastAsia" w:asciiTheme="majorEastAsia" w:hAnsiTheme="majorEastAsia" w:eastAsiaTheme="majorEastAsia" w:cstheme="majorEastAsia"/>
          <w:color w:val="FF0000"/>
          <w:szCs w:val="24"/>
          <w:highlight w:val="none"/>
          <w:lang w:val="en-US" w:eastAsia="zh-CN"/>
        </w:rPr>
        <w:t>26</w:t>
      </w:r>
      <w:r>
        <w:rPr>
          <w:rFonts w:hint="eastAsia" w:asciiTheme="majorEastAsia" w:hAnsiTheme="majorEastAsia" w:eastAsiaTheme="majorEastAsia" w:cstheme="majorEastAsia"/>
          <w:color w:val="FF0000"/>
          <w:szCs w:val="24"/>
          <w:highlight w:val="none"/>
        </w:rPr>
        <w:t>日</w:t>
      </w:r>
      <w:r>
        <w:rPr>
          <w:rFonts w:hint="eastAsia" w:asciiTheme="majorEastAsia" w:hAnsiTheme="majorEastAsia" w:eastAsiaTheme="majorEastAsia" w:cstheme="majorEastAsia"/>
          <w:color w:val="FF0000"/>
          <w:szCs w:val="24"/>
          <w:highlight w:val="none"/>
          <w:lang w:val="en-US" w:eastAsia="zh-CN"/>
        </w:rPr>
        <w:t>上午9时00分</w:t>
      </w:r>
    </w:p>
    <w:p w14:paraId="5A726F0E">
      <w:pPr>
        <w:adjustRightInd w:val="0"/>
        <w:snapToGrid w:val="0"/>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5.2 磋商地点：优质采云采购平台（http://www.youzhicai.com/）</w:t>
      </w:r>
    </w:p>
    <w:p w14:paraId="1EB120F1">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6.发布公告的媒介</w:t>
      </w:r>
    </w:p>
    <w:p w14:paraId="43280728">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本次磋商公告同时在肥西县公共资源交易有限责任公司、优质采云采购平台、安徽省招标投标信息网、中国采购与招标网上发布。</w:t>
      </w:r>
    </w:p>
    <w:p w14:paraId="61944674">
      <w:pPr>
        <w:spacing w:before="93" w:beforeLines="30" w:after="93" w:afterLines="30"/>
        <w:ind w:firstLine="482"/>
        <w:rPr>
          <w:rFonts w:asciiTheme="majorEastAsia" w:hAnsiTheme="majorEastAsia" w:eastAsiaTheme="majorEastAsia" w:cstheme="majorEastAsia"/>
          <w:b/>
          <w:bCs/>
          <w:szCs w:val="24"/>
          <w:highlight w:val="none"/>
        </w:rPr>
      </w:pPr>
      <w:r>
        <w:rPr>
          <w:rFonts w:hint="eastAsia" w:asciiTheme="majorEastAsia" w:hAnsiTheme="majorEastAsia" w:eastAsiaTheme="majorEastAsia" w:cstheme="majorEastAsia"/>
          <w:b/>
          <w:bCs/>
          <w:szCs w:val="24"/>
          <w:highlight w:val="none"/>
        </w:rPr>
        <w:t>7.联系方式</w:t>
      </w:r>
    </w:p>
    <w:p w14:paraId="772AA214">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7.1 业主单位</w:t>
      </w:r>
    </w:p>
    <w:p w14:paraId="0D8A1133">
      <w:pPr>
        <w:spacing w:before="93" w:beforeLines="30" w:after="93" w:afterLines="30"/>
        <w:ind w:firstLine="480"/>
        <w:rPr>
          <w:rFonts w:hint="eastAsia" w:asciiTheme="majorEastAsia" w:hAnsiTheme="majorEastAsia" w:eastAsiaTheme="majorEastAsia" w:cstheme="majorEastAsia"/>
          <w:szCs w:val="24"/>
          <w:highlight w:val="none"/>
          <w:lang w:eastAsia="zh-CN"/>
        </w:rPr>
      </w:pPr>
      <w:r>
        <w:rPr>
          <w:rFonts w:hint="eastAsia" w:asciiTheme="majorEastAsia" w:hAnsiTheme="majorEastAsia" w:eastAsiaTheme="majorEastAsia" w:cstheme="majorEastAsia"/>
          <w:szCs w:val="24"/>
          <w:highlight w:val="none"/>
        </w:rPr>
        <w:t>业主单位名称：</w:t>
      </w:r>
      <w:r>
        <w:rPr>
          <w:rFonts w:hint="eastAsia" w:asciiTheme="majorEastAsia" w:hAnsiTheme="majorEastAsia" w:eastAsiaTheme="majorEastAsia" w:cstheme="majorEastAsia"/>
          <w:szCs w:val="24"/>
          <w:highlight w:val="none"/>
          <w:lang w:eastAsia="zh-CN"/>
        </w:rPr>
        <w:t xml:space="preserve">肥西县乡村振兴投资集团有限公司 </w:t>
      </w:r>
    </w:p>
    <w:p w14:paraId="5E94607A">
      <w:pPr>
        <w:spacing w:before="93" w:beforeLines="30" w:after="93" w:afterLines="30"/>
        <w:ind w:firstLine="480"/>
        <w:rPr>
          <w:rFonts w:asciiTheme="majorEastAsia" w:hAnsiTheme="majorEastAsia" w:eastAsiaTheme="majorEastAsia" w:cstheme="majorEastAsia"/>
          <w:szCs w:val="24"/>
          <w:highlight w:val="none"/>
          <w:u w:val="none"/>
        </w:rPr>
      </w:pPr>
      <w:r>
        <w:rPr>
          <w:rFonts w:hint="eastAsia" w:asciiTheme="majorEastAsia" w:hAnsiTheme="majorEastAsia" w:eastAsiaTheme="majorEastAsia" w:cstheme="majorEastAsia"/>
          <w:szCs w:val="24"/>
          <w:highlight w:val="none"/>
        </w:rPr>
        <w:t>地址：</w:t>
      </w:r>
      <w:r>
        <w:rPr>
          <w:rFonts w:hint="eastAsia"/>
          <w:sz w:val="24"/>
          <w:szCs w:val="24"/>
          <w:highlight w:val="none"/>
        </w:rPr>
        <w:t>安徽省合肥市肥西县经济开发区创新大道与玉兰大道交口药谷科技产业园G60药谷产业园 C1幢19楼</w:t>
      </w:r>
    </w:p>
    <w:p w14:paraId="139A2DD7">
      <w:pPr>
        <w:spacing w:before="93" w:beforeLines="30" w:after="93" w:afterLines="30"/>
        <w:ind w:firstLine="480"/>
        <w:rPr>
          <w:rFonts w:hint="eastAsia"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联系人：</w:t>
      </w:r>
      <w:r>
        <w:rPr>
          <w:rFonts w:hint="eastAsia" w:asciiTheme="majorEastAsia" w:hAnsiTheme="majorEastAsia" w:eastAsiaTheme="majorEastAsia" w:cstheme="majorEastAsia"/>
          <w:szCs w:val="24"/>
          <w:highlight w:val="none"/>
          <w:u w:val="none"/>
          <w:lang w:val="en-US" w:eastAsia="zh-CN"/>
        </w:rPr>
        <w:t>靳</w:t>
      </w:r>
      <w:r>
        <w:rPr>
          <w:rFonts w:hint="eastAsia" w:asciiTheme="majorEastAsia" w:hAnsiTheme="majorEastAsia" w:eastAsiaTheme="majorEastAsia" w:cstheme="majorEastAsia"/>
          <w:szCs w:val="24"/>
          <w:highlight w:val="none"/>
        </w:rPr>
        <w:t>工</w:t>
      </w:r>
    </w:p>
    <w:p w14:paraId="75F3D677">
      <w:pPr>
        <w:spacing w:before="93" w:beforeLines="30" w:after="93" w:afterLines="30"/>
        <w:ind w:firstLine="480"/>
        <w:rPr>
          <w:rFonts w:hint="default" w:asciiTheme="majorEastAsia" w:hAnsiTheme="majorEastAsia" w:eastAsiaTheme="majorEastAsia" w:cstheme="majorEastAsia"/>
          <w:szCs w:val="24"/>
          <w:highlight w:val="none"/>
          <w:u w:val="none"/>
          <w:lang w:val="en-US" w:eastAsia="zh-CN"/>
        </w:rPr>
      </w:pPr>
      <w:r>
        <w:rPr>
          <w:rFonts w:hint="eastAsia" w:asciiTheme="majorEastAsia" w:hAnsiTheme="majorEastAsia" w:eastAsiaTheme="majorEastAsia" w:cstheme="majorEastAsia"/>
          <w:szCs w:val="24"/>
          <w:highlight w:val="none"/>
          <w:u w:val="none"/>
        </w:rPr>
        <w:t>电话：1</w:t>
      </w:r>
      <w:r>
        <w:rPr>
          <w:rFonts w:hint="eastAsia" w:asciiTheme="majorEastAsia" w:hAnsiTheme="majorEastAsia" w:eastAsiaTheme="majorEastAsia" w:cstheme="majorEastAsia"/>
          <w:szCs w:val="24"/>
          <w:highlight w:val="none"/>
          <w:u w:val="none"/>
          <w:lang w:val="en-US" w:eastAsia="zh-CN"/>
        </w:rPr>
        <w:t>3339288287</w:t>
      </w:r>
    </w:p>
    <w:p w14:paraId="5455598F">
      <w:pPr>
        <w:spacing w:before="93" w:beforeLines="30" w:after="93" w:afterLines="30"/>
        <w:ind w:firstLine="480"/>
        <w:rPr>
          <w:rFonts w:asciiTheme="majorEastAsia" w:hAnsiTheme="majorEastAsia" w:eastAsiaTheme="majorEastAsia" w:cstheme="majorEastAsia"/>
          <w:b/>
          <w:szCs w:val="24"/>
          <w:highlight w:val="none"/>
        </w:rPr>
      </w:pPr>
      <w:r>
        <w:rPr>
          <w:rFonts w:hint="eastAsia" w:asciiTheme="majorEastAsia" w:hAnsiTheme="majorEastAsia" w:eastAsiaTheme="majorEastAsia" w:cstheme="majorEastAsia"/>
          <w:szCs w:val="24"/>
          <w:highlight w:val="none"/>
        </w:rPr>
        <w:t>7.2 代理机构</w:t>
      </w:r>
    </w:p>
    <w:p w14:paraId="7CCF6AF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代理机构名称：肥西县公共资源交易有限责任公司</w:t>
      </w:r>
    </w:p>
    <w:p w14:paraId="79F4876B">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地  址：肥西县上派镇紫石路与佛光路交叉口肥光办公区3号楼2楼</w:t>
      </w:r>
    </w:p>
    <w:p w14:paraId="3A5CA2C2">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联系人：</w:t>
      </w:r>
      <w:r>
        <w:rPr>
          <w:rFonts w:hint="eastAsia" w:asciiTheme="majorEastAsia" w:hAnsiTheme="majorEastAsia" w:eastAsiaTheme="majorEastAsia" w:cstheme="majorEastAsia"/>
          <w:szCs w:val="24"/>
          <w:highlight w:val="none"/>
          <w:lang w:val="en-US" w:eastAsia="zh-CN"/>
        </w:rPr>
        <w:t>唐</w:t>
      </w:r>
      <w:r>
        <w:rPr>
          <w:rFonts w:hint="eastAsia" w:asciiTheme="majorEastAsia" w:hAnsiTheme="majorEastAsia" w:eastAsiaTheme="majorEastAsia" w:cstheme="majorEastAsia"/>
          <w:szCs w:val="24"/>
          <w:highlight w:val="none"/>
        </w:rPr>
        <w:t>工</w:t>
      </w:r>
    </w:p>
    <w:p w14:paraId="34E90846">
      <w:pPr>
        <w:spacing w:before="93" w:beforeLines="30" w:after="93" w:afterLines="30"/>
        <w:ind w:firstLine="480"/>
        <w:rPr>
          <w:rFonts w:hint="default" w:asciiTheme="majorEastAsia" w:hAnsiTheme="majorEastAsia" w:eastAsiaTheme="majorEastAsia" w:cstheme="majorEastAsia"/>
          <w:szCs w:val="24"/>
          <w:highlight w:val="none"/>
          <w:lang w:val="en-US" w:eastAsia="zh-CN"/>
        </w:rPr>
      </w:pPr>
      <w:r>
        <w:rPr>
          <w:rFonts w:hint="eastAsia" w:asciiTheme="majorEastAsia" w:hAnsiTheme="majorEastAsia" w:eastAsiaTheme="majorEastAsia" w:cstheme="majorEastAsia"/>
          <w:szCs w:val="24"/>
          <w:highlight w:val="none"/>
        </w:rPr>
        <w:t>电  话：0551-688</w:t>
      </w:r>
      <w:r>
        <w:rPr>
          <w:rFonts w:hint="eastAsia" w:asciiTheme="majorEastAsia" w:hAnsiTheme="majorEastAsia" w:eastAsiaTheme="majorEastAsia" w:cstheme="majorEastAsia"/>
          <w:szCs w:val="24"/>
          <w:highlight w:val="none"/>
          <w:lang w:val="en-US" w:eastAsia="zh-CN"/>
        </w:rPr>
        <w:t>38796</w:t>
      </w:r>
    </w:p>
    <w:p w14:paraId="7D0F1D10">
      <w:pPr>
        <w:spacing w:before="93" w:beforeLines="30" w:after="93" w:afterLines="30"/>
        <w:ind w:firstLine="480"/>
        <w:rPr>
          <w:rFonts w:hint="eastAsia" w:asciiTheme="majorEastAsia" w:hAnsiTheme="majorEastAsia" w:eastAsiaTheme="majorEastAsia" w:cstheme="majorEastAsia"/>
          <w:b/>
          <w:szCs w:val="24"/>
          <w:highlight w:val="none"/>
          <w:lang w:eastAsia="zh-CN"/>
        </w:rPr>
      </w:pPr>
      <w:r>
        <w:rPr>
          <w:rFonts w:hint="eastAsia" w:asciiTheme="majorEastAsia" w:hAnsiTheme="majorEastAsia" w:eastAsiaTheme="majorEastAsia" w:cstheme="majorEastAsia"/>
          <w:szCs w:val="24"/>
          <w:highlight w:val="none"/>
        </w:rPr>
        <w:t>7.3 监督管理部门</w:t>
      </w:r>
    </w:p>
    <w:p w14:paraId="4BA03E8D">
      <w:pPr>
        <w:spacing w:before="93" w:beforeLines="30" w:after="93" w:afterLines="30"/>
        <w:ind w:firstLine="480"/>
        <w:rPr>
          <w:rFonts w:hint="eastAsia" w:asciiTheme="majorEastAsia" w:hAnsiTheme="majorEastAsia" w:eastAsiaTheme="majorEastAsia" w:cstheme="majorEastAsia"/>
          <w:b/>
          <w:color w:val="000000" w:themeColor="text1"/>
          <w:szCs w:val="24"/>
          <w:highlight w:val="none"/>
          <w:lang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监督管理部门：</w:t>
      </w:r>
      <w:r>
        <w:rPr>
          <w:rFonts w:hint="eastAsia"/>
          <w:sz w:val="24"/>
          <w:szCs w:val="24"/>
          <w:highlight w:val="none"/>
          <w:lang w:val="en-US" w:eastAsia="zh-CN"/>
        </w:rPr>
        <w:t>肥西县产城国创控股集团有限公司工程管理采购中心</w:t>
      </w:r>
    </w:p>
    <w:p w14:paraId="36B780FF">
      <w:pPr>
        <w:spacing w:before="93" w:beforeLines="30" w:after="93" w:afterLines="30"/>
        <w:ind w:firstLine="480"/>
        <w:rPr>
          <w:rFonts w:asciiTheme="majorEastAsia" w:hAnsiTheme="majorEastAsia" w:eastAsiaTheme="majorEastAsia" w:cstheme="majorEastAsia"/>
          <w:color w:val="000000" w:themeColor="text1"/>
          <w:szCs w:val="24"/>
          <w:highlight w:val="none"/>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地  址：</w:t>
      </w:r>
      <w:r>
        <w:rPr>
          <w:rFonts w:hint="eastAsia" w:ascii="宋体" w:hAnsi="宋体" w:eastAsia="宋体" w:cs="宋体"/>
          <w:sz w:val="24"/>
          <w:szCs w:val="24"/>
          <w:highlight w:val="none"/>
          <w:lang w:val="en-US" w:eastAsia="zh-CN"/>
        </w:rPr>
        <w:t>安徽省合肥市肥西县经济开发区创新大道与玉兰大道交口药谷科技创业园C1幢办公楼20层</w:t>
      </w:r>
    </w:p>
    <w:p w14:paraId="6F9F12F1">
      <w:pPr>
        <w:spacing w:before="93" w:beforeLines="30" w:after="93" w:afterLines="30"/>
        <w:ind w:firstLine="480"/>
        <w:rPr>
          <w:rFonts w:hint="default" w:asciiTheme="majorEastAsia" w:hAnsiTheme="majorEastAsia" w:eastAsiaTheme="majorEastAsia" w:cstheme="majorEastAsia"/>
          <w:color w:val="000000" w:themeColor="text1"/>
          <w:szCs w:val="24"/>
          <w:highlight w:val="no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电  话：</w:t>
      </w:r>
      <w:r>
        <w:rPr>
          <w:rFonts w:hint="eastAsia" w:ascii="宋体" w:hAnsi="宋体" w:eastAsia="宋体" w:cs="宋体"/>
          <w:sz w:val="24"/>
          <w:szCs w:val="24"/>
          <w:highlight w:val="none"/>
          <w:lang w:val="en-US" w:eastAsia="zh-CN"/>
        </w:rPr>
        <w:t>0551-68895776</w:t>
      </w:r>
    </w:p>
    <w:p w14:paraId="737A0898">
      <w:pPr>
        <w:spacing w:before="93" w:beforeLines="30" w:after="93" w:afterLines="30"/>
        <w:ind w:firstLine="482"/>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b/>
          <w:szCs w:val="24"/>
          <w:highlight w:val="none"/>
        </w:rPr>
        <w:t>8.其他事项说明</w:t>
      </w:r>
    </w:p>
    <w:p w14:paraId="1DCDC09E">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8.1 电子化交易要求：</w:t>
      </w:r>
    </w:p>
    <w:p w14:paraId="29D1E155">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1）潜在供应商须登录“优质采云采购平台”（网址：http://www.youzhicai.com/，以下称“优质采平台”）参与本项目磋商活动。首次登录须办理注册手续，请务必选择注册为“投标人角色”类型。注册流程见优质采平台“用户注册”栏目，咨询电话：400-0099-555。因未及时办理注册手续影响参加磋商活动的，责任自负。</w:t>
      </w:r>
    </w:p>
    <w:p w14:paraId="4A896751">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2）已注册的潜在供应商可登录优质采平台获取磋商文件，本项目的磋商文件及其他资料（含澄清、答疑及相关补充文件）通过优质采平台发布，业主单位/代理机构不再另行书面通知，潜在供应商应及时关注、查阅优质采平台。因未及时查看导致不利后果的，责任自负。</w:t>
      </w:r>
    </w:p>
    <w:p w14:paraId="74044186">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（3）已注册的潜在供应商若注册信息发生变更（如：与初始注册信息不一致），应及时网上提交变更申请。因未及时变更导致不利后果的，责任自负。</w:t>
      </w:r>
    </w:p>
    <w:p w14:paraId="02C262DF">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4）本项目采用全流程电子化交易方式，潜在供应商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625BA4FA">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（5）响应文件必须使用“优质采投标文件制作工具”制作生成并上传。下载地址：http://toolcdn.youzhicai.com/tools/BidderTools.zip，使用说明书及视频教程下载地址：http://file.youzhicai.com/files/BidderHelp.rar。</w:t>
      </w:r>
    </w:p>
    <w:p w14:paraId="2E0AC82D">
      <w:pPr>
        <w:spacing w:before="93" w:beforeLines="30" w:after="93" w:afterLines="30"/>
        <w:ind w:firstLine="480"/>
        <w:rPr>
          <w:rFonts w:asciiTheme="majorEastAsia" w:hAnsiTheme="majorEastAsia" w:eastAsiaTheme="majorEastAsia" w:cstheme="majorEastAsia"/>
          <w:szCs w:val="24"/>
          <w:highlight w:val="none"/>
        </w:rPr>
      </w:pPr>
      <w:r>
        <w:rPr>
          <w:rFonts w:hint="eastAsia" w:asciiTheme="majorEastAsia" w:hAnsiTheme="majorEastAsia" w:eastAsiaTheme="majorEastAsia" w:cstheme="majorEastAsia"/>
          <w:szCs w:val="24"/>
          <w:highlight w:val="none"/>
        </w:rPr>
        <w:t>8.2 供应商应合理安排磋商文件获取时间，特别是网络速度慢的地区防止在系统关闭前网络拥堵无法操作。如果因计算机及网络故障造成无法完成磋商文件获取，责任自负。</w:t>
      </w:r>
      <w:bookmarkEnd w:id="2"/>
      <w:r>
        <w:rPr>
          <w:rFonts w:hint="eastAsia" w:asciiTheme="majorEastAsia" w:hAnsiTheme="majorEastAsia" w:eastAsiaTheme="majorEastAsia" w:cstheme="majorEastAsia"/>
          <w:szCs w:val="24"/>
          <w:highlight w:val="none"/>
        </w:rPr>
        <w:br w:type="page"/>
      </w:r>
    </w:p>
    <w:p w14:paraId="25E41F8F">
      <w:pPr>
        <w:ind w:firstLine="562"/>
        <w:jc w:val="center"/>
        <w:outlineLvl w:val="1"/>
        <w:rPr>
          <w:rFonts w:asciiTheme="minorEastAsia" w:hAnsiTheme="minorEastAsia" w:eastAsiaTheme="minorEastAsia"/>
          <w:b/>
          <w:sz w:val="28"/>
          <w:highlight w:val="none"/>
        </w:rPr>
      </w:pPr>
      <w:bookmarkStart w:id="3" w:name="_Toc192058171"/>
      <w:r>
        <w:rPr>
          <w:rFonts w:hint="eastAsia" w:asciiTheme="minorEastAsia" w:hAnsiTheme="minorEastAsia" w:eastAsiaTheme="minorEastAsia"/>
          <w:b/>
          <w:sz w:val="28"/>
          <w:highlight w:val="none"/>
        </w:rPr>
        <w:t>第二章</w:t>
      </w:r>
      <w:r>
        <w:rPr>
          <w:rFonts w:asciiTheme="minorEastAsia" w:hAnsiTheme="minorEastAsia" w:eastAsiaTheme="minorEastAsia"/>
          <w:b/>
          <w:sz w:val="28"/>
          <w:highlight w:val="none"/>
        </w:rPr>
        <w:t xml:space="preserve"> </w:t>
      </w:r>
      <w:r>
        <w:rPr>
          <w:rFonts w:hint="eastAsia" w:asciiTheme="minorEastAsia" w:hAnsiTheme="minorEastAsia" w:eastAsiaTheme="minorEastAsia"/>
          <w:b/>
          <w:sz w:val="28"/>
          <w:highlight w:val="none"/>
        </w:rPr>
        <w:t xml:space="preserve"> 供应商</w:t>
      </w:r>
      <w:r>
        <w:rPr>
          <w:rFonts w:asciiTheme="minorEastAsia" w:hAnsiTheme="minorEastAsia" w:eastAsiaTheme="minorEastAsia"/>
          <w:b/>
          <w:sz w:val="28"/>
          <w:highlight w:val="none"/>
        </w:rPr>
        <w:t>须知</w:t>
      </w:r>
      <w:bookmarkEnd w:id="3"/>
    </w:p>
    <w:p w14:paraId="058BC70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w:t>
      </w:r>
      <w:r>
        <w:rPr>
          <w:rFonts w:hint="eastAsia" w:asciiTheme="minorEastAsia" w:hAnsiTheme="minorEastAsia" w:eastAsiaTheme="minorEastAsia"/>
          <w:b/>
          <w:highlight w:val="none"/>
        </w:rPr>
        <w:t>知前附表</w:t>
      </w:r>
    </w:p>
    <w:tbl>
      <w:tblPr>
        <w:tblStyle w:val="1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3"/>
        <w:gridCol w:w="1333"/>
        <w:gridCol w:w="6176"/>
      </w:tblGrid>
      <w:tr w14:paraId="40FAB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69BC9F16">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条款号</w:t>
            </w:r>
          </w:p>
        </w:tc>
        <w:tc>
          <w:tcPr>
            <w:tcW w:w="782" w:type="pct"/>
            <w:vAlign w:val="center"/>
          </w:tcPr>
          <w:p w14:paraId="13F3EA01">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条款名称</w:t>
            </w:r>
          </w:p>
        </w:tc>
        <w:tc>
          <w:tcPr>
            <w:tcW w:w="3623" w:type="pct"/>
            <w:vAlign w:val="center"/>
          </w:tcPr>
          <w:p w14:paraId="78623818">
            <w:pPr>
              <w:pStyle w:val="20"/>
              <w:rPr>
                <w:b/>
                <w:bCs w:val="0"/>
                <w:color w:val="000000" w:themeColor="text1"/>
                <w:highlight w:val="none"/>
                <w14:textFill>
                  <w14:solidFill>
                    <w14:schemeClr w14:val="tx1"/>
                  </w14:solidFill>
                </w14:textFill>
              </w:rPr>
            </w:pPr>
            <w:r>
              <w:rPr>
                <w:rFonts w:hint="eastAsia"/>
                <w:b/>
                <w:bCs w:val="0"/>
                <w:color w:val="000000" w:themeColor="text1"/>
                <w:highlight w:val="none"/>
                <w14:textFill>
                  <w14:solidFill>
                    <w14:schemeClr w14:val="tx1"/>
                  </w14:solidFill>
                </w14:textFill>
              </w:rPr>
              <w:t>内容、说明与要求</w:t>
            </w:r>
          </w:p>
        </w:tc>
      </w:tr>
      <w:tr w14:paraId="4D25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1E7C97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782" w:type="pct"/>
            <w:vAlign w:val="center"/>
          </w:tcPr>
          <w:p w14:paraId="5026BA85">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服务地点</w:t>
            </w:r>
          </w:p>
        </w:tc>
        <w:tc>
          <w:tcPr>
            <w:tcW w:w="3623" w:type="pct"/>
            <w:vAlign w:val="center"/>
          </w:tcPr>
          <w:p w14:paraId="5DDD1603">
            <w:pPr>
              <w:pStyle w:val="20"/>
              <w:rPr>
                <w:rFonts w:hint="default" w:eastAsia="宋体"/>
                <w:color w:val="000000" w:themeColor="text1"/>
                <w:highlight w:val="none"/>
                <w:lang w:val="en-US" w:eastAsia="zh-CN"/>
                <w14:textFill>
                  <w14:solidFill>
                    <w14:schemeClr w14:val="tx1"/>
                  </w14:solidFill>
                </w14:textFill>
              </w:rPr>
            </w:pPr>
            <w:r>
              <w:rPr>
                <w:rFonts w:hint="eastAsia" w:cs="宋体"/>
                <w:b w:val="0"/>
                <w:bCs w:val="0"/>
                <w:color w:val="000000"/>
                <w:kern w:val="2"/>
                <w:sz w:val="24"/>
                <w:szCs w:val="24"/>
                <w:lang w:val="en-US" w:eastAsia="zh-CN"/>
              </w:rPr>
              <w:t>采购人指定地点</w:t>
            </w:r>
          </w:p>
        </w:tc>
      </w:tr>
      <w:tr w14:paraId="60C0C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281DE5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p>
        </w:tc>
        <w:tc>
          <w:tcPr>
            <w:tcW w:w="782" w:type="pct"/>
            <w:vAlign w:val="center"/>
          </w:tcPr>
          <w:p w14:paraId="4C5F8FBF">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服务期限</w:t>
            </w:r>
          </w:p>
        </w:tc>
        <w:tc>
          <w:tcPr>
            <w:tcW w:w="3623" w:type="pct"/>
            <w:vAlign w:val="center"/>
          </w:tcPr>
          <w:p w14:paraId="44C180BF">
            <w:pPr>
              <w:pStyle w:val="22"/>
              <w:rPr>
                <w:color w:val="000000" w:themeColor="text1"/>
                <w:highlight w:val="none"/>
                <w14:textFill>
                  <w14:solidFill>
                    <w14:schemeClr w14:val="tx1"/>
                  </w14:solidFill>
                </w14:textFill>
              </w:rPr>
            </w:pPr>
            <w:r>
              <w:rPr>
                <w:rFonts w:hint="eastAsia" w:ascii="宋体" w:hAnsi="宋体" w:eastAsia="宋体" w:cs="宋体"/>
                <w:b w:val="0"/>
                <w:bCs w:val="0"/>
                <w:color w:val="FF0000"/>
                <w:kern w:val="2"/>
                <w:sz w:val="24"/>
                <w:szCs w:val="24"/>
                <w:highlight w:val="none"/>
                <w:lang w:val="en-US" w:eastAsia="zh-CN" w:bidi="ar-SA"/>
              </w:rPr>
              <w:t>自合同签订且采购人提供项目实施地点之日起40日历天内完成分配的项目任务。施工现场设计服务至工程竣工验收合格之日。</w:t>
            </w:r>
          </w:p>
        </w:tc>
      </w:tr>
      <w:tr w14:paraId="3A83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EEF762E">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782" w:type="pct"/>
            <w:vAlign w:val="center"/>
          </w:tcPr>
          <w:p w14:paraId="2C6D1BCF">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现场踏勘</w:t>
            </w:r>
          </w:p>
        </w:tc>
        <w:tc>
          <w:tcPr>
            <w:tcW w:w="3623" w:type="pct"/>
            <w:vAlign w:val="center"/>
          </w:tcPr>
          <w:p w14:paraId="7900D63B">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自行踏勘</w:t>
            </w:r>
          </w:p>
          <w:p w14:paraId="20604A27">
            <w:pPr>
              <w:ind w:firstLine="0" w:firstLineChars="0"/>
              <w:rPr>
                <w:rFonts w:cs="宋体"/>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r>
              <w:rPr>
                <w:rFonts w:hint="eastAsia" w:cs="宋体"/>
                <w:bCs/>
                <w:color w:val="000000" w:themeColor="text1"/>
                <w:kern w:val="2"/>
                <w:szCs w:val="24"/>
                <w:highlight w:val="none"/>
                <w14:textFill>
                  <w14:solidFill>
                    <w14:schemeClr w14:val="tx1"/>
                  </w14:solidFill>
                </w14:textFill>
              </w:rPr>
              <w:t>集中组织</w:t>
            </w:r>
          </w:p>
          <w:p w14:paraId="2CAA3078">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时间：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年</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月</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日</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时</w:t>
            </w:r>
            <w:r>
              <w:rPr>
                <w:rFonts w:hint="eastAsia" w:cs="宋体"/>
                <w:bCs/>
                <w:color w:val="000000" w:themeColor="text1"/>
                <w:kern w:val="2"/>
                <w:szCs w:val="24"/>
                <w:highlight w:val="none"/>
                <w:u w:val="single"/>
                <w14:textFill>
                  <w14:solidFill>
                    <w14:schemeClr w14:val="tx1"/>
                  </w14:solidFill>
                </w14:textFill>
              </w:rPr>
              <w:t xml:space="preserve">  </w:t>
            </w:r>
            <w:r>
              <w:rPr>
                <w:rFonts w:hint="eastAsia" w:cs="宋体"/>
                <w:bCs/>
                <w:color w:val="000000" w:themeColor="text1"/>
                <w:kern w:val="2"/>
                <w:szCs w:val="24"/>
                <w:highlight w:val="none"/>
                <w14:textFill>
                  <w14:solidFill>
                    <w14:schemeClr w14:val="tx1"/>
                  </w14:solidFill>
                </w14:textFill>
              </w:rPr>
              <w:t>分</w:t>
            </w:r>
          </w:p>
          <w:p w14:paraId="0468509C">
            <w:pPr>
              <w:ind w:firstLine="0" w:firstLineChars="0"/>
              <w:rPr>
                <w:rFonts w:cs="宋体"/>
                <w:bCs/>
                <w:color w:val="000000" w:themeColor="text1"/>
                <w:kern w:val="2"/>
                <w:szCs w:val="24"/>
                <w:highlight w:val="none"/>
                <w:u w:val="singl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现场踏勘联系人及联系电话：</w:t>
            </w:r>
            <w:r>
              <w:rPr>
                <w:rFonts w:hint="eastAsia" w:cs="宋体"/>
                <w:bCs/>
                <w:color w:val="000000" w:themeColor="text1"/>
                <w:kern w:val="2"/>
                <w:szCs w:val="24"/>
                <w:highlight w:val="none"/>
                <w:u w:val="single"/>
                <w14:textFill>
                  <w14:solidFill>
                    <w14:schemeClr w14:val="tx1"/>
                  </w14:solidFill>
                </w14:textFill>
              </w:rPr>
              <w:t xml:space="preserve">           </w:t>
            </w:r>
          </w:p>
          <w:p w14:paraId="3A852D17">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备注：如供应商未参加业主单位统一组织的现场踏勘，视同放弃现场踏勘，由此引起的一切责任由供应商自行承担。</w:t>
            </w:r>
          </w:p>
        </w:tc>
      </w:tr>
      <w:tr w14:paraId="256A9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85909A3">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782" w:type="pct"/>
            <w:vAlign w:val="center"/>
          </w:tcPr>
          <w:p w14:paraId="45A6C36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关于联合体参加磋商的相关约定（如允许联合体）</w:t>
            </w:r>
          </w:p>
        </w:tc>
        <w:tc>
          <w:tcPr>
            <w:tcW w:w="3623" w:type="pct"/>
            <w:vAlign w:val="center"/>
          </w:tcPr>
          <w:p w14:paraId="10E98A56">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（1）联合体参加磋商的，磋商文件获取信息填写，由联合体中任一成员单位完成均可。</w:t>
            </w:r>
          </w:p>
          <w:p w14:paraId="20F9D19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（2）联合体参加磋商的须提供联合协议（见响应文件格式），相关证明材料由供应商根据联合协议分工情况及磋商文件要求提供。</w:t>
            </w:r>
          </w:p>
          <w:p w14:paraId="7749F9BF">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r>
      <w:tr w14:paraId="64388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0EDAF5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w:t>
            </w:r>
          </w:p>
        </w:tc>
        <w:tc>
          <w:tcPr>
            <w:tcW w:w="782" w:type="pct"/>
            <w:vAlign w:val="center"/>
          </w:tcPr>
          <w:p w14:paraId="03844AA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初审业绩要求（如有）</w:t>
            </w:r>
          </w:p>
        </w:tc>
        <w:tc>
          <w:tcPr>
            <w:tcW w:w="3623" w:type="pct"/>
            <w:vAlign w:val="center"/>
          </w:tcPr>
          <w:p w14:paraId="4CC205DB">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供应商应按下列规定提供业绩证明资料：</w:t>
            </w:r>
          </w:p>
          <w:p w14:paraId="233040B0">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□已完成的业绩：响应文件中须同时提供以下业绩证明材料：</w:t>
            </w:r>
          </w:p>
          <w:p w14:paraId="67DA4E0E">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37547350">
            <w:pPr>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（2）与该业绩对应的项目已完成的证明材料（如验收报告或业主（或合同甲方）证明）。</w:t>
            </w:r>
          </w:p>
          <w:p w14:paraId="28E22CC1">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□正在履约或已完成的业绩：响应文件中须同时提供以下业绩证明材料：</w:t>
            </w:r>
          </w:p>
          <w:p w14:paraId="00A17C76">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（1）业绩合同扫描件；</w:t>
            </w:r>
          </w:p>
          <w:p w14:paraId="18F5F815">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（2）与该业绩对应的项目正在履约或已完成的证明材料（如验收报告或业主（或合同甲方）证明）。</w:t>
            </w:r>
          </w:p>
          <w:p w14:paraId="1CB323D9">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已签订合同但尚未实施的业绩不予认可。即截至磋商时间，项目如存在目前尚未开始履约、人员进场但尚未实质性开展、处于暂停等情况的，该业绩不予认可。</w:t>
            </w:r>
          </w:p>
          <w:p w14:paraId="0B805352">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注：（1）正在履约或已完成的证明材料须加盖项目业主单位或合同甲方公章(证明材料已有项目业主单位或合同甲方公章的除外)，否则评审委员会不予认可。</w:t>
            </w:r>
          </w:p>
          <w:p w14:paraId="4700F73C">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（2）如果业绩合同和项目已完成（或正在履约）的证明材料中的合同金额、建筑面积等合同要素不一致的，以项目已完成（或正在履约）的证明材料为准。</w:t>
            </w:r>
          </w:p>
          <w:p w14:paraId="4EF86978">
            <w:pPr>
              <w:ind w:firstLine="0" w:firstLineChars="0"/>
              <w:rPr>
                <w:color w:val="000000" w:themeColor="text1"/>
                <w:szCs w:val="24"/>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以上涉及到的证明资料信息应完整或能充分反映评审因素。如未能明确反映评审因素的（如合同总金额、面积等），应另附业主（或合同甲方）证明材料予以明确说明，须加盖项目业主单位或合同甲方公章，否则评审委员会不予认可。</w:t>
            </w:r>
          </w:p>
        </w:tc>
      </w:tr>
      <w:tr w14:paraId="4BEA9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1A6284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w:t>
            </w:r>
          </w:p>
        </w:tc>
        <w:tc>
          <w:tcPr>
            <w:tcW w:w="782" w:type="pct"/>
            <w:vAlign w:val="center"/>
          </w:tcPr>
          <w:p w14:paraId="0378C67A">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供应商提出疑问截止时间</w:t>
            </w:r>
          </w:p>
        </w:tc>
        <w:tc>
          <w:tcPr>
            <w:tcW w:w="3623" w:type="pct"/>
          </w:tcPr>
          <w:p w14:paraId="43A3B420">
            <w:pPr>
              <w:spacing w:line="440" w:lineRule="exact"/>
              <w:ind w:firstLine="0" w:firstLineChars="0"/>
              <w:rPr>
                <w:rFonts w:cs="宋体"/>
                <w:bCs/>
                <w:color w:val="FF0000"/>
                <w:szCs w:val="24"/>
                <w:highlight w:val="none"/>
              </w:rPr>
            </w:pPr>
            <w:r>
              <w:rPr>
                <w:rFonts w:hint="eastAsia" w:cs="宋体"/>
                <w:bCs/>
                <w:color w:val="FF0000"/>
                <w:szCs w:val="24"/>
                <w:highlight w:val="none"/>
              </w:rPr>
              <w:t>（1）时间：</w:t>
            </w:r>
            <w:r>
              <w:rPr>
                <w:rFonts w:hint="eastAsia" w:cs="宋体"/>
                <w:b/>
                <w:color w:val="FF0000"/>
                <w:kern w:val="2"/>
                <w:szCs w:val="24"/>
                <w:highlight w:val="none"/>
                <w:u w:val="single"/>
              </w:rPr>
              <w:t>202</w:t>
            </w:r>
            <w:r>
              <w:rPr>
                <w:rFonts w:hint="eastAsia" w:cs="宋体"/>
                <w:b/>
                <w:color w:val="FF0000"/>
                <w:kern w:val="2"/>
                <w:szCs w:val="24"/>
                <w:highlight w:val="none"/>
                <w:u w:val="single"/>
                <w:lang w:val="en-US" w:eastAsia="zh-CN"/>
              </w:rPr>
              <w:t>6</w:t>
            </w:r>
            <w:r>
              <w:rPr>
                <w:rFonts w:hint="eastAsia" w:cs="宋体"/>
                <w:b/>
                <w:color w:val="FF0000"/>
                <w:kern w:val="2"/>
                <w:szCs w:val="24"/>
                <w:highlight w:val="none"/>
              </w:rPr>
              <w:t>年</w:t>
            </w:r>
            <w:r>
              <w:rPr>
                <w:rFonts w:hint="eastAsia" w:cs="宋体"/>
                <w:b/>
                <w:color w:val="FF0000"/>
                <w:kern w:val="2"/>
                <w:szCs w:val="24"/>
                <w:highlight w:val="none"/>
                <w:lang w:val="en-US" w:eastAsia="zh-CN"/>
              </w:rPr>
              <w:t>6</w:t>
            </w:r>
            <w:r>
              <w:rPr>
                <w:rFonts w:hint="eastAsia" w:cs="宋体"/>
                <w:b/>
                <w:color w:val="FF0000"/>
                <w:kern w:val="2"/>
                <w:szCs w:val="24"/>
                <w:highlight w:val="none"/>
              </w:rPr>
              <w:t>月</w:t>
            </w:r>
            <w:r>
              <w:rPr>
                <w:rFonts w:hint="eastAsia" w:cs="宋体"/>
                <w:b/>
                <w:color w:val="FF0000"/>
                <w:kern w:val="2"/>
                <w:szCs w:val="24"/>
                <w:highlight w:val="none"/>
                <w:lang w:val="en-US" w:eastAsia="zh-CN"/>
              </w:rPr>
              <w:t>25</w:t>
            </w:r>
            <w:r>
              <w:rPr>
                <w:rFonts w:hint="eastAsia" w:cs="宋体"/>
                <w:b/>
                <w:color w:val="FF0000"/>
                <w:kern w:val="2"/>
                <w:szCs w:val="24"/>
                <w:highlight w:val="none"/>
              </w:rPr>
              <w:t>日</w:t>
            </w:r>
            <w:r>
              <w:rPr>
                <w:rFonts w:hint="eastAsia" w:cs="宋体"/>
                <w:b/>
                <w:color w:val="FF0000"/>
                <w:kern w:val="2"/>
                <w:szCs w:val="24"/>
                <w:highlight w:val="none"/>
                <w:u w:val="single"/>
              </w:rPr>
              <w:t>17</w:t>
            </w:r>
            <w:r>
              <w:rPr>
                <w:rFonts w:hint="eastAsia" w:cs="宋体"/>
                <w:b/>
                <w:color w:val="FF0000"/>
                <w:kern w:val="2"/>
                <w:szCs w:val="24"/>
                <w:highlight w:val="none"/>
              </w:rPr>
              <w:t>时</w:t>
            </w:r>
            <w:r>
              <w:rPr>
                <w:rFonts w:hint="eastAsia" w:cs="宋体"/>
                <w:b/>
                <w:color w:val="FF0000"/>
                <w:kern w:val="2"/>
                <w:szCs w:val="24"/>
                <w:highlight w:val="none"/>
                <w:u w:val="single"/>
              </w:rPr>
              <w:t>30</w:t>
            </w:r>
            <w:r>
              <w:rPr>
                <w:rFonts w:hint="eastAsia" w:cs="宋体"/>
                <w:b/>
                <w:color w:val="FF0000"/>
                <w:kern w:val="2"/>
                <w:szCs w:val="24"/>
                <w:highlight w:val="none"/>
              </w:rPr>
              <w:t>分。</w:t>
            </w:r>
          </w:p>
          <w:p w14:paraId="105A728C">
            <w:pPr>
              <w:spacing w:line="440" w:lineRule="exact"/>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（2）形式：通过</w:t>
            </w:r>
            <w:r>
              <w:rPr>
                <w:rFonts w:hint="eastAsia" w:asciiTheme="majorEastAsia" w:hAnsiTheme="majorEastAsia" w:eastAsiaTheme="majorEastAsia" w:cstheme="majorEastAsia"/>
                <w:color w:val="000000" w:themeColor="text1"/>
                <w:szCs w:val="24"/>
                <w:highlight w:val="none"/>
                <w14:textFill>
                  <w14:solidFill>
                    <w14:schemeClr w14:val="tx1"/>
                  </w14:solidFill>
                </w14:textFill>
              </w:rPr>
              <w:t>优质采云采购平台</w:t>
            </w:r>
            <w:r>
              <w:rPr>
                <w:rFonts w:hint="eastAsia" w:cs="宋体"/>
                <w:bCs/>
                <w:color w:val="000000" w:themeColor="text1"/>
                <w:szCs w:val="24"/>
                <w:highlight w:val="none"/>
                <w14:textFill>
                  <w14:solidFill>
                    <w14:schemeClr w14:val="tx1"/>
                  </w14:solidFill>
                </w14:textFill>
              </w:rPr>
              <w:t>提交。</w:t>
            </w:r>
          </w:p>
          <w:p w14:paraId="7C5F9453">
            <w:pPr>
              <w:spacing w:line="440" w:lineRule="exact"/>
              <w:ind w:firstLine="0" w:firstLineChars="0"/>
              <w:rPr>
                <w:color w:val="000000" w:themeColor="text1"/>
                <w:highlight w:val="none"/>
                <w14:textFill>
                  <w14:solidFill>
                    <w14:schemeClr w14:val="tx1"/>
                  </w14:solidFill>
                </w14:textFill>
              </w:rPr>
            </w:pPr>
            <w:r>
              <w:rPr>
                <w:rFonts w:hint="eastAsia"/>
                <w:color w:val="000000" w:themeColor="text1"/>
                <w:szCs w:val="24"/>
                <w:highlight w:val="none"/>
                <w14:textFill>
                  <w14:solidFill>
                    <w14:schemeClr w14:val="tx1"/>
                  </w14:solidFill>
                </w14:textFill>
              </w:rPr>
              <w:t>（3）供应商请注意：肥西县公共资源交易有限责任公司对磋商文件进行的澄清、更正或更改，将在网站上及时发布，该公告内容为磋商文件的组成部分，对供应商具有同样约束力效力。供应商应主动上网查询。肥西县公共资源交易有限责任公司不承担供应商未及时关注相关信息引发的相关责任。</w:t>
            </w:r>
          </w:p>
        </w:tc>
      </w:tr>
      <w:tr w14:paraId="2CCA8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50D845F">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p>
        </w:tc>
        <w:tc>
          <w:tcPr>
            <w:tcW w:w="782" w:type="pct"/>
            <w:vAlign w:val="center"/>
          </w:tcPr>
          <w:p w14:paraId="2B66B37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构成磋商的其他材料</w:t>
            </w:r>
          </w:p>
        </w:tc>
        <w:tc>
          <w:tcPr>
            <w:tcW w:w="3623" w:type="pct"/>
            <w:vAlign w:val="center"/>
          </w:tcPr>
          <w:p w14:paraId="486B4A4A">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sym w:font="Wingdings 2" w:char="F052"/>
            </w:r>
            <w:r>
              <w:rPr>
                <w:rFonts w:hint="eastAsia" w:asciiTheme="minorEastAsia" w:hAnsiTheme="minorEastAsia" w:eastAsiaTheme="minorEastAsia"/>
                <w:color w:val="000000" w:themeColor="text1"/>
                <w:highlight w:val="none"/>
                <w14:textFill>
                  <w14:solidFill>
                    <w14:schemeClr w14:val="tx1"/>
                  </w14:solidFill>
                </w14:textFill>
              </w:rPr>
              <w:t xml:space="preserve">无  </w:t>
            </w:r>
            <w:r>
              <w:rPr>
                <w:rFonts w:hint="eastAsia" w:cs="宋体"/>
                <w:bCs/>
                <w:color w:val="000000" w:themeColor="text1"/>
                <w:szCs w:val="24"/>
                <w:highlight w:val="none"/>
                <w14:textFill>
                  <w14:solidFill>
                    <w14:schemeClr w14:val="tx1"/>
                  </w14:solidFill>
                </w14:textFill>
              </w:rPr>
              <w:t>□图纸  □其他：</w:t>
            </w:r>
            <w:r>
              <w:rPr>
                <w:rFonts w:hint="eastAsia" w:cs="宋体"/>
                <w:bCs/>
                <w:color w:val="000000" w:themeColor="text1"/>
                <w:szCs w:val="24"/>
                <w:highlight w:val="none"/>
                <w:u w:val="single"/>
                <w14:textFill>
                  <w14:solidFill>
                    <w14:schemeClr w14:val="tx1"/>
                  </w14:solidFill>
                </w14:textFill>
              </w:rPr>
              <w:t xml:space="preserve">        </w:t>
            </w:r>
          </w:p>
          <w:p w14:paraId="10727F29">
            <w:pPr>
              <w:adjustRightInd w:val="0"/>
              <w:snapToGrid w:val="0"/>
              <w:ind w:firstLine="0" w:firstLineChars="0"/>
              <w:jc w:val="left"/>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获得方式：</w:t>
            </w:r>
          </w:p>
          <w:p w14:paraId="30919DD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上述资料请供应商在获取磋商文件后，自行登录电子交易系统下载本项目附件。</w:t>
            </w:r>
          </w:p>
        </w:tc>
      </w:tr>
      <w:tr w14:paraId="39977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6208FE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782" w:type="pct"/>
            <w:vAlign w:val="center"/>
          </w:tcPr>
          <w:p w14:paraId="07CCFBA8">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磋商保证金及电子交易服务费用</w:t>
            </w:r>
          </w:p>
        </w:tc>
        <w:tc>
          <w:tcPr>
            <w:tcW w:w="3623" w:type="pct"/>
            <w:vAlign w:val="center"/>
          </w:tcPr>
          <w:p w14:paraId="5E73CE4D">
            <w:pPr>
              <w:ind w:firstLine="0" w:firstLineChars="0"/>
              <w:jc w:val="left"/>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是否要求</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递交磋商保证金：</w:t>
            </w:r>
            <w:r>
              <w:rPr>
                <w:rFonts w:ascii="Segoe UI Symbol" w:hAnsi="Segoe UI Symbol" w:cs="Segoe UI Symbol"/>
                <w:b/>
                <w:bCs/>
                <w:color w:val="000000" w:themeColor="text1"/>
                <w:highlight w:val="none"/>
                <w14:textFill>
                  <w14:solidFill>
                    <w14:schemeClr w14:val="tx1"/>
                  </w14:solidFill>
                </w14:textFill>
              </w:rPr>
              <w:t>☑</w:t>
            </w:r>
            <w:r>
              <w:rPr>
                <w:rFonts w:hint="eastAsia" w:cs="宋体"/>
                <w:color w:val="000000" w:themeColor="text1"/>
                <w:highlight w:val="none"/>
                <w14:textFill>
                  <w14:solidFill>
                    <w14:schemeClr w14:val="tx1"/>
                  </w14:solidFill>
                </w14:textFill>
              </w:rPr>
              <w:t xml:space="preserve">不要求 </w:t>
            </w:r>
            <w:r>
              <w:rPr>
                <w:rFonts w:hint="eastAsia" w:cs="宋体"/>
                <w:color w:val="000000" w:themeColor="text1"/>
                <w:highlight w:val="none"/>
                <w14:textFill>
                  <w14:solidFill>
                    <w14:schemeClr w14:val="tx1"/>
                  </w14:solidFill>
                </w14:textFill>
              </w:rPr>
              <w:sym w:font="Wingdings 2" w:char="00A3"/>
            </w:r>
            <w:r>
              <w:rPr>
                <w:rFonts w:hint="eastAsia" w:cs="宋体"/>
                <w:color w:val="000000" w:themeColor="text1"/>
                <w:highlight w:val="none"/>
                <w14:textFill>
                  <w14:solidFill>
                    <w14:schemeClr w14:val="tx1"/>
                  </w14:solidFill>
                </w14:textFill>
              </w:rPr>
              <w:t>要求</w:t>
            </w:r>
          </w:p>
          <w:p w14:paraId="55B5034F">
            <w:pPr>
              <w:snapToGrid w:val="0"/>
              <w:spacing w:line="460" w:lineRule="exact"/>
              <w:ind w:firstLine="0" w:firstLineChars="0"/>
              <w:rPr>
                <w:rFonts w:cs="宋体"/>
                <w:b/>
                <w:bCs/>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是否要求供应商递交电子交易服务费用：□不要求</w:t>
            </w:r>
            <w:r>
              <w:rPr>
                <w:rFonts w:ascii="Segoe UI Symbol" w:hAnsi="Segoe UI Symbol" w:cs="Segoe UI Symbol"/>
                <w:b/>
                <w:bCs/>
                <w:color w:val="000000" w:themeColor="text1"/>
                <w:kern w:val="2"/>
                <w:szCs w:val="24"/>
                <w:highlight w:val="none"/>
                <w14:textFill>
                  <w14:solidFill>
                    <w14:schemeClr w14:val="tx1"/>
                  </w14:solidFill>
                </w14:textFill>
              </w:rPr>
              <w:t>☑</w:t>
            </w:r>
            <w:r>
              <w:rPr>
                <w:rFonts w:hint="eastAsia" w:cs="宋体"/>
                <w:b/>
                <w:bCs/>
                <w:color w:val="000000" w:themeColor="text1"/>
                <w:kern w:val="2"/>
                <w:szCs w:val="24"/>
                <w:highlight w:val="none"/>
                <w14:textFill>
                  <w14:solidFill>
                    <w14:schemeClr w14:val="tx1"/>
                  </w14:solidFill>
                </w14:textFill>
              </w:rPr>
              <w:t>要求</w:t>
            </w:r>
          </w:p>
          <w:p w14:paraId="6DFD5D71">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电子交易服务费用的形式：</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银行转账  </w:t>
            </w:r>
            <w:r>
              <w:rPr>
                <w:rFonts w:hint="eastAsia" w:cs="宋体"/>
                <w:b/>
                <w:bCs/>
                <w:color w:val="000000" w:themeColor="text1"/>
                <w:kern w:val="2"/>
                <w:szCs w:val="24"/>
                <w:highlight w:val="none"/>
                <w14:textFill>
                  <w14:solidFill>
                    <w14:schemeClr w14:val="tx1"/>
                  </w14:solidFill>
                </w14:textFill>
              </w:rPr>
              <w:sym w:font="Wingdings" w:char="00FE"/>
            </w:r>
            <w:r>
              <w:rPr>
                <w:rFonts w:hint="eastAsia" w:cs="宋体"/>
                <w:color w:val="000000" w:themeColor="text1"/>
                <w:kern w:val="2"/>
                <w:szCs w:val="24"/>
                <w:highlight w:val="none"/>
                <w14:textFill>
                  <w14:solidFill>
                    <w14:schemeClr w14:val="tx1"/>
                  </w14:solidFill>
                </w14:textFill>
              </w:rPr>
              <w:t xml:space="preserve">银行电汇 </w:t>
            </w:r>
          </w:p>
          <w:p w14:paraId="14E2B7FA">
            <w:pPr>
              <w:snapToGrid w:val="0"/>
              <w:spacing w:line="460" w:lineRule="exact"/>
              <w:ind w:firstLine="120" w:firstLineChars="50"/>
              <w:rPr>
                <w:rFonts w:cs="宋体"/>
                <w:b/>
                <w:bCs/>
                <w:color w:val="000000" w:themeColor="text1"/>
                <w:kern w:val="2"/>
                <w:szCs w:val="24"/>
                <w:highlight w:val="none"/>
                <w14:textFill>
                  <w14:solidFill>
                    <w14:schemeClr w14:val="tx1"/>
                  </w14:solidFill>
                </w14:textFill>
              </w:rPr>
            </w:pPr>
            <w:r>
              <w:rPr>
                <w:rFonts w:hint="eastAsia" w:cs="宋体"/>
                <w:b/>
                <w:bCs/>
                <w:color w:val="000000" w:themeColor="text1"/>
                <w:kern w:val="2"/>
                <w:szCs w:val="24"/>
                <w:highlight w:val="none"/>
                <w14:textFill>
                  <w14:solidFill>
                    <w14:schemeClr w14:val="tx1"/>
                  </w14:solidFill>
                </w14:textFill>
              </w:rPr>
              <w:t>电子交易服务费用的金额：人民币200元，售后不退。</w:t>
            </w:r>
          </w:p>
          <w:p w14:paraId="549CCC6E">
            <w:pPr>
              <w:snapToGrid w:val="0"/>
              <w:spacing w:line="460" w:lineRule="exact"/>
              <w:ind w:firstLine="120" w:firstLineChars="5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 xml:space="preserve">递交要求： </w:t>
            </w:r>
          </w:p>
          <w:p w14:paraId="4DF9D573">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①电子交易服务费用的到账截止时间：同磋商时间。</w:t>
            </w:r>
          </w:p>
          <w:p w14:paraId="4487DC88">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②电子交易服务费用应当从供应商账户转出。</w:t>
            </w:r>
          </w:p>
          <w:p w14:paraId="1FD0CDBD">
            <w:pPr>
              <w:snapToGrid w:val="0"/>
              <w:ind w:firstLine="0" w:firstLineChars="0"/>
              <w:rPr>
                <w:rFonts w:cs="宋体"/>
                <w:color w:val="FF0000"/>
                <w:kern w:val="2"/>
                <w:szCs w:val="24"/>
                <w:highlight w:val="none"/>
              </w:rPr>
            </w:pPr>
            <w:r>
              <w:rPr>
                <w:rFonts w:hint="eastAsia" w:cs="宋体"/>
                <w:color w:val="FF0000"/>
                <w:kern w:val="2"/>
                <w:szCs w:val="24"/>
                <w:highlight w:val="none"/>
              </w:rPr>
              <w:t>③转入的开户银行及账号：</w:t>
            </w:r>
          </w:p>
          <w:p w14:paraId="76D79D20">
            <w:pPr>
              <w:snapToGrid w:val="0"/>
              <w:ind w:firstLine="0" w:firstLineChars="0"/>
              <w:rPr>
                <w:rFonts w:cs="宋体"/>
                <w:color w:val="FF0000"/>
                <w:kern w:val="2"/>
                <w:szCs w:val="24"/>
                <w:highlight w:val="none"/>
              </w:rPr>
            </w:pPr>
            <w:r>
              <w:rPr>
                <w:rFonts w:hint="eastAsia" w:cs="宋体"/>
                <w:color w:val="FF0000"/>
                <w:kern w:val="2"/>
                <w:szCs w:val="24"/>
                <w:highlight w:val="none"/>
              </w:rPr>
              <w:t>开户银行：广发银行股份有限公司合肥肥西支行</w:t>
            </w:r>
          </w:p>
          <w:p w14:paraId="12EF060D">
            <w:pPr>
              <w:snapToGrid w:val="0"/>
              <w:ind w:firstLine="0" w:firstLineChars="0"/>
              <w:rPr>
                <w:rFonts w:cs="宋体"/>
                <w:color w:val="FF0000"/>
                <w:kern w:val="2"/>
                <w:szCs w:val="24"/>
                <w:highlight w:val="none"/>
              </w:rPr>
            </w:pPr>
            <w:r>
              <w:rPr>
                <w:rFonts w:hint="eastAsia" w:cs="宋体"/>
                <w:color w:val="FF0000"/>
                <w:kern w:val="2"/>
                <w:szCs w:val="24"/>
                <w:highlight w:val="none"/>
              </w:rPr>
              <w:t>开户名：肥西县公共资源交易有限责任公司</w:t>
            </w:r>
          </w:p>
          <w:p w14:paraId="5FF0058F">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FF0000"/>
                <w:kern w:val="2"/>
                <w:szCs w:val="24"/>
                <w:highlight w:val="none"/>
              </w:rPr>
              <w:t>账号：6232594999000548097</w:t>
            </w:r>
            <w:bookmarkStart w:id="28" w:name="_GoBack"/>
            <w:bookmarkEnd w:id="28"/>
          </w:p>
          <w:p w14:paraId="298D891C">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注意事项：</w:t>
            </w:r>
          </w:p>
          <w:p w14:paraId="3EA4BECE">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（1）电子交易服务费用采用虚拟账号，项目磋商失败后，电子交易服务费用交纳账号将会发生变化，请供应商参与后续磋商时，注意勿将电子交易服务费用错交至其他项目账号或前次公告账号。</w:t>
            </w:r>
          </w:p>
          <w:p w14:paraId="3ACD46E9">
            <w:pPr>
              <w:snapToGrid w:val="0"/>
              <w:ind w:firstLine="0" w:firstLineChars="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（3）凡转账到其他项目账户或本项目前次公告账户的，电子交易服务费用无效。</w:t>
            </w:r>
          </w:p>
          <w:p w14:paraId="370DF41A">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（4）供应商参与本项目多个包别磋商的（如分多包别的），应该按包别分别递交电子交易服务费用。未递交电子交易服务费用的包别，其响应无效。</w:t>
            </w:r>
          </w:p>
        </w:tc>
      </w:tr>
      <w:tr w14:paraId="62A3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2C0A1D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9</w:t>
            </w:r>
          </w:p>
        </w:tc>
        <w:tc>
          <w:tcPr>
            <w:tcW w:w="782" w:type="pct"/>
            <w:vAlign w:val="center"/>
          </w:tcPr>
          <w:p w14:paraId="46A4E2BC">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不予退还磋商保证金的情形</w:t>
            </w:r>
          </w:p>
        </w:tc>
        <w:tc>
          <w:tcPr>
            <w:tcW w:w="3623" w:type="pct"/>
            <w:vAlign w:val="center"/>
          </w:tcPr>
          <w:p w14:paraId="11840ADB">
            <w:pPr>
              <w:snapToGrid w:val="0"/>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w:t>
            </w:r>
          </w:p>
        </w:tc>
      </w:tr>
      <w:tr w14:paraId="4BFB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EBA470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w:t>
            </w:r>
          </w:p>
        </w:tc>
        <w:tc>
          <w:tcPr>
            <w:tcW w:w="782" w:type="pct"/>
            <w:vAlign w:val="center"/>
          </w:tcPr>
          <w:p w14:paraId="66194D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磋商现场提交的其他材料要求</w:t>
            </w:r>
          </w:p>
        </w:tc>
        <w:tc>
          <w:tcPr>
            <w:tcW w:w="3623" w:type="pct"/>
            <w:vAlign w:val="center"/>
          </w:tcPr>
          <w:p w14:paraId="3C7CA537">
            <w:pPr>
              <w:pStyle w:val="2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w:t>
            </w:r>
          </w:p>
        </w:tc>
      </w:tr>
      <w:tr w14:paraId="518E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08244E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11</w:t>
            </w:r>
          </w:p>
        </w:tc>
        <w:tc>
          <w:tcPr>
            <w:tcW w:w="782" w:type="pct"/>
            <w:vAlign w:val="center"/>
          </w:tcPr>
          <w:p w14:paraId="2D42D3B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响应文件解密时间</w:t>
            </w:r>
          </w:p>
        </w:tc>
        <w:tc>
          <w:tcPr>
            <w:tcW w:w="3623" w:type="pct"/>
            <w:vAlign w:val="center"/>
          </w:tcPr>
          <w:p w14:paraId="58F7CB88">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响应文件提交截止时间后30分钟内（以系统解密倒计时为准）</w:t>
            </w:r>
          </w:p>
        </w:tc>
      </w:tr>
      <w:tr w14:paraId="50B59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restart"/>
            <w:vAlign w:val="center"/>
          </w:tcPr>
          <w:p w14:paraId="0CD6B998">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12</w:t>
            </w:r>
          </w:p>
        </w:tc>
        <w:tc>
          <w:tcPr>
            <w:tcW w:w="782" w:type="pct"/>
            <w:vMerge w:val="restart"/>
            <w:vAlign w:val="center"/>
          </w:tcPr>
          <w:p w14:paraId="546B044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确定成交候选人和成交人</w:t>
            </w:r>
          </w:p>
        </w:tc>
        <w:tc>
          <w:tcPr>
            <w:tcW w:w="3623" w:type="pct"/>
            <w:vAlign w:val="center"/>
          </w:tcPr>
          <w:p w14:paraId="25E15C17">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评审委员会推荐成交候选人的数量：</w:t>
            </w:r>
            <w:r>
              <w:rPr>
                <w:rFonts w:hint="eastAsia"/>
                <w:color w:val="000000" w:themeColor="text1"/>
                <w:highlight w:val="none"/>
                <w:u w:val="single"/>
                <w14:textFill>
                  <w14:solidFill>
                    <w14:schemeClr w14:val="tx1"/>
                  </w14:solidFill>
                </w14:textFill>
              </w:rPr>
              <w:t>1家</w:t>
            </w:r>
          </w:p>
        </w:tc>
      </w:tr>
      <w:tr w14:paraId="40CE1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Merge w:val="continue"/>
            <w:vAlign w:val="center"/>
          </w:tcPr>
          <w:p w14:paraId="212599EF">
            <w:pPr>
              <w:pStyle w:val="21"/>
              <w:ind w:firstLine="0" w:firstLineChars="0"/>
              <w:rPr>
                <w:color w:val="000000" w:themeColor="text1"/>
                <w:highlight w:val="none"/>
                <w14:textFill>
                  <w14:solidFill>
                    <w14:schemeClr w14:val="tx1"/>
                  </w14:solidFill>
                </w14:textFill>
              </w:rPr>
            </w:pPr>
          </w:p>
        </w:tc>
        <w:tc>
          <w:tcPr>
            <w:tcW w:w="782" w:type="pct"/>
            <w:vMerge w:val="continue"/>
            <w:vAlign w:val="center"/>
          </w:tcPr>
          <w:p w14:paraId="5392CC8B">
            <w:pPr>
              <w:pStyle w:val="21"/>
              <w:ind w:firstLine="0" w:firstLineChars="0"/>
              <w:rPr>
                <w:color w:val="000000" w:themeColor="text1"/>
                <w:highlight w:val="none"/>
                <w14:textFill>
                  <w14:solidFill>
                    <w14:schemeClr w14:val="tx1"/>
                  </w14:solidFill>
                </w14:textFill>
              </w:rPr>
            </w:pPr>
          </w:p>
        </w:tc>
        <w:tc>
          <w:tcPr>
            <w:tcW w:w="3623" w:type="pct"/>
            <w:vAlign w:val="center"/>
          </w:tcPr>
          <w:p w14:paraId="5F8A415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确定成交人：</w:t>
            </w:r>
          </w:p>
          <w:p w14:paraId="576A7AB5">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52"/>
            </w:r>
            <w:r>
              <w:rPr>
                <w:rFonts w:hint="eastAsia"/>
                <w:color w:val="000000" w:themeColor="text1"/>
                <w:highlight w:val="none"/>
                <w14:textFill>
                  <w14:solidFill>
                    <w14:schemeClr w14:val="tx1"/>
                  </w14:solidFill>
                </w14:textFill>
              </w:rPr>
              <w:t xml:space="preserve">业主单位委托评审委员会确定     </w:t>
            </w:r>
          </w:p>
          <w:p w14:paraId="52FE0290">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2" w:char="00A3"/>
            </w:r>
            <w:r>
              <w:rPr>
                <w:rFonts w:hint="eastAsia"/>
                <w:color w:val="000000" w:themeColor="text1"/>
                <w:highlight w:val="none"/>
                <w14:textFill>
                  <w14:solidFill>
                    <w14:schemeClr w14:val="tx1"/>
                  </w14:solidFill>
                </w14:textFill>
              </w:rPr>
              <w:t>业主单位确定</w:t>
            </w:r>
          </w:p>
        </w:tc>
      </w:tr>
      <w:tr w14:paraId="00D27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0D77745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p>
        </w:tc>
        <w:tc>
          <w:tcPr>
            <w:tcW w:w="782" w:type="pct"/>
            <w:vAlign w:val="center"/>
          </w:tcPr>
          <w:p w14:paraId="2429EF04">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成交通知书发出的形式</w:t>
            </w:r>
          </w:p>
        </w:tc>
        <w:tc>
          <w:tcPr>
            <w:tcW w:w="3623" w:type="pct"/>
            <w:vAlign w:val="center"/>
          </w:tcPr>
          <w:p w14:paraId="08DEA445">
            <w:pPr>
              <w:pStyle w:val="20"/>
              <w:rPr>
                <w:b/>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 xml:space="preserve">书面     </w:t>
            </w:r>
            <w:r>
              <w:rPr>
                <w:rFonts w:hint="eastAsia"/>
                <w:color w:val="000000" w:themeColor="text1"/>
                <w:highlight w:val="none"/>
                <w14:textFill>
                  <w14:solidFill>
                    <w14:schemeClr w14:val="tx1"/>
                  </w14:solidFill>
                </w14:textFill>
              </w:rPr>
              <w:sym w:font="Wingdings" w:char="00A8"/>
            </w:r>
            <w:r>
              <w:rPr>
                <w:rFonts w:hint="eastAsia"/>
                <w:color w:val="000000" w:themeColor="text1"/>
                <w:highlight w:val="none"/>
                <w14:textFill>
                  <w14:solidFill>
                    <w14:schemeClr w14:val="tx1"/>
                  </w14:solidFill>
                </w14:textFill>
              </w:rPr>
              <w:t>数据电文</w:t>
            </w:r>
          </w:p>
        </w:tc>
      </w:tr>
      <w:tr w14:paraId="7B54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3A0F7C6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14</w:t>
            </w:r>
          </w:p>
        </w:tc>
        <w:tc>
          <w:tcPr>
            <w:tcW w:w="782" w:type="pct"/>
            <w:vAlign w:val="center"/>
          </w:tcPr>
          <w:p w14:paraId="475BE8D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告知磋商结果的</w:t>
            </w:r>
          </w:p>
          <w:p w14:paraId="59DC1D86">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形式</w:t>
            </w:r>
          </w:p>
        </w:tc>
        <w:tc>
          <w:tcPr>
            <w:tcW w:w="3623" w:type="pct"/>
            <w:vAlign w:val="center"/>
          </w:tcPr>
          <w:p w14:paraId="5F1C652B">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sym w:font="Wingdings" w:char="F0FE"/>
            </w:r>
            <w:r>
              <w:rPr>
                <w:rFonts w:hint="eastAsia"/>
                <w:color w:val="000000" w:themeColor="text1"/>
                <w:highlight w:val="none"/>
                <w14:textFill>
                  <w14:solidFill>
                    <w14:schemeClr w14:val="tx1"/>
                  </w14:solidFill>
                </w14:textFill>
              </w:rPr>
              <w:t>供应商自行登录系统查看</w:t>
            </w:r>
          </w:p>
          <w:p w14:paraId="53FD2601">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□磋商现场告知</w:t>
            </w:r>
          </w:p>
        </w:tc>
      </w:tr>
      <w:tr w14:paraId="11CAB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1358FB87">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15</w:t>
            </w:r>
          </w:p>
        </w:tc>
        <w:tc>
          <w:tcPr>
            <w:tcW w:w="782" w:type="pct"/>
            <w:vAlign w:val="center"/>
          </w:tcPr>
          <w:p w14:paraId="109FF109">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履约</w:t>
            </w:r>
          </w:p>
          <w:p w14:paraId="78B8324B">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保证金</w:t>
            </w:r>
          </w:p>
        </w:tc>
        <w:tc>
          <w:tcPr>
            <w:tcW w:w="3623" w:type="pct"/>
          </w:tcPr>
          <w:p w14:paraId="097F626E">
            <w:pPr>
              <w:snapToGrid w:val="0"/>
              <w:ind w:firstLine="0" w:firstLineChars="0"/>
              <w:rPr>
                <w:rFonts w:cs="宋体"/>
                <w:snapToGrid w:val="0"/>
                <w:color w:val="000000" w:themeColor="text1"/>
                <w:szCs w:val="24"/>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 xml:space="preserve">收取 </w:t>
            </w:r>
            <w:r>
              <w:rPr>
                <w:rFonts w:hint="eastAsia" w:cs="宋体"/>
                <w:color w:val="000000" w:themeColor="text1"/>
                <w:szCs w:val="24"/>
                <w:highlight w:val="none"/>
                <w14:textFill>
                  <w14:solidFill>
                    <w14:schemeClr w14:val="tx1"/>
                  </w14:solidFill>
                </w14:textFill>
              </w:rPr>
              <w:t xml:space="preserve">    </w:t>
            </w:r>
            <w:r>
              <w:rPr>
                <w:rFonts w:hint="eastAsia" w:cs="宋体"/>
                <w:b/>
                <w:bCs/>
                <w:color w:val="000000" w:themeColor="text1"/>
                <w:szCs w:val="24"/>
                <w:highlight w:val="none"/>
                <w:lang w:eastAsia="zh-CN"/>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不收取</w:t>
            </w:r>
          </w:p>
          <w:p w14:paraId="4F67FAE1">
            <w:pPr>
              <w:snapToGrid w:val="0"/>
              <w:ind w:firstLine="0" w:firstLineChars="0"/>
              <w:rPr>
                <w:rFonts w:cs="宋体"/>
                <w:bCs/>
                <w:snapToGrid w:val="0"/>
                <w:color w:val="000000" w:themeColor="text1"/>
                <w:szCs w:val="24"/>
                <w:highlight w:val="none"/>
                <w14:textFill>
                  <w14:solidFill>
                    <w14:schemeClr w14:val="tx1"/>
                  </w14:solidFill>
                </w14:textFill>
              </w:rPr>
            </w:pPr>
            <w:r>
              <w:rPr>
                <w:rFonts w:hint="eastAsia" w:cs="宋体"/>
                <w:snapToGrid w:val="0"/>
                <w:color w:val="000000" w:themeColor="text1"/>
                <w:szCs w:val="24"/>
                <w:highlight w:val="none"/>
                <w14:textFill>
                  <w14:solidFill>
                    <w14:schemeClr w14:val="tx1"/>
                  </w14:solidFill>
                </w14:textFill>
              </w:rPr>
              <w:t>（1）金额：</w:t>
            </w:r>
            <w:r>
              <w:rPr>
                <w:rFonts w:hint="eastAsia" w:cs="宋体"/>
                <w:color w:val="000000" w:themeColor="text1"/>
                <w:szCs w:val="24"/>
                <w:highlight w:val="none"/>
                <w14:textFill>
                  <w14:solidFill>
                    <w14:schemeClr w14:val="tx1"/>
                  </w14:solidFill>
                </w14:textFill>
              </w:rPr>
              <w:sym w:font="Wingdings" w:char="00A8"/>
            </w:r>
            <w:r>
              <w:rPr>
                <w:rFonts w:hint="eastAsia" w:cs="宋体"/>
                <w:snapToGrid w:val="0"/>
                <w:color w:val="000000" w:themeColor="text1"/>
                <w:szCs w:val="24"/>
                <w:highlight w:val="none"/>
                <w14:textFill>
                  <w14:solidFill>
                    <w14:schemeClr w14:val="tx1"/>
                  </w14:solidFill>
                </w14:textFill>
              </w:rPr>
              <w:t>成交金额的</w:t>
            </w:r>
            <w:r>
              <w:rPr>
                <w:rFonts w:hint="eastAsia" w:cs="宋体"/>
                <w:snapToGrid w:val="0"/>
                <w:color w:val="000000" w:themeColor="text1"/>
                <w:szCs w:val="24"/>
                <w:highlight w:val="none"/>
                <w:u w:val="single"/>
                <w14:textFill>
                  <w14:solidFill>
                    <w14:schemeClr w14:val="tx1"/>
                  </w14:solidFill>
                </w14:textFill>
              </w:rPr>
              <w:t xml:space="preserve">  </w:t>
            </w:r>
            <w:r>
              <w:rPr>
                <w:rFonts w:hint="eastAsia" w:cs="宋体"/>
                <w:snapToGrid w:val="0"/>
                <w:color w:val="000000" w:themeColor="text1"/>
                <w:szCs w:val="24"/>
                <w:highlight w:val="none"/>
                <w14:textFill>
                  <w14:solidFill>
                    <w14:schemeClr w14:val="tx1"/>
                  </w14:solidFill>
                </w14:textFill>
              </w:rPr>
              <w:t xml:space="preserve">%  </w:t>
            </w:r>
            <w:r>
              <w:rPr>
                <w:rFonts w:hint="eastAsia" w:cs="宋体"/>
                <w:b w:val="0"/>
                <w:bCs w:val="0"/>
                <w:snapToGrid w:val="0"/>
                <w:color w:val="000000" w:themeColor="text1"/>
                <w:szCs w:val="24"/>
                <w:highlight w:val="none"/>
                <w14:textFill>
                  <w14:solidFill>
                    <w14:schemeClr w14:val="tx1"/>
                  </w14:solidFill>
                </w14:textFill>
              </w:rPr>
              <w:t xml:space="preserve"> </w:t>
            </w:r>
            <w:r>
              <w:rPr>
                <w:rFonts w:hint="eastAsia"/>
                <w:b w:val="0"/>
                <w:bCs w:val="0"/>
                <w:color w:val="000000" w:themeColor="text1"/>
                <w:highlight w:val="none"/>
                <w14:textFill>
                  <w14:solidFill>
                    <w14:schemeClr w14:val="tx1"/>
                  </w14:solidFill>
                </w14:textFill>
              </w:rPr>
              <w:sym w:font="Wingdings" w:char="00A8"/>
            </w:r>
            <w:r>
              <w:rPr>
                <w:rFonts w:hint="eastAsia" w:cs="宋体"/>
                <w:b w:val="0"/>
                <w:bCs w:val="0"/>
                <w:color w:val="000000" w:themeColor="text1"/>
                <w:szCs w:val="24"/>
                <w:highlight w:val="none"/>
                <w14:textFill>
                  <w14:solidFill>
                    <w14:schemeClr w14:val="tx1"/>
                  </w14:solidFill>
                </w14:textFill>
              </w:rPr>
              <w:t>定额收取</w:t>
            </w:r>
            <w:r>
              <w:rPr>
                <w:rFonts w:hint="eastAsia" w:cs="宋体"/>
                <w:b w:val="0"/>
                <w:bCs w:val="0"/>
                <w:color w:val="000000" w:themeColor="text1"/>
                <w:szCs w:val="24"/>
                <w:highlight w:val="none"/>
                <w:u w:val="single"/>
                <w:lang w:val="en-US" w:eastAsia="zh-CN"/>
                <w14:textFill>
                  <w14:solidFill>
                    <w14:schemeClr w14:val="tx1"/>
                  </w14:solidFill>
                </w14:textFill>
              </w:rPr>
              <w:t xml:space="preserve">      </w:t>
            </w:r>
            <w:r>
              <w:rPr>
                <w:rFonts w:hint="eastAsia" w:cs="宋体"/>
                <w:b w:val="0"/>
                <w:bCs w:val="0"/>
                <w:color w:val="000000" w:themeColor="text1"/>
                <w:szCs w:val="24"/>
                <w:highlight w:val="none"/>
                <w14:textFill>
                  <w14:solidFill>
                    <w14:schemeClr w14:val="tx1"/>
                  </w14:solidFill>
                </w14:textFill>
              </w:rPr>
              <w:t>元</w:t>
            </w:r>
          </w:p>
          <w:p w14:paraId="64DC2EC9">
            <w:pPr>
              <w:snapToGrid w:val="0"/>
              <w:ind w:firstLine="0" w:firstLineChars="0"/>
              <w:rPr>
                <w:rFonts w:cs="宋体"/>
                <w:color w:val="000000" w:themeColor="text1"/>
                <w:szCs w:val="24"/>
                <w:highlight w:val="none"/>
                <w14:textFill>
                  <w14:solidFill>
                    <w14:schemeClr w14:val="tx1"/>
                  </w14:solidFill>
                </w14:textFill>
              </w:rPr>
            </w:pPr>
            <w:r>
              <w:rPr>
                <w:rFonts w:hint="eastAsia" w:cs="宋体"/>
                <w:bCs/>
                <w:snapToGrid w:val="0"/>
                <w:color w:val="000000" w:themeColor="text1"/>
                <w:szCs w:val="24"/>
                <w:highlight w:val="none"/>
                <w14:textFill>
                  <w14:solidFill>
                    <w14:schemeClr w14:val="tx1"/>
                  </w14:solidFill>
                </w14:textFill>
              </w:rPr>
              <w:t>（2）缴纳形式</w:t>
            </w:r>
            <w:r>
              <w:rPr>
                <w:rFonts w:hint="eastAsia" w:cs="宋体"/>
                <w:color w:val="000000" w:themeColor="text1"/>
                <w:szCs w:val="24"/>
                <w:highlight w:val="none"/>
                <w14:textFill>
                  <w14:solidFill>
                    <w14:schemeClr w14:val="tx1"/>
                  </w14:solidFill>
                </w14:textFill>
              </w:rPr>
              <w:t>：</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银行转账  </w:t>
            </w:r>
            <w:r>
              <w:rPr>
                <w:rFonts w:hint="eastAsia"/>
                <w:color w:val="000000" w:themeColor="text1"/>
                <w:highlight w:val="none"/>
                <w14:textFill>
                  <w14:solidFill>
                    <w14:schemeClr w14:val="tx1"/>
                  </w14:solidFill>
                </w14:textFill>
              </w:rPr>
              <w:sym w:font="Wingdings" w:char="F0FE"/>
            </w:r>
            <w:r>
              <w:rPr>
                <w:rFonts w:hint="eastAsia" w:cs="宋体"/>
                <w:color w:val="000000" w:themeColor="text1"/>
                <w:szCs w:val="24"/>
                <w:highlight w:val="none"/>
                <w14:textFill>
                  <w14:solidFill>
                    <w14:schemeClr w14:val="tx1"/>
                  </w14:solidFill>
                </w14:textFill>
              </w:rPr>
              <w:t xml:space="preserve">银行电汇 </w:t>
            </w:r>
            <w:r>
              <w:rPr>
                <w:color w:val="000000" w:themeColor="text1"/>
                <w:szCs w:val="24"/>
                <w:highlight w:val="none"/>
                <w14:textFill>
                  <w14:solidFill>
                    <w14:schemeClr w14:val="tx1"/>
                  </w14:solidFill>
                </w14:textFill>
              </w:rPr>
              <w:sym w:font="Wingdings" w:char="00FE"/>
            </w:r>
            <w:r>
              <w:rPr>
                <w:rFonts w:hint="eastAsia" w:cs="宋体"/>
                <w:color w:val="000000" w:themeColor="text1"/>
                <w:szCs w:val="24"/>
                <w:highlight w:val="none"/>
                <w14:textFill>
                  <w14:solidFill>
                    <w14:schemeClr w14:val="tx1"/>
                  </w14:solidFill>
                </w14:textFill>
              </w:rPr>
              <w:t>现金保证</w:t>
            </w:r>
          </w:p>
          <w:p w14:paraId="111591CB">
            <w:pPr>
              <w:snapToGrid w:val="0"/>
              <w:ind w:firstLine="0" w:firstLineChars="0"/>
              <w:rPr>
                <w:rFonts w:cs="宋体"/>
                <w:b/>
                <w:bCs/>
                <w:snapToGrid w:val="0"/>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具体要求：合同签订前按规定提交履约保证金，若成交人在规定时限内未提交保证金的，业主单位将书面通知成交人，5日内不能办理的，业主单位将有权取消其成交资格,并没收其磋商保证金。在此情况下业主单位可将该项目授予排名第二的供应商或重新磋商。</w:t>
            </w:r>
          </w:p>
          <w:p w14:paraId="29302D40">
            <w:pPr>
              <w:pStyle w:val="20"/>
              <w:rPr>
                <w:rFonts w:hint="eastAsia" w:eastAsia="宋体"/>
                <w:b/>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（4）收取单位：</w:t>
            </w:r>
            <w:r>
              <w:rPr>
                <w:rFonts w:hint="eastAsia"/>
                <w:color w:val="000000" w:themeColor="text1"/>
                <w:highlight w:val="none"/>
                <w:lang w:eastAsia="zh-CN"/>
                <w14:textFill>
                  <w14:solidFill>
                    <w14:schemeClr w14:val="tx1"/>
                  </w14:solidFill>
                </w14:textFill>
              </w:rPr>
              <w:t xml:space="preserve">肥西县乡村振兴投资集团有限公司 </w:t>
            </w:r>
          </w:p>
          <w:p w14:paraId="72EC57BD">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（5）缴纳时间：合同签订前</w:t>
            </w:r>
          </w:p>
          <w:p w14:paraId="23419716">
            <w:pPr>
              <w:pStyle w:val="20"/>
              <w:rPr>
                <w:b/>
                <w:color w:val="000000" w:themeColor="text1"/>
                <w:highlight w:val="none"/>
                <w:u w:val="single"/>
                <w14:textFill>
                  <w14:solidFill>
                    <w14:schemeClr w14:val="tx1"/>
                  </w14:solidFill>
                </w14:textFill>
              </w:rPr>
            </w:pPr>
            <w:r>
              <w:rPr>
                <w:rFonts w:hint="eastAsia"/>
                <w:color w:val="000000" w:themeColor="text1"/>
                <w:highlight w:val="none"/>
                <w14:textFill>
                  <w14:solidFill>
                    <w14:schemeClr w14:val="tx1"/>
                  </w14:solidFill>
                </w14:textFill>
              </w:rPr>
              <w:t>（6）退还时间：</w:t>
            </w:r>
            <w:r>
              <w:rPr>
                <w:rFonts w:hint="eastAsia"/>
                <w:color w:val="000000" w:themeColor="text1"/>
                <w:highlight w:val="none"/>
                <w:lang w:val="en-US" w:eastAsia="zh-CN"/>
                <w14:textFill>
                  <w14:solidFill>
                    <w14:schemeClr w14:val="tx1"/>
                  </w14:solidFill>
                </w14:textFill>
              </w:rPr>
              <w:t>合同履约完成</w:t>
            </w:r>
            <w:r>
              <w:rPr>
                <w:rFonts w:hint="eastAsia"/>
                <w:color w:val="000000" w:themeColor="text1"/>
                <w:highlight w:val="none"/>
                <w14:textFill>
                  <w14:solidFill>
                    <w14:schemeClr w14:val="tx1"/>
                  </w14:solidFill>
                </w14:textFill>
              </w:rPr>
              <w:t xml:space="preserve">，一个月内退还。   </w:t>
            </w:r>
          </w:p>
        </w:tc>
      </w:tr>
      <w:tr w14:paraId="6C2DA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6931F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16</w:t>
            </w:r>
          </w:p>
        </w:tc>
        <w:tc>
          <w:tcPr>
            <w:tcW w:w="782" w:type="pct"/>
            <w:vAlign w:val="center"/>
          </w:tcPr>
          <w:p w14:paraId="184675EC">
            <w:pPr>
              <w:pStyle w:val="21"/>
              <w:ind w:firstLine="0" w:firstLineChars="0"/>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代理</w:t>
            </w:r>
          </w:p>
          <w:p w14:paraId="623113B3">
            <w:pPr>
              <w:pStyle w:val="21"/>
              <w:ind w:firstLine="0" w:firstLineChars="0"/>
              <w:rPr>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服务费</w:t>
            </w:r>
          </w:p>
        </w:tc>
        <w:tc>
          <w:tcPr>
            <w:tcW w:w="3623" w:type="pct"/>
            <w:vAlign w:val="center"/>
          </w:tcPr>
          <w:p w14:paraId="4010E922">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（1）金额：</w:t>
            </w:r>
          </w:p>
          <w:p w14:paraId="47C7CA50">
            <w:pPr>
              <w:pStyle w:val="20"/>
              <w:rPr>
                <w:b/>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定额收取：人民币              元</w:t>
            </w:r>
          </w:p>
          <w:p w14:paraId="75390A4C">
            <w:pPr>
              <w:pStyle w:val="20"/>
              <w:rPr>
                <w:color w:val="000000" w:themeColor="text1"/>
                <w:highlight w:val="none"/>
                <w14:textFill>
                  <w14:solidFill>
                    <w14:schemeClr w14:val="tx1"/>
                  </w14:solidFill>
                </w14:textFill>
              </w:rPr>
            </w:pPr>
            <w:r>
              <w:rPr>
                <w:rFonts w:ascii="Segoe UI Symbol" w:hAnsi="Segoe UI Symbol" w:cs="Segoe UI Symbol"/>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按下列标准收取：详见附件1《代理服务费收费标准》，不足4000元按4000元收取。</w:t>
            </w:r>
          </w:p>
          <w:p w14:paraId="7CBA8C4A">
            <w:pPr>
              <w:pStyle w:val="20"/>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（2）支付方式：</w:t>
            </w:r>
            <w:r>
              <w:rPr>
                <w:rFonts w:ascii="Segoe UI Symbol" w:hAnsi="Segoe UI Symbol" w:cs="Segoe UI Symbol"/>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转账/电汇</w:t>
            </w:r>
          </w:p>
          <w:p w14:paraId="00B24318">
            <w:pPr>
              <w:ind w:firstLine="0" w:firstLineChars="0"/>
              <w:rPr>
                <w:rFonts w:cs="宋体"/>
                <w:color w:val="000000" w:themeColor="text1"/>
                <w:szCs w:val="24"/>
                <w:highlight w:val="none"/>
                <w14:textFill>
                  <w14:solidFill>
                    <w14:schemeClr w14:val="tx1"/>
                  </w14:solidFill>
                </w14:textFill>
              </w:rPr>
            </w:pPr>
            <w:r>
              <w:rPr>
                <w:rFonts w:hint="eastAsia" w:cs="楷体"/>
                <w:bCs/>
                <w:snapToGrid w:val="0"/>
                <w:color w:val="000000" w:themeColor="text1"/>
                <w:szCs w:val="24"/>
                <w:highlight w:val="none"/>
                <w14:textFill>
                  <w14:solidFill>
                    <w14:schemeClr w14:val="tx1"/>
                  </w14:solidFill>
                </w14:textFill>
              </w:rPr>
              <w:t>备注：以上相关费用，供应商在报价单中不单列，包含在报价中，业主单位不再单独计量支付。</w:t>
            </w:r>
          </w:p>
        </w:tc>
      </w:tr>
      <w:tr w14:paraId="26F0C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53E1819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p>
        </w:tc>
        <w:tc>
          <w:tcPr>
            <w:tcW w:w="782" w:type="pct"/>
            <w:vAlign w:val="center"/>
          </w:tcPr>
          <w:p w14:paraId="669E79C0">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补充约定</w:t>
            </w:r>
          </w:p>
        </w:tc>
        <w:tc>
          <w:tcPr>
            <w:tcW w:w="3623" w:type="pct"/>
            <w:vAlign w:val="center"/>
          </w:tcPr>
          <w:p w14:paraId="56FE9DFC">
            <w:pPr>
              <w:numPr>
                <w:ilvl w:val="255"/>
                <w:numId w:val="0"/>
              </w:numPr>
              <w:adjustRightInd w:val="0"/>
              <w:snapToGrid w:val="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（1）通过初审的供应商为3家及以上的，按磋商文件约定进行评审并确定结果；</w:t>
            </w:r>
          </w:p>
          <w:p w14:paraId="7BCD05E0">
            <w:pPr>
              <w:adjustRightInd w:val="0"/>
              <w:snapToGrid w:val="0"/>
              <w:ind w:firstLine="0" w:firstLineChars="0"/>
              <w:rPr>
                <w:color w:val="000000" w:themeColor="text1"/>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（2）通过初审的供应商不足3家的，项目磋商失败。</w:t>
            </w:r>
          </w:p>
        </w:tc>
      </w:tr>
      <w:tr w14:paraId="0C189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B4F975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18</w:t>
            </w:r>
          </w:p>
        </w:tc>
        <w:tc>
          <w:tcPr>
            <w:tcW w:w="782" w:type="pct"/>
            <w:vAlign w:val="center"/>
          </w:tcPr>
          <w:p w14:paraId="0084308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报价须知</w:t>
            </w:r>
          </w:p>
        </w:tc>
        <w:tc>
          <w:tcPr>
            <w:tcW w:w="3623" w:type="pct"/>
            <w:vAlign w:val="center"/>
          </w:tcPr>
          <w:p w14:paraId="4A546B8A">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kern w:val="2"/>
                <w:szCs w:val="24"/>
                <w:highlight w:val="none"/>
                <w14:textFill>
                  <w14:solidFill>
                    <w14:schemeClr w14:val="tx1"/>
                  </w14:solidFill>
                </w14:textFill>
              </w:rPr>
              <w:t>供应商最终报价不得高于磋商文件（公告）列明的项目预算、最高限价，否则其响应文件将被否决。</w:t>
            </w:r>
          </w:p>
        </w:tc>
      </w:tr>
      <w:tr w14:paraId="3DCB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7E5323D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19</w:t>
            </w:r>
          </w:p>
        </w:tc>
        <w:tc>
          <w:tcPr>
            <w:tcW w:w="782" w:type="pct"/>
            <w:vAlign w:val="center"/>
          </w:tcPr>
          <w:p w14:paraId="7707668D">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重要说明</w:t>
            </w:r>
          </w:p>
        </w:tc>
        <w:tc>
          <w:tcPr>
            <w:tcW w:w="3623" w:type="pct"/>
            <w:vAlign w:val="center"/>
          </w:tcPr>
          <w:p w14:paraId="2DCF249B">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（1）成交人应在规定期限内提交履约保证金并与业主单位签订合同，若成交人未能在规定期限内提交履约保证金或签订合同，业主单位有权取消成交人成交资格；</w:t>
            </w:r>
          </w:p>
          <w:p w14:paraId="78D1A6BE">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（2）合同签订后，成交人存在规定时间内不组织人员进场开工，不履行合同义务等情况，业主单位有权解除合同，并追究违约责任；</w:t>
            </w:r>
          </w:p>
          <w:p w14:paraId="3A8999DD">
            <w:pPr>
              <w:ind w:firstLine="0" w:firstLineChars="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（3）成交人在成交项目发生投诉、信访举报案件、履约存在争议时，拒绝协助配合有关部门调查案件的，业主单位可以取消其成交资格或解除合同，并追究其违约责任。</w:t>
            </w:r>
          </w:p>
          <w:p w14:paraId="1BF249E9">
            <w:pPr>
              <w:pStyle w:val="2"/>
              <w:spacing w:before="0" w:after="0" w:line="360" w:lineRule="auto"/>
              <w:ind w:firstLine="0" w:firstLineChars="0"/>
              <w:rPr>
                <w:rFonts w:cs="宋体"/>
                <w:b w:val="0"/>
                <w:bCs w:val="0"/>
                <w:color w:val="000000" w:themeColor="text1"/>
                <w:sz w:val="24"/>
                <w:szCs w:val="24"/>
                <w:highlight w:val="none"/>
                <w14:textFill>
                  <w14:solidFill>
                    <w14:schemeClr w14:val="tx1"/>
                  </w14:solidFill>
                </w14:textFill>
              </w:rPr>
            </w:pPr>
            <w:r>
              <w:rPr>
                <w:rFonts w:hint="eastAsia" w:cs="宋体"/>
                <w:b w:val="0"/>
                <w:bCs w:val="0"/>
                <w:color w:val="000000" w:themeColor="text1"/>
                <w:sz w:val="24"/>
                <w:szCs w:val="24"/>
                <w:highlight w:val="none"/>
                <w14:textFill>
                  <w14:solidFill>
                    <w14:schemeClr w14:val="tx1"/>
                  </w14:solidFill>
                </w14:textFill>
              </w:rPr>
              <w:t>（4）供应商参与磋商，应当诚信守法、公平竞争。如有以提供虚假材料（包括但不限于虚假技术参数响应、虚假业绩、虚假证书、虚假检测报告等）、串通参与磋商、隐瞒失信信息等谋取成交的行为，一经发现，业主单位可以取消其成交资格或解除合同，并追究其违约责任。</w:t>
            </w:r>
          </w:p>
        </w:tc>
      </w:tr>
      <w:tr w14:paraId="063C8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vAlign w:val="center"/>
          </w:tcPr>
          <w:p w14:paraId="4720AE3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w:t>
            </w:r>
          </w:p>
        </w:tc>
        <w:tc>
          <w:tcPr>
            <w:tcW w:w="782" w:type="pct"/>
            <w:vAlign w:val="center"/>
          </w:tcPr>
          <w:p w14:paraId="68B2F601">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电子交易</w:t>
            </w:r>
          </w:p>
        </w:tc>
        <w:tc>
          <w:tcPr>
            <w:tcW w:w="3623" w:type="pct"/>
            <w:vAlign w:val="center"/>
          </w:tcPr>
          <w:p w14:paraId="130A5B77">
            <w:pPr>
              <w:keepNext w:val="0"/>
              <w:keepLines w:val="0"/>
              <w:pageBreakBefore w:val="0"/>
              <w:widowControl w:val="0"/>
              <w:kinsoku w:val="0"/>
              <w:wordWrap/>
              <w:overflowPunct/>
              <w:topLinePunct w:val="0"/>
              <w:autoSpaceDE w:val="0"/>
              <w:autoSpaceDN w:val="0"/>
              <w:bidi w:val="0"/>
              <w:adjustRightInd/>
              <w:snapToGrid w:val="0"/>
              <w:ind w:firstLine="0" w:firstLineChars="0"/>
              <w:jc w:val="left"/>
              <w:textAlignment w:val="auto"/>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本磋商项目实行全流程电子化交易，除磋商文件另有规定外，电子交易操作要求见附件《全流程电子招标采购具体要求》。</w:t>
            </w:r>
          </w:p>
        </w:tc>
      </w:tr>
      <w:tr w14:paraId="317C7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C55CB41">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21</w:t>
            </w:r>
          </w:p>
        </w:tc>
        <w:tc>
          <w:tcPr>
            <w:tcW w:w="782" w:type="pct"/>
            <w:shd w:val="clear" w:color="auto" w:fill="auto"/>
            <w:vAlign w:val="center"/>
          </w:tcPr>
          <w:p w14:paraId="7F0D0A0F">
            <w:pPr>
              <w:pStyle w:val="21"/>
              <w:ind w:firstLine="0" w:firstLineChars="0"/>
              <w:rPr>
                <w:rFonts w:hint="eastAsia"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解释权</w:t>
            </w:r>
          </w:p>
        </w:tc>
        <w:tc>
          <w:tcPr>
            <w:tcW w:w="3623" w:type="pct"/>
            <w:shd w:val="clear" w:color="auto" w:fill="auto"/>
            <w:vAlign w:val="center"/>
          </w:tcPr>
          <w:p w14:paraId="388F532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（1）构成本磋商文件的各个组成文件应互为解释，互为说明；</w:t>
            </w:r>
          </w:p>
          <w:p w14:paraId="5E1E7C66">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（2）同一组成文件中就同一事项的规定或约定不一致的，以编排顺序在后者为准；</w:t>
            </w:r>
          </w:p>
          <w:p w14:paraId="454C24E4">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（3）如有不明确或不一致，构成合同文件组成内容的，以合同文件约定内容为准，且以专用合同条款约定的合同文件优先顺序解释；</w:t>
            </w:r>
          </w:p>
          <w:p w14:paraId="2E39602C">
            <w:pPr>
              <w:ind w:firstLine="0" w:firstLineChars="0"/>
              <w:rPr>
                <w:rFonts w:cs="宋体"/>
                <w:bCs/>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（4）除磋商文件中有特别规定外，仅适用于磋商及响应文件提交阶段的规定，按磋商公告、供应商须知前附表、供应商须知正文、评审方法和标准、响应文件格式的先后顺序解释；</w:t>
            </w:r>
          </w:p>
          <w:p w14:paraId="322C8AC5">
            <w:pPr>
              <w:ind w:firstLine="0" w:firstLineChars="0"/>
              <w:rPr>
                <w:rFonts w:cs="宋体"/>
                <w:color w:val="000000" w:themeColor="text1"/>
                <w:szCs w:val="24"/>
                <w:highlight w:val="none"/>
                <w14:textFill>
                  <w14:solidFill>
                    <w14:schemeClr w14:val="tx1"/>
                  </w14:solidFill>
                </w14:textFill>
              </w:rPr>
            </w:pPr>
            <w:r>
              <w:rPr>
                <w:rFonts w:hint="eastAsia" w:cs="宋体"/>
                <w:bCs/>
                <w:color w:val="000000" w:themeColor="text1"/>
                <w:szCs w:val="24"/>
                <w:highlight w:val="none"/>
                <w14:textFill>
                  <w14:solidFill>
                    <w14:schemeClr w14:val="tx1"/>
                  </w14:solidFill>
                </w14:textFill>
              </w:rPr>
              <w:t>（5）</w:t>
            </w:r>
            <w:r>
              <w:rPr>
                <w:rFonts w:hint="eastAsia" w:cs="宋体"/>
                <w:color w:val="000000" w:themeColor="text1"/>
                <w:szCs w:val="24"/>
                <w:highlight w:val="none"/>
                <w14:textFill>
                  <w14:solidFill>
                    <w14:schemeClr w14:val="tx1"/>
                  </w14:solidFill>
                </w14:textFill>
              </w:rPr>
              <w:t>有澄清的部分以最终的澄清更正内容为准；</w:t>
            </w:r>
          </w:p>
          <w:p w14:paraId="0FED77B0">
            <w:pPr>
              <w:pStyle w:val="20"/>
              <w:ind w:firstLine="0" w:firstLineChars="0"/>
              <w:rPr>
                <w:rFonts w:hint="eastAsia"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（6）按本款前述规定仍不能形成结论的，由业主单位负责解释。</w:t>
            </w:r>
          </w:p>
        </w:tc>
      </w:tr>
      <w:tr w14:paraId="1507C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594" w:type="pct"/>
            <w:shd w:val="clear" w:color="auto" w:fill="auto"/>
            <w:vAlign w:val="center"/>
          </w:tcPr>
          <w:p w14:paraId="77069759">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22</w:t>
            </w:r>
          </w:p>
        </w:tc>
        <w:tc>
          <w:tcPr>
            <w:tcW w:w="782" w:type="pct"/>
            <w:shd w:val="clear" w:color="auto" w:fill="auto"/>
            <w:vAlign w:val="center"/>
          </w:tcPr>
          <w:p w14:paraId="043473E5">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其他补充</w:t>
            </w:r>
          </w:p>
          <w:p w14:paraId="4A1DD4F3">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说明</w:t>
            </w:r>
          </w:p>
        </w:tc>
        <w:tc>
          <w:tcPr>
            <w:tcW w:w="3623" w:type="pct"/>
            <w:shd w:val="clear" w:color="auto" w:fill="auto"/>
            <w:vAlign w:val="center"/>
          </w:tcPr>
          <w:p w14:paraId="0A1F5E35">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供应商不得与</w:t>
            </w:r>
            <w:r>
              <w:rPr>
                <w:rFonts w:hint="eastAsia"/>
                <w:color w:val="000000" w:themeColor="text1"/>
                <w:highlight w:val="none"/>
                <w:lang w:val="zh-CN"/>
                <w14:textFill>
                  <w14:solidFill>
                    <w14:schemeClr w14:val="tx1"/>
                  </w14:solidFill>
                </w14:textFill>
              </w:rPr>
              <w:t>本</w:t>
            </w:r>
            <w:r>
              <w:rPr>
                <w:rFonts w:hint="eastAsia"/>
                <w:color w:val="000000" w:themeColor="text1"/>
                <w:highlight w:val="none"/>
                <w14:textFill>
                  <w14:solidFill>
                    <w14:schemeClr w14:val="tx1"/>
                  </w14:solidFill>
                </w14:textFill>
              </w:rPr>
              <w:t>包</w:t>
            </w:r>
            <w:r>
              <w:rPr>
                <w:rFonts w:hint="eastAsia"/>
                <w:color w:val="000000" w:themeColor="text1"/>
                <w:highlight w:val="none"/>
                <w:lang w:val="zh-CN"/>
                <w14:textFill>
                  <w14:solidFill>
                    <w14:schemeClr w14:val="tx1"/>
                  </w14:solidFill>
                </w14:textFill>
              </w:rPr>
              <w:t>的其他供应商存在</w:t>
            </w:r>
            <w:r>
              <w:rPr>
                <w:rFonts w:hint="eastAsia"/>
                <w:color w:val="000000" w:themeColor="text1"/>
                <w:highlight w:val="none"/>
                <w14:textFill>
                  <w14:solidFill>
                    <w14:schemeClr w14:val="tx1"/>
                  </w14:solidFill>
                </w14:textFill>
              </w:rPr>
              <w:t>单位负责人为同一人或者存在直接控股、管理关系的情形</w:t>
            </w:r>
            <w:r>
              <w:rPr>
                <w:rFonts w:hint="eastAsia"/>
                <w:color w:val="000000" w:themeColor="text1"/>
                <w:highlight w:val="none"/>
                <w:lang w:val="zh-CN"/>
                <w14:textFill>
                  <w14:solidFill>
                    <w14:schemeClr w14:val="tx1"/>
                  </w14:solidFill>
                </w14:textFill>
              </w:rPr>
              <w:t>。</w:t>
            </w:r>
          </w:p>
        </w:tc>
      </w:tr>
      <w:tr w14:paraId="75BC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59B132E2">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23</w:t>
            </w:r>
          </w:p>
        </w:tc>
        <w:tc>
          <w:tcPr>
            <w:tcW w:w="782" w:type="pct"/>
            <w:shd w:val="clear" w:color="auto" w:fill="auto"/>
            <w:vAlign w:val="center"/>
          </w:tcPr>
          <w:p w14:paraId="420DFF6B">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同义词语</w:t>
            </w:r>
          </w:p>
        </w:tc>
        <w:tc>
          <w:tcPr>
            <w:tcW w:w="3623" w:type="pct"/>
            <w:shd w:val="clear" w:color="auto" w:fill="auto"/>
            <w:vAlign w:val="center"/>
          </w:tcPr>
          <w:p w14:paraId="1C429C40">
            <w:pPr>
              <w:pStyle w:val="20"/>
              <w:ind w:firstLine="0" w:firstLineChars="0"/>
              <w:rPr>
                <w:rFonts w:ascii="宋体" w:hAnsi="宋体" w:eastAsia="宋体" w:cs="宋体"/>
                <w:b/>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构成磋商文件组成部分的“供应商须知”、“评审方法和标准”、“响应文件格式”等章节中的“供应商”，等同于磋商阶段的“供应商”。</w:t>
            </w:r>
          </w:p>
        </w:tc>
      </w:tr>
      <w:tr w14:paraId="04FC1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94" w:type="pct"/>
            <w:shd w:val="clear" w:color="auto" w:fill="auto"/>
            <w:vAlign w:val="center"/>
          </w:tcPr>
          <w:p w14:paraId="065E442A">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24</w:t>
            </w:r>
          </w:p>
        </w:tc>
        <w:tc>
          <w:tcPr>
            <w:tcW w:w="782" w:type="pct"/>
            <w:shd w:val="clear" w:color="auto" w:fill="auto"/>
            <w:vAlign w:val="center"/>
          </w:tcPr>
          <w:p w14:paraId="47496652">
            <w:pPr>
              <w:pStyle w:val="21"/>
              <w:ind w:firstLine="0" w:firstLineChars="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磋商</w:t>
            </w:r>
          </w:p>
          <w:p w14:paraId="60A7D2D3">
            <w:pPr>
              <w:pStyle w:val="21"/>
              <w:ind w:firstLine="0" w:firstLineChars="0"/>
              <w:rPr>
                <w:rFonts w:ascii="宋体" w:hAnsi="宋体" w:eastAsia="宋体" w:cs="宋体"/>
                <w:bCs/>
                <w:color w:val="000000" w:themeColor="text1"/>
                <w:kern w:val="2"/>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有效期</w:t>
            </w:r>
          </w:p>
        </w:tc>
        <w:tc>
          <w:tcPr>
            <w:tcW w:w="3623" w:type="pct"/>
            <w:shd w:val="clear" w:color="auto" w:fill="auto"/>
            <w:vAlign w:val="center"/>
          </w:tcPr>
          <w:p w14:paraId="654D8171">
            <w:pPr>
              <w:pStyle w:val="20"/>
              <w:ind w:firstLine="0" w:firstLineChars="0"/>
              <w:rPr>
                <w:rFonts w:ascii="宋体" w:hAnsi="宋体" w:eastAsia="宋体" w:cs="宋体"/>
                <w:bCs/>
                <w:color w:val="000000" w:themeColor="text1"/>
                <w:sz w:val="24"/>
                <w:szCs w:val="24"/>
                <w:highlight w:val="none"/>
                <w:lang w:val="en-US" w:eastAsia="zh-CN" w:bidi="ar-SA"/>
                <w14:textFill>
                  <w14:solidFill>
                    <w14:schemeClr w14:val="tx1"/>
                  </w14:solidFill>
                </w14:textFill>
              </w:rPr>
            </w:pPr>
            <w:r>
              <w:rPr>
                <w:rFonts w:hint="eastAsia"/>
                <w:color w:val="000000" w:themeColor="text1"/>
                <w:highlight w:val="none"/>
                <w14:textFill>
                  <w14:solidFill>
                    <w14:schemeClr w14:val="tx1"/>
                  </w14:solidFill>
                </w14:textFill>
              </w:rPr>
              <w:t>120天</w:t>
            </w:r>
          </w:p>
        </w:tc>
      </w:tr>
    </w:tbl>
    <w:p w14:paraId="698A32A2">
      <w:pPr>
        <w:pStyle w:val="18"/>
        <w:ind w:left="360" w:firstLine="480"/>
        <w:rPr>
          <w:highlight w:val="none"/>
        </w:rPr>
      </w:pPr>
      <w:bookmarkStart w:id="4" w:name="_Toc14925"/>
      <w:bookmarkStart w:id="5" w:name="_Toc4558"/>
      <w:r>
        <w:rPr>
          <w:rFonts w:hint="eastAsia"/>
          <w:highlight w:val="none"/>
        </w:rPr>
        <w:br w:type="page"/>
      </w:r>
    </w:p>
    <w:p w14:paraId="1FC98D31">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附件1 代理服务费</w:t>
      </w:r>
      <w:bookmarkEnd w:id="4"/>
      <w:r>
        <w:rPr>
          <w:rFonts w:hint="eastAsia" w:asciiTheme="minorEastAsia" w:hAnsiTheme="minorEastAsia" w:eastAsiaTheme="minorEastAsia"/>
          <w:b/>
          <w:highlight w:val="none"/>
        </w:rPr>
        <w:t xml:space="preserve">收费标准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F8B4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5000" w:type="pct"/>
            <w:tcBorders>
              <w:top w:val="single" w:color="auto" w:sz="4" w:space="0"/>
              <w:left w:val="single" w:color="auto" w:sz="4" w:space="0"/>
              <w:bottom w:val="single" w:color="auto" w:sz="4" w:space="0"/>
              <w:right w:val="single" w:color="auto" w:sz="4" w:space="0"/>
            </w:tcBorders>
            <w:vAlign w:val="center"/>
          </w:tcPr>
          <w:p w14:paraId="129EDAF0">
            <w:pPr>
              <w:spacing w:line="460" w:lineRule="exact"/>
              <w:ind w:firstLine="480"/>
              <w:rPr>
                <w:rFonts w:asciiTheme="minorEastAsia" w:hAnsiTheme="minorEastAsia" w:eastAsiaTheme="minorEastAsia" w:cstheme="minorEastAsia"/>
                <w:color w:val="000000"/>
                <w:szCs w:val="24"/>
                <w:highlight w:val="none"/>
              </w:rPr>
            </w:pPr>
          </w:p>
          <w:tbl>
            <w:tblPr>
              <w:tblStyle w:val="13"/>
              <w:tblpPr w:leftFromText="180" w:rightFromText="180" w:vertAnchor="text" w:horzAnchor="page" w:tblpX="207" w:tblpY="62"/>
              <w:tblOverlap w:val="never"/>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2025"/>
              <w:gridCol w:w="1888"/>
              <w:gridCol w:w="2287"/>
            </w:tblGrid>
            <w:tr w14:paraId="70CAC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A74BDC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成交金额（万元）</w:t>
                  </w:r>
                </w:p>
              </w:tc>
              <w:tc>
                <w:tcPr>
                  <w:tcW w:w="2025" w:type="dxa"/>
                  <w:vAlign w:val="center"/>
                </w:tcPr>
                <w:p w14:paraId="4466AE2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货物</w:t>
                  </w:r>
                </w:p>
              </w:tc>
              <w:tc>
                <w:tcPr>
                  <w:tcW w:w="1888" w:type="dxa"/>
                  <w:vAlign w:val="center"/>
                </w:tcPr>
                <w:p w14:paraId="1143AF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服务</w:t>
                  </w:r>
                </w:p>
              </w:tc>
              <w:tc>
                <w:tcPr>
                  <w:tcW w:w="2287" w:type="dxa"/>
                  <w:vAlign w:val="center"/>
                </w:tcPr>
                <w:p w14:paraId="6077240F">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工程施工/总承包</w:t>
                  </w:r>
                </w:p>
              </w:tc>
            </w:tr>
            <w:tr w14:paraId="03FCC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CF4AF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100以下</w:t>
                  </w:r>
                </w:p>
              </w:tc>
              <w:tc>
                <w:tcPr>
                  <w:tcW w:w="2025" w:type="dxa"/>
                  <w:vAlign w:val="center"/>
                </w:tcPr>
                <w:p w14:paraId="552F4A7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1888" w:type="dxa"/>
                  <w:vAlign w:val="center"/>
                </w:tcPr>
                <w:p w14:paraId="38390DB8">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1.5%</w:t>
                  </w:r>
                </w:p>
              </w:tc>
              <w:tc>
                <w:tcPr>
                  <w:tcW w:w="2287" w:type="dxa"/>
                  <w:vAlign w:val="center"/>
                </w:tcPr>
                <w:p w14:paraId="58C615D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w:t>
                  </w:r>
                </w:p>
              </w:tc>
            </w:tr>
            <w:tr w14:paraId="6A290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973E81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100-500</w:t>
                  </w:r>
                </w:p>
              </w:tc>
              <w:tc>
                <w:tcPr>
                  <w:tcW w:w="2025" w:type="dxa"/>
                  <w:vAlign w:val="center"/>
                </w:tcPr>
                <w:p w14:paraId="6A486654">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1.1%</w:t>
                  </w:r>
                </w:p>
              </w:tc>
              <w:tc>
                <w:tcPr>
                  <w:tcW w:w="1888" w:type="dxa"/>
                  <w:vAlign w:val="center"/>
                </w:tcPr>
                <w:p w14:paraId="41A81CE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2287" w:type="dxa"/>
                  <w:vAlign w:val="center"/>
                </w:tcPr>
                <w:p w14:paraId="2445D04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0.7%</w:t>
                  </w:r>
                </w:p>
              </w:tc>
            </w:tr>
            <w:tr w14:paraId="42CA2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0044C5E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500-1000</w:t>
                  </w:r>
                </w:p>
              </w:tc>
              <w:tc>
                <w:tcPr>
                  <w:tcW w:w="2025" w:type="dxa"/>
                  <w:vAlign w:val="center"/>
                </w:tcPr>
                <w:p w14:paraId="078CE5F3">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0.8%</w:t>
                  </w:r>
                </w:p>
              </w:tc>
              <w:tc>
                <w:tcPr>
                  <w:tcW w:w="1888" w:type="dxa"/>
                  <w:vAlign w:val="center"/>
                </w:tcPr>
                <w:p w14:paraId="192FDE8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0.45%</w:t>
                  </w:r>
                </w:p>
              </w:tc>
              <w:tc>
                <w:tcPr>
                  <w:tcW w:w="2287" w:type="dxa"/>
                  <w:vAlign w:val="center"/>
                </w:tcPr>
                <w:p w14:paraId="02DCE72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0.55%</w:t>
                  </w:r>
                </w:p>
              </w:tc>
            </w:tr>
            <w:tr w14:paraId="42E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4F0CA411">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1000-5000</w:t>
                  </w:r>
                </w:p>
              </w:tc>
              <w:tc>
                <w:tcPr>
                  <w:tcW w:w="2025" w:type="dxa"/>
                  <w:vAlign w:val="center"/>
                </w:tcPr>
                <w:p w14:paraId="434B430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0.5%</w:t>
                  </w:r>
                </w:p>
              </w:tc>
              <w:tc>
                <w:tcPr>
                  <w:tcW w:w="1888" w:type="dxa"/>
                  <w:vAlign w:val="center"/>
                </w:tcPr>
                <w:p w14:paraId="2E2DCBC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2287" w:type="dxa"/>
                  <w:vAlign w:val="center"/>
                </w:tcPr>
                <w:p w14:paraId="39021047">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0.35%</w:t>
                  </w:r>
                </w:p>
              </w:tc>
            </w:tr>
            <w:tr w14:paraId="677A2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17EF9876">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5000-10000</w:t>
                  </w:r>
                </w:p>
              </w:tc>
              <w:tc>
                <w:tcPr>
                  <w:tcW w:w="2025" w:type="dxa"/>
                  <w:vAlign w:val="center"/>
                </w:tcPr>
                <w:p w14:paraId="6CAF649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0.25%</w:t>
                  </w:r>
                </w:p>
              </w:tc>
              <w:tc>
                <w:tcPr>
                  <w:tcW w:w="1888" w:type="dxa"/>
                  <w:vAlign w:val="center"/>
                </w:tcPr>
                <w:p w14:paraId="5F1B62A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0.1%</w:t>
                  </w:r>
                </w:p>
              </w:tc>
              <w:tc>
                <w:tcPr>
                  <w:tcW w:w="2287" w:type="dxa"/>
                  <w:vAlign w:val="center"/>
                </w:tcPr>
                <w:p w14:paraId="539768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0.2%</w:t>
                  </w:r>
                </w:p>
              </w:tc>
            </w:tr>
            <w:tr w14:paraId="203E4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239FEB80">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10000-100000</w:t>
                  </w:r>
                </w:p>
              </w:tc>
              <w:tc>
                <w:tcPr>
                  <w:tcW w:w="2025" w:type="dxa"/>
                  <w:vAlign w:val="center"/>
                </w:tcPr>
                <w:p w14:paraId="4A2252FB">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1888" w:type="dxa"/>
                  <w:vAlign w:val="center"/>
                </w:tcPr>
                <w:p w14:paraId="7ECCA30E">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c>
                <w:tcPr>
                  <w:tcW w:w="2287" w:type="dxa"/>
                  <w:vAlign w:val="center"/>
                </w:tcPr>
                <w:p w14:paraId="6713DDF5">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0.05%</w:t>
                  </w:r>
                </w:p>
              </w:tc>
            </w:tr>
            <w:tr w14:paraId="3B52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0" w:type="dxa"/>
                  <w:vAlign w:val="center"/>
                </w:tcPr>
                <w:p w14:paraId="58A33A1A">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100000以上</w:t>
                  </w:r>
                </w:p>
              </w:tc>
              <w:tc>
                <w:tcPr>
                  <w:tcW w:w="2025" w:type="dxa"/>
                  <w:vAlign w:val="center"/>
                </w:tcPr>
                <w:p w14:paraId="1CAC1E82">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1888" w:type="dxa"/>
                  <w:vAlign w:val="center"/>
                </w:tcPr>
                <w:p w14:paraId="7E89BFED">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c>
                <w:tcPr>
                  <w:tcW w:w="2287" w:type="dxa"/>
                  <w:vAlign w:val="center"/>
                </w:tcPr>
                <w:p w14:paraId="203F07AC">
                  <w:pPr>
                    <w:spacing w:line="460" w:lineRule="exact"/>
                    <w:ind w:firstLine="480"/>
                    <w:jc w:val="center"/>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0.01%</w:t>
                  </w:r>
                </w:p>
              </w:tc>
            </w:tr>
          </w:tbl>
          <w:p w14:paraId="207959D2">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szCs w:val="24"/>
                <w:highlight w:val="none"/>
              </w:rPr>
              <w:t>注：代理服务收费按差额定率累进法计算，成交金额含本数。例如：某服务项目代理业务成交金额为6000万元，</w:t>
            </w:r>
            <w:r>
              <w:rPr>
                <w:rFonts w:hint="eastAsia" w:asciiTheme="minorEastAsia" w:hAnsiTheme="minorEastAsia" w:eastAsiaTheme="minorEastAsia" w:cstheme="minorEastAsia"/>
                <w:bCs/>
                <w:color w:val="000000" w:themeColor="text1"/>
                <w:szCs w:val="24"/>
                <w:highlight w:val="none"/>
                <w14:textFill>
                  <w14:solidFill>
                    <w14:schemeClr w14:val="tx1"/>
                  </w14:solidFill>
                </w14:textFill>
              </w:rPr>
              <w:t>具体收取金额为上表（代理服务费收费标准）相应项目类别收费标准*100%，</w:t>
            </w: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计算代理服务费收取金额如下：</w:t>
            </w:r>
          </w:p>
          <w:p w14:paraId="0E8B5C8C">
            <w:pPr>
              <w:spacing w:line="460" w:lineRule="exact"/>
              <w:ind w:firstLine="480"/>
              <w:rPr>
                <w:rFonts w:asciiTheme="minorEastAsia" w:hAnsiTheme="minorEastAsia" w:eastAsiaTheme="minorEastAsia" w:cstheme="minorEastAsia"/>
                <w:color w:val="000000" w:themeColor="text1"/>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Cs w:val="24"/>
                <w:highlight w:val="none"/>
                <w14:textFill>
                  <w14:solidFill>
                    <w14:schemeClr w14:val="tx1"/>
                  </w14:solidFill>
                </w14:textFill>
              </w:rPr>
              <w:t>100万元×1.5％＝1.5万元</w:t>
            </w:r>
          </w:p>
          <w:p w14:paraId="55B92E5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（500－100）万元×0.8％＝3.2万元</w:t>
            </w:r>
          </w:p>
          <w:p w14:paraId="2F60E469">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（1000－500）万元×0.45％＝2.25万元</w:t>
            </w:r>
          </w:p>
          <w:p w14:paraId="37944EC5">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（5000－1000）万元×0.25％＝10万元</w:t>
            </w:r>
          </w:p>
          <w:p w14:paraId="6F0476B8">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（6000－5000）万元×0.1％＝1万元</w:t>
            </w:r>
          </w:p>
          <w:p w14:paraId="011024D6">
            <w:pPr>
              <w:spacing w:line="460" w:lineRule="exact"/>
              <w:ind w:firstLine="480"/>
              <w:rPr>
                <w:rFonts w:asciiTheme="minorEastAsia" w:hAnsiTheme="minorEastAsia" w:eastAsiaTheme="minorEastAsia" w:cstheme="minorEastAsia"/>
                <w:color w:val="000000"/>
                <w:szCs w:val="24"/>
                <w:highlight w:val="none"/>
              </w:rPr>
            </w:pPr>
            <w:r>
              <w:rPr>
                <w:rFonts w:hint="eastAsia" w:asciiTheme="minorEastAsia" w:hAnsiTheme="minorEastAsia" w:eastAsiaTheme="minorEastAsia" w:cstheme="minorEastAsia"/>
                <w:color w:val="000000"/>
                <w:szCs w:val="24"/>
                <w:highlight w:val="none"/>
              </w:rPr>
              <w:t>合计收费＝1.5＋3.2＋2.25＋10＋1＝17.95(万元)</w:t>
            </w:r>
          </w:p>
          <w:p w14:paraId="1307497A">
            <w:pPr>
              <w:pStyle w:val="23"/>
              <w:adjustRightInd w:val="0"/>
              <w:snapToGrid w:val="0"/>
              <w:rPr>
                <w:rFonts w:asciiTheme="minorEastAsia" w:hAnsiTheme="minorEastAsia" w:eastAsiaTheme="minorEastAsia" w:cstheme="minorEastAsia"/>
                <w:sz w:val="24"/>
                <w:szCs w:val="24"/>
                <w:highlight w:val="none"/>
              </w:rPr>
            </w:pPr>
          </w:p>
        </w:tc>
      </w:tr>
    </w:tbl>
    <w:p w14:paraId="7B321B1C">
      <w:pPr>
        <w:ind w:firstLine="482"/>
        <w:jc w:val="center"/>
        <w:rPr>
          <w:rFonts w:asciiTheme="minorEastAsia" w:hAnsiTheme="minorEastAsia" w:eastAsiaTheme="minorEastAsia"/>
          <w:b/>
          <w:highlight w:val="none"/>
        </w:rPr>
      </w:pPr>
      <w:r>
        <w:rPr>
          <w:rFonts w:hint="eastAsia"/>
          <w:b/>
          <w:szCs w:val="24"/>
          <w:highlight w:val="none"/>
        </w:rPr>
        <w:br w:type="page"/>
      </w:r>
      <w:bookmarkEnd w:id="5"/>
      <w:r>
        <w:rPr>
          <w:rFonts w:hint="eastAsia" w:asciiTheme="minorEastAsia" w:hAnsiTheme="minorEastAsia" w:eastAsiaTheme="minorEastAsia"/>
          <w:b/>
          <w:highlight w:val="none"/>
        </w:rPr>
        <w:t>供应商</w:t>
      </w:r>
      <w:r>
        <w:rPr>
          <w:rFonts w:asciiTheme="minorEastAsia" w:hAnsiTheme="minorEastAsia" w:eastAsiaTheme="minorEastAsia"/>
          <w:b/>
          <w:highlight w:val="none"/>
        </w:rPr>
        <w:t>须知</w:t>
      </w:r>
      <w:r>
        <w:rPr>
          <w:rFonts w:hint="eastAsia" w:asciiTheme="minorEastAsia" w:hAnsiTheme="minorEastAsia" w:eastAsiaTheme="minorEastAsia"/>
          <w:b/>
          <w:highlight w:val="none"/>
        </w:rPr>
        <w:t>正文</w:t>
      </w:r>
    </w:p>
    <w:p w14:paraId="64A0EB6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1.有关定义</w:t>
      </w:r>
    </w:p>
    <w:p w14:paraId="5F6EEA79">
      <w:pPr>
        <w:ind w:firstLine="480"/>
        <w:outlineLvl w:val="3"/>
        <w:rPr>
          <w:rFonts w:asciiTheme="minorEastAsia" w:hAnsiTheme="minorEastAsia" w:eastAsiaTheme="minorEastAsia" w:cstheme="minorEastAsia"/>
          <w:bCs/>
          <w:color w:val="000000" w:themeColor="text1"/>
          <w:szCs w:val="22"/>
          <w:highlight w:val="none"/>
          <w14:textFill>
            <w14:solidFill>
              <w14:schemeClr w14:val="tx1"/>
            </w14:solidFill>
          </w14:textFill>
        </w:rPr>
      </w:pPr>
      <w:r>
        <w:rPr>
          <w:rFonts w:hint="eastAsia" w:asciiTheme="minorEastAsia" w:hAnsiTheme="minorEastAsia" w:eastAsiaTheme="minorEastAsia" w:cstheme="minorEastAsia"/>
          <w:bCs/>
          <w:color w:val="000000" w:themeColor="text1"/>
          <w:szCs w:val="22"/>
          <w:highlight w:val="none"/>
          <w14:textFill>
            <w14:solidFill>
              <w14:schemeClr w14:val="tx1"/>
            </w14:solidFill>
          </w14:textFill>
        </w:rPr>
        <w:t>本项目的交易方式为磋商，业主单位为项目实施建设的发包人（甲方），供应商为参与磋商的主体，成交人为参与磋商，并获得项目实施的承包人（乙方）。</w:t>
      </w:r>
    </w:p>
    <w:p w14:paraId="382CF15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2.资金来源</w:t>
      </w:r>
    </w:p>
    <w:p w14:paraId="3879BB2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本项目的业主单位已获得足以支付本次磋商后所签订的合同项下的资金。</w:t>
      </w:r>
    </w:p>
    <w:p w14:paraId="644F34C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3.磋商费用</w:t>
      </w:r>
    </w:p>
    <w:p w14:paraId="2E6C2FA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不论磋商的结果如何，供应商应承担其所有与准备和参加磋商有关的费用。</w:t>
      </w:r>
    </w:p>
    <w:p w14:paraId="771641D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4.磋商文件的澄清与修改</w:t>
      </w:r>
    </w:p>
    <w:p w14:paraId="2C7A641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4.1供应商如对磋商文件内容有疑问，按供应商须知前附表规定提出。</w:t>
      </w:r>
    </w:p>
    <w:p w14:paraId="40F2BFF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4.2业主单位可主动或在解答供应商提出的问题时对磋商文件进行澄清或者修改。代理机构将在优质采云采购平台</w:t>
      </w:r>
      <w:r>
        <w:rPr>
          <w:rFonts w:hint="eastAsia" w:cs="宋体"/>
          <w:color w:val="000000" w:themeColor="text1"/>
          <w:szCs w:val="18"/>
          <w:highlight w:val="none"/>
          <w14:textFill>
            <w14:solidFill>
              <w14:schemeClr w14:val="tx1"/>
            </w14:solidFill>
          </w14:textFill>
        </w:rPr>
        <w:t>（http://www.youzhicai.com/）</w:t>
      </w:r>
      <w:r>
        <w:rPr>
          <w:rFonts w:hint="eastAsia" w:asciiTheme="minorEastAsia" w:hAnsiTheme="minorEastAsia" w:eastAsiaTheme="minorEastAsia" w:cstheme="minorEastAsia"/>
          <w:color w:val="000000" w:themeColor="text1"/>
          <w:highlight w:val="none"/>
          <w14:textFill>
            <w14:solidFill>
              <w14:schemeClr w14:val="tx1"/>
            </w14:solidFill>
          </w14:textFill>
        </w:rPr>
        <w:t>澄清或修改磋商文件，供应商应主动上网查询。代理机构和业主单位不承担供应商未及时关注相关信息引发的相关责任。</w:t>
      </w:r>
    </w:p>
    <w:p w14:paraId="214B64C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4.3任何人或任何组织向供应商提供的任何书面或口头资料，未经代理机构在网上发布或书面通知，均作无效处理，不得作为磋商文件的组成部分。代理机构对供应商由此而做出的推论、理解和结论概不负责。</w:t>
      </w:r>
    </w:p>
    <w:p w14:paraId="6D4E8055">
      <w:pPr>
        <w:ind w:firstLine="480"/>
        <w:rPr>
          <w:rFonts w:asciiTheme="minorEastAsia" w:hAnsiTheme="minorEastAsia" w:eastAsiaTheme="minorEastAsia" w:cstheme="minorEastAsia"/>
          <w:iCs/>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4.4对于没有提出疑问又参与了本项目磋商的供应商将被视为完全认同本磋商文件（含澄清、修改等内容）</w:t>
      </w:r>
      <w:r>
        <w:rPr>
          <w:rFonts w:hint="eastAsia" w:asciiTheme="minorEastAsia" w:hAnsiTheme="minorEastAsia" w:eastAsiaTheme="minorEastAsia" w:cstheme="minorEastAsia"/>
          <w:iCs/>
          <w:color w:val="000000" w:themeColor="text1"/>
          <w:highlight w:val="none"/>
          <w14:textFill>
            <w14:solidFill>
              <w14:schemeClr w14:val="tx1"/>
            </w14:solidFill>
          </w14:textFill>
        </w:rPr>
        <w:t>。</w:t>
      </w:r>
    </w:p>
    <w:p w14:paraId="760B7D7B">
      <w:pPr>
        <w:numPr>
          <w:ilvl w:val="0"/>
          <w:numId w:val="2"/>
        </w:num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磋商范围及响应文件中标准和计量单位的使用</w:t>
      </w:r>
    </w:p>
    <w:p w14:paraId="4EB76D0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5.1项目有分包的，供应商可参与其中某一个或多个分包的磋商，成交包数详见供应商须知前附表中规定。</w:t>
      </w:r>
    </w:p>
    <w:p w14:paraId="3A9AEA3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5.2无论磋商文件中是否要求，供应商所承担项目及伴随的货物和服务均应符合国家强制性标准。</w:t>
      </w:r>
    </w:p>
    <w:p w14:paraId="48A565A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5.3供应商与代理机构之间与磋商有关的所有往来通知、函件和响应文件均用中文表述。供应商随响应文件提供的证明文件和资料可以为其他语言，但必须附中文译文。翻译的中文资料与外文资料如果出现差异时，以中文为准。</w:t>
      </w:r>
    </w:p>
    <w:p w14:paraId="45209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5.4除磋商文件中有特殊要求外，响应文件中所使用的计量单位，应采用中华人民共和国法定计量单位。</w:t>
      </w:r>
    </w:p>
    <w:p w14:paraId="7090434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6.响应文件构成</w:t>
      </w:r>
    </w:p>
    <w:p w14:paraId="3F4189C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6.1供应商应完整地按磋商文件提供的响应文件格式及磋商文件评审要求编写响应文件，具体内容详见第六章响应文件格式的相关内容。</w:t>
      </w:r>
    </w:p>
    <w:p w14:paraId="720722F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6.2上述文件应按照磋商文件规定的格式填写、签署和盖章。</w:t>
      </w:r>
    </w:p>
    <w:p w14:paraId="22DCE924">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7.报价</w:t>
      </w:r>
    </w:p>
    <w:p w14:paraId="183B4F1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的报价应当包括满足本次</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全部</w:t>
      </w:r>
      <w:r>
        <w:rPr>
          <w:rFonts w:hint="eastAsia"/>
          <w:color w:val="000000" w:themeColor="text1"/>
          <w:highlight w:val="none"/>
          <w14:textFill>
            <w14:solidFill>
              <w14:schemeClr w14:val="tx1"/>
            </w14:solidFill>
          </w14:textFill>
        </w:rPr>
        <w:t>内容。所有报价均应以人民币报价，</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的磋商报价应遵守《中华人民共和国价格法》。</w:t>
      </w:r>
    </w:p>
    <w:p w14:paraId="235031E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2</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应在分项报价表上标明磋商工程的单价（如适用）和总价，未标明的视同包含在磋商报价中。</w:t>
      </w:r>
    </w:p>
    <w:p w14:paraId="48E1D5C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3</w:t>
      </w:r>
      <w:r>
        <w:rPr>
          <w:color w:val="000000" w:themeColor="text1"/>
          <w:highlight w:val="none"/>
          <w14:textFill>
            <w14:solidFill>
              <w14:schemeClr w14:val="tx1"/>
            </w14:solidFill>
          </w14:textFill>
        </w:rPr>
        <w:t>报价不得高于磋商文件（公告）列明的项目预算</w:t>
      </w:r>
      <w:r>
        <w:rPr>
          <w:rFonts w:hint="eastAsia"/>
          <w:color w:val="000000" w:themeColor="text1"/>
          <w:highlight w:val="none"/>
          <w14:textFill>
            <w14:solidFill>
              <w14:schemeClr w14:val="tx1"/>
            </w14:solidFill>
          </w14:textFill>
        </w:rPr>
        <w:t>、最高限价（控制价）</w:t>
      </w:r>
      <w:r>
        <w:rPr>
          <w:color w:val="000000" w:themeColor="text1"/>
          <w:highlight w:val="none"/>
          <w14:textFill>
            <w14:solidFill>
              <w14:schemeClr w14:val="tx1"/>
            </w14:solidFill>
          </w14:textFill>
        </w:rPr>
        <w:t>，否则其响应文件将被认定为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42633170">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4报价</w:t>
      </w:r>
      <w:r>
        <w:rPr>
          <w:color w:val="000000" w:themeColor="text1"/>
          <w:highlight w:val="none"/>
          <w14:textFill>
            <w14:solidFill>
              <w14:schemeClr w14:val="tx1"/>
            </w14:solidFill>
          </w14:textFill>
        </w:rPr>
        <w:t>在合同履行过程中是固定不变的，不得以任何理由予以变更。任何包含价格调整要求的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，其</w:t>
      </w:r>
      <w:r>
        <w:rPr>
          <w:rFonts w:hint="eastAsia"/>
          <w:color w:val="000000" w:themeColor="text1"/>
          <w:highlight w:val="none"/>
          <w14:textFill>
            <w14:solidFill>
              <w14:schemeClr w14:val="tx1"/>
            </w14:solidFill>
          </w14:textFill>
        </w:rPr>
        <w:t>响应文件将被认定为</w:t>
      </w:r>
      <w:r>
        <w:rPr>
          <w:rFonts w:hint="eastAsia"/>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3E38727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不接受具有附加条件的报价。</w:t>
      </w:r>
    </w:p>
    <w:p w14:paraId="0A5795A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8.磋商有效期</w:t>
      </w:r>
    </w:p>
    <w:p w14:paraId="203E88CB">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.1磋商有效期为从响应文件提交截止之日算起的日历天数，磋商有效期详见</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须知前附表。</w:t>
      </w:r>
    </w:p>
    <w:p w14:paraId="0126EF9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.2在磋商有效期内，</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的磋商保持有效，</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不得要求撤销或修改其响应文件。磋商有效期不满足要求的响应，其响应文件将被认定为</w:t>
      </w:r>
      <w:r>
        <w:rPr>
          <w:b/>
          <w:color w:val="000000" w:themeColor="text1"/>
          <w:highlight w:val="none"/>
          <w14:textFill>
            <w14:solidFill>
              <w14:schemeClr w14:val="tx1"/>
            </w14:solidFill>
          </w14:textFill>
        </w:rPr>
        <w:t>响应无效</w:t>
      </w:r>
      <w:r>
        <w:rPr>
          <w:color w:val="000000" w:themeColor="text1"/>
          <w:highlight w:val="none"/>
          <w14:textFill>
            <w14:solidFill>
              <w14:schemeClr w14:val="tx1"/>
            </w14:solidFill>
          </w14:textFill>
        </w:rPr>
        <w:t>。</w:t>
      </w:r>
    </w:p>
    <w:p w14:paraId="2DF251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t>.3为保证有充分时间签订合同，</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或</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可根据实际情况，在原磋商有效期截止之前，要求</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延长磋商有效期。接受该要求的</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将不会被要求和允许修正其响应文件。</w:t>
      </w:r>
      <w:r>
        <w:rPr>
          <w:rFonts w:hint="eastAsia"/>
          <w:color w:val="000000" w:themeColor="text1"/>
          <w:szCs w:val="18"/>
          <w:highlight w:val="none"/>
          <w14:textFill>
            <w14:solidFill>
              <w14:schemeClr w14:val="tx1"/>
            </w14:solidFill>
          </w14:textFill>
        </w:rPr>
        <w:t>供应商</w:t>
      </w:r>
      <w:r>
        <w:rPr>
          <w:color w:val="000000" w:themeColor="text1"/>
          <w:highlight w:val="none"/>
          <w14:textFill>
            <w14:solidFill>
              <w14:schemeClr w14:val="tx1"/>
            </w14:solidFill>
          </w14:textFill>
        </w:rPr>
        <w:t>可以拒绝延长磋商有效期的要求，且不承担任何责任。上述要求和答复都应以书面形式提交。</w:t>
      </w:r>
    </w:p>
    <w:p w14:paraId="3DE10EE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9.响应文件的制作</w:t>
      </w:r>
    </w:p>
    <w:p w14:paraId="7CC65233">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9.1.本项目采用全流程电子化方式，</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必须递交电子响应文件，并对电子响应文件进行电子签章并使用CA锁进行加密，在磋商文件规定的响应截止时间前使用“优质采投标工具客户端”完成上传。</w:t>
      </w:r>
    </w:p>
    <w:p w14:paraId="59C78E02">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9.2.全流程电磋商项目</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必须上传CA锁加密的电子响应文件，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下载磋商文件后，如未在磋商文件规定的响应文件递交截止时间前上传电子响应文件，视为无效；</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在响应文件递交截止时间前，可以对其所递交的电子响应文件进行撤回，修改后重新上传（具体操作详见教程）；</w:t>
      </w:r>
    </w:p>
    <w:p w14:paraId="026BFF15">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9.3.响应文件递交截止时间以优质采云采购平台（</w:t>
      </w:r>
      <w:r>
        <w:rPr>
          <w:rFonts w:hint="eastAsia" w:cs="宋体"/>
          <w:color w:val="000000" w:themeColor="text1"/>
          <w:szCs w:val="18"/>
          <w:highlight w:val="none"/>
          <w14:textFill>
            <w14:solidFill>
              <w14:schemeClr w14:val="tx1"/>
            </w14:solidFill>
          </w14:textFill>
        </w:rPr>
        <w:t>http://www.youzhicai.com/</w:t>
      </w:r>
      <w:r>
        <w:rPr>
          <w:rFonts w:hint="eastAsia" w:cs="宋体"/>
          <w:color w:val="000000" w:themeColor="text1"/>
          <w:highlight w:val="none"/>
          <w14:textFill>
            <w14:solidFill>
              <w14:schemeClr w14:val="tx1"/>
            </w14:solidFill>
          </w14:textFill>
        </w:rPr>
        <w:t>）系统的时间为准，逾期系统将自动关闭，电子响应文件未完成上传的，视为没有递交响应文件；</w:t>
      </w:r>
    </w:p>
    <w:p w14:paraId="6DE89BCF">
      <w:pPr>
        <w:ind w:firstLine="480"/>
        <w:rPr>
          <w:rFonts w:cs="宋体"/>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9.4.响应文件可远程解密，</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无需到达磋商现场。磋商文件“</w:t>
      </w:r>
      <w:r>
        <w:rPr>
          <w:rFonts w:hint="eastAsia"/>
          <w:color w:val="000000" w:themeColor="text1"/>
          <w:szCs w:val="18"/>
          <w:highlight w:val="none"/>
          <w14:textFill>
            <w14:solidFill>
              <w14:schemeClr w14:val="tx1"/>
            </w14:solidFill>
          </w14:textFill>
        </w:rPr>
        <w:t>供应商</w:t>
      </w:r>
      <w:r>
        <w:rPr>
          <w:rFonts w:hint="eastAsia" w:cs="宋体"/>
          <w:color w:val="000000" w:themeColor="text1"/>
          <w:highlight w:val="none"/>
          <w14:textFill>
            <w14:solidFill>
              <w14:schemeClr w14:val="tx1"/>
            </w14:solidFill>
          </w14:textFill>
        </w:rPr>
        <w:t>须知”中另有规定的，从其规定。</w:t>
      </w:r>
    </w:p>
    <w:p w14:paraId="7614DDFD">
      <w:pPr>
        <w:ind w:firstLine="480"/>
        <w:rPr>
          <w:color w:val="000000" w:themeColor="text1"/>
          <w:highlight w:val="none"/>
          <w14:textFill>
            <w14:solidFill>
              <w14:schemeClr w14:val="tx1"/>
            </w14:solidFill>
          </w14:textFill>
        </w:rPr>
      </w:pPr>
      <w:r>
        <w:rPr>
          <w:rFonts w:hint="eastAsia" w:cs="宋体"/>
          <w:color w:val="000000" w:themeColor="text1"/>
          <w:highlight w:val="none"/>
          <w14:textFill>
            <w14:solidFill>
              <w14:schemeClr w14:val="tx1"/>
            </w14:solidFill>
          </w14:textFill>
        </w:rPr>
        <w:t>9.5.</w:t>
      </w:r>
      <w:r>
        <w:rPr>
          <w:rFonts w:hint="eastAsia"/>
          <w:color w:val="000000" w:themeColor="text1"/>
          <w:szCs w:val="18"/>
          <w:highlight w:val="none"/>
          <w14:textFill>
            <w14:solidFill>
              <w14:schemeClr w14:val="tx1"/>
            </w14:solidFill>
          </w14:textFill>
        </w:rPr>
        <w:t xml:space="preserve"> 供应商</w:t>
      </w:r>
      <w:r>
        <w:rPr>
          <w:rFonts w:hint="eastAsia" w:cs="宋体"/>
          <w:color w:val="000000" w:themeColor="text1"/>
          <w:highlight w:val="none"/>
          <w14:textFill>
            <w14:solidFill>
              <w14:schemeClr w14:val="tx1"/>
            </w14:solidFill>
          </w14:textFill>
        </w:rPr>
        <w:t>在制作、上传电子响应文件过程中，若存在技术操作问题，请及时联系优质采云采购平台客服人员，客服电话：400-0099-555，0551-62220164，0551-62220012。</w:t>
      </w:r>
    </w:p>
    <w:p w14:paraId="47FFD4A7">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10.响应文件提交截止时间</w:t>
      </w:r>
    </w:p>
    <w:p w14:paraId="7C53CD98">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10.1供应商应在供应商须知前附表中规定的响应文件提交截止时间前，在网上提交加密电子响应文件。</w:t>
      </w:r>
    </w:p>
    <w:p w14:paraId="256CB6E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10.2供应商在磋商文件规定的响应文件提交截止时间前上传了网上加密电子响应文件，但未在规定时间内进行解密的，响应无效。</w:t>
      </w:r>
    </w:p>
    <w:p w14:paraId="0375BA2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10.3业主单位和代理机构延迟响应文件提交截止时间的，在此情况下，业主单位、代理机构和供应商受响应文件提交截止时间制约的所有权利和义务均应延长至新的截止时间。</w:t>
      </w:r>
    </w:p>
    <w:p w14:paraId="6E18E87D">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11.响应文件的提交、修改与撤回</w:t>
      </w:r>
    </w:p>
    <w:p w14:paraId="3AA3DFBB">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11.1供应商应当在第一章“磋商</w:t>
      </w:r>
      <w:r>
        <w:rPr>
          <w:rFonts w:hint="eastAsia" w:asciiTheme="minorEastAsia" w:hAnsiTheme="minorEastAsia" w:eastAsiaTheme="minorEastAsia" w:cstheme="minorEastAsia"/>
          <w:color w:val="000000" w:themeColor="text1"/>
          <w:highlight w:val="none"/>
          <w:lang w:val="en-US" w:eastAsia="zh-CN"/>
          <w14:textFill>
            <w14:solidFill>
              <w14:schemeClr w14:val="tx1"/>
            </w14:solidFill>
          </w14:textFill>
        </w:rPr>
        <w:t>公告</w:t>
      </w:r>
      <w:r>
        <w:rPr>
          <w:rFonts w:hint="eastAsia" w:asciiTheme="minorEastAsia" w:hAnsiTheme="minorEastAsia" w:eastAsiaTheme="minorEastAsia" w:cstheme="minorEastAsia"/>
          <w:color w:val="000000" w:themeColor="text1"/>
          <w:highlight w:val="none"/>
          <w14:textFill>
            <w14:solidFill>
              <w14:schemeClr w14:val="tx1"/>
            </w14:solidFill>
          </w14:textFill>
        </w:rPr>
        <w:t>”规定的响应文件提交截止时间前，将加密的响应文件在优质采云采购平台（http://www.youzhicai.com/）上传。</w:t>
      </w:r>
    </w:p>
    <w:p w14:paraId="4E2801B6">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11.2供应商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1B7B9AD9">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11.3供应商应在供应商须知前附表规定的解密时间前（以优质采云采购平台（http://www.youzhicai.com/）系统的解密倒计时为准）对本单位的响应文件进行解密，代理机构工作人员解密所有响应文件。</w:t>
      </w:r>
    </w:p>
    <w:p w14:paraId="721ED344">
      <w:pPr>
        <w:ind w:firstLine="480"/>
        <w:outlineLvl w:val="3"/>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11.4在响应文件提交截止时间之后，供应商不得对其响应文件做任何修改。但属于评审委员会在评审中发现的计算错误并进行核实的修改、按照磋商文件的变动情况和评审委员会的要求重新提交响应文件的，不在此列。</w:t>
      </w:r>
    </w:p>
    <w:p w14:paraId="1F496D1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12.评审委员会</w:t>
      </w:r>
    </w:p>
    <w:p w14:paraId="566760D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12.1由业主单位委派或业主单位委托代理机构依法抽取经济技术专家等方式组建的评审委员会，负责本项目评审工作。评审委员会成员由3人以上单数组成，评审委员会及其成员应当依照有关规定履行相关职责和义务。</w:t>
      </w:r>
    </w:p>
    <w:p w14:paraId="4F017F1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12.2评审委员会根据磋商文件规定的评审方法和标准对供应商提交的响应文件进行评审，从质量和服务均能满足磋商文件实质性响应要求的供应商中推荐成交候选人，并编写评审报告。</w:t>
      </w:r>
    </w:p>
    <w:p w14:paraId="371F63E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13</w:t>
      </w:r>
      <w:r>
        <w:rPr>
          <w:rFonts w:asciiTheme="minorEastAsia" w:hAnsiTheme="minorEastAsia" w:eastAsiaTheme="minorEastAsia" w:cstheme="minorEastAsia"/>
          <w:b/>
          <w:color w:val="000000" w:themeColor="text1"/>
          <w:highlight w:val="none"/>
          <w14:textFill>
            <w14:solidFill>
              <w14:schemeClr w14:val="tx1"/>
            </w14:solidFill>
          </w14:textFill>
        </w:rPr>
        <w:t>.响应文件的评审与磋商</w:t>
      </w:r>
    </w:p>
    <w:p w14:paraId="06186D48">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1</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和代理机构将在</w:t>
      </w:r>
      <w:r>
        <w:rPr>
          <w:rFonts w:hint="eastAsia"/>
          <w:color w:val="000000" w:themeColor="text1"/>
          <w:szCs w:val="18"/>
          <w:highlight w:val="none"/>
          <w:u w:val="single"/>
          <w14:textFill>
            <w14:solidFill>
              <w14:schemeClr w14:val="tx1"/>
            </w14:solidFill>
          </w14:textFill>
        </w:rPr>
        <w:t>参审单位</w:t>
      </w:r>
      <w:r>
        <w:rPr>
          <w:color w:val="000000" w:themeColor="text1"/>
          <w:highlight w:val="none"/>
          <w:u w:val="single"/>
          <w14:textFill>
            <w14:solidFill>
              <w14:schemeClr w14:val="tx1"/>
            </w14:solidFill>
          </w14:textFill>
        </w:rPr>
        <w:t>须知前附表</w:t>
      </w:r>
      <w:r>
        <w:rPr>
          <w:rFonts w:hint="eastAsia"/>
          <w:color w:val="000000" w:themeColor="text1"/>
          <w:highlight w:val="none"/>
          <w14:textFill>
            <w14:solidFill>
              <w14:schemeClr w14:val="tx1"/>
            </w14:solidFill>
          </w14:textFill>
        </w:rPr>
        <w:t>规定的时间和地点组织磋商。</w:t>
      </w:r>
    </w:p>
    <w:p w14:paraId="5C0139E7">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13.2磋商活动采用综合评分法评审。</w:t>
      </w:r>
    </w:p>
    <w:p w14:paraId="7D1556F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综合评分法，是指响应文件满足磋商文件全部实质性要求且按评审因素的量化指标评审得分最高的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为成交候选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的评审方法。</w:t>
      </w:r>
    </w:p>
    <w:p w14:paraId="6A4A97F1">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13.3磋商小组将按照磋商文件规定的</w:t>
      </w:r>
      <w:r>
        <w:rPr>
          <w:color w:val="000000" w:themeColor="text1"/>
          <w:highlight w:val="none"/>
          <w14:textFill>
            <w14:solidFill>
              <w14:schemeClr w14:val="tx1"/>
            </w14:solidFill>
          </w14:textFill>
        </w:rPr>
        <w:t>评审</w:t>
      </w:r>
      <w:r>
        <w:rPr>
          <w:rFonts w:hint="eastAsia"/>
          <w:color w:val="000000" w:themeColor="text1"/>
          <w:highlight w:val="none"/>
          <w14:textFill>
            <w14:solidFill>
              <w14:schemeClr w14:val="tx1"/>
            </w14:solidFill>
          </w14:textFill>
        </w:rPr>
        <w:t>方</w:t>
      </w:r>
      <w:r>
        <w:rPr>
          <w:color w:val="000000" w:themeColor="text1"/>
          <w:highlight w:val="none"/>
          <w14:textFill>
            <w14:solidFill>
              <w14:schemeClr w14:val="tx1"/>
            </w14:solidFill>
          </w14:textFill>
        </w:rPr>
        <w:t>法</w:t>
      </w:r>
      <w:r>
        <w:rPr>
          <w:rFonts w:hint="eastAsia"/>
          <w:color w:val="000000" w:themeColor="text1"/>
          <w:highlight w:val="none"/>
          <w14:textFill>
            <w14:solidFill>
              <w14:schemeClr w14:val="tx1"/>
            </w14:solidFill>
          </w14:textFill>
        </w:rPr>
        <w:t>和标准对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独立进行评审。评审程序如下：</w:t>
      </w:r>
    </w:p>
    <w:p w14:paraId="7D109C5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13.3.1</w:t>
      </w:r>
      <w:r>
        <w:rPr>
          <w:rFonts w:hint="eastAsia"/>
          <w:b/>
          <w:color w:val="000000" w:themeColor="text1"/>
          <w:highlight w:val="none"/>
          <w14:textFill>
            <w14:solidFill>
              <w14:schemeClr w14:val="tx1"/>
            </w14:solidFill>
          </w14:textFill>
        </w:rPr>
        <w:t>初审</w:t>
      </w:r>
      <w:r>
        <w:rPr>
          <w:rFonts w:hint="eastAsia"/>
          <w:color w:val="000000" w:themeColor="text1"/>
          <w:highlight w:val="none"/>
          <w14:textFill>
            <w14:solidFill>
              <w14:schemeClr w14:val="tx1"/>
            </w14:solidFill>
          </w14:textFill>
        </w:rPr>
        <w:t>。磋商小组对</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必须满足和实质性响应的内容进行评审，</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未实质性响应磋商文件要求导致响应无效的，磋商小组将以书面询问的方式告知有关</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w:t>
      </w:r>
    </w:p>
    <w:p w14:paraId="45D23515">
      <w:pPr>
        <w:ind w:firstLine="470" w:firstLineChars="196"/>
        <w:rPr>
          <w:color w:val="000000" w:themeColor="text1"/>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存在不良信用记录的，其响应文件将被认定为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115F3FE2">
      <w:pPr>
        <w:ind w:firstLine="470" w:firstLineChars="196"/>
        <w:rPr>
          <w:rFonts w:cs="宋体"/>
          <w:color w:val="000000" w:themeColor="text1"/>
          <w:kern w:val="21"/>
          <w:szCs w:val="24"/>
          <w:highlight w:val="none"/>
          <w:lang w:bidi="ar"/>
          <w14:textFill>
            <w14:solidFill>
              <w14:schemeClr w14:val="tx1"/>
            </w14:solidFill>
          </w14:textFill>
        </w:rPr>
      </w:pPr>
      <w:r>
        <w:rPr>
          <w:rFonts w:hint="eastAsia" w:cs="宋体"/>
          <w:color w:val="000000" w:themeColor="text1"/>
          <w:kern w:val="21"/>
          <w:szCs w:val="24"/>
          <w:highlight w:val="none"/>
          <w:lang w:bidi="ar"/>
          <w14:textFill>
            <w14:solidFill>
              <w14:schemeClr w14:val="tx1"/>
            </w14:solidFill>
          </w14:textFill>
        </w:rPr>
        <w:t>13.3.1.1信用信息查询渠道：“信用中国”网站（www.creditchina.gov.cn）、国家企业信用信息公示系统（</w:t>
      </w:r>
      <w:r>
        <w:rPr>
          <w:highlight w:val="none"/>
        </w:rPr>
        <w:fldChar w:fldCharType="begin"/>
      </w:r>
      <w:r>
        <w:rPr>
          <w:highlight w:val="none"/>
        </w:rPr>
        <w:instrText xml:space="preserve"> HYPERLINK "http://www.gsxt.gov.cn" </w:instrText>
      </w:r>
      <w:r>
        <w:rPr>
          <w:highlight w:val="none"/>
        </w:rPr>
        <w:fldChar w:fldCharType="separate"/>
      </w:r>
      <w:r>
        <w:rPr>
          <w:rStyle w:val="16"/>
          <w:rFonts w:hint="eastAsia" w:cs="宋体"/>
          <w:color w:val="000000" w:themeColor="text1"/>
          <w:kern w:val="21"/>
          <w:szCs w:val="24"/>
          <w:highlight w:val="none"/>
          <w:lang w:bidi="ar"/>
          <w14:textFill>
            <w14:solidFill>
              <w14:schemeClr w14:val="tx1"/>
            </w14:solidFill>
          </w14:textFill>
        </w:rPr>
        <w:t>www.gsxt.gov.cn</w:t>
      </w:r>
      <w:r>
        <w:rPr>
          <w:rStyle w:val="16"/>
          <w:rFonts w:hint="eastAsia" w:cs="宋体"/>
          <w:color w:val="000000" w:themeColor="text1"/>
          <w:kern w:val="21"/>
          <w:szCs w:val="24"/>
          <w:highlight w:val="none"/>
          <w:lang w:bidi="ar"/>
          <w14:textFill>
            <w14:solidFill>
              <w14:schemeClr w14:val="tx1"/>
            </w14:solidFill>
          </w14:textFill>
        </w:rPr>
        <w:fldChar w:fldCharType="end"/>
      </w:r>
      <w:r>
        <w:rPr>
          <w:rFonts w:hint="eastAsia" w:cs="宋体"/>
          <w:color w:val="000000" w:themeColor="text1"/>
          <w:kern w:val="21"/>
          <w:szCs w:val="24"/>
          <w:highlight w:val="none"/>
          <w:lang w:bidi="ar"/>
          <w14:textFill>
            <w14:solidFill>
              <w14:schemeClr w14:val="tx1"/>
            </w14:solidFill>
          </w14:textFill>
        </w:rPr>
        <w:t>）：</w:t>
      </w:r>
    </w:p>
    <w:p w14:paraId="3E737D67">
      <w:pPr>
        <w:ind w:firstLine="480"/>
        <w:rPr>
          <w:rFonts w:cs="宋体"/>
          <w:color w:val="000000" w:themeColor="text1"/>
          <w:szCs w:val="24"/>
          <w:highlight w:val="none"/>
          <w14:textFill>
            <w14:solidFill>
              <w14:schemeClr w14:val="tx1"/>
            </w14:solidFill>
          </w14:textFill>
        </w:rPr>
      </w:pPr>
      <w:bookmarkStart w:id="6" w:name="_Hlk192058264"/>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1</w:t>
      </w:r>
      <w:r>
        <w:rPr>
          <w:rFonts w:hint="eastAsia" w:cs="宋体"/>
          <w:color w:val="000000" w:themeColor="text1"/>
          <w:szCs w:val="24"/>
          <w:highlight w:val="none"/>
          <w14:textFill>
            <w14:solidFill>
              <w14:schemeClr w14:val="tx1"/>
            </w14:solidFill>
          </w14:textFill>
        </w:rPr>
        <w:t>）在国家企业信用信息公示系统（http://www.gsxt.gov.cn/）中被列入严重违法失信企业名单；</w:t>
      </w:r>
    </w:p>
    <w:p w14:paraId="4D976028">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14:textFill>
            <w14:solidFill>
              <w14:schemeClr w14:val="tx1"/>
            </w14:solidFill>
          </w14:textFill>
        </w:rPr>
        <w:t>（</w:t>
      </w:r>
      <w:r>
        <w:rPr>
          <w:rFonts w:cs="宋体"/>
          <w:color w:val="000000" w:themeColor="text1"/>
          <w:szCs w:val="24"/>
          <w:highlight w:val="none"/>
          <w14:textFill>
            <w14:solidFill>
              <w14:schemeClr w14:val="tx1"/>
            </w14:solidFill>
          </w14:textFill>
        </w:rPr>
        <w:t>2</w:t>
      </w:r>
      <w:r>
        <w:rPr>
          <w:rFonts w:hint="eastAsia" w:cs="宋体"/>
          <w:color w:val="000000" w:themeColor="text1"/>
          <w:szCs w:val="24"/>
          <w:highlight w:val="none"/>
          <w14:textFill>
            <w14:solidFill>
              <w14:schemeClr w14:val="tx1"/>
            </w14:solidFill>
          </w14:textFill>
        </w:rPr>
        <w:t>）在“信用中国”网站（http://www.creditchina.gov.cn/）中被列入失信被执行人名单；</w:t>
      </w:r>
    </w:p>
    <w:p w14:paraId="28D9AC66">
      <w:pPr>
        <w:ind w:firstLine="480"/>
        <w:rPr>
          <w:color w:val="000000" w:themeColor="text1"/>
          <w:highlight w:val="none"/>
          <w:lang w:bidi="ar"/>
          <w14:textFill>
            <w14:solidFill>
              <w14:schemeClr w14:val="tx1"/>
            </w14:solidFill>
          </w14:textFill>
        </w:rPr>
      </w:pPr>
      <w:r>
        <w:rPr>
          <w:rFonts w:hint="eastAsia" w:cs="宋体"/>
          <w:color w:val="000000" w:themeColor="text1"/>
          <w:szCs w:val="24"/>
          <w:highlight w:val="none"/>
          <w14:textFill>
            <w14:solidFill>
              <w14:schemeClr w14:val="tx1"/>
            </w14:solidFill>
          </w14:textFill>
        </w:rPr>
        <w:t>（3）在“信用中国”网站（http://www.creditchina.gov.cn/）中被列入重大税收违法案件当事人名单；</w:t>
      </w:r>
    </w:p>
    <w:bookmarkEnd w:id="6"/>
    <w:p w14:paraId="33707C8E">
      <w:pPr>
        <w:ind w:firstLine="360" w:firstLineChars="15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以联合体形式参加磋商的，联合体任何成员存在以上不良信用记录的，联合体磋商将被认定为</w:t>
      </w:r>
      <w:r>
        <w:rPr>
          <w:rFonts w:hint="eastAsia"/>
          <w:b/>
          <w:color w:val="000000" w:themeColor="text1"/>
          <w:highlight w:val="none"/>
          <w14:textFill>
            <w14:solidFill>
              <w14:schemeClr w14:val="tx1"/>
            </w14:solidFill>
          </w14:textFill>
        </w:rPr>
        <w:t>响应无效</w:t>
      </w:r>
      <w:r>
        <w:rPr>
          <w:rFonts w:hint="eastAsia"/>
          <w:color w:val="000000" w:themeColor="text1"/>
          <w:highlight w:val="none"/>
          <w14:textFill>
            <w14:solidFill>
              <w14:schemeClr w14:val="tx1"/>
            </w14:solidFill>
          </w14:textFill>
        </w:rPr>
        <w:t>。</w:t>
      </w:r>
    </w:p>
    <w:p w14:paraId="3C5F54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13.3.2</w:t>
      </w:r>
      <w:r>
        <w:rPr>
          <w:rFonts w:hint="eastAsia"/>
          <w:b/>
          <w:color w:val="000000" w:themeColor="text1"/>
          <w:highlight w:val="none"/>
          <w14:textFill>
            <w14:solidFill>
              <w14:schemeClr w14:val="tx1"/>
            </w14:solidFill>
          </w14:textFill>
        </w:rPr>
        <w:t>磋商</w:t>
      </w:r>
      <w:r>
        <w:rPr>
          <w:rFonts w:hint="eastAsia"/>
          <w:color w:val="000000" w:themeColor="text1"/>
          <w:highlight w:val="none"/>
          <w14:textFill>
            <w14:solidFill>
              <w14:schemeClr w14:val="tx1"/>
            </w14:solidFill>
          </w14:textFill>
        </w:rPr>
        <w:t>。初审合格后，磋商小组将按网上加密电子响应文件提交顺序集中与单一</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分别进行磋商，并给予所有参加磋商的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平等的磋商机会。</w:t>
      </w:r>
    </w:p>
    <w:p w14:paraId="4652F84D">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13.3.3</w:t>
      </w:r>
      <w:r>
        <w:rPr>
          <w:b/>
          <w:color w:val="000000" w:themeColor="text1"/>
          <w:highlight w:val="none"/>
          <w14:textFill>
            <w14:solidFill>
              <w14:schemeClr w14:val="tx1"/>
            </w14:solidFill>
          </w14:textFill>
        </w:rPr>
        <w:t>报价</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磋商结束后，磋商小组应当要求所有</w:t>
      </w:r>
      <w:r>
        <w:rPr>
          <w:rFonts w:hint="eastAsia"/>
          <w:color w:val="000000" w:themeColor="text1"/>
          <w:highlight w:val="none"/>
          <w14:textFill>
            <w14:solidFill>
              <w14:schemeClr w14:val="tx1"/>
            </w14:solidFill>
          </w14:textFill>
        </w:rPr>
        <w:t>实质性响应</w:t>
      </w:r>
      <w:r>
        <w:rPr>
          <w:color w:val="000000" w:themeColor="text1"/>
          <w:highlight w:val="none"/>
          <w14:textFill>
            <w14:solidFill>
              <w14:schemeClr w14:val="tx1"/>
            </w14:solidFill>
          </w14:textFill>
        </w:rPr>
        <w:t>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在规定时间内提交最后报价</w:t>
      </w:r>
      <w:r>
        <w:rPr>
          <w:rFonts w:hint="eastAsia"/>
          <w:color w:val="000000" w:themeColor="text1"/>
          <w:highlight w:val="none"/>
          <w14:textFill>
            <w14:solidFill>
              <w14:schemeClr w14:val="tx1"/>
            </w14:solidFill>
          </w14:textFill>
        </w:rPr>
        <w:t>。</w:t>
      </w:r>
      <w:r>
        <w:rPr>
          <w:rFonts w:hint="eastAsia" w:cs="宋体"/>
          <w:b/>
          <w:bCs/>
          <w:color w:val="000000" w:themeColor="text1"/>
          <w:szCs w:val="24"/>
          <w:highlight w:val="none"/>
          <w14:textFill>
            <w14:solidFill>
              <w14:schemeClr w14:val="tx1"/>
            </w14:solidFill>
          </w14:textFill>
        </w:rPr>
        <w:t>磋商</w:t>
      </w:r>
      <w:r>
        <w:rPr>
          <w:rFonts w:cs="宋体"/>
          <w:b/>
          <w:bCs/>
          <w:color w:val="000000" w:themeColor="text1"/>
          <w:szCs w:val="24"/>
          <w:highlight w:val="none"/>
          <w14:textFill>
            <w14:solidFill>
              <w14:schemeClr w14:val="tx1"/>
            </w14:solidFill>
          </w14:textFill>
        </w:rPr>
        <w:t>文件中另有特殊规定的除外</w:t>
      </w:r>
      <w:r>
        <w:rPr>
          <w:rFonts w:hint="eastAsia" w:cs="宋体"/>
          <w:b/>
          <w:bCs/>
          <w:color w:val="000000" w:themeColor="text1"/>
          <w:szCs w:val="24"/>
          <w:highlight w:val="none"/>
          <w14:textFill>
            <w14:solidFill>
              <w14:schemeClr w14:val="tx1"/>
            </w14:solidFill>
          </w14:textFill>
        </w:rPr>
        <w:t>。</w:t>
      </w:r>
    </w:p>
    <w:p w14:paraId="551615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13.3.4</w:t>
      </w:r>
      <w:r>
        <w:rPr>
          <w:rFonts w:hint="eastAsia"/>
          <w:b/>
          <w:color w:val="000000" w:themeColor="text1"/>
          <w:highlight w:val="none"/>
          <w14:textFill>
            <w14:solidFill>
              <w14:schemeClr w14:val="tx1"/>
            </w14:solidFill>
          </w14:textFill>
        </w:rPr>
        <w:t>综合评分</w:t>
      </w:r>
      <w:r>
        <w:rPr>
          <w:rFonts w:hint="eastAsia"/>
          <w:color w:val="000000" w:themeColor="text1"/>
          <w:highlight w:val="none"/>
          <w14:textFill>
            <w14:solidFill>
              <w14:schemeClr w14:val="tx1"/>
            </w14:solidFill>
          </w14:textFill>
        </w:rPr>
        <w:t>。磋商小组只对通过初审，实质上响应磋商要求的响应文件进行综合评分。经磋商确定最终项目需求和提交最后报价的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后，由磋商小组采用综合评分法对提交最后报价的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的响应文件和最后报价进行综合评分。</w:t>
      </w:r>
    </w:p>
    <w:p w14:paraId="7BC75F6E">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13.4相关说明。</w:t>
      </w:r>
    </w:p>
    <w:p w14:paraId="5C202C26">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13.4.1为保证磋商活动顺利进行，</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 xml:space="preserve">可派相关技术人员进行网上答疑； </w:t>
      </w:r>
    </w:p>
    <w:p w14:paraId="43B6399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13.4.2磋</w:t>
      </w:r>
      <w:r>
        <w:rPr>
          <w:color w:val="000000" w:themeColor="text1"/>
          <w:highlight w:val="none"/>
          <w14:textFill>
            <w14:solidFill>
              <w14:schemeClr w14:val="tx1"/>
            </w14:solidFill>
          </w14:textFill>
        </w:rPr>
        <w:t>商小组根据与</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磋商情况可能实质性变动</w:t>
      </w:r>
      <w:r>
        <w:rPr>
          <w:rFonts w:hint="eastAsia"/>
          <w:color w:val="000000" w:themeColor="text1"/>
          <w:highlight w:val="none"/>
          <w14:textFill>
            <w14:solidFill>
              <w14:schemeClr w14:val="tx1"/>
            </w14:solidFill>
          </w14:textFill>
        </w:rPr>
        <w:t>磋商文件</w:t>
      </w:r>
      <w:r>
        <w:rPr>
          <w:color w:val="000000" w:themeColor="text1"/>
          <w:highlight w:val="none"/>
          <w14:textFill>
            <w14:solidFill>
              <w14:schemeClr w14:val="tx1"/>
            </w14:solidFill>
          </w14:textFill>
        </w:rPr>
        <w:t>的内容，包括</w:t>
      </w:r>
      <w:r>
        <w:rPr>
          <w:rFonts w:hint="eastAsia"/>
          <w:color w:val="000000" w:themeColor="text1"/>
          <w:highlight w:val="none"/>
          <w14:textFill>
            <w14:solidFill>
              <w14:schemeClr w14:val="tx1"/>
            </w14:solidFill>
          </w14:textFill>
        </w:rPr>
        <w:t>项目需求</w:t>
      </w:r>
      <w:r>
        <w:rPr>
          <w:color w:val="000000" w:themeColor="text1"/>
          <w:highlight w:val="none"/>
          <w14:textFill>
            <w14:solidFill>
              <w14:schemeClr w14:val="tx1"/>
            </w14:solidFill>
          </w14:textFill>
        </w:rPr>
        <w:t>中的技术、服务要求以及合同草案条款。磋商文件有实质性变动的，</w:t>
      </w:r>
      <w:r>
        <w:rPr>
          <w:rFonts w:hint="eastAsia"/>
          <w:color w:val="000000" w:themeColor="text1"/>
          <w:highlight w:val="none"/>
          <w14:textFill>
            <w14:solidFill>
              <w14:schemeClr w14:val="tx1"/>
            </w14:solidFill>
          </w14:textFill>
        </w:rPr>
        <w:t>经</w:t>
      </w:r>
      <w:r>
        <w:rPr>
          <w:rFonts w:hint="eastAsia"/>
          <w:color w:val="000000" w:themeColor="text1"/>
          <w:szCs w:val="18"/>
          <w:highlight w:val="none"/>
          <w14:textFill>
            <w14:solidFill>
              <w14:schemeClr w14:val="tx1"/>
            </w14:solidFill>
          </w14:textFill>
        </w:rPr>
        <w:t>业主单位</w:t>
      </w:r>
      <w:r>
        <w:rPr>
          <w:rFonts w:hint="eastAsia"/>
          <w:color w:val="000000" w:themeColor="text1"/>
          <w:highlight w:val="none"/>
          <w14:textFill>
            <w14:solidFill>
              <w14:schemeClr w14:val="tx1"/>
            </w14:solidFill>
          </w14:textFill>
        </w:rPr>
        <w:t>代表确认作为磋商文件的有效组成部分，</w:t>
      </w:r>
      <w:r>
        <w:rPr>
          <w:color w:val="000000" w:themeColor="text1"/>
          <w:highlight w:val="none"/>
          <w14:textFill>
            <w14:solidFill>
              <w14:schemeClr w14:val="tx1"/>
            </w14:solidFill>
          </w14:textFill>
        </w:rPr>
        <w:t>磋商小组</w:t>
      </w:r>
      <w:r>
        <w:rPr>
          <w:rFonts w:hint="eastAsia"/>
          <w:color w:val="000000" w:themeColor="text1"/>
          <w:highlight w:val="none"/>
          <w14:textFill>
            <w14:solidFill>
              <w14:schemeClr w14:val="tx1"/>
            </w14:solidFill>
          </w14:textFill>
        </w:rPr>
        <w:t>将</w:t>
      </w:r>
      <w:r>
        <w:rPr>
          <w:color w:val="000000" w:themeColor="text1"/>
          <w:highlight w:val="none"/>
          <w14:textFill>
            <w14:solidFill>
              <w14:schemeClr w14:val="tx1"/>
            </w14:solidFill>
          </w14:textFill>
        </w:rPr>
        <w:t>以书面形式通知所有参加磋商的</w:t>
      </w:r>
      <w:r>
        <w:rPr>
          <w:rFonts w:hint="eastAsia"/>
          <w:color w:val="000000" w:themeColor="text1"/>
          <w:szCs w:val="18"/>
          <w:highlight w:val="none"/>
          <w14:textFill>
            <w14:solidFill>
              <w14:schemeClr w14:val="tx1"/>
            </w14:solidFill>
          </w14:textFill>
        </w:rPr>
        <w:t>参审单位</w:t>
      </w:r>
      <w:r>
        <w:rPr>
          <w:color w:val="000000" w:themeColor="text1"/>
          <w:highlight w:val="none"/>
          <w14:textFill>
            <w14:solidFill>
              <w14:schemeClr w14:val="tx1"/>
            </w14:solidFill>
          </w14:textFill>
        </w:rPr>
        <w:t>。</w:t>
      </w:r>
    </w:p>
    <w:p w14:paraId="35797865">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13.4.3磋商小组发现</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的报价或者某些分项报价明显低于其他通过初审的</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的报价，有可能影响产品质量和不能诚信履约的，应当要求其在合理的时间内提供书面说明，必要时提交相关证明材料；</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不能证明其报价合理性的，其响应文件将被认定为响应无效。</w:t>
      </w:r>
    </w:p>
    <w:p w14:paraId="1E771143">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13.4.4</w:t>
      </w:r>
      <w:r>
        <w:rPr>
          <w:color w:val="000000" w:themeColor="text1"/>
          <w:highlight w:val="none"/>
          <w14:textFill>
            <w14:solidFill>
              <w14:schemeClr w14:val="tx1"/>
            </w14:solidFill>
          </w14:textFill>
        </w:rPr>
        <w:t>无论何种原因，即使</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时携带了证书材料的原件，但响应文件中未提供与之内容完全一致的</w:t>
      </w:r>
      <w:r>
        <w:rPr>
          <w:rFonts w:hint="eastAsia"/>
          <w:color w:val="000000" w:themeColor="text1"/>
          <w:highlight w:val="none"/>
          <w14:textFill>
            <w14:solidFill>
              <w14:schemeClr w14:val="tx1"/>
            </w14:solidFill>
          </w14:textFill>
        </w:rPr>
        <w:t>扫描件</w:t>
      </w:r>
      <w:r>
        <w:rPr>
          <w:color w:val="000000" w:themeColor="text1"/>
          <w:highlight w:val="none"/>
          <w14:textFill>
            <w14:solidFill>
              <w14:schemeClr w14:val="tx1"/>
            </w14:solidFill>
          </w14:textFill>
        </w:rPr>
        <w:t>或影印件的，</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小组可以视同其未提供。</w:t>
      </w:r>
    </w:p>
    <w:p w14:paraId="7E3ABEA9">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13.4.5磋商</w:t>
      </w:r>
      <w:r>
        <w:rPr>
          <w:color w:val="000000" w:themeColor="text1"/>
          <w:highlight w:val="none"/>
          <w14:textFill>
            <w14:solidFill>
              <w14:schemeClr w14:val="tx1"/>
            </w14:solidFill>
          </w14:textFill>
        </w:rPr>
        <w:t>小组决定响应文件的响应性及符合性只根据响应文件本身的内容，而不寻求其他外部证据。</w:t>
      </w:r>
    </w:p>
    <w:p w14:paraId="1DBE44DC">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5</w:t>
      </w:r>
      <w:r>
        <w:rPr>
          <w:rFonts w:hint="eastAsia"/>
          <w:color w:val="000000" w:themeColor="text1"/>
          <w:szCs w:val="18"/>
          <w:highlight w:val="none"/>
          <w14:textFill>
            <w14:solidFill>
              <w14:schemeClr w14:val="tx1"/>
            </w14:solidFill>
          </w14:textFill>
        </w:rPr>
        <w:t>参审单位</w:t>
      </w:r>
      <w:r>
        <w:rPr>
          <w:rFonts w:hint="eastAsia"/>
          <w:color w:val="000000" w:themeColor="text1"/>
          <w:highlight w:val="none"/>
          <w14:textFill>
            <w14:solidFill>
              <w14:schemeClr w14:val="tx1"/>
            </w14:solidFill>
          </w14:textFill>
        </w:rPr>
        <w:t>授权</w:t>
      </w:r>
      <w:r>
        <w:rPr>
          <w:color w:val="000000" w:themeColor="text1"/>
          <w:highlight w:val="none"/>
          <w14:textFill>
            <w14:solidFill>
              <w14:schemeClr w14:val="tx1"/>
            </w14:solidFill>
          </w14:textFill>
        </w:rPr>
        <w:t>代表对</w:t>
      </w:r>
      <w:r>
        <w:rPr>
          <w:rFonts w:hint="eastAsia"/>
          <w:color w:val="000000" w:themeColor="text1"/>
          <w:highlight w:val="none"/>
          <w14:textFill>
            <w14:solidFill>
              <w14:schemeClr w14:val="tx1"/>
            </w14:solidFill>
          </w14:textFill>
        </w:rPr>
        <w:t>磋商过程</w:t>
      </w:r>
      <w:r>
        <w:rPr>
          <w:color w:val="000000" w:themeColor="text1"/>
          <w:highlight w:val="none"/>
          <w14:textFill>
            <w14:solidFill>
              <w14:schemeClr w14:val="tx1"/>
            </w14:solidFill>
          </w14:textFill>
        </w:rPr>
        <w:t>有疑义，以及认为</w:t>
      </w:r>
      <w:r>
        <w:rPr>
          <w:rFonts w:hint="eastAsia"/>
          <w:color w:val="000000" w:themeColor="text1"/>
          <w:szCs w:val="18"/>
          <w:highlight w:val="none"/>
          <w14:textFill>
            <w14:solidFill>
              <w14:schemeClr w14:val="tx1"/>
            </w14:solidFill>
          </w14:textFill>
        </w:rPr>
        <w:t>业主单位</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代理机构</w:t>
      </w:r>
      <w:r>
        <w:rPr>
          <w:color w:val="000000" w:themeColor="text1"/>
          <w:highlight w:val="none"/>
          <w14:textFill>
            <w14:solidFill>
              <w14:schemeClr w14:val="tx1"/>
            </w14:solidFill>
          </w14:textFill>
        </w:rPr>
        <w:t>相关工作人员有需要回避的情形的，应当场提出询问或者回避申请</w:t>
      </w:r>
      <w:r>
        <w:rPr>
          <w:rFonts w:hint="eastAsia"/>
          <w:color w:val="000000" w:themeColor="text1"/>
          <w:highlight w:val="none"/>
          <w14:textFill>
            <w14:solidFill>
              <w14:schemeClr w14:val="tx1"/>
            </w14:solidFill>
          </w14:textFill>
        </w:rPr>
        <w:t>，并说明理由。</w:t>
      </w:r>
      <w:r>
        <w:rPr>
          <w:color w:val="000000" w:themeColor="text1"/>
          <w:highlight w:val="none"/>
          <w14:textFill>
            <w14:solidFill>
              <w14:schemeClr w14:val="tx1"/>
            </w14:solidFill>
          </w14:textFill>
        </w:rPr>
        <w:t xml:space="preserve"> </w:t>
      </w:r>
    </w:p>
    <w:p w14:paraId="1858C5F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14.终止磋商</w:t>
      </w:r>
    </w:p>
    <w:p w14:paraId="1342CB8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出现下列情况之一时，业主单位和代理机构有权宣布终止磋商，并将理由通知所有供应商：</w:t>
      </w:r>
    </w:p>
    <w:p w14:paraId="208959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14.1</w:t>
      </w:r>
      <w:r>
        <w:rPr>
          <w:rFonts w:hint="eastAsia" w:cs="@仿宋_GB2312" w:asciiTheme="minorEastAsia" w:hAnsiTheme="minorEastAsia" w:eastAsiaTheme="minorEastAsia"/>
          <w:color w:val="000000" w:themeColor="text1"/>
          <w:kern w:val="2"/>
          <w:szCs w:val="24"/>
          <w:highlight w:val="none"/>
          <w14:textFill>
            <w14:solidFill>
              <w14:schemeClr w14:val="tx1"/>
            </w14:solidFill>
          </w14:textFill>
        </w:rPr>
        <w:t>通过初审的供应商</w:t>
      </w:r>
      <w:r>
        <w:rPr>
          <w:rFonts w:hint="eastAsia" w:asciiTheme="minorEastAsia" w:hAnsiTheme="minorEastAsia" w:eastAsiaTheme="minorEastAsia" w:cstheme="minorEastAsia"/>
          <w:color w:val="000000" w:themeColor="text1"/>
          <w:highlight w:val="none"/>
          <w14:textFill>
            <w14:solidFill>
              <w14:schemeClr w14:val="tx1"/>
            </w14:solidFill>
          </w14:textFill>
        </w:rPr>
        <w:t>不足规定数量，导致本次磋商缺乏竞争的；</w:t>
      </w:r>
    </w:p>
    <w:p w14:paraId="1C1507D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14.2出现影响公正的违法、违规行为的；</w:t>
      </w:r>
    </w:p>
    <w:p w14:paraId="2B27174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14.3因重大变故，交易任务取消的；</w:t>
      </w:r>
    </w:p>
    <w:p w14:paraId="5C0CFC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14.4磋商文件有重大漏洞，导致无法继续评审的；</w:t>
      </w:r>
    </w:p>
    <w:p w14:paraId="215C5DEB">
      <w:pPr>
        <w:ind w:firstLine="480"/>
        <w:rPr>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14.5法律法规规定的其他情形。</w:t>
      </w:r>
    </w:p>
    <w:p w14:paraId="76F8E9E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15.响应文件的澄清、说明或更正</w:t>
      </w:r>
    </w:p>
    <w:p w14:paraId="1113C84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15.1评审委员会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14:paraId="6F653548">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15.2评审委员会通过优质采电子工具将需要澄清、说明或补正的内容以询问函的形式发送给供应商，供应商应登录优质采客户端并保持在线状态，以便及时接收评审委员会可能发出的询问函，并在询问函载明的时间内回复，若供应商未及时回复，视为放弃澄清。</w:t>
      </w:r>
    </w:p>
    <w:p w14:paraId="592D513A">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15.3如有询问，授权代表（或法定代表人）可通过远程登录的方式接受网上询问，也可凭本人有效身份证明参加询问。因授权代表联系不上、没有及时登录系统等情形而无法接受评审委员会询问的，供应商自行承担相关风险。</w:t>
      </w:r>
    </w:p>
    <w:p w14:paraId="399A6FB2">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16.最终报价</w:t>
      </w:r>
    </w:p>
    <w:p w14:paraId="4197460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16.1本次磋商一次性报价。</w:t>
      </w:r>
    </w:p>
    <w:p w14:paraId="5E7509D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16.2最终报价是供应商响应文件的有效组成部分，最终报价也是签订合同的依据。</w:t>
      </w:r>
    </w:p>
    <w:p w14:paraId="378C6472">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16.4本项目的服务地点为本须知前附表所述，供应商可到项目现场踏勘以充分了解项目位置、情况及任何其他足以影响磋商报价的情况，任何因忽视或误解项目场地情况而导致的索赔或服务期限延长申请将不被批准。对于受项目现场场地限制，如需要另外寻找场地解决临时住宿，由此所产生的费用应包含在磋商报价范围内，业主单位不再承担该费用。</w:t>
      </w:r>
    </w:p>
    <w:p w14:paraId="6651BC1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16.5本项目不接受恶意不平衡报价，不保证最低价成交。</w:t>
      </w:r>
    </w:p>
    <w:p w14:paraId="60072EF3">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17.成交候选人的推荐原则</w:t>
      </w:r>
    </w:p>
    <w:p w14:paraId="682AFA2A">
      <w:pPr>
        <w:ind w:firstLine="48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评审委员会</w:t>
      </w:r>
      <w:r>
        <w:rPr>
          <w:color w:val="000000" w:themeColor="text1"/>
          <w:highlight w:val="none"/>
          <w14:textFill>
            <w14:solidFill>
              <w14:schemeClr w14:val="tx1"/>
            </w14:solidFill>
          </w14:textFill>
        </w:rPr>
        <w:t>依据本项目</w:t>
      </w:r>
      <w:r>
        <w:rPr>
          <w:rFonts w:hint="eastAsia"/>
          <w:color w:val="000000" w:themeColor="text1"/>
          <w:highlight w:val="none"/>
          <w14:textFill>
            <w14:solidFill>
              <w14:schemeClr w14:val="tx1"/>
            </w14:solidFill>
          </w14:textFill>
        </w:rPr>
        <w:t>磋商</w:t>
      </w:r>
      <w:r>
        <w:rPr>
          <w:color w:val="000000" w:themeColor="text1"/>
          <w:highlight w:val="none"/>
          <w14:textFill>
            <w14:solidFill>
              <w14:schemeClr w14:val="tx1"/>
            </w14:solidFill>
          </w14:textFill>
        </w:rPr>
        <w:t>文件所约定的</w:t>
      </w:r>
      <w:r>
        <w:rPr>
          <w:rFonts w:hint="eastAsia"/>
          <w:color w:val="000000" w:themeColor="text1"/>
          <w:highlight w:val="none"/>
          <w14:textFill>
            <w14:solidFill>
              <w14:schemeClr w14:val="tx1"/>
            </w14:solidFill>
          </w14:textFill>
        </w:rPr>
        <w:t>评审</w:t>
      </w:r>
      <w:r>
        <w:rPr>
          <w:color w:val="000000" w:themeColor="text1"/>
          <w:highlight w:val="none"/>
          <w14:textFill>
            <w14:solidFill>
              <w14:schemeClr w14:val="tx1"/>
            </w14:solidFill>
          </w14:textFill>
        </w:rPr>
        <w:t>方法</w:t>
      </w:r>
      <w:r>
        <w:rPr>
          <w:rFonts w:hint="eastAsia"/>
          <w:color w:val="000000" w:themeColor="text1"/>
          <w:highlight w:val="none"/>
          <w14:textFill>
            <w14:solidFill>
              <w14:schemeClr w14:val="tx1"/>
            </w14:solidFill>
          </w14:textFill>
        </w:rPr>
        <w:t>和标准</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按照有效</w:t>
      </w:r>
      <w:r>
        <w:rPr>
          <w:rFonts w:hint="eastAsia"/>
          <w:color w:val="000000" w:themeColor="text1"/>
          <w:szCs w:val="18"/>
          <w:highlight w:val="none"/>
          <w14:textFill>
            <w14:solidFill>
              <w14:schemeClr w14:val="tx1"/>
            </w14:solidFill>
          </w14:textFill>
        </w:rPr>
        <w:t>供应商</w:t>
      </w:r>
      <w:r>
        <w:rPr>
          <w:rFonts w:hint="eastAsia"/>
          <w:color w:val="000000" w:themeColor="text1"/>
          <w:highlight w:val="none"/>
          <w14:textFill>
            <w14:solidFill>
              <w14:schemeClr w14:val="tx1"/>
            </w14:solidFill>
          </w14:textFill>
        </w:rPr>
        <w:t>综合总得分由高到低依次推荐成交候选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。综合总得分出现两家或两家以上相同者，按最后报价由低到高排序推荐成交候选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；综合总得分且最后报价均相同的，由评审委员会按照技术指标优劣顺序推荐成交候选</w:t>
      </w:r>
      <w:r>
        <w:rPr>
          <w:rFonts w:hint="eastAsia"/>
          <w:color w:val="000000" w:themeColor="text1"/>
          <w:szCs w:val="18"/>
          <w:highlight w:val="none"/>
          <w14:textFill>
            <w14:solidFill>
              <w14:schemeClr w14:val="tx1"/>
            </w14:solidFill>
          </w14:textFill>
        </w:rPr>
        <w:t>人</w:t>
      </w:r>
      <w:r>
        <w:rPr>
          <w:rFonts w:hint="eastAsia"/>
          <w:color w:val="000000" w:themeColor="text1"/>
          <w:highlight w:val="none"/>
          <w14:textFill>
            <w14:solidFill>
              <w14:schemeClr w14:val="tx1"/>
            </w14:solidFill>
          </w14:textFill>
        </w:rPr>
        <w:t>。</w:t>
      </w:r>
    </w:p>
    <w:p w14:paraId="16846D0B">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17.2凡发现成交候选人有下列行为之一的，成交无效，并移交监管部门依法处理：</w:t>
      </w:r>
    </w:p>
    <w:p w14:paraId="74A2A76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17.2.1有下列情形之一的，属于</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796CC5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17.2.1.1</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之间协商报价等响应文件的实质性内容；</w:t>
      </w:r>
    </w:p>
    <w:p w14:paraId="2225235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17.2.1.2</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之间约定成交人；</w:t>
      </w:r>
    </w:p>
    <w:p w14:paraId="458C73C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17.2.1.3</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之间约定部分</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放弃磋商或者成交；</w:t>
      </w:r>
    </w:p>
    <w:p w14:paraId="6B50B79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17.2.1.4属于同一集团、协会、商会等组织成员的</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按照该组织要求协同磋商；</w:t>
      </w:r>
    </w:p>
    <w:p w14:paraId="1B17AD4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17.2.1.5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之间为谋取成交或者排斥特定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而采取的其他联合行动。</w:t>
      </w:r>
    </w:p>
    <w:p w14:paraId="72BCC04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17.2.2有下列情形之一的，视为</w:t>
      </w:r>
      <w:r>
        <w:rPr>
          <w:rFonts w:hint="eastAsia"/>
          <w:color w:val="000000" w:themeColor="text1"/>
          <w:szCs w:val="18"/>
          <w:highlight w:val="none"/>
          <w14:textFill>
            <w14:solidFill>
              <w14:schemeClr w14:val="tx1"/>
            </w14:solidFill>
          </w14:textFill>
        </w:rPr>
        <w:t>供应商间</w:t>
      </w:r>
      <w:r>
        <w:rPr>
          <w:rFonts w:hint="eastAsia" w:cs="宋体"/>
          <w:color w:val="000000" w:themeColor="text1"/>
          <w:szCs w:val="24"/>
          <w:highlight w:val="none"/>
          <w:lang w:bidi="ar"/>
          <w14:textFill>
            <w14:solidFill>
              <w14:schemeClr w14:val="tx1"/>
            </w14:solidFill>
          </w14:textFill>
        </w:rPr>
        <w:t>相互串通：</w:t>
      </w:r>
    </w:p>
    <w:p w14:paraId="62284D6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17.2.2.1不同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的响应文件由同一单位或者个人编制；</w:t>
      </w:r>
    </w:p>
    <w:p w14:paraId="194CF60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17.2.2.2不同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委托同一单位或者个人办理磋商事宜；</w:t>
      </w:r>
    </w:p>
    <w:p w14:paraId="6FA0D5E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17.2.2.3不同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的响应文件载明的项目管理成员为同一人；</w:t>
      </w:r>
    </w:p>
    <w:p w14:paraId="3CE069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17.2.2.4不同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的响应文件异常一致或者报价呈规律性差异；</w:t>
      </w:r>
    </w:p>
    <w:p w14:paraId="1B48E0B5">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17.2.2.5不同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的响应文件相互混装；</w:t>
      </w:r>
    </w:p>
    <w:p w14:paraId="73E2C3C0">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17.2.2.6不同</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的磋商保证金从同一单位或者个人的账户转出。</w:t>
      </w:r>
    </w:p>
    <w:p w14:paraId="7BEC64D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17.2.3有下列情形之一的，属于</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串通：</w:t>
      </w:r>
    </w:p>
    <w:p w14:paraId="78E20B2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17.2.3.1</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在磋商前开启响应文件并将有关信息泄露给其他</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w:t>
      </w:r>
    </w:p>
    <w:p w14:paraId="17FF64A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直接或者间接向</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泄露标底、评审委员会成员等信息；</w:t>
      </w:r>
    </w:p>
    <w:p w14:paraId="45BE82F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17.2.3.3</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压低或者抬高报价；</w:t>
      </w:r>
    </w:p>
    <w:p w14:paraId="6854B8AA">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17.2.3.4</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授意</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撤换、修改响应文件；</w:t>
      </w:r>
    </w:p>
    <w:p w14:paraId="53DC6E8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17.2.3.5</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明示或者暗示</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成交提供方便；</w:t>
      </w:r>
    </w:p>
    <w:p w14:paraId="159F2018">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17.2.3.6</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与</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为谋求特定</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成交而采取的其他串通行为。</w:t>
      </w:r>
    </w:p>
    <w:p w14:paraId="619BAF16">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17.2.4使用通过受让或者租借等方式获取的资格、资质证书参与磋商的，</w:t>
      </w:r>
    </w:p>
    <w:p w14:paraId="047ACCC4">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w:t>
      </w:r>
      <w:r>
        <w:rPr>
          <w:rFonts w:hint="eastAsia"/>
          <w:color w:val="000000" w:themeColor="text1"/>
          <w:szCs w:val="18"/>
          <w:highlight w:val="none"/>
          <w14:textFill>
            <w14:solidFill>
              <w14:schemeClr w14:val="tx1"/>
            </w14:solidFill>
          </w14:textFill>
        </w:rPr>
        <w:t>供应商</w:t>
      </w:r>
      <w:r>
        <w:rPr>
          <w:rFonts w:hint="eastAsia" w:cs="宋体"/>
          <w:color w:val="000000" w:themeColor="text1"/>
          <w:szCs w:val="24"/>
          <w:highlight w:val="none"/>
          <w:lang w:bidi="ar"/>
          <w14:textFill>
            <w14:solidFill>
              <w14:schemeClr w14:val="tx1"/>
            </w14:solidFill>
          </w14:textFill>
        </w:rPr>
        <w:t>有下列情形之一的，属于以其他方式弄虚作假的行为：</w:t>
      </w:r>
    </w:p>
    <w:p w14:paraId="1517C503">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17.2.5.1使用伪造、变造的许可证件；</w:t>
      </w:r>
    </w:p>
    <w:p w14:paraId="63551CB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17.2.5.2提供虚假的财务状况或者业绩；</w:t>
      </w:r>
    </w:p>
    <w:p w14:paraId="433C00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17.2.5.3提供虚假的项目负责人或者主要技术人员简历、劳动关系证明；</w:t>
      </w:r>
    </w:p>
    <w:p w14:paraId="6CBAEFF1">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17.2.5.4提供虚假的信用状况；</w:t>
      </w:r>
    </w:p>
    <w:p w14:paraId="607EDDFD">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17.2.5.5其他弄虚作假的行为。</w:t>
      </w:r>
    </w:p>
    <w:p w14:paraId="6FC28BCF">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17.2.6其他违反法规和规章强制性规定的行为。</w:t>
      </w:r>
    </w:p>
    <w:p w14:paraId="027D0B1A">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18.确定成交候选人和成交人</w:t>
      </w:r>
    </w:p>
    <w:p w14:paraId="6058C87C">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委员会根据综合评分的结果和供应商须知前附表中规定确定成交候选人，并标明排列顺序。排名第一的成交候选人经业主单位或业主单位授权的评审委员会确定为成交人后，由代理机构在指定媒体上予以公告。</w:t>
      </w:r>
    </w:p>
    <w:p w14:paraId="0387EB7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19.编写评审报告</w:t>
      </w:r>
    </w:p>
    <w:p w14:paraId="2F5791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评审报告是根据全体评审委员会成员签字的原始评审记录和评审结果编写的报告，评审报告由评审委员会全体成员签字。对评审结论持有异议的评审委员会成员可以阐述其不同意见和理由。评审委员会成员拒绝在评审报告上签字且不陈述其不同意见和理由的，视为同意评审结论。</w:t>
      </w:r>
    </w:p>
    <w:p w14:paraId="504B2B0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20.保密要求</w:t>
      </w:r>
    </w:p>
    <w:p w14:paraId="2E9578B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20.1评审将在严格保密的情况下进行。</w:t>
      </w:r>
    </w:p>
    <w:p w14:paraId="796E07A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20.2有关人员应当遵守评审工作纪律，不得泄露评审文件、评审情况和评审中获悉的国家秘密、商业秘密等。</w:t>
      </w:r>
    </w:p>
    <w:p w14:paraId="22E22E9C">
      <w:pPr>
        <w:ind w:firstLine="482"/>
        <w:outlineLvl w:val="3"/>
        <w:rPr>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21.成交候选人和成交结果公示</w:t>
      </w:r>
    </w:p>
    <w:p w14:paraId="0B1B3089">
      <w:pPr>
        <w:ind w:firstLine="480"/>
        <w:rPr>
          <w:rFonts w:cs="宋体"/>
          <w:color w:val="000000" w:themeColor="text1"/>
          <w:szCs w:val="24"/>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21.1磋商结束后，代理机构将在</w:t>
      </w:r>
      <w:r>
        <w:rPr>
          <w:rFonts w:hint="eastAsia"/>
          <w:color w:val="000000" w:themeColor="text1"/>
          <w:highlight w:val="none"/>
          <w14:textFill>
            <w14:solidFill>
              <w14:schemeClr w14:val="tx1"/>
            </w14:solidFill>
          </w14:textFill>
        </w:rPr>
        <w:t>发布磋商公告的媒介上</w:t>
      </w:r>
      <w:r>
        <w:rPr>
          <w:rFonts w:hint="eastAsia" w:cs="宋体"/>
          <w:color w:val="000000" w:themeColor="text1"/>
          <w:szCs w:val="24"/>
          <w:highlight w:val="none"/>
          <w:lang w:bidi="ar"/>
          <w14:textFill>
            <w14:solidFill>
              <w14:schemeClr w14:val="tx1"/>
            </w14:solidFill>
          </w14:textFill>
        </w:rPr>
        <w:t>发布成交候选人公示和成交结果公示。</w:t>
      </w:r>
    </w:p>
    <w:p w14:paraId="180484EA">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21.2</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在收到评审报告之日起3日内，依法公示成交候选人。</w:t>
      </w:r>
      <w:r>
        <w:rPr>
          <w:rFonts w:hint="eastAsia"/>
          <w:color w:val="000000" w:themeColor="text1"/>
          <w:szCs w:val="18"/>
          <w:highlight w:val="none"/>
          <w14:textFill>
            <w14:solidFill>
              <w14:schemeClr w14:val="tx1"/>
            </w14:solidFill>
          </w14:textFill>
        </w:rPr>
        <w:t>业主单位</w:t>
      </w:r>
      <w:r>
        <w:rPr>
          <w:rFonts w:hint="eastAsia" w:cs="宋体"/>
          <w:color w:val="000000" w:themeColor="text1"/>
          <w:szCs w:val="24"/>
          <w:highlight w:val="none"/>
          <w:lang w:bidi="ar"/>
          <w14:textFill>
            <w14:solidFill>
              <w14:schemeClr w14:val="tx1"/>
            </w14:solidFill>
          </w14:textFill>
        </w:rPr>
        <w:t>在确定成交人之日起3日内，依法公示成交结果。</w:t>
      </w:r>
    </w:p>
    <w:p w14:paraId="1CCCB590">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22.磋商结果的异议、投诉</w:t>
      </w:r>
    </w:p>
    <w:p w14:paraId="4568857F">
      <w:pPr>
        <w:ind w:firstLine="480"/>
        <w:rPr>
          <w:rFonts w:cs="宋体"/>
          <w:color w:val="000000" w:themeColor="text1"/>
          <w:kern w:val="2"/>
          <w:szCs w:val="24"/>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22.1对于磋商结果有异议的，应在成交结果公告规定的时间内向业主单位或代理机构提出。</w:t>
      </w:r>
    </w:p>
    <w:p w14:paraId="284195E7">
      <w:pPr>
        <w:ind w:firstLine="480"/>
        <w:rPr>
          <w:color w:val="000000" w:themeColor="text1"/>
          <w:highlight w:val="none"/>
          <w14:textFill>
            <w14:solidFill>
              <w14:schemeClr w14:val="tx1"/>
            </w14:solidFill>
          </w14:textFill>
        </w:rPr>
      </w:pPr>
      <w:r>
        <w:rPr>
          <w:rFonts w:hint="eastAsia" w:cs="宋体"/>
          <w:color w:val="000000" w:themeColor="text1"/>
          <w:kern w:val="2"/>
          <w:szCs w:val="24"/>
          <w:highlight w:val="none"/>
          <w14:textFill>
            <w14:solidFill>
              <w14:schemeClr w14:val="tx1"/>
            </w14:solidFill>
          </w14:textFill>
        </w:rPr>
        <w:t>22.2对于异议答复不满意的，应在收到异议答复之日起3日内向磋商公告载明的监督管理部门提出。</w:t>
      </w:r>
    </w:p>
    <w:p w14:paraId="75188AD6">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23.成交通知书</w:t>
      </w:r>
    </w:p>
    <w:p w14:paraId="38AC840D">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23.1代理机构发布成交结果公告的同时以供应商须知前附表规定的形式向成交人发出成交通知书。</w:t>
      </w:r>
    </w:p>
    <w:p w14:paraId="1937379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23.2成交通知书对业主单位和成交人具有同等法律效力。成交通知书发出以后，业主单位改变成交结果或者成交人放弃成交资格，应当承担相应的法律责任。</w:t>
      </w:r>
    </w:p>
    <w:p w14:paraId="09E8DE2E">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23.3成交通知书是合同的组成部分。</w:t>
      </w:r>
    </w:p>
    <w:p w14:paraId="5829E258">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24.告知磋商结果</w:t>
      </w:r>
    </w:p>
    <w:p w14:paraId="5AAB6836">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24.1成交结果公告发布后，供应商自行登录系统查询结果信息。</w:t>
      </w:r>
    </w:p>
    <w:p w14:paraId="0598914B">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24.2代理机构对未成交的供应商不做未成交原因的解释。</w:t>
      </w:r>
    </w:p>
    <w:p w14:paraId="05FA656E">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25.履约保证金</w:t>
      </w:r>
    </w:p>
    <w:p w14:paraId="4523BBF2">
      <w:pPr>
        <w:ind w:firstLine="480"/>
        <w:rPr>
          <w:rFonts w:cs="宋体"/>
          <w:color w:val="000000" w:themeColor="text1"/>
          <w:szCs w:val="24"/>
          <w:highlight w:val="none"/>
          <w:lang w:bidi="ar"/>
          <w14:textFill>
            <w14:solidFill>
              <w14:schemeClr w14:val="tx1"/>
            </w14:solidFill>
          </w14:textFill>
        </w:rPr>
      </w:pPr>
      <w:r>
        <w:rPr>
          <w:rFonts w:hint="eastAsia" w:cs="宋体"/>
          <w:color w:val="000000" w:themeColor="text1"/>
          <w:szCs w:val="24"/>
          <w:highlight w:val="none"/>
          <w:lang w:bidi="ar"/>
          <w14:textFill>
            <w14:solidFill>
              <w14:schemeClr w14:val="tx1"/>
            </w14:solidFill>
          </w14:textFill>
        </w:rPr>
        <w:t>25.1成交人应按照</w:t>
      </w:r>
      <w:r>
        <w:rPr>
          <w:rFonts w:hint="eastAsia"/>
          <w:color w:val="000000" w:themeColor="text1"/>
          <w:szCs w:val="18"/>
          <w:highlight w:val="none"/>
          <w14:textFill>
            <w14:solidFill>
              <w14:schemeClr w14:val="tx1"/>
            </w14:solidFill>
          </w14:textFill>
        </w:rPr>
        <w:t>参审单位</w:t>
      </w:r>
      <w:r>
        <w:rPr>
          <w:rFonts w:hint="eastAsia" w:cs="宋体"/>
          <w:color w:val="000000" w:themeColor="text1"/>
          <w:szCs w:val="24"/>
          <w:highlight w:val="none"/>
          <w:lang w:bidi="ar"/>
          <w14:textFill>
            <w14:solidFill>
              <w14:schemeClr w14:val="tx1"/>
            </w14:solidFill>
          </w14:textFill>
        </w:rPr>
        <w:t>须知前附表规定缴纳履约保证金。</w:t>
      </w:r>
    </w:p>
    <w:p w14:paraId="659F254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cs="宋体" w:eastAsiaTheme="minorEastAsia"/>
          <w:color w:val="000000" w:themeColor="text1"/>
          <w:szCs w:val="24"/>
          <w:highlight w:val="none"/>
          <w:lang w:bidi="ar"/>
          <w14:textFill>
            <w14:solidFill>
              <w14:schemeClr w14:val="tx1"/>
            </w14:solidFill>
          </w14:textFill>
        </w:rPr>
        <w:t>25.2</w:t>
      </w:r>
      <w:r>
        <w:rPr>
          <w:rFonts w:hint="eastAsia" w:asciiTheme="minorEastAsia" w:hAnsiTheme="minorEastAsia" w:eastAsiaTheme="minorEastAsia" w:cstheme="minorEastAsia"/>
          <w:color w:val="000000" w:themeColor="text1"/>
          <w:highlight w:val="none"/>
          <w14:textFill>
            <w14:solidFill>
              <w14:schemeClr w14:val="tx1"/>
            </w14:solidFill>
          </w14:textFill>
        </w:rPr>
        <w:t>如果成交人没有按照供应商须知前附表中履约保证金的规定执行，将视为放弃成交资格。在此情况下，业主单位可确定下一成交候选人为成交人，也可以重新开展磋商。</w:t>
      </w:r>
    </w:p>
    <w:p w14:paraId="29C6852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26.代理费用</w:t>
      </w:r>
    </w:p>
    <w:p w14:paraId="485EE819">
      <w:pPr>
        <w:ind w:firstLine="48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color w:val="000000" w:themeColor="text1"/>
          <w:kern w:val="2"/>
          <w:highlight w:val="none"/>
          <w14:textFill>
            <w14:solidFill>
              <w14:schemeClr w14:val="tx1"/>
            </w14:solidFill>
          </w14:textFill>
        </w:rPr>
        <w:t>成交人放弃成交资格的，</w:t>
      </w:r>
      <w:r>
        <w:rPr>
          <w:rFonts w:hint="eastAsia" w:asciiTheme="minorEastAsia" w:hAnsiTheme="minorEastAsia" w:eastAsiaTheme="minorEastAsia" w:cstheme="minorEastAsia"/>
          <w:color w:val="000000" w:themeColor="text1"/>
          <w:highlight w:val="none"/>
          <w14:textFill>
            <w14:solidFill>
              <w14:schemeClr w14:val="tx1"/>
            </w14:solidFill>
          </w14:textFill>
        </w:rPr>
        <w:t>本磋商项目应收取的</w:t>
      </w:r>
      <w:r>
        <w:rPr>
          <w:rFonts w:hint="eastAsia"/>
          <w:color w:val="000000" w:themeColor="text1"/>
          <w:szCs w:val="24"/>
          <w:highlight w:val="none"/>
          <w14:textFill>
            <w14:solidFill>
              <w14:schemeClr w14:val="tx1"/>
            </w14:solidFill>
          </w14:textFill>
        </w:rPr>
        <w:t>代理服务费</w:t>
      </w:r>
      <w:r>
        <w:rPr>
          <w:rFonts w:hint="eastAsia" w:asciiTheme="minorEastAsia" w:hAnsiTheme="minorEastAsia" w:eastAsiaTheme="minorEastAsia" w:cstheme="minorEastAsia"/>
          <w:color w:val="000000" w:themeColor="text1"/>
          <w:kern w:val="2"/>
          <w:highlight w:val="none"/>
          <w14:textFill>
            <w14:solidFill>
              <w14:schemeClr w14:val="tx1"/>
            </w14:solidFill>
          </w14:textFill>
        </w:rPr>
        <w:t>由其承担。</w:t>
      </w:r>
    </w:p>
    <w:p w14:paraId="3C9BC583">
      <w:pPr>
        <w:ind w:firstLine="482"/>
        <w:rPr>
          <w:rFonts w:asciiTheme="minorEastAsia" w:hAnsiTheme="minorEastAsia" w:eastAsiaTheme="minorEastAsia" w:cstheme="minorEastAsia"/>
          <w:b/>
          <w:bCs/>
          <w:color w:val="000000" w:themeColor="text1"/>
          <w:kern w:val="2"/>
          <w:highlight w:val="none"/>
          <w14:textFill>
            <w14:solidFill>
              <w14:schemeClr w14:val="tx1"/>
            </w14:solidFill>
          </w14:textFill>
        </w:rPr>
      </w:pPr>
      <w:r>
        <w:rPr>
          <w:rFonts w:hint="eastAsia" w:asciiTheme="minorEastAsia" w:hAnsiTheme="minorEastAsia" w:eastAsiaTheme="minorEastAsia" w:cstheme="minorEastAsia"/>
          <w:b/>
          <w:bCs/>
          <w:color w:val="000000" w:themeColor="text1"/>
          <w:kern w:val="2"/>
          <w:highlight w:val="none"/>
          <w14:textFill>
            <w14:solidFill>
              <w14:schemeClr w14:val="tx1"/>
            </w14:solidFill>
          </w14:textFill>
        </w:rPr>
        <w:t>代理费用收取账户信息如下：</w:t>
      </w:r>
    </w:p>
    <w:p w14:paraId="46D2F272">
      <w:pPr>
        <w:ind w:firstLine="723" w:firstLineChars="300"/>
        <w:rPr>
          <w:b/>
          <w:highlight w:val="none"/>
        </w:rPr>
      </w:pPr>
      <w:r>
        <w:rPr>
          <w:rFonts w:hint="eastAsia"/>
          <w:b/>
          <w:highlight w:val="none"/>
        </w:rPr>
        <w:t>户名：肥西县公共资源交易有限责任公司</w:t>
      </w:r>
    </w:p>
    <w:p w14:paraId="7CB27270">
      <w:pPr>
        <w:ind w:firstLine="723" w:firstLineChars="300"/>
        <w:rPr>
          <w:b/>
          <w:highlight w:val="none"/>
        </w:rPr>
      </w:pPr>
      <w:r>
        <w:rPr>
          <w:rFonts w:hint="eastAsia"/>
          <w:b/>
          <w:highlight w:val="none"/>
        </w:rPr>
        <w:t>账号：179746801939</w:t>
      </w:r>
    </w:p>
    <w:p w14:paraId="58EB3799">
      <w:pPr>
        <w:ind w:firstLine="723" w:firstLineChars="300"/>
        <w:rPr>
          <w:rFonts w:asciiTheme="minorEastAsia" w:hAnsiTheme="minorEastAsia" w:eastAsiaTheme="minorEastAsia" w:cstheme="minorEastAsia"/>
          <w:color w:val="000000" w:themeColor="text1"/>
          <w:kern w:val="2"/>
          <w:highlight w:val="none"/>
          <w14:textFill>
            <w14:solidFill>
              <w14:schemeClr w14:val="tx1"/>
            </w14:solidFill>
          </w14:textFill>
        </w:rPr>
      </w:pPr>
      <w:r>
        <w:rPr>
          <w:rFonts w:hint="eastAsia"/>
          <w:b/>
          <w:highlight w:val="none"/>
        </w:rPr>
        <w:t>开户行：中国银行股份有限公司肥西支行</w:t>
      </w:r>
    </w:p>
    <w:p w14:paraId="7E962B9B">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27.签订合同</w:t>
      </w:r>
    </w:p>
    <w:p w14:paraId="21604F7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27.1业主单位与成交人应当在成交通知书发出后及时签订合同。</w:t>
      </w:r>
    </w:p>
    <w:p w14:paraId="323CD5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27.2磋商文件、成交人的响应文件及其澄清文件等，均为签订合同的依据。</w:t>
      </w:r>
    </w:p>
    <w:p w14:paraId="5BCE7115">
      <w:pPr>
        <w:ind w:firstLine="470" w:firstLineChars="196"/>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27.3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647071D5">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28.廉洁自律规定</w:t>
      </w:r>
    </w:p>
    <w:p w14:paraId="49F006F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28.1代理机构工作人员不得以不正当手段获取代理业务，不得与业主单位、供应商恶意串通。</w:t>
      </w:r>
    </w:p>
    <w:p w14:paraId="1E7353C9">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28.2代理机构工作人员不得接受业主单位或者供应商组织的宴请、旅游、娱乐，不得收受礼品、现金、有价证券等，不得向业主单位或者供应商报销应当由个人承担的费用。</w:t>
      </w:r>
    </w:p>
    <w:p w14:paraId="1E2CEDF9">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29</w:t>
      </w:r>
      <w:r>
        <w:rPr>
          <w:rFonts w:asciiTheme="minorEastAsia" w:hAnsiTheme="minorEastAsia" w:eastAsiaTheme="minorEastAsia" w:cstheme="minorEastAsia"/>
          <w:b/>
          <w:color w:val="000000" w:themeColor="text1"/>
          <w:highlight w:val="none"/>
          <w14:textFill>
            <w14:solidFill>
              <w14:schemeClr w14:val="tx1"/>
            </w14:solidFill>
          </w14:textFill>
        </w:rPr>
        <w:t>.</w:t>
      </w:r>
      <w:r>
        <w:rPr>
          <w:rFonts w:hint="eastAsia" w:asciiTheme="minorEastAsia" w:hAnsiTheme="minorEastAsia" w:eastAsiaTheme="minorEastAsia" w:cstheme="minorEastAsia"/>
          <w:b/>
          <w:color w:val="000000" w:themeColor="text1"/>
          <w:highlight w:val="none"/>
          <w14:textFill>
            <w14:solidFill>
              <w14:schemeClr w14:val="tx1"/>
            </w14:solidFill>
          </w14:textFill>
        </w:rPr>
        <w:t>异议的提出与接收</w:t>
      </w:r>
    </w:p>
    <w:p w14:paraId="7D57A25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29.1参审单位认为磋商文件、磋商过程和成交结果使自己的权益受到损害的，可以在知道或者应知其权益受到损害之日起三日内，以书面形式向业主单位或其委托的代理机构提出异议。</w:t>
      </w:r>
    </w:p>
    <w:p w14:paraId="3E206402">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29.2异议应以书面形式实名提出，书面异议材料应当包括以下内容：</w:t>
      </w:r>
    </w:p>
    <w:p w14:paraId="3CBB7911">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29.3异议人的名称、地址、有效联系方式；</w:t>
      </w:r>
    </w:p>
    <w:p w14:paraId="73DB9B0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29.5项目名称、项目编号、包别号（如有）；</w:t>
      </w:r>
    </w:p>
    <w:p w14:paraId="741471CC">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29.6被异议人名称；</w:t>
      </w:r>
    </w:p>
    <w:p w14:paraId="209F4C50">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29.7具体的异议事项、基本事实及必要的证明材料；</w:t>
      </w:r>
    </w:p>
    <w:p w14:paraId="00467A75">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29.8明确的请求及主张；</w:t>
      </w:r>
    </w:p>
    <w:p w14:paraId="68B7B8C4">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29.9提起异议的日期。</w:t>
      </w:r>
    </w:p>
    <w:p w14:paraId="55D8D29F">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异议人为法人或者其他组织的，应当由法定代表人或其委托代理人（需有委托授权书）签字并加盖公章。异议人需要修改、补充异议材料的，应当在异议期内提交修改或补充材料。</w:t>
      </w:r>
    </w:p>
    <w:p w14:paraId="0FB9A837">
      <w:pPr>
        <w:ind w:firstLine="480"/>
        <w:rPr>
          <w:rFonts w:asciiTheme="minorEastAsia" w:hAnsiTheme="minorEastAsia" w:eastAsiaTheme="minorEastAsia" w:cstheme="minorEastAsia"/>
          <w:color w:val="000000" w:themeColor="text1"/>
          <w:highlight w:val="none"/>
          <w14:textFill>
            <w14:solidFill>
              <w14:schemeClr w14:val="tx1"/>
            </w14:solidFill>
          </w14:textFill>
        </w:rPr>
      </w:pPr>
      <w:r>
        <w:rPr>
          <w:rFonts w:hint="eastAsia" w:asciiTheme="minorEastAsia" w:hAnsiTheme="minorEastAsia" w:eastAsiaTheme="minorEastAsia" w:cstheme="minorEastAsia"/>
          <w:color w:val="000000" w:themeColor="text1"/>
          <w:highlight w:val="none"/>
          <w14:textFill>
            <w14:solidFill>
              <w14:schemeClr w14:val="tx1"/>
            </w14:solidFill>
          </w14:textFill>
        </w:rPr>
        <w:t>29.10代理机构异议函接收部门、联系电话和通讯地址，见参审单位须知前附表。</w:t>
      </w:r>
    </w:p>
    <w:p w14:paraId="5F554D1F">
      <w:pPr>
        <w:ind w:firstLine="482"/>
        <w:outlineLvl w:val="3"/>
        <w:rPr>
          <w:rFonts w:asciiTheme="minorEastAsia" w:hAnsiTheme="minorEastAsia" w:eastAsiaTheme="minorEastAsia" w:cstheme="minorEastAsia"/>
          <w:b/>
          <w:color w:val="000000" w:themeColor="text1"/>
          <w:highlight w:val="none"/>
          <w14:textFill>
            <w14:solidFill>
              <w14:schemeClr w14:val="tx1"/>
            </w14:solidFill>
          </w14:textFill>
        </w:rPr>
      </w:pPr>
      <w:r>
        <w:rPr>
          <w:rFonts w:hint="eastAsia" w:asciiTheme="minorEastAsia" w:hAnsiTheme="minorEastAsia" w:eastAsiaTheme="minorEastAsia" w:cstheme="minorEastAsia"/>
          <w:b/>
          <w:color w:val="000000" w:themeColor="text1"/>
          <w:highlight w:val="none"/>
          <w14:textFill>
            <w14:solidFill>
              <w14:schemeClr w14:val="tx1"/>
            </w14:solidFill>
          </w14:textFill>
        </w:rPr>
        <w:t>30.需要补充的其他内容</w:t>
      </w:r>
    </w:p>
    <w:p w14:paraId="538DC757">
      <w:pPr>
        <w:ind w:firstLine="480"/>
        <w:rPr>
          <w:rFonts w:asciiTheme="minorEastAsia" w:hAnsiTheme="minorEastAsia" w:eastAsiaTheme="minorEastAsia"/>
          <w:highlight w:val="none"/>
        </w:rPr>
      </w:pPr>
      <w:r>
        <w:rPr>
          <w:rFonts w:hint="eastAsia" w:asciiTheme="minorEastAsia" w:hAnsiTheme="minorEastAsia" w:eastAsiaTheme="minorEastAsia" w:cstheme="minorEastAsia"/>
          <w:color w:val="000000" w:themeColor="text1"/>
          <w:highlight w:val="none"/>
          <w14:textFill>
            <w14:solidFill>
              <w14:schemeClr w14:val="tx1"/>
            </w14:solidFill>
          </w14:textFill>
        </w:rPr>
        <w:t>需要补充的其他内容，见供应商须知前附表</w:t>
      </w:r>
      <w:r>
        <w:rPr>
          <w:rFonts w:hint="eastAsia"/>
          <w:color w:val="000000" w:themeColor="text1"/>
          <w:highlight w:val="none"/>
          <w14:textFill>
            <w14:solidFill>
              <w14:schemeClr w14:val="tx1"/>
            </w14:solidFill>
          </w14:textFill>
        </w:rPr>
        <w:t>。</w:t>
      </w:r>
    </w:p>
    <w:p w14:paraId="7E8CD354">
      <w:pPr>
        <w:ind w:firstLine="480"/>
        <w:rPr>
          <w:highlight w:val="none"/>
        </w:rPr>
      </w:pPr>
      <w:r>
        <w:rPr>
          <w:rFonts w:asciiTheme="minorEastAsia" w:hAnsiTheme="minorEastAsia" w:eastAsiaTheme="minorEastAsia"/>
          <w:highlight w:val="none"/>
        </w:rPr>
        <w:br w:type="page"/>
      </w:r>
    </w:p>
    <w:p w14:paraId="100C0F15">
      <w:pPr>
        <w:ind w:firstLine="562"/>
        <w:jc w:val="center"/>
        <w:outlineLvl w:val="1"/>
        <w:rPr>
          <w:rFonts w:asciiTheme="minorEastAsia" w:hAnsiTheme="minorEastAsia" w:eastAsiaTheme="minorEastAsia"/>
          <w:b/>
          <w:sz w:val="28"/>
          <w:highlight w:val="none"/>
        </w:rPr>
      </w:pPr>
      <w:bookmarkStart w:id="7" w:name="_Toc192058172"/>
      <w:r>
        <w:rPr>
          <w:rFonts w:hint="eastAsia" w:asciiTheme="minorEastAsia" w:hAnsiTheme="minorEastAsia" w:eastAsiaTheme="minorEastAsia"/>
          <w:b/>
          <w:sz w:val="28"/>
          <w:highlight w:val="none"/>
        </w:rPr>
        <w:t>第三章  业主单位要求</w:t>
      </w:r>
      <w:bookmarkEnd w:id="7"/>
    </w:p>
    <w:p w14:paraId="57619E82">
      <w:pPr>
        <w:ind w:firstLine="480"/>
        <w:rPr>
          <w:rFonts w:ascii="Times New Roman" w:hAnsi="Times New Roman"/>
          <w:szCs w:val="24"/>
          <w:highlight w:val="none"/>
        </w:rPr>
      </w:pPr>
      <w:bookmarkStart w:id="8" w:name="_Toc482188637"/>
      <w:r>
        <w:rPr>
          <w:rFonts w:hint="eastAsia" w:ascii="Times New Roman" w:hAnsi="Times New Roman"/>
          <w:szCs w:val="24"/>
          <w:highlight w:val="none"/>
        </w:rPr>
        <w:t>本说明中提出的技术方案仅为参考，如无明确限制，供应商可以进行优化，提供满足用户实际需要的更优（或者性能实质上不低于的）服务方案，且此方案须经磋商小组评审认可。</w:t>
      </w:r>
    </w:p>
    <w:bookmarkEnd w:id="8"/>
    <w:p w14:paraId="704F8753">
      <w:pPr>
        <w:pStyle w:val="5"/>
        <w:ind w:left="0" w:leftChars="0" w:firstLine="482" w:firstLineChars="200"/>
        <w:rPr>
          <w:rFonts w:hint="eastAsia" w:ascii="宋体" w:hAnsi="宋体" w:eastAsia="宋体" w:cs="宋体"/>
          <w:b/>
          <w:color w:val="000000"/>
          <w:sz w:val="24"/>
          <w:szCs w:val="24"/>
        </w:rPr>
      </w:pPr>
      <w:bookmarkStart w:id="9" w:name="_Toc3273"/>
      <w:bookmarkStart w:id="10" w:name="_Toc482188638"/>
      <w:r>
        <w:rPr>
          <w:rFonts w:hint="eastAsia" w:ascii="宋体" w:hAnsi="宋体" w:eastAsia="宋体" w:cs="宋体"/>
          <w:b/>
          <w:color w:val="000000" w:themeColor="text1"/>
          <w:sz w:val="24"/>
          <w:szCs w:val="24"/>
          <w:highlight w:val="none"/>
          <w14:textFill>
            <w14:solidFill>
              <w14:schemeClr w14:val="tx1"/>
            </w14:solidFill>
          </w14:textFill>
        </w:rPr>
        <w:t>一、供应商须知前附表</w:t>
      </w:r>
    </w:p>
    <w:tbl>
      <w:tblPr>
        <w:tblStyle w:val="13"/>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463"/>
        <w:gridCol w:w="6138"/>
      </w:tblGrid>
      <w:tr w14:paraId="39A2F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1158E987">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序号</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01CEDC22">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条款名称</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25B343AD">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rPr>
            </w:pPr>
            <w:r>
              <w:rPr>
                <w:rFonts w:hint="eastAsia" w:ascii="宋体" w:hAnsi="宋体" w:eastAsia="宋体" w:cs="宋体"/>
                <w:b/>
                <w:bCs w:val="0"/>
                <w:color w:val="000000"/>
                <w:kern w:val="2"/>
                <w:sz w:val="24"/>
                <w:szCs w:val="24"/>
              </w:rPr>
              <w:t>内容、说明与要求</w:t>
            </w:r>
          </w:p>
        </w:tc>
      </w:tr>
      <w:tr w14:paraId="050BF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56C74F07">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lang w:val="en-US" w:eastAsia="zh-CN"/>
              </w:rPr>
            </w:pPr>
            <w:r>
              <w:rPr>
                <w:rFonts w:hint="eastAsia" w:cs="宋体"/>
                <w:b w:val="0"/>
                <w:bCs/>
                <w:color w:val="000000"/>
                <w:kern w:val="2"/>
                <w:sz w:val="24"/>
                <w:szCs w:val="24"/>
                <w:lang w:val="en-US" w:eastAsia="zh-CN"/>
              </w:rPr>
              <w:t>1</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4F9A01D9">
            <w:pPr>
              <w:pStyle w:val="20"/>
              <w:widowControl w:val="0"/>
              <w:spacing w:before="0" w:beforeAutospacing="0" w:after="0" w:afterAutospacing="0" w:line="360" w:lineRule="auto"/>
              <w:jc w:val="center"/>
              <w:rPr>
                <w:rFonts w:hint="eastAsia" w:ascii="宋体" w:hAnsi="宋体" w:eastAsia="宋体" w:cs="宋体"/>
                <w:b/>
                <w:bCs w:val="0"/>
                <w:color w:val="000000"/>
                <w:kern w:val="2"/>
                <w:sz w:val="24"/>
                <w:szCs w:val="24"/>
                <w:lang w:val="en-US" w:eastAsia="zh-CN"/>
              </w:rPr>
            </w:pPr>
            <w:r>
              <w:rPr>
                <w:rFonts w:hint="eastAsia" w:cs="宋体"/>
                <w:b w:val="0"/>
                <w:bCs/>
                <w:color w:val="000000"/>
                <w:kern w:val="2"/>
                <w:sz w:val="24"/>
                <w:szCs w:val="24"/>
                <w:lang w:val="en-US" w:eastAsia="zh-CN"/>
              </w:rPr>
              <w:t>付款方式</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434FB7D8">
            <w:pPr>
              <w:pStyle w:val="20"/>
              <w:widowControl w:val="0"/>
              <w:spacing w:before="0" w:beforeAutospacing="0" w:after="0" w:afterAutospacing="0" w:line="360" w:lineRule="auto"/>
              <w:jc w:val="left"/>
              <w:rPr>
                <w:rFonts w:hint="eastAsia" w:ascii="宋体" w:hAnsi="宋体" w:eastAsia="宋体" w:cs="宋体"/>
                <w:b/>
                <w:bCs w:val="0"/>
                <w:color w:val="000000"/>
                <w:kern w:val="2"/>
                <w:sz w:val="24"/>
                <w:szCs w:val="24"/>
                <w:highlight w:val="none"/>
              </w:rPr>
            </w:pPr>
            <w:r>
              <w:rPr>
                <w:rFonts w:hint="eastAsia" w:ascii="宋体" w:hAnsi="宋体" w:eastAsia="宋体" w:cs="宋体"/>
                <w:color w:val="auto"/>
                <w:kern w:val="2"/>
                <w:sz w:val="24"/>
                <w:szCs w:val="24"/>
                <w:highlight w:val="none"/>
                <w:lang w:val="en-US" w:eastAsia="zh-CN"/>
              </w:rPr>
              <w:t>按项目设计进度支付设计服务费，合同签署后，施工图设计</w:t>
            </w:r>
            <w:r>
              <w:rPr>
                <w:rFonts w:hint="eastAsia" w:cs="宋体"/>
                <w:color w:val="auto"/>
                <w:kern w:val="2"/>
                <w:sz w:val="24"/>
                <w:szCs w:val="24"/>
                <w:highlight w:val="none"/>
                <w:lang w:val="en-US" w:eastAsia="zh-CN"/>
              </w:rPr>
              <w:t>通过专家评审</w:t>
            </w:r>
            <w:r>
              <w:rPr>
                <w:rFonts w:hint="eastAsia" w:ascii="宋体" w:hAnsi="宋体" w:eastAsia="宋体" w:cs="宋体"/>
                <w:color w:val="auto"/>
                <w:kern w:val="2"/>
                <w:sz w:val="24"/>
                <w:szCs w:val="24"/>
                <w:highlight w:val="none"/>
                <w:lang w:val="en-US" w:eastAsia="zh-CN"/>
              </w:rPr>
              <w:t>并配合</w:t>
            </w:r>
            <w:r>
              <w:rPr>
                <w:rFonts w:hint="eastAsia"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lang w:val="en-US" w:eastAsia="zh-CN"/>
              </w:rPr>
              <w:t>完成项目施工招标后付款至实际合同价款额的70%，工程竣工验收合格后付款至实际合同价款额的100%。</w:t>
            </w:r>
          </w:p>
        </w:tc>
      </w:tr>
      <w:tr w14:paraId="2EA1A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735945C9">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lang w:eastAsia="zh-CN"/>
              </w:rPr>
            </w:pPr>
            <w:r>
              <w:rPr>
                <w:rFonts w:hint="eastAsia" w:cs="宋体"/>
                <w:b w:val="0"/>
                <w:color w:val="000000"/>
                <w:kern w:val="2"/>
                <w:sz w:val="24"/>
                <w:szCs w:val="24"/>
                <w:lang w:val="en-US" w:eastAsia="zh-CN"/>
              </w:rPr>
              <w:t>2</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3A94254F">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服务地点</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141EA0A5">
            <w:pPr>
              <w:pStyle w:val="20"/>
              <w:widowControl w:val="0"/>
              <w:spacing w:before="0" w:beforeAutospacing="0" w:after="0" w:afterAutospacing="0" w:line="360" w:lineRule="auto"/>
              <w:jc w:val="both"/>
              <w:rPr>
                <w:rFonts w:hint="eastAsia" w:ascii="宋体" w:hAnsi="宋体" w:eastAsia="宋体" w:cs="宋体"/>
                <w:b w:val="0"/>
                <w:color w:val="000000"/>
                <w:kern w:val="2"/>
                <w:sz w:val="24"/>
                <w:szCs w:val="24"/>
                <w:lang w:eastAsia="zh-CN"/>
              </w:rPr>
            </w:pPr>
            <w:r>
              <w:rPr>
                <w:rFonts w:hint="eastAsia" w:ascii="宋体" w:hAnsi="宋体" w:eastAsia="宋体" w:cs="宋体"/>
                <w:b w:val="0"/>
                <w:sz w:val="24"/>
                <w:lang w:eastAsia="zh-CN"/>
              </w:rPr>
              <w:t>采购人指定地点</w:t>
            </w:r>
          </w:p>
        </w:tc>
      </w:tr>
      <w:tr w14:paraId="4C6CC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698" w:type="dxa"/>
            <w:tcBorders>
              <w:top w:val="single" w:color="auto" w:sz="4" w:space="0"/>
              <w:left w:val="single" w:color="auto" w:sz="4" w:space="0"/>
              <w:bottom w:val="single" w:color="auto" w:sz="4" w:space="0"/>
              <w:right w:val="single" w:color="auto" w:sz="4" w:space="0"/>
            </w:tcBorders>
            <w:noWrap w:val="0"/>
            <w:vAlign w:val="center"/>
          </w:tcPr>
          <w:p w14:paraId="6B224F36">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lang w:eastAsia="zh-CN"/>
              </w:rPr>
            </w:pPr>
            <w:r>
              <w:rPr>
                <w:rFonts w:hint="eastAsia" w:cs="宋体"/>
                <w:b w:val="0"/>
                <w:color w:val="000000"/>
                <w:kern w:val="2"/>
                <w:sz w:val="24"/>
                <w:szCs w:val="24"/>
                <w:lang w:val="en-US" w:eastAsia="zh-CN"/>
              </w:rPr>
              <w:t>3</w:t>
            </w:r>
          </w:p>
        </w:tc>
        <w:tc>
          <w:tcPr>
            <w:tcW w:w="1463" w:type="dxa"/>
            <w:tcBorders>
              <w:top w:val="single" w:color="auto" w:sz="4" w:space="0"/>
              <w:left w:val="single" w:color="auto" w:sz="4" w:space="0"/>
              <w:bottom w:val="single" w:color="auto" w:sz="4" w:space="0"/>
              <w:right w:val="single" w:color="auto" w:sz="4" w:space="0"/>
            </w:tcBorders>
            <w:noWrap w:val="0"/>
            <w:vAlign w:val="center"/>
          </w:tcPr>
          <w:p w14:paraId="5044E2D0">
            <w:pPr>
              <w:pStyle w:val="20"/>
              <w:widowControl w:val="0"/>
              <w:spacing w:before="0" w:beforeAutospacing="0" w:after="0" w:afterAutospacing="0" w:line="360" w:lineRule="auto"/>
              <w:jc w:val="center"/>
              <w:rPr>
                <w:rFonts w:hint="eastAsia" w:ascii="宋体" w:hAnsi="宋体" w:eastAsia="宋体" w:cs="宋体"/>
                <w:b w:val="0"/>
                <w:color w:val="000000"/>
                <w:kern w:val="2"/>
                <w:sz w:val="24"/>
                <w:szCs w:val="24"/>
              </w:rPr>
            </w:pPr>
            <w:r>
              <w:rPr>
                <w:rFonts w:hint="eastAsia" w:ascii="宋体" w:hAnsi="宋体" w:eastAsia="宋体" w:cs="宋体"/>
                <w:b w:val="0"/>
                <w:color w:val="000000"/>
                <w:kern w:val="2"/>
                <w:sz w:val="24"/>
                <w:szCs w:val="24"/>
              </w:rPr>
              <w:t>服务期限</w:t>
            </w:r>
          </w:p>
        </w:tc>
        <w:tc>
          <w:tcPr>
            <w:tcW w:w="6138" w:type="dxa"/>
            <w:tcBorders>
              <w:top w:val="single" w:color="auto" w:sz="4" w:space="0"/>
              <w:left w:val="single" w:color="auto" w:sz="4" w:space="0"/>
              <w:bottom w:val="single" w:color="auto" w:sz="4" w:space="0"/>
              <w:right w:val="single" w:color="auto" w:sz="4" w:space="0"/>
            </w:tcBorders>
            <w:noWrap w:val="0"/>
            <w:vAlign w:val="center"/>
          </w:tcPr>
          <w:p w14:paraId="532FDBB9">
            <w:pPr>
              <w:pStyle w:val="20"/>
              <w:widowControl w:val="0"/>
              <w:spacing w:before="0" w:beforeAutospacing="0" w:after="0" w:afterAutospacing="0" w:line="360" w:lineRule="auto"/>
              <w:jc w:val="both"/>
              <w:rPr>
                <w:rFonts w:hint="eastAsia" w:ascii="宋体" w:hAnsi="宋体" w:eastAsia="宋体" w:cs="宋体"/>
                <w:b w:val="0"/>
                <w:color w:val="000000"/>
                <w:kern w:val="2"/>
                <w:sz w:val="24"/>
                <w:szCs w:val="24"/>
                <w:highlight w:val="none"/>
                <w:lang w:eastAsia="zh-CN"/>
              </w:rPr>
            </w:pPr>
            <w:r>
              <w:rPr>
                <w:rFonts w:hint="eastAsia" w:ascii="宋体" w:hAnsi="宋体" w:eastAsia="宋体" w:cs="宋体"/>
                <w:b w:val="0"/>
                <w:bCs w:val="0"/>
                <w:color w:val="000000"/>
                <w:kern w:val="2"/>
                <w:sz w:val="24"/>
                <w:szCs w:val="24"/>
                <w:highlight w:val="none"/>
                <w:lang w:val="en-US" w:eastAsia="zh-CN"/>
              </w:rPr>
              <w:t>自合同签订且采购人提供项目实施地点之日起40日历天内完成分配的项目任务。施工现场设计服务至工程竣工验收合格之日。</w:t>
            </w:r>
          </w:p>
        </w:tc>
      </w:tr>
      <w:bookmarkEnd w:id="9"/>
    </w:tbl>
    <w:p w14:paraId="1D025F9E">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lang w:val="en-US" w:eastAsia="zh-CN"/>
        </w:rPr>
        <w:t>二</w:t>
      </w:r>
      <w:r>
        <w:rPr>
          <w:rFonts w:hint="eastAsia" w:ascii="宋体" w:hAnsi="宋体" w:eastAsia="宋体" w:cs="宋体"/>
          <w:b/>
          <w:color w:val="auto"/>
          <w:kern w:val="2"/>
          <w:sz w:val="24"/>
          <w:szCs w:val="24"/>
          <w:highlight w:val="none"/>
        </w:rPr>
        <w:t>、项目概况</w:t>
      </w:r>
    </w:p>
    <w:p w14:paraId="4374247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eastAsia="zh-CN"/>
        </w:rPr>
      </w:pPr>
      <w:bookmarkStart w:id="11" w:name="_Toc101805417"/>
      <w:r>
        <w:rPr>
          <w:rFonts w:hint="eastAsia" w:ascii="宋体" w:hAnsi="宋体" w:eastAsia="宋体" w:cs="宋体"/>
          <w:color w:val="auto"/>
          <w:kern w:val="2"/>
          <w:sz w:val="24"/>
          <w:szCs w:val="24"/>
          <w:lang w:eastAsia="zh-CN"/>
        </w:rPr>
        <w:t>项目位于肥西县严店镇、肥西经开区、上派镇，项目实施面积约4300亩，主要建设内容包括土地平整及土壤改良、田间道路工程、灌溉与排水工程、农田输配电工程、农田防护与生态环境保护工程、其他工程（含为项目建设所须的必要环境保障），总投资约9000万元。</w:t>
      </w:r>
    </w:p>
    <w:p w14:paraId="07CF2FE0">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b/>
          <w:color w:val="auto"/>
          <w:kern w:val="2"/>
          <w:sz w:val="24"/>
          <w:szCs w:val="24"/>
          <w:lang w:eastAsia="zh-CN"/>
        </w:rPr>
      </w:pPr>
      <w:r>
        <w:rPr>
          <w:rFonts w:hint="eastAsia" w:ascii="宋体" w:hAnsi="宋体" w:eastAsia="宋体" w:cs="宋体"/>
          <w:b/>
          <w:color w:val="auto"/>
          <w:kern w:val="2"/>
          <w:sz w:val="24"/>
          <w:szCs w:val="24"/>
          <w:lang w:val="en-US" w:eastAsia="zh-CN"/>
        </w:rPr>
        <w:t>三</w:t>
      </w:r>
      <w:r>
        <w:rPr>
          <w:rFonts w:hint="eastAsia" w:ascii="宋体" w:hAnsi="宋体" w:eastAsia="宋体" w:cs="宋体"/>
          <w:b/>
          <w:color w:val="auto"/>
          <w:kern w:val="2"/>
          <w:sz w:val="24"/>
          <w:szCs w:val="24"/>
        </w:rPr>
        <w:t>、</w:t>
      </w:r>
      <w:bookmarkEnd w:id="11"/>
      <w:r>
        <w:rPr>
          <w:rFonts w:hint="eastAsia" w:cs="宋体"/>
          <w:b/>
          <w:color w:val="auto"/>
          <w:kern w:val="2"/>
          <w:sz w:val="24"/>
          <w:szCs w:val="24"/>
          <w:lang w:val="en-US" w:eastAsia="zh-CN"/>
        </w:rPr>
        <w:t>招标范围</w:t>
      </w:r>
    </w:p>
    <w:p w14:paraId="4577E796">
      <w:pPr>
        <w:pStyle w:val="6"/>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包括但不限于勘察和补充测绘（</w:t>
      </w:r>
      <w:r>
        <w:rPr>
          <w:rFonts w:hint="eastAsia" w:cs="宋体"/>
          <w:color w:val="auto"/>
          <w:kern w:val="2"/>
          <w:sz w:val="24"/>
          <w:szCs w:val="24"/>
          <w:highlight w:val="none"/>
          <w:lang w:val="en-US" w:eastAsia="zh-CN" w:bidi="ar-SA"/>
        </w:rPr>
        <w:t>如需</w:t>
      </w:r>
      <w:r>
        <w:rPr>
          <w:rFonts w:hint="eastAsia" w:ascii="宋体" w:hAnsi="宋体" w:eastAsia="宋体" w:cs="宋体"/>
          <w:color w:val="auto"/>
          <w:kern w:val="2"/>
          <w:sz w:val="24"/>
          <w:szCs w:val="24"/>
          <w:highlight w:val="none"/>
          <w:lang w:val="en-US" w:eastAsia="zh-CN" w:bidi="ar-SA"/>
        </w:rPr>
        <w:t>）、平面总体布局设计、施工图设计、配合施工招标工作、图纸审查及各项专题报告的审查配合，交桩，建设期间的设计服务和验收配合工作。</w:t>
      </w:r>
    </w:p>
    <w:p w14:paraId="4C14A465">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ascii="宋体" w:hAnsi="宋体" w:eastAsia="宋体" w:cs="宋体"/>
          <w:color w:val="auto"/>
          <w:kern w:val="2"/>
          <w:sz w:val="24"/>
          <w:szCs w:val="24"/>
          <w:lang w:val="en-US" w:eastAsia="zh-CN"/>
        </w:rPr>
      </w:pPr>
      <w:r>
        <w:rPr>
          <w:rFonts w:hint="eastAsia" w:cs="宋体"/>
          <w:b/>
          <w:color w:val="auto"/>
          <w:kern w:val="2"/>
          <w:sz w:val="24"/>
          <w:szCs w:val="24"/>
          <w:lang w:val="en-US" w:eastAsia="zh-CN"/>
        </w:rPr>
        <w:t>四</w:t>
      </w:r>
      <w:r>
        <w:rPr>
          <w:rFonts w:hint="eastAsia" w:ascii="宋体" w:hAnsi="宋体" w:eastAsia="宋体" w:cs="宋体"/>
          <w:b/>
          <w:color w:val="auto"/>
          <w:kern w:val="2"/>
          <w:sz w:val="24"/>
          <w:szCs w:val="24"/>
        </w:rPr>
        <w:t>、</w:t>
      </w:r>
      <w:r>
        <w:rPr>
          <w:rFonts w:hint="eastAsia" w:cs="宋体"/>
          <w:b/>
          <w:color w:val="auto"/>
          <w:kern w:val="2"/>
          <w:sz w:val="24"/>
          <w:szCs w:val="24"/>
          <w:lang w:val="en-US" w:eastAsia="zh-CN"/>
        </w:rPr>
        <w:t>其他说明</w:t>
      </w:r>
    </w:p>
    <w:p w14:paraId="6B68A32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1.项目设计终止（取消）后服务费结算方式</w:t>
      </w:r>
    </w:p>
    <w:p w14:paraId="1628968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1.1施工图设计阶段项目终止（取消）服务费结算方式如下：</w:t>
      </w:r>
    </w:p>
    <w:p w14:paraId="4ECF43DC">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lang w:val="en-US" w:eastAsia="zh-CN"/>
        </w:rPr>
        <w:t>（1）施工</w:t>
      </w:r>
      <w:r>
        <w:rPr>
          <w:rFonts w:hint="eastAsia" w:ascii="宋体" w:hAnsi="宋体" w:eastAsia="宋体" w:cs="宋体"/>
          <w:color w:val="auto"/>
          <w:kern w:val="2"/>
          <w:sz w:val="24"/>
          <w:szCs w:val="24"/>
          <w:highlight w:val="none"/>
          <w:lang w:val="en-US" w:eastAsia="zh-CN"/>
        </w:rPr>
        <w:t>图未通过</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即终止（取消）：其设计服务费不予计取。</w:t>
      </w:r>
    </w:p>
    <w:p w14:paraId="62BBDBB1">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（2）施工图已通过</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后终止（取消），其设计服务费按合同价款额的70%进行结算。</w:t>
      </w:r>
    </w:p>
    <w:p w14:paraId="33B77BDE">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2.项目无论工程方案如何变化（含施工图</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后重新设计情况），</w:t>
      </w:r>
      <w:r>
        <w:rPr>
          <w:rFonts w:hint="eastAsia" w:cs="宋体"/>
          <w:color w:val="auto"/>
          <w:kern w:val="2"/>
          <w:sz w:val="24"/>
          <w:szCs w:val="24"/>
          <w:highlight w:val="none"/>
          <w:lang w:val="en-US" w:eastAsia="zh-CN"/>
        </w:rPr>
        <w:t>成交供应商</w:t>
      </w:r>
      <w:r>
        <w:rPr>
          <w:rFonts w:hint="eastAsia" w:ascii="宋体" w:hAnsi="宋体" w:eastAsia="宋体" w:cs="宋体"/>
          <w:color w:val="auto"/>
          <w:kern w:val="2"/>
          <w:sz w:val="24"/>
          <w:szCs w:val="24"/>
          <w:highlight w:val="none"/>
          <w:lang w:val="en-US" w:eastAsia="zh-CN"/>
        </w:rPr>
        <w:t>必须及时、高质量的完成相应的设计调整。同时，</w:t>
      </w:r>
      <w:r>
        <w:rPr>
          <w:rFonts w:hint="eastAsia" w:cs="宋体"/>
          <w:color w:val="auto"/>
          <w:kern w:val="2"/>
          <w:sz w:val="24"/>
          <w:szCs w:val="24"/>
          <w:highlight w:val="none"/>
          <w:lang w:val="en-US" w:eastAsia="zh-CN"/>
        </w:rPr>
        <w:t>采购人</w:t>
      </w:r>
      <w:r>
        <w:rPr>
          <w:rFonts w:hint="eastAsia" w:ascii="宋体" w:hAnsi="宋体" w:eastAsia="宋体" w:cs="宋体"/>
          <w:color w:val="auto"/>
          <w:kern w:val="2"/>
          <w:sz w:val="24"/>
          <w:szCs w:val="24"/>
          <w:highlight w:val="none"/>
          <w:lang w:val="en-US" w:eastAsia="zh-CN"/>
        </w:rPr>
        <w:t>将不再另行增加设计费用。</w:t>
      </w:r>
    </w:p>
    <w:p w14:paraId="5AD9B263">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3.因项目区域范围内规划调整等原因，可能会调整部分设计任务，由此产生的风险由</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自行承担。</w:t>
      </w:r>
    </w:p>
    <w:p w14:paraId="7CCE9E67">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4.本次招标范围内所有审查所产生的费用，均包含在设计费内，不再另行增加。请</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谨慎投标。</w:t>
      </w:r>
    </w:p>
    <w:p w14:paraId="5F7D6202">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5.项目实施过程中，存在由于受政策调整、规划调整等原因影响，导致已完成的设计图纸（含</w:t>
      </w:r>
      <w:r>
        <w:rPr>
          <w:rFonts w:hint="eastAsia" w:cs="宋体"/>
          <w:color w:val="auto"/>
          <w:kern w:val="2"/>
          <w:sz w:val="24"/>
          <w:szCs w:val="24"/>
          <w:highlight w:val="none"/>
          <w:lang w:val="en-US" w:eastAsia="zh-CN"/>
        </w:rPr>
        <w:t>专家评审</w:t>
      </w:r>
      <w:r>
        <w:rPr>
          <w:rFonts w:hint="eastAsia" w:ascii="宋体" w:hAnsi="宋体" w:eastAsia="宋体" w:cs="宋体"/>
          <w:color w:val="auto"/>
          <w:kern w:val="2"/>
          <w:sz w:val="24"/>
          <w:szCs w:val="24"/>
          <w:highlight w:val="none"/>
          <w:lang w:val="en-US" w:eastAsia="zh-CN"/>
        </w:rPr>
        <w:t>的图纸重新设计）、方案等需进行重新设计（含已经办理批复手续重新办理等），请</w:t>
      </w:r>
      <w:r>
        <w:rPr>
          <w:rFonts w:hint="eastAsia" w:cs="宋体"/>
          <w:color w:val="auto"/>
          <w:kern w:val="2"/>
          <w:sz w:val="24"/>
          <w:szCs w:val="24"/>
          <w:highlight w:val="none"/>
          <w:lang w:val="en-US" w:eastAsia="zh-CN"/>
        </w:rPr>
        <w:t>供应商</w:t>
      </w:r>
      <w:r>
        <w:rPr>
          <w:rFonts w:hint="eastAsia" w:ascii="宋体" w:hAnsi="宋体" w:eastAsia="宋体" w:cs="宋体"/>
          <w:color w:val="auto"/>
          <w:kern w:val="2"/>
          <w:sz w:val="24"/>
          <w:szCs w:val="24"/>
          <w:highlight w:val="none"/>
          <w:lang w:val="en-US" w:eastAsia="zh-CN"/>
        </w:rPr>
        <w:t>投标时充分考虑上述情况存在的可能性，</w:t>
      </w:r>
      <w:r>
        <w:rPr>
          <w:rFonts w:hint="eastAsia" w:cs="宋体"/>
          <w:color w:val="auto"/>
          <w:kern w:val="2"/>
          <w:sz w:val="24"/>
          <w:szCs w:val="24"/>
          <w:highlight w:val="none"/>
          <w:lang w:val="en-US" w:eastAsia="zh-CN"/>
        </w:rPr>
        <w:t>成交后</w:t>
      </w:r>
      <w:r>
        <w:rPr>
          <w:rFonts w:hint="eastAsia" w:ascii="宋体" w:hAnsi="宋体" w:eastAsia="宋体" w:cs="宋体"/>
          <w:color w:val="auto"/>
          <w:kern w:val="2"/>
          <w:sz w:val="24"/>
          <w:szCs w:val="24"/>
          <w:highlight w:val="none"/>
          <w:lang w:val="en-US" w:eastAsia="zh-CN"/>
        </w:rPr>
        <w:t>，不再对</w:t>
      </w:r>
      <w:r>
        <w:rPr>
          <w:rFonts w:hint="eastAsia" w:cs="宋体"/>
          <w:color w:val="auto"/>
          <w:kern w:val="2"/>
          <w:sz w:val="24"/>
          <w:szCs w:val="24"/>
          <w:highlight w:val="none"/>
          <w:lang w:val="en-US" w:eastAsia="zh-CN"/>
        </w:rPr>
        <w:t>成交</w:t>
      </w:r>
      <w:r>
        <w:rPr>
          <w:rFonts w:hint="eastAsia" w:ascii="宋体" w:hAnsi="宋体" w:eastAsia="宋体" w:cs="宋体"/>
          <w:color w:val="auto"/>
          <w:kern w:val="2"/>
          <w:sz w:val="24"/>
          <w:szCs w:val="24"/>
          <w:highlight w:val="none"/>
          <w:lang w:val="en-US" w:eastAsia="zh-CN"/>
        </w:rPr>
        <w:t>价格进行调整。</w:t>
      </w:r>
    </w:p>
    <w:p w14:paraId="1099A8ED">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宋体" w:hAnsi="宋体" w:eastAsia="宋体" w:cs="宋体"/>
          <w:color w:val="auto"/>
          <w:kern w:val="2"/>
          <w:sz w:val="24"/>
          <w:szCs w:val="24"/>
          <w:lang w:val="en-US" w:eastAsia="zh-CN"/>
        </w:rPr>
      </w:pPr>
      <w:r>
        <w:rPr>
          <w:rFonts w:hint="eastAsia" w:ascii="宋体" w:hAnsi="宋体" w:eastAsia="宋体" w:cs="宋体"/>
          <w:color w:val="auto"/>
          <w:kern w:val="2"/>
          <w:sz w:val="24"/>
          <w:szCs w:val="24"/>
          <w:lang w:val="en-US" w:eastAsia="zh-CN"/>
        </w:rPr>
        <w:t>6.项目实施过程中，为完成项目所产生的专家评审费、分包设计费等一切费用全部包含在报价中，</w:t>
      </w:r>
      <w:r>
        <w:rPr>
          <w:rFonts w:hint="eastAsia" w:cs="宋体"/>
          <w:color w:val="auto"/>
          <w:kern w:val="2"/>
          <w:sz w:val="24"/>
          <w:szCs w:val="24"/>
          <w:lang w:val="en-US" w:eastAsia="zh-CN"/>
        </w:rPr>
        <w:t>成交后</w:t>
      </w:r>
      <w:r>
        <w:rPr>
          <w:rFonts w:hint="eastAsia" w:ascii="宋体" w:hAnsi="宋体" w:eastAsia="宋体" w:cs="宋体"/>
          <w:color w:val="auto"/>
          <w:kern w:val="2"/>
          <w:sz w:val="24"/>
          <w:szCs w:val="24"/>
          <w:lang w:val="en-US" w:eastAsia="zh-CN"/>
        </w:rPr>
        <w:t>不再进行调整，请谨慎投标。</w:t>
      </w:r>
    </w:p>
    <w:p w14:paraId="3957B8CA">
      <w:pPr>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default" w:ascii="宋体" w:hAnsi="宋体" w:eastAsia="宋体" w:cs="宋体"/>
          <w:color w:val="auto"/>
          <w:kern w:val="2"/>
          <w:sz w:val="24"/>
          <w:szCs w:val="24"/>
          <w:highlight w:val="none"/>
          <w:lang w:val="en-US" w:eastAsia="zh-CN"/>
        </w:rPr>
      </w:pPr>
      <w:r>
        <w:rPr>
          <w:rFonts w:hint="eastAsia" w:cs="宋体"/>
          <w:color w:val="auto"/>
          <w:kern w:val="2"/>
          <w:sz w:val="24"/>
          <w:szCs w:val="24"/>
          <w:highlight w:val="none"/>
          <w:lang w:val="en-US" w:eastAsia="zh-CN"/>
        </w:rPr>
        <w:t>7.本项目前期初步设计、淤泥咨询服务已完成淤泥固化前的初步勘察、测绘工作，本次招标范围内的勘察内容为土方回填后勘察工作，成交单位根据项目设计内容需要，对项目进行勘察。</w:t>
      </w:r>
    </w:p>
    <w:p w14:paraId="51149AB4">
      <w:pPr>
        <w:pageBreakBefore w:val="0"/>
        <w:widowControl w:val="0"/>
        <w:kinsoku/>
        <w:wordWrap/>
        <w:overflowPunct/>
        <w:topLinePunct w:val="0"/>
        <w:autoSpaceDE/>
        <w:autoSpaceDN/>
        <w:bidi w:val="0"/>
        <w:adjustRightInd/>
        <w:snapToGrid/>
        <w:spacing w:line="440" w:lineRule="exact"/>
        <w:ind w:right="0" w:firstLine="482" w:firstLineChars="200"/>
        <w:textAlignment w:val="auto"/>
        <w:outlineLvl w:val="1"/>
        <w:rPr>
          <w:rFonts w:hint="eastAsia" w:cs="宋体"/>
          <w:b/>
          <w:color w:val="auto"/>
          <w:kern w:val="2"/>
          <w:sz w:val="24"/>
          <w:szCs w:val="24"/>
          <w:lang w:val="en-US" w:eastAsia="zh-CN"/>
        </w:rPr>
      </w:pPr>
      <w:r>
        <w:rPr>
          <w:rFonts w:hint="eastAsia" w:cs="宋体"/>
          <w:b/>
          <w:color w:val="auto"/>
          <w:kern w:val="2"/>
          <w:sz w:val="24"/>
          <w:szCs w:val="24"/>
          <w:lang w:val="en-US" w:eastAsia="zh-CN"/>
        </w:rPr>
        <w:t>五、违约责任：</w:t>
      </w:r>
    </w:p>
    <w:p w14:paraId="699C4AD2">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1.</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需在合同约定时间内提交对应阶段成果材料，逾期未按</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要求提交成果材料按3000元/天处以违约金；超过5天，</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有权单方面解除合约。</w:t>
      </w:r>
    </w:p>
    <w:p w14:paraId="54D8D931">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所提供的施工图须满足</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清单编制需求及施工需求，对清单编制中及施工中</w:t>
      </w:r>
      <w:r>
        <w:rPr>
          <w:rFonts w:hint="eastAsia" w:ascii="宋体" w:hAnsi="宋体" w:eastAsia="宋体"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提出的问题，</w:t>
      </w:r>
      <w:r>
        <w:rPr>
          <w:rFonts w:hint="eastAsia" w:ascii="宋体" w:hAnsi="宋体" w:eastAsia="宋体"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需要在24小时内给出解决方案或图纸，未按要求按3000元/次处以违约金。</w:t>
      </w:r>
    </w:p>
    <w:p w14:paraId="1C6E8E4E">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3.由于</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设计错误导致</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及项目参建单位造成的损失，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应当承担相应责任。</w:t>
      </w:r>
    </w:p>
    <w:p w14:paraId="753AA92E">
      <w:pP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4.若出现</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与第三方串通损害</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利益，例如指定排他性参数等情况，</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有权单方面终止合同并要求</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赔偿由此对</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造成的一切损失。</w:t>
      </w:r>
    </w:p>
    <w:p w14:paraId="6C0F83E2">
      <w:pPr>
        <w:rPr>
          <w:rFonts w:hint="default"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5.除不可抗力因素外由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造成的所有损失由</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承担。违约金在合同款支付前由</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扣除或</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缴纳给</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，合同价不足时</w:t>
      </w:r>
      <w:r>
        <w:rPr>
          <w:rFonts w:hint="eastAsia" w:cs="宋体"/>
          <w:color w:val="auto"/>
          <w:sz w:val="24"/>
          <w:szCs w:val="24"/>
          <w:highlight w:val="none"/>
          <w:lang w:eastAsia="zh-CN" w:bidi="ar"/>
        </w:rPr>
        <w:t>采购人</w:t>
      </w:r>
      <w:r>
        <w:rPr>
          <w:rFonts w:hint="eastAsia" w:ascii="宋体" w:hAnsi="宋体" w:eastAsia="宋体" w:cs="宋体"/>
          <w:color w:val="auto"/>
          <w:sz w:val="24"/>
          <w:szCs w:val="24"/>
          <w:highlight w:val="none"/>
          <w:lang w:bidi="ar"/>
        </w:rPr>
        <w:t>另行向</w:t>
      </w:r>
      <w:r>
        <w:rPr>
          <w:rFonts w:hint="eastAsia" w:cs="宋体"/>
          <w:color w:val="auto"/>
          <w:sz w:val="24"/>
          <w:szCs w:val="24"/>
          <w:highlight w:val="none"/>
          <w:lang w:eastAsia="zh-CN" w:bidi="ar"/>
        </w:rPr>
        <w:t>成交供应商</w:t>
      </w:r>
      <w:r>
        <w:rPr>
          <w:rFonts w:hint="eastAsia" w:ascii="宋体" w:hAnsi="宋体" w:eastAsia="宋体" w:cs="宋体"/>
          <w:color w:val="auto"/>
          <w:sz w:val="24"/>
          <w:szCs w:val="24"/>
          <w:highlight w:val="none"/>
          <w:lang w:bidi="ar"/>
        </w:rPr>
        <w:t>索赔。</w:t>
      </w:r>
    </w:p>
    <w:bookmarkEnd w:id="10"/>
    <w:p w14:paraId="253A57EA">
      <w:pPr>
        <w:spacing w:before="312" w:beforeLines="100"/>
        <w:ind w:firstLine="562"/>
        <w:jc w:val="center"/>
        <w:outlineLvl w:val="1"/>
        <w:rPr>
          <w:rFonts w:asciiTheme="minorEastAsia" w:hAnsiTheme="minorEastAsia" w:eastAsiaTheme="minorEastAsia"/>
          <w:b/>
          <w:sz w:val="28"/>
          <w:highlight w:val="none"/>
        </w:rPr>
      </w:pPr>
      <w:bookmarkStart w:id="12" w:name="_Toc192058173"/>
      <w:r>
        <w:rPr>
          <w:rFonts w:hint="eastAsia" w:asciiTheme="minorEastAsia" w:hAnsiTheme="minorEastAsia" w:eastAsiaTheme="minorEastAsia"/>
          <w:b/>
          <w:sz w:val="28"/>
          <w:highlight w:val="none"/>
        </w:rPr>
        <w:t>第四章  评审方法和标准</w:t>
      </w:r>
      <w:bookmarkEnd w:id="12"/>
    </w:p>
    <w:p w14:paraId="7A9CD2C4">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一、总则</w:t>
      </w:r>
    </w:p>
    <w:p w14:paraId="4618370E">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本项目采用综合评分法评审，响应文件满足磋商文件全部实质性要求且按评审因素的量化指标评审得分最高的供应商为成交候选人的评审方法。</w:t>
      </w:r>
    </w:p>
    <w:p w14:paraId="1904D058">
      <w:pPr>
        <w:ind w:firstLine="482"/>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二、评审方法</w:t>
      </w:r>
    </w:p>
    <w:p w14:paraId="59E1C185">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2.1初审</w:t>
      </w:r>
    </w:p>
    <w:p w14:paraId="71207D74">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评审委员会对供应商的响应文件进行初审，以确定其是否满足磋商文件的实质性要求。初审表如下：</w:t>
      </w:r>
    </w:p>
    <w:tbl>
      <w:tblPr>
        <w:tblStyle w:val="13"/>
        <w:tblW w:w="520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9"/>
        <w:gridCol w:w="2763"/>
        <w:gridCol w:w="5255"/>
      </w:tblGrid>
      <w:tr w14:paraId="1439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2CB7F968">
            <w:pPr>
              <w:adjustRightInd w:val="0"/>
              <w:snapToGrid w:val="0"/>
              <w:ind w:right="-10" w:firstLine="482"/>
              <w:jc w:val="center"/>
              <w:rPr>
                <w:rFonts w:ascii="Calibri" w:hAnsi="Calibri" w:cs="Times New Roman"/>
                <w:b/>
                <w:kern w:val="2"/>
                <w:szCs w:val="22"/>
                <w:highlight w:val="none"/>
              </w:rPr>
            </w:pPr>
            <w:r>
              <w:rPr>
                <w:rFonts w:hint="eastAsia" w:ascii="Calibri" w:hAnsi="Calibri" w:cs="Times New Roman"/>
                <w:b/>
                <w:kern w:val="2"/>
                <w:szCs w:val="22"/>
                <w:highlight w:val="none"/>
              </w:rPr>
              <w:t>初审表</w:t>
            </w:r>
          </w:p>
        </w:tc>
      </w:tr>
      <w:tr w14:paraId="212EE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84" w:type="pct"/>
            <w:tcBorders>
              <w:bottom w:val="single" w:color="auto" w:sz="4" w:space="0"/>
            </w:tcBorders>
            <w:vAlign w:val="center"/>
          </w:tcPr>
          <w:p w14:paraId="650595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序号</w:t>
            </w:r>
          </w:p>
        </w:tc>
        <w:tc>
          <w:tcPr>
            <w:tcW w:w="1556" w:type="pct"/>
            <w:tcBorders>
              <w:bottom w:val="single" w:color="auto" w:sz="4" w:space="0"/>
            </w:tcBorders>
            <w:vAlign w:val="center"/>
          </w:tcPr>
          <w:p w14:paraId="1F1E2BE6">
            <w:pPr>
              <w:adjustRightInd w:val="0"/>
              <w:snapToGrid w:val="0"/>
              <w:ind w:firstLine="0" w:firstLineChars="0"/>
              <w:jc w:val="center"/>
              <w:rPr>
                <w:rFonts w:ascii="Calibri" w:hAnsi="Calibri" w:cs="Times New Roman"/>
                <w:b/>
                <w:kern w:val="2"/>
                <w:szCs w:val="24"/>
                <w:highlight w:val="none"/>
              </w:rPr>
            </w:pPr>
            <w:r>
              <w:rPr>
                <w:rFonts w:hint="eastAsia" w:ascii="Calibri" w:hAnsi="Calibri" w:cs="Times New Roman"/>
                <w:b/>
                <w:kern w:val="2"/>
                <w:szCs w:val="24"/>
                <w:highlight w:val="none"/>
              </w:rPr>
              <w:t>评审指标</w:t>
            </w:r>
          </w:p>
        </w:tc>
        <w:tc>
          <w:tcPr>
            <w:tcW w:w="2958" w:type="pct"/>
            <w:tcBorders>
              <w:bottom w:val="single" w:color="auto" w:sz="4" w:space="0"/>
            </w:tcBorders>
            <w:vAlign w:val="center"/>
          </w:tcPr>
          <w:p w14:paraId="339B8D00">
            <w:pPr>
              <w:adjustRightInd w:val="0"/>
              <w:snapToGrid w:val="0"/>
              <w:ind w:firstLine="0" w:firstLineChars="0"/>
              <w:jc w:val="center"/>
              <w:rPr>
                <w:rFonts w:ascii="Calibri" w:hAnsi="Calibri" w:cs="Times New Roman"/>
                <w:b/>
                <w:kern w:val="2"/>
                <w:szCs w:val="22"/>
                <w:highlight w:val="none"/>
              </w:rPr>
            </w:pPr>
            <w:r>
              <w:rPr>
                <w:rFonts w:hint="eastAsia" w:ascii="Calibri" w:hAnsi="Calibri" w:cs="Times New Roman"/>
                <w:b/>
                <w:kern w:val="2"/>
                <w:szCs w:val="22"/>
                <w:highlight w:val="none"/>
              </w:rPr>
              <w:t>合格条件</w:t>
            </w:r>
          </w:p>
        </w:tc>
      </w:tr>
      <w:tr w14:paraId="5B283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tcBorders>
              <w:bottom w:val="single" w:color="auto" w:sz="4" w:space="0"/>
            </w:tcBorders>
            <w:vAlign w:val="center"/>
          </w:tcPr>
          <w:p w14:paraId="4BF3BC53">
            <w:pPr>
              <w:adjustRightInd w:val="0"/>
              <w:snapToGrid w:val="0"/>
              <w:ind w:firstLine="0" w:firstLineChars="0"/>
              <w:jc w:val="center"/>
              <w:rPr>
                <w:rFonts w:ascii="Calibri" w:hAnsi="Calibri" w:cs="Times New Roman"/>
                <w:kern w:val="2"/>
                <w:szCs w:val="22"/>
                <w:highlight w:val="none"/>
              </w:rPr>
            </w:pPr>
            <w:r>
              <w:rPr>
                <w:rFonts w:hint="eastAsia" w:cs="Times New Roman"/>
                <w:kern w:val="2"/>
                <w:highlight w:val="none"/>
              </w:rPr>
              <w:t>1</w:t>
            </w:r>
          </w:p>
        </w:tc>
        <w:tc>
          <w:tcPr>
            <w:tcW w:w="1556" w:type="pct"/>
            <w:tcBorders>
              <w:bottom w:val="single" w:color="auto" w:sz="4" w:space="0"/>
            </w:tcBorders>
            <w:vAlign w:val="center"/>
          </w:tcPr>
          <w:p w14:paraId="2D2F15C6">
            <w:pPr>
              <w:adjustRightInd w:val="0"/>
              <w:snapToGrid w:val="0"/>
              <w:ind w:firstLine="0" w:firstLineChars="0"/>
              <w:jc w:val="left"/>
              <w:rPr>
                <w:rFonts w:cs="Times New Roman"/>
                <w:kern w:val="2"/>
                <w:highlight w:val="none"/>
              </w:rPr>
            </w:pPr>
            <w:r>
              <w:rPr>
                <w:rFonts w:hint="eastAsia" w:cs="Times New Roman"/>
                <w:kern w:val="2"/>
                <w:highlight w:val="none"/>
              </w:rPr>
              <w:t>营业执照</w:t>
            </w:r>
          </w:p>
        </w:tc>
        <w:tc>
          <w:tcPr>
            <w:tcW w:w="2958" w:type="pct"/>
            <w:tcBorders>
              <w:bottom w:val="single" w:color="auto" w:sz="4" w:space="0"/>
            </w:tcBorders>
            <w:vAlign w:val="center"/>
          </w:tcPr>
          <w:p w14:paraId="65372BE7">
            <w:pPr>
              <w:adjustRightInd w:val="0"/>
              <w:snapToGrid w:val="0"/>
              <w:ind w:firstLine="0" w:firstLineChars="0"/>
              <w:rPr>
                <w:rFonts w:ascii="Calibri" w:hAnsi="Calibri" w:cs="Times New Roman"/>
                <w:kern w:val="2"/>
                <w:szCs w:val="22"/>
                <w:highlight w:val="none"/>
              </w:rPr>
            </w:pPr>
            <w:r>
              <w:rPr>
                <w:rFonts w:hint="eastAsia" w:cs="Times New Roman"/>
                <w:kern w:val="2"/>
                <w:szCs w:val="22"/>
                <w:highlight w:val="none"/>
              </w:rPr>
              <w:t>提供有效的营业执照扫描件，应完整地体现出营业执照的全部内容。联合体磋商的联合体各方均须提供。</w:t>
            </w:r>
          </w:p>
        </w:tc>
      </w:tr>
      <w:tr w14:paraId="2F3D1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484" w:type="pct"/>
            <w:vAlign w:val="center"/>
          </w:tcPr>
          <w:p w14:paraId="30C219AD">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2</w:t>
            </w:r>
          </w:p>
        </w:tc>
        <w:tc>
          <w:tcPr>
            <w:tcW w:w="1556" w:type="pct"/>
            <w:shd w:val="clear" w:color="auto" w:fill="auto"/>
            <w:vAlign w:val="center"/>
          </w:tcPr>
          <w:p w14:paraId="266A1D75">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rPr>
              <w:t>磋商响应函</w:t>
            </w:r>
          </w:p>
        </w:tc>
        <w:tc>
          <w:tcPr>
            <w:tcW w:w="2958" w:type="pct"/>
            <w:shd w:val="clear" w:color="auto" w:fill="auto"/>
            <w:vAlign w:val="center"/>
          </w:tcPr>
          <w:p w14:paraId="4B37E3E4">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EB63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3E8F487E">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3</w:t>
            </w:r>
          </w:p>
        </w:tc>
        <w:tc>
          <w:tcPr>
            <w:tcW w:w="1556" w:type="pct"/>
            <w:shd w:val="clear" w:color="auto" w:fill="auto"/>
            <w:vAlign w:val="center"/>
          </w:tcPr>
          <w:p w14:paraId="2F56037C">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磋商保证金及电子交易服务费用</w:t>
            </w:r>
          </w:p>
        </w:tc>
        <w:tc>
          <w:tcPr>
            <w:tcW w:w="2958" w:type="pct"/>
            <w:shd w:val="clear" w:color="auto" w:fill="auto"/>
            <w:vAlign w:val="center"/>
          </w:tcPr>
          <w:p w14:paraId="1CB6D9FB">
            <w:pPr>
              <w:ind w:firstLine="0" w:firstLineChars="0"/>
              <w:jc w:val="left"/>
              <w:rPr>
                <w:highlight w:val="none"/>
              </w:rPr>
            </w:pPr>
            <w:r>
              <w:rPr>
                <w:rFonts w:hint="eastAsia"/>
                <w:highlight w:val="none"/>
              </w:rPr>
              <w:t>符合磋商文件要求。</w:t>
            </w:r>
          </w:p>
          <w:p w14:paraId="72DABCDE">
            <w:pPr>
              <w:ind w:firstLine="0" w:firstLineChars="0"/>
              <w:jc w:val="left"/>
              <w:rPr>
                <w:rFonts w:ascii="Calibri" w:hAnsi="Calibri" w:eastAsia="宋体" w:cs="Times New Roman"/>
                <w:kern w:val="2"/>
                <w:sz w:val="24"/>
                <w:szCs w:val="22"/>
                <w:highlight w:val="none"/>
                <w:lang w:val="en-US" w:eastAsia="zh-CN" w:bidi="ar-SA"/>
              </w:rPr>
            </w:pPr>
            <w:r>
              <w:rPr>
                <w:rFonts w:hint="eastAsia"/>
                <w:b/>
                <w:bCs/>
                <w:highlight w:val="none"/>
              </w:rPr>
              <w:t>备注</w:t>
            </w:r>
            <w:r>
              <w:rPr>
                <w:b/>
                <w:bCs/>
                <w:highlight w:val="none"/>
              </w:rPr>
              <w:t>：</w:t>
            </w:r>
            <w:r>
              <w:rPr>
                <w:rFonts w:hint="eastAsia"/>
                <w:b/>
                <w:szCs w:val="18"/>
                <w:highlight w:val="none"/>
              </w:rPr>
              <w:t>供应商</w:t>
            </w:r>
            <w:r>
              <w:rPr>
                <w:rFonts w:hint="eastAsia" w:cs="宋体"/>
                <w:b/>
                <w:bCs/>
                <w:szCs w:val="24"/>
                <w:highlight w:val="none"/>
              </w:rPr>
              <w:t>须知前附表及</w:t>
            </w:r>
            <w:r>
              <w:rPr>
                <w:rFonts w:hint="eastAsia"/>
                <w:b/>
                <w:szCs w:val="18"/>
                <w:highlight w:val="none"/>
              </w:rPr>
              <w:t>供应商</w:t>
            </w:r>
            <w:r>
              <w:rPr>
                <w:rFonts w:hint="eastAsia" w:cs="宋体"/>
                <w:b/>
                <w:bCs/>
                <w:szCs w:val="24"/>
                <w:highlight w:val="none"/>
              </w:rPr>
              <w:t>须知第13条（以代理机构财务查询为准）</w:t>
            </w:r>
          </w:p>
        </w:tc>
      </w:tr>
      <w:tr w14:paraId="17384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049C9CAB">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4</w:t>
            </w:r>
          </w:p>
        </w:tc>
        <w:tc>
          <w:tcPr>
            <w:tcW w:w="1556" w:type="pct"/>
            <w:shd w:val="clear" w:color="auto" w:fill="auto"/>
            <w:vAlign w:val="center"/>
          </w:tcPr>
          <w:p w14:paraId="5B66EEA0">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授权书</w:t>
            </w:r>
          </w:p>
        </w:tc>
        <w:tc>
          <w:tcPr>
            <w:tcW w:w="2958" w:type="pct"/>
            <w:shd w:val="clear" w:color="auto" w:fill="auto"/>
            <w:vAlign w:val="center"/>
          </w:tcPr>
          <w:p w14:paraId="25F7CE98">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62A1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93D3993">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5</w:t>
            </w:r>
          </w:p>
        </w:tc>
        <w:tc>
          <w:tcPr>
            <w:tcW w:w="1556" w:type="pct"/>
            <w:shd w:val="clear" w:color="auto" w:fill="auto"/>
            <w:vAlign w:val="center"/>
          </w:tcPr>
          <w:p w14:paraId="78F9A235">
            <w:pPr>
              <w:adjustRightInd w:val="0"/>
              <w:snapToGrid w:val="0"/>
              <w:ind w:firstLine="0" w:firstLineChars="0"/>
              <w:jc w:val="left"/>
              <w:rPr>
                <w:rFonts w:hint="eastAsia" w:ascii="宋体" w:hAnsi="宋体" w:eastAsia="宋体" w:cs="Times New Roman"/>
                <w:kern w:val="2"/>
                <w:sz w:val="24"/>
                <w:highlight w:val="none"/>
                <w:lang w:val="en-US" w:eastAsia="zh-CN" w:bidi="ar-SA"/>
              </w:rPr>
            </w:pPr>
            <w:r>
              <w:rPr>
                <w:rFonts w:hint="eastAsia" w:ascii="宋体" w:hAnsi="宋体" w:eastAsia="宋体" w:cs="Times New Roman"/>
                <w:kern w:val="2"/>
                <w:sz w:val="24"/>
                <w:highlight w:val="none"/>
                <w:lang w:val="en-US" w:eastAsia="zh-CN" w:bidi="ar-SA"/>
              </w:rPr>
              <w:t>无不良信用记录声明函</w:t>
            </w:r>
          </w:p>
        </w:tc>
        <w:tc>
          <w:tcPr>
            <w:tcW w:w="2958" w:type="pct"/>
            <w:shd w:val="clear" w:color="auto" w:fill="auto"/>
            <w:vAlign w:val="center"/>
          </w:tcPr>
          <w:p w14:paraId="71D48CEB">
            <w:pPr>
              <w:ind w:firstLine="0" w:firstLineChars="0"/>
              <w:jc w:val="left"/>
              <w:rPr>
                <w:highlight w:val="none"/>
              </w:rPr>
            </w:pPr>
            <w:r>
              <w:rPr>
                <w:rFonts w:hint="eastAsia"/>
                <w:szCs w:val="18"/>
                <w:highlight w:val="none"/>
              </w:rPr>
              <w:t>供应商</w:t>
            </w:r>
            <w:r>
              <w:rPr>
                <w:rFonts w:hint="eastAsia"/>
                <w:highlight w:val="none"/>
              </w:rPr>
              <w:t>不得存在</w:t>
            </w:r>
            <w:r>
              <w:rPr>
                <w:rFonts w:hint="eastAsia"/>
                <w:szCs w:val="18"/>
                <w:highlight w:val="none"/>
              </w:rPr>
              <w:t>供应商</w:t>
            </w:r>
            <w:r>
              <w:rPr>
                <w:rFonts w:hint="eastAsia"/>
                <w:highlight w:val="none"/>
              </w:rPr>
              <w:t>须知第</w:t>
            </w:r>
            <w:r>
              <w:rPr>
                <w:highlight w:val="none"/>
              </w:rPr>
              <w:t>1</w:t>
            </w:r>
            <w:r>
              <w:rPr>
                <w:rFonts w:hint="eastAsia"/>
                <w:highlight w:val="none"/>
              </w:rPr>
              <w:t>3</w:t>
            </w:r>
            <w:r>
              <w:rPr>
                <w:highlight w:val="none"/>
              </w:rPr>
              <w:t>.3.1.1</w:t>
            </w:r>
            <w:r>
              <w:rPr>
                <w:rFonts w:hint="eastAsia"/>
                <w:highlight w:val="none"/>
              </w:rPr>
              <w:t>条中的不良信用记录情形。</w:t>
            </w:r>
          </w:p>
          <w:p w14:paraId="18CC73C7">
            <w:pPr>
              <w:ind w:firstLine="0" w:firstLineChars="0"/>
              <w:jc w:val="left"/>
              <w:rPr>
                <w:rFonts w:ascii="宋体" w:hAnsi="宋体" w:eastAsia="宋体" w:cs="Times New Roman"/>
                <w:kern w:val="2"/>
                <w:sz w:val="24"/>
                <w:szCs w:val="22"/>
                <w:highlight w:val="none"/>
                <w:lang w:val="en-US" w:eastAsia="zh-CN" w:bidi="ar-SA"/>
              </w:rPr>
            </w:pPr>
            <w:r>
              <w:rPr>
                <w:rFonts w:hint="eastAsia"/>
                <w:highlight w:val="none"/>
              </w:rPr>
              <w:t>注：提供无不良信用记录声明函，格式后附。</w:t>
            </w:r>
          </w:p>
        </w:tc>
      </w:tr>
      <w:tr w14:paraId="2500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7AC282BA">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6</w:t>
            </w:r>
          </w:p>
        </w:tc>
        <w:tc>
          <w:tcPr>
            <w:tcW w:w="1556" w:type="pct"/>
            <w:shd w:val="clear" w:color="auto" w:fill="auto"/>
            <w:vAlign w:val="center"/>
          </w:tcPr>
          <w:p w14:paraId="5BFAC14A">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磋商报价</w:t>
            </w:r>
          </w:p>
        </w:tc>
        <w:tc>
          <w:tcPr>
            <w:tcW w:w="2958" w:type="pct"/>
            <w:shd w:val="clear" w:color="auto" w:fill="auto"/>
            <w:vAlign w:val="center"/>
          </w:tcPr>
          <w:p w14:paraId="404349D7">
            <w:pPr>
              <w:adjustRightInd w:val="0"/>
              <w:snapToGrid w:val="0"/>
              <w:ind w:firstLine="0" w:firstLineChars="0"/>
              <w:rPr>
                <w:rFonts w:ascii="Calibri" w:hAnsi="Calibri" w:eastAsia="宋体" w:cs="Times New Roman"/>
                <w:kern w:val="2"/>
                <w:sz w:val="24"/>
                <w:szCs w:val="22"/>
                <w:highlight w:val="none"/>
                <w:lang w:val="en-US" w:eastAsia="zh-CN" w:bidi="ar-SA"/>
              </w:rPr>
            </w:pPr>
            <w:r>
              <w:rPr>
                <w:rFonts w:hint="eastAsia" w:cs="Times New Roman"/>
                <w:kern w:val="2"/>
                <w:szCs w:val="22"/>
                <w:highlight w:val="none"/>
              </w:rPr>
              <w:t>符合磋商文件要求。</w:t>
            </w:r>
          </w:p>
        </w:tc>
      </w:tr>
      <w:tr w14:paraId="140C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56ECD430">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7</w:t>
            </w:r>
          </w:p>
        </w:tc>
        <w:tc>
          <w:tcPr>
            <w:tcW w:w="1556" w:type="pct"/>
            <w:shd w:val="clear" w:color="auto" w:fill="auto"/>
            <w:vAlign w:val="center"/>
          </w:tcPr>
          <w:p w14:paraId="72EAAFCD">
            <w:pPr>
              <w:adjustRightInd w:val="0"/>
              <w:snapToGrid w:val="0"/>
              <w:ind w:firstLine="0" w:firstLineChars="0"/>
              <w:jc w:val="left"/>
              <w:rPr>
                <w:rFonts w:hint="default" w:ascii="宋体" w:hAnsi="宋体" w:eastAsia="宋体" w:cs="Times New Roman"/>
                <w:kern w:val="2"/>
                <w:sz w:val="24"/>
                <w:highlight w:val="none"/>
                <w:lang w:val="en-US" w:eastAsia="zh-CN" w:bidi="ar-SA"/>
              </w:rPr>
            </w:pPr>
            <w:r>
              <w:rPr>
                <w:rFonts w:hint="eastAsia" w:cs="Times New Roman"/>
                <w:kern w:val="2"/>
                <w:highlight w:val="none"/>
                <w:lang w:val="en-US" w:eastAsia="zh-CN"/>
              </w:rPr>
              <w:t>供应商资质</w:t>
            </w:r>
          </w:p>
        </w:tc>
        <w:tc>
          <w:tcPr>
            <w:tcW w:w="2958" w:type="pct"/>
            <w:shd w:val="clear" w:color="auto" w:fill="auto"/>
            <w:vAlign w:val="center"/>
          </w:tcPr>
          <w:p w14:paraId="0AA11AB8">
            <w:pPr>
              <w:adjustRightInd w:val="0"/>
              <w:snapToGrid w:val="0"/>
              <w:ind w:firstLine="0" w:firstLineChars="0"/>
              <w:rPr>
                <w:rFonts w:ascii="宋体" w:hAnsi="宋体" w:eastAsia="宋体" w:cs="Times New Roman"/>
                <w:kern w:val="2"/>
                <w:sz w:val="24"/>
                <w:highlight w:val="none"/>
                <w:lang w:val="en-US" w:eastAsia="zh-CN" w:bidi="ar-SA"/>
              </w:rPr>
            </w:pPr>
            <w:r>
              <w:rPr>
                <w:rFonts w:hint="eastAsia" w:cs="Times New Roman"/>
                <w:kern w:val="2"/>
                <w:szCs w:val="22"/>
                <w:highlight w:val="none"/>
              </w:rPr>
              <w:t>符合磋商文件要求。</w:t>
            </w:r>
          </w:p>
        </w:tc>
      </w:tr>
      <w:tr w14:paraId="6A79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4" w:type="pct"/>
            <w:vAlign w:val="center"/>
          </w:tcPr>
          <w:p w14:paraId="6681A347">
            <w:pPr>
              <w:adjustRightInd w:val="0"/>
              <w:snapToGrid w:val="0"/>
              <w:ind w:firstLine="0" w:firstLineChars="0"/>
              <w:jc w:val="center"/>
              <w:rPr>
                <w:rFonts w:hint="default" w:cs="Times New Roman"/>
                <w:kern w:val="2"/>
                <w:highlight w:val="none"/>
                <w:lang w:val="en-US" w:eastAsia="zh-CN"/>
              </w:rPr>
            </w:pPr>
            <w:r>
              <w:rPr>
                <w:rFonts w:hint="eastAsia" w:cs="Times New Roman"/>
                <w:kern w:val="2"/>
                <w:highlight w:val="none"/>
                <w:lang w:val="en-US" w:eastAsia="zh-CN"/>
              </w:rPr>
              <w:t>8</w:t>
            </w:r>
          </w:p>
        </w:tc>
        <w:tc>
          <w:tcPr>
            <w:tcW w:w="1556" w:type="pct"/>
            <w:shd w:val="clear" w:color="auto" w:fill="auto"/>
            <w:vAlign w:val="center"/>
          </w:tcPr>
          <w:p w14:paraId="756F28F4">
            <w:pPr>
              <w:adjustRightInd w:val="0"/>
              <w:snapToGrid w:val="0"/>
              <w:ind w:firstLine="0" w:firstLineChars="0"/>
              <w:jc w:val="left"/>
              <w:rPr>
                <w:rFonts w:hint="eastAsia" w:cs="Times New Roman"/>
                <w:kern w:val="2"/>
                <w:highlight w:val="none"/>
                <w:lang w:val="en-US" w:eastAsia="zh-CN"/>
              </w:rPr>
            </w:pPr>
            <w:r>
              <w:rPr>
                <w:rFonts w:ascii="宋体" w:hAnsi="宋体" w:eastAsia="宋体" w:cs="宋体"/>
                <w:color w:val="auto"/>
                <w:spacing w:val="10"/>
                <w:sz w:val="24"/>
                <w:szCs w:val="24"/>
                <w:highlight w:val="none"/>
              </w:rPr>
              <w:t>本项目对于联合</w:t>
            </w:r>
            <w:r>
              <w:rPr>
                <w:rFonts w:ascii="宋体" w:hAnsi="宋体" w:eastAsia="宋体" w:cs="宋体"/>
                <w:color w:val="auto"/>
                <w:spacing w:val="-2"/>
                <w:sz w:val="24"/>
                <w:szCs w:val="24"/>
                <w:highlight w:val="none"/>
              </w:rPr>
              <w:t>体的要求</w:t>
            </w:r>
          </w:p>
        </w:tc>
        <w:tc>
          <w:tcPr>
            <w:tcW w:w="2958" w:type="pct"/>
            <w:shd w:val="clear" w:color="auto" w:fill="auto"/>
            <w:vAlign w:val="center"/>
          </w:tcPr>
          <w:p w14:paraId="3960B16D">
            <w:pPr>
              <w:adjustRightInd w:val="0"/>
              <w:snapToGrid w:val="0"/>
              <w:ind w:firstLine="0" w:firstLineChars="0"/>
              <w:rPr>
                <w:rFonts w:hint="eastAsia" w:cs="Times New Roman"/>
                <w:kern w:val="2"/>
                <w:szCs w:val="22"/>
                <w:highlight w:val="none"/>
              </w:rPr>
            </w:pPr>
            <w:r>
              <w:rPr>
                <w:rFonts w:hint="eastAsia" w:ascii="宋体" w:hAnsi="宋体" w:eastAsia="宋体" w:cs="宋体"/>
                <w:color w:val="auto"/>
                <w:spacing w:val="-2"/>
                <w:sz w:val="24"/>
                <w:szCs w:val="24"/>
                <w:highlight w:val="none"/>
                <w:lang w:val="en-US" w:eastAsia="zh-CN"/>
              </w:rPr>
              <w:t>联合体磋</w:t>
            </w:r>
            <w:r>
              <w:rPr>
                <w:rFonts w:hint="eastAsia" w:ascii="宋体" w:hAnsi="宋体" w:eastAsia="宋体" w:cs="宋体"/>
                <w:color w:val="auto"/>
                <w:spacing w:val="10"/>
                <w:kern w:val="2"/>
                <w:sz w:val="24"/>
                <w:szCs w:val="24"/>
                <w:highlight w:val="none"/>
                <w:lang w:val="en-US" w:eastAsia="zh-CN" w:bidi="ar-SA"/>
              </w:rPr>
              <w:t>商的详见供应商资格要求，且提</w:t>
            </w:r>
            <w:r>
              <w:rPr>
                <w:rFonts w:ascii="宋体" w:hAnsi="宋体" w:eastAsia="宋体" w:cs="宋体"/>
                <w:color w:val="auto"/>
                <w:spacing w:val="10"/>
                <w:kern w:val="2"/>
                <w:sz w:val="24"/>
                <w:szCs w:val="24"/>
                <w:highlight w:val="none"/>
                <w:lang w:val="en-US" w:eastAsia="zh-CN" w:bidi="ar-SA"/>
              </w:rPr>
              <w:t>供《联合协议》。</w:t>
            </w:r>
          </w:p>
        </w:tc>
      </w:tr>
      <w:tr w14:paraId="5A005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84" w:type="pct"/>
            <w:vAlign w:val="center"/>
          </w:tcPr>
          <w:p w14:paraId="5D9DE108">
            <w:pPr>
              <w:adjustRightInd w:val="0"/>
              <w:snapToGrid w:val="0"/>
              <w:ind w:firstLine="0" w:firstLineChars="0"/>
              <w:jc w:val="center"/>
              <w:rPr>
                <w:rFonts w:hint="eastAsia" w:eastAsia="宋体" w:cs="Times New Roman"/>
                <w:kern w:val="2"/>
                <w:highlight w:val="none"/>
                <w:lang w:eastAsia="zh-CN"/>
              </w:rPr>
            </w:pPr>
            <w:r>
              <w:rPr>
                <w:rFonts w:hint="eastAsia" w:cs="Times New Roman"/>
                <w:kern w:val="2"/>
                <w:highlight w:val="none"/>
                <w:lang w:val="en-US" w:eastAsia="zh-CN"/>
              </w:rPr>
              <w:t>9</w:t>
            </w:r>
          </w:p>
        </w:tc>
        <w:tc>
          <w:tcPr>
            <w:tcW w:w="1556" w:type="pct"/>
            <w:shd w:val="clear" w:color="auto" w:fill="auto"/>
            <w:vAlign w:val="center"/>
          </w:tcPr>
          <w:p w14:paraId="69CB3F69">
            <w:pPr>
              <w:adjustRightInd w:val="0"/>
              <w:snapToGrid w:val="0"/>
              <w:ind w:firstLine="0" w:firstLineChars="0"/>
              <w:jc w:val="left"/>
              <w:rPr>
                <w:rFonts w:ascii="宋体" w:hAnsi="宋体" w:eastAsia="宋体" w:cs="Times New Roman"/>
                <w:kern w:val="2"/>
                <w:sz w:val="24"/>
                <w:highlight w:val="none"/>
                <w:lang w:val="en-US" w:eastAsia="zh-CN" w:bidi="ar-SA"/>
              </w:rPr>
            </w:pPr>
            <w:r>
              <w:rPr>
                <w:rFonts w:hint="eastAsia" w:cs="Times New Roman"/>
                <w:kern w:val="2"/>
                <w:highlight w:val="none"/>
              </w:rPr>
              <w:t>其他要求</w:t>
            </w:r>
          </w:p>
        </w:tc>
        <w:tc>
          <w:tcPr>
            <w:tcW w:w="2958" w:type="pct"/>
            <w:shd w:val="clear" w:color="auto" w:fill="auto"/>
            <w:vAlign w:val="center"/>
          </w:tcPr>
          <w:p w14:paraId="5225CFB0">
            <w:pPr>
              <w:adjustRightInd w:val="0"/>
              <w:snapToGrid w:val="0"/>
              <w:ind w:firstLine="0" w:firstLineChars="0"/>
              <w:rPr>
                <w:rFonts w:ascii="宋体" w:hAnsi="宋体" w:eastAsia="宋体" w:cs="Times New Roman"/>
                <w:kern w:val="2"/>
                <w:sz w:val="24"/>
                <w:highlight w:val="none"/>
                <w:lang w:val="en-US" w:eastAsia="zh-CN" w:bidi="ar-SA"/>
              </w:rPr>
            </w:pPr>
            <w:r>
              <w:rPr>
                <w:rFonts w:hint="eastAsia"/>
                <w:szCs w:val="28"/>
                <w:highlight w:val="none"/>
              </w:rPr>
              <w:t>符合法律、行政法规规定的其他条件或磋商文件列明的其他要求。</w:t>
            </w:r>
          </w:p>
        </w:tc>
      </w:tr>
      <w:tr w14:paraId="0D4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vAlign w:val="center"/>
          </w:tcPr>
          <w:p w14:paraId="0DEA3FF9">
            <w:pPr>
              <w:adjustRightInd w:val="0"/>
              <w:snapToGrid w:val="0"/>
              <w:ind w:firstLine="0" w:firstLineChars="0"/>
              <w:jc w:val="left"/>
              <w:rPr>
                <w:rFonts w:ascii="Calibri" w:hAnsi="Calibri" w:cs="Times New Roman"/>
                <w:kern w:val="2"/>
                <w:szCs w:val="22"/>
                <w:highlight w:val="none"/>
              </w:rPr>
            </w:pPr>
            <w:r>
              <w:rPr>
                <w:rFonts w:hint="eastAsia" w:ascii="Calibri" w:hAnsi="Calibri" w:cs="Times New Roman"/>
                <w:kern w:val="2"/>
                <w:szCs w:val="22"/>
                <w:highlight w:val="none"/>
              </w:rPr>
              <w:t>评审指标通过标准：供应商必须通过上述全部指标。</w:t>
            </w:r>
          </w:p>
        </w:tc>
      </w:tr>
    </w:tbl>
    <w:p w14:paraId="34879D04">
      <w:pPr>
        <w:ind w:firstLine="482"/>
        <w:rPr>
          <w:rFonts w:asciiTheme="minorEastAsia" w:hAnsiTheme="minorEastAsia" w:eastAsiaTheme="minorEastAsia"/>
          <w:highlight w:val="none"/>
        </w:rPr>
      </w:pPr>
      <w:r>
        <w:rPr>
          <w:rFonts w:hint="eastAsia" w:asciiTheme="minorEastAsia" w:hAnsiTheme="minorEastAsia" w:eastAsiaTheme="minorEastAsia"/>
          <w:b/>
          <w:bCs/>
          <w:highlight w:val="none"/>
        </w:rPr>
        <w:t>初审指标通过标准：</w:t>
      </w:r>
      <w:r>
        <w:rPr>
          <w:rFonts w:hint="eastAsia" w:asciiTheme="minorEastAsia" w:hAnsiTheme="minorEastAsia" w:eastAsiaTheme="minorEastAsia"/>
          <w:highlight w:val="none"/>
        </w:rPr>
        <w:t>供应商必须通过初审表中的全部评审指标。</w:t>
      </w:r>
    </w:p>
    <w:p w14:paraId="49C80E10">
      <w:pPr>
        <w:ind w:firstLine="482"/>
        <w:rPr>
          <w:rFonts w:asciiTheme="minorEastAsia" w:hAnsiTheme="minorEastAsia" w:eastAsiaTheme="minorEastAsia"/>
          <w:b/>
          <w:highlight w:val="none"/>
        </w:rPr>
      </w:pPr>
      <w:r>
        <w:rPr>
          <w:rFonts w:hint="eastAsia" w:asciiTheme="minorEastAsia" w:hAnsiTheme="minorEastAsia" w:eastAsiaTheme="minorEastAsia"/>
          <w:b/>
          <w:highlight w:val="none"/>
        </w:rPr>
        <w:t>2.2综合评分</w:t>
      </w:r>
    </w:p>
    <w:p w14:paraId="6ED4F7B8">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评审委员会按照下表对</w:t>
      </w:r>
      <w:r>
        <w:rPr>
          <w:rFonts w:hint="eastAsia"/>
          <w:highlight w:val="none"/>
        </w:rPr>
        <w:t>进入综合评分的所有供应商的</w:t>
      </w:r>
      <w:r>
        <w:rPr>
          <w:rFonts w:hint="eastAsia" w:asciiTheme="minorEastAsia" w:hAnsiTheme="minorEastAsia" w:eastAsiaTheme="minorEastAsia"/>
          <w:highlight w:val="none"/>
        </w:rPr>
        <w:t>响应文件进行综合评分。</w:t>
      </w:r>
    </w:p>
    <w:p w14:paraId="09C15E32">
      <w:pPr>
        <w:ind w:firstLine="480"/>
        <w:rPr>
          <w:rFonts w:asciiTheme="minorEastAsia" w:hAnsiTheme="minorEastAsia" w:eastAsiaTheme="minorEastAsia"/>
          <w:highlight w:val="none"/>
        </w:rPr>
      </w:pP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w:t>
      </w:r>
      <w:r>
        <w:rPr>
          <w:rFonts w:hint="eastAsia" w:asciiTheme="minorEastAsia" w:hAnsiTheme="minorEastAsia" w:eastAsiaTheme="minorEastAsia"/>
          <w:b/>
          <w:bCs/>
          <w:highlight w:val="none"/>
        </w:rPr>
        <w:t>2</w:t>
      </w:r>
      <w:r>
        <w:rPr>
          <w:rFonts w:asciiTheme="minorEastAsia" w:hAnsiTheme="minorEastAsia" w:eastAsiaTheme="minorEastAsia"/>
          <w:b/>
          <w:bCs/>
          <w:highlight w:val="none"/>
        </w:rPr>
        <w:t>.2</w:t>
      </w:r>
      <w:r>
        <w:rPr>
          <w:rFonts w:hint="eastAsia" w:ascii="宋体" w:hAnsi="宋体" w:eastAsia="宋体" w:cs="宋体"/>
          <w:b/>
          <w:bCs/>
          <w:color w:val="000000"/>
          <w:kern w:val="0"/>
          <w:sz w:val="24"/>
          <w:szCs w:val="24"/>
          <w:lang w:val="en-US" w:eastAsia="zh-CN" w:bidi="ar"/>
        </w:rPr>
        <w:t>本项目综合评分满分为100分，其中：技术资信分值占总分值的权重为</w:t>
      </w:r>
      <w:r>
        <w:rPr>
          <w:rFonts w:hint="eastAsia" w:cs="宋体"/>
          <w:b/>
          <w:bCs/>
          <w:color w:val="000000"/>
          <w:kern w:val="0"/>
          <w:sz w:val="24"/>
          <w:szCs w:val="24"/>
          <w:highlight w:val="none"/>
          <w:u w:val="single"/>
          <w:lang w:val="en-US" w:eastAsia="zh-CN" w:bidi="ar"/>
        </w:rPr>
        <w:t>90</w:t>
      </w:r>
      <w:r>
        <w:rPr>
          <w:rFonts w:hint="eastAsia" w:ascii="宋体" w:hAnsi="宋体" w:eastAsia="宋体" w:cs="宋体"/>
          <w:b/>
          <w:bCs/>
          <w:color w:val="000000"/>
          <w:kern w:val="0"/>
          <w:sz w:val="24"/>
          <w:szCs w:val="24"/>
          <w:highlight w:val="none"/>
          <w:lang w:val="en-US" w:eastAsia="zh-CN" w:bidi="ar"/>
        </w:rPr>
        <w:t>%，价格分值占总分值的权重为</w:t>
      </w:r>
      <w:r>
        <w:rPr>
          <w:rFonts w:hint="eastAsia" w:cs="宋体"/>
          <w:b/>
          <w:bCs/>
          <w:color w:val="000000"/>
          <w:kern w:val="0"/>
          <w:sz w:val="24"/>
          <w:szCs w:val="24"/>
          <w:highlight w:val="none"/>
          <w:u w:val="single"/>
          <w:lang w:val="en-US" w:eastAsia="zh-CN" w:bidi="ar"/>
        </w:rPr>
        <w:t>10</w:t>
      </w:r>
      <w:r>
        <w:rPr>
          <w:rFonts w:hint="eastAsia" w:ascii="宋体" w:hAnsi="宋体" w:eastAsia="宋体" w:cs="宋体"/>
          <w:b/>
          <w:bCs/>
          <w:color w:val="000000"/>
          <w:kern w:val="0"/>
          <w:sz w:val="24"/>
          <w:szCs w:val="24"/>
          <w:highlight w:val="none"/>
          <w:lang w:val="en-US" w:eastAsia="zh-CN" w:bidi="ar"/>
        </w:rPr>
        <w:t>%。具体评分细则如下：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237"/>
        <w:gridCol w:w="4954"/>
        <w:gridCol w:w="1212"/>
      </w:tblGrid>
      <w:tr w14:paraId="401D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56" w:type="pct"/>
            <w:tcBorders>
              <w:top w:val="single" w:color="auto" w:sz="4" w:space="0"/>
              <w:left w:val="single" w:color="auto" w:sz="4" w:space="0"/>
              <w:bottom w:val="single" w:color="auto" w:sz="4" w:space="0"/>
              <w:right w:val="single" w:color="auto" w:sz="4" w:space="0"/>
            </w:tcBorders>
            <w:noWrap w:val="0"/>
            <w:vAlign w:val="center"/>
          </w:tcPr>
          <w:p w14:paraId="2C22EDC7">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类别</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27BC0572">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评分内容</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0D8353">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评分标准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A18858E">
            <w:pPr>
              <w:spacing w:line="360" w:lineRule="auto"/>
              <w:ind w:left="0" w:leftChars="0" w:firstLine="0" w:firstLineChars="0"/>
              <w:jc w:val="both"/>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分值范围</w:t>
            </w:r>
          </w:p>
        </w:tc>
      </w:tr>
      <w:tr w14:paraId="3A12D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restart"/>
            <w:tcBorders>
              <w:top w:val="single" w:color="auto" w:sz="4" w:space="0"/>
              <w:left w:val="single" w:color="auto" w:sz="4" w:space="0"/>
              <w:right w:val="single" w:color="auto" w:sz="4" w:space="0"/>
            </w:tcBorders>
            <w:noWrap w:val="0"/>
            <w:vAlign w:val="center"/>
          </w:tcPr>
          <w:p w14:paraId="466F2954">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技术资信分</w:t>
            </w:r>
          </w:p>
          <w:p w14:paraId="5D27B03D">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90</w:t>
            </w:r>
            <w:r>
              <w:rPr>
                <w:rFonts w:hint="eastAsia" w:ascii="宋体" w:hAnsi="宋体" w:eastAsia="宋体" w:cs="宋体"/>
                <w:color w:val="000000"/>
                <w:sz w:val="24"/>
                <w:szCs w:val="24"/>
                <w:u w:val="none"/>
              </w:rPr>
              <w:t>分）</w:t>
            </w:r>
          </w:p>
        </w:tc>
        <w:tc>
          <w:tcPr>
            <w:tcW w:w="725" w:type="pct"/>
            <w:tcBorders>
              <w:top w:val="single" w:color="auto" w:sz="4" w:space="0"/>
              <w:left w:val="single" w:color="auto" w:sz="4" w:space="0"/>
              <w:bottom w:val="single" w:color="auto" w:sz="4" w:space="0"/>
              <w:right w:val="single" w:color="auto" w:sz="4" w:space="0"/>
            </w:tcBorders>
            <w:noWrap w:val="0"/>
            <w:vAlign w:val="center"/>
          </w:tcPr>
          <w:p w14:paraId="041B212C">
            <w:pPr>
              <w:spacing w:line="360" w:lineRule="auto"/>
              <w:ind w:left="0" w:leftChars="0" w:firstLine="0" w:firstLineChars="0"/>
              <w:jc w:val="center"/>
              <w:rPr>
                <w:rFonts w:hint="default" w:ascii="宋体" w:hAnsi="宋体" w:eastAsia="宋体" w:cs="宋体"/>
                <w:bCs/>
                <w:color w:val="000000"/>
                <w:sz w:val="24"/>
                <w:szCs w:val="24"/>
                <w:u w:val="none"/>
                <w:lang w:val="en-US" w:eastAsia="zh-CN"/>
              </w:rPr>
            </w:pPr>
            <w:r>
              <w:rPr>
                <w:rFonts w:hint="eastAsia" w:cs="宋体"/>
                <w:bCs/>
                <w:color w:val="000000"/>
                <w:sz w:val="24"/>
                <w:szCs w:val="24"/>
                <w:u w:val="none"/>
                <w:lang w:val="en-US" w:eastAsia="zh-CN"/>
              </w:rPr>
              <w:t>现状调查方案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1FF6EED">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lang w:val="en-US" w:eastAsia="zh-CN"/>
              </w:rPr>
              <w:t>供应商针对项目进行现状调查，包括但不限于对项目区域地形地貌、土地使用情况、农田水利基础设施等进行全面调查分析。</w:t>
            </w:r>
          </w:p>
          <w:p w14:paraId="79A39F74">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以上内容进行综合评审：</w:t>
            </w:r>
          </w:p>
          <w:p w14:paraId="65C62B3C">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p w14:paraId="5D36B917">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分；</w:t>
            </w:r>
          </w:p>
          <w:p w14:paraId="3012694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67F91DC5">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1626E81B">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3BA4A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19124F39">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1CBFD894">
            <w:pPr>
              <w:spacing w:line="360" w:lineRule="auto"/>
              <w:ind w:left="0" w:leftChars="0" w:firstLine="0" w:firstLineChars="0"/>
              <w:jc w:val="center"/>
              <w:rPr>
                <w:rFonts w:hint="default" w:ascii="宋体" w:hAnsi="宋体" w:eastAsia="宋体" w:cs="宋体"/>
                <w:color w:val="000000"/>
                <w:sz w:val="24"/>
                <w:szCs w:val="24"/>
                <w:u w:val="none"/>
                <w:lang w:val="en-US" w:eastAsia="zh-CN"/>
              </w:rPr>
            </w:pPr>
            <w:r>
              <w:rPr>
                <w:rFonts w:hint="eastAsia" w:cs="宋体"/>
                <w:color w:val="000000"/>
                <w:sz w:val="24"/>
                <w:szCs w:val="24"/>
                <w:u w:val="none"/>
                <w:lang w:val="en-US" w:eastAsia="zh-CN"/>
              </w:rPr>
              <w:t>重难点分析方案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0800728">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供应商针对本项目勘察设计进行重难点分析，包括但不限于复杂地形勘察精度控制、农田灌排系统优化难点及解决方向等。</w:t>
            </w:r>
          </w:p>
          <w:p w14:paraId="7ACEAA7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6D0703E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p w14:paraId="5FCCA489">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分；</w:t>
            </w:r>
          </w:p>
          <w:p w14:paraId="08C538F0">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17043E1A">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452A2CB4">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083D0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212ACECB">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3A6D7BC7">
            <w:pPr>
              <w:spacing w:line="360" w:lineRule="auto"/>
              <w:ind w:left="0" w:leftChars="0" w:firstLine="0" w:firstLineChars="0"/>
              <w:jc w:val="center"/>
              <w:rPr>
                <w:rFonts w:hint="default" w:cs="宋体"/>
                <w:color w:val="000000"/>
                <w:sz w:val="24"/>
                <w:szCs w:val="24"/>
                <w:u w:val="none"/>
                <w:lang w:val="en-US" w:eastAsia="zh-CN"/>
              </w:rPr>
            </w:pPr>
            <w:r>
              <w:rPr>
                <w:rFonts w:hint="eastAsia" w:cs="宋体"/>
                <w:color w:val="000000"/>
                <w:sz w:val="24"/>
                <w:szCs w:val="24"/>
                <w:u w:val="none"/>
                <w:lang w:val="en-US" w:eastAsia="zh-CN"/>
              </w:rPr>
              <w:t>各类保障措施方案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72F80ABA">
            <w:pPr>
              <w:spacing w:line="360" w:lineRule="auto"/>
              <w:ind w:left="0" w:leftChars="0" w:firstLine="0" w:firstLineChars="0"/>
              <w:jc w:val="left"/>
              <w:rPr>
                <w:rStyle w:val="24"/>
                <w:b w:val="0"/>
                <w:bCs w:val="0"/>
                <w:color w:val="auto"/>
                <w:sz w:val="24"/>
                <w:szCs w:val="24"/>
                <w:highlight w:val="none"/>
                <w:lang w:val="en-US" w:eastAsia="zh-CN" w:bidi="ar"/>
              </w:rPr>
            </w:pPr>
            <w:r>
              <w:rPr>
                <w:rStyle w:val="24"/>
                <w:b w:val="0"/>
                <w:bCs w:val="0"/>
                <w:color w:val="auto"/>
                <w:sz w:val="24"/>
                <w:szCs w:val="24"/>
                <w:highlight w:val="none"/>
                <w:lang w:val="en-US" w:eastAsia="zh-CN" w:bidi="ar"/>
              </w:rPr>
              <w:t>供应商针对本项目勘察设计提出投资控制措施、进度保障措施、质量保障措施以及安全保障措施</w:t>
            </w:r>
            <w:r>
              <w:rPr>
                <w:rStyle w:val="24"/>
                <w:rFonts w:hint="eastAsia"/>
                <w:b w:val="0"/>
                <w:bCs w:val="0"/>
                <w:color w:val="auto"/>
                <w:sz w:val="24"/>
                <w:szCs w:val="24"/>
                <w:highlight w:val="none"/>
                <w:lang w:val="en-US" w:eastAsia="zh-CN" w:bidi="ar"/>
              </w:rPr>
              <w:t>等</w:t>
            </w:r>
            <w:r>
              <w:rPr>
                <w:rStyle w:val="24"/>
                <w:b w:val="0"/>
                <w:bCs w:val="0"/>
                <w:color w:val="auto"/>
                <w:sz w:val="24"/>
                <w:szCs w:val="24"/>
                <w:highlight w:val="none"/>
                <w:lang w:val="en-US" w:eastAsia="zh-CN" w:bidi="ar"/>
              </w:rPr>
              <w:t>。</w:t>
            </w:r>
          </w:p>
          <w:p w14:paraId="469F8315">
            <w:pPr>
              <w:spacing w:line="360" w:lineRule="auto"/>
              <w:ind w:left="0" w:leftChars="0" w:firstLine="0" w:firstLineChars="0"/>
              <w:jc w:val="left"/>
              <w:rPr>
                <w:rStyle w:val="24"/>
                <w:b w:val="0"/>
                <w:bCs w:val="0"/>
                <w:color w:val="auto"/>
                <w:sz w:val="24"/>
                <w:szCs w:val="24"/>
                <w:highlight w:val="none"/>
                <w:lang w:val="en-US" w:eastAsia="zh-CN" w:bidi="ar"/>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以上内容进行综合评审：</w:t>
            </w:r>
          </w:p>
          <w:p w14:paraId="2F1D9E1E">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p w14:paraId="6AF04483">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8</w:t>
            </w:r>
            <w:r>
              <w:rPr>
                <w:rFonts w:hint="eastAsia" w:ascii="宋体" w:hAnsi="宋体" w:eastAsia="宋体" w:cs="宋体"/>
                <w:color w:val="000000"/>
                <w:sz w:val="24"/>
                <w:szCs w:val="24"/>
                <w:u w:val="none"/>
              </w:rPr>
              <w:t>分；</w:t>
            </w:r>
          </w:p>
          <w:p w14:paraId="60A79BFB">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49A7BB64">
            <w:pPr>
              <w:spacing w:line="360" w:lineRule="auto"/>
              <w:ind w:left="0" w:leftChars="0" w:firstLine="0" w:firstLineChars="0"/>
              <w:jc w:val="left"/>
              <w:rPr>
                <w:rStyle w:val="24"/>
                <w:rFonts w:hint="eastAsia"/>
                <w:b w:val="0"/>
                <w:bCs w:val="0"/>
                <w:color w:val="auto"/>
                <w:sz w:val="24"/>
                <w:szCs w:val="24"/>
                <w:highlight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3733DED6">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1A6E2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756FF383">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505C004C">
            <w:pPr>
              <w:spacing w:line="360" w:lineRule="auto"/>
              <w:ind w:left="0" w:leftChars="0" w:firstLine="0" w:firstLineChars="0"/>
              <w:jc w:val="center"/>
              <w:rPr>
                <w:rFonts w:hint="eastAsia" w:cs="宋体"/>
                <w:color w:val="000000"/>
                <w:sz w:val="24"/>
                <w:szCs w:val="24"/>
                <w:u w:val="none"/>
                <w:lang w:val="en-US" w:eastAsia="zh-CN"/>
              </w:rPr>
            </w:pPr>
            <w:r>
              <w:rPr>
                <w:rFonts w:hint="eastAsia" w:cs="宋体"/>
                <w:b w:val="0"/>
                <w:bCs w:val="0"/>
                <w:i w:val="0"/>
                <w:iCs w:val="0"/>
                <w:color w:val="auto"/>
                <w:kern w:val="0"/>
                <w:sz w:val="24"/>
                <w:szCs w:val="24"/>
                <w:highlight w:val="none"/>
                <w:u w:val="none"/>
                <w:lang w:val="en-US" w:eastAsia="zh-CN" w:bidi="ar"/>
              </w:rPr>
              <w:t>质量服务</w:t>
            </w:r>
            <w:r>
              <w:rPr>
                <w:rFonts w:hint="eastAsia" w:ascii="宋体" w:hAnsi="宋体" w:eastAsia="宋体" w:cs="宋体"/>
                <w:b w:val="0"/>
                <w:bCs w:val="0"/>
                <w:i w:val="0"/>
                <w:iCs w:val="0"/>
                <w:color w:val="auto"/>
                <w:kern w:val="0"/>
                <w:sz w:val="24"/>
                <w:szCs w:val="24"/>
                <w:highlight w:val="none"/>
                <w:u w:val="none"/>
                <w:lang w:val="en-US" w:eastAsia="zh-CN" w:bidi="ar"/>
              </w:rPr>
              <w:t>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5F380833">
            <w:pPr>
              <w:spacing w:line="360" w:lineRule="auto"/>
              <w:ind w:left="0" w:leftChars="0" w:firstLine="0" w:firstLineChars="0"/>
              <w:jc w:val="left"/>
              <w:rPr>
                <w:rStyle w:val="25"/>
                <w:b w:val="0"/>
                <w:bCs w:val="0"/>
                <w:color w:val="auto"/>
                <w:sz w:val="24"/>
                <w:szCs w:val="24"/>
                <w:highlight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供应商针对本项目施工图设计及工程量清单编制</w:t>
            </w:r>
            <w:r>
              <w:rPr>
                <w:rFonts w:hint="eastAsia" w:ascii="宋体" w:hAnsi="宋体" w:cs="宋体"/>
                <w:b w:val="0"/>
                <w:bCs w:val="0"/>
                <w:i w:val="0"/>
                <w:iCs w:val="0"/>
                <w:color w:val="auto"/>
                <w:kern w:val="0"/>
                <w:sz w:val="24"/>
                <w:szCs w:val="24"/>
                <w:highlight w:val="none"/>
                <w:u w:val="none"/>
                <w:lang w:val="en-US" w:eastAsia="zh-CN" w:bidi="ar"/>
              </w:rPr>
              <w:t>制定</w:t>
            </w:r>
            <w:r>
              <w:rPr>
                <w:rFonts w:hint="eastAsia" w:ascii="宋体" w:hAnsi="宋体" w:eastAsia="宋体" w:cs="宋体"/>
                <w:b w:val="0"/>
                <w:bCs w:val="0"/>
                <w:i w:val="0"/>
                <w:iCs w:val="0"/>
                <w:color w:val="auto"/>
                <w:kern w:val="0"/>
                <w:sz w:val="24"/>
                <w:szCs w:val="24"/>
                <w:highlight w:val="none"/>
                <w:u w:val="none"/>
                <w:lang w:val="en-US" w:eastAsia="zh-CN" w:bidi="ar"/>
              </w:rPr>
              <w:t>质量服务方案</w:t>
            </w:r>
            <w:r>
              <w:rPr>
                <w:rStyle w:val="25"/>
                <w:b w:val="0"/>
                <w:bCs w:val="0"/>
                <w:color w:val="auto"/>
                <w:sz w:val="24"/>
                <w:szCs w:val="24"/>
                <w:highlight w:val="none"/>
                <w:lang w:val="en-US" w:eastAsia="zh-CN" w:bidi="ar"/>
              </w:rPr>
              <w:t>，包括但不限于</w:t>
            </w:r>
            <w:r>
              <w:rPr>
                <w:rStyle w:val="24"/>
                <w:b w:val="0"/>
                <w:bCs w:val="0"/>
                <w:color w:val="auto"/>
                <w:sz w:val="24"/>
                <w:szCs w:val="24"/>
                <w:highlight w:val="none"/>
                <w:lang w:val="en-US" w:eastAsia="zh-CN" w:bidi="ar"/>
              </w:rPr>
              <w:t>施工图细节优化服务、工程量清单精准核对服务等</w:t>
            </w:r>
            <w:r>
              <w:rPr>
                <w:rStyle w:val="25"/>
                <w:b w:val="0"/>
                <w:bCs w:val="0"/>
                <w:color w:val="auto"/>
                <w:sz w:val="24"/>
                <w:szCs w:val="24"/>
                <w:highlight w:val="none"/>
                <w:lang w:val="en-US" w:eastAsia="zh-CN" w:bidi="ar"/>
              </w:rPr>
              <w:t>。</w:t>
            </w:r>
          </w:p>
          <w:p w14:paraId="600EF796">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6642271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p w14:paraId="67E01B6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分；</w:t>
            </w:r>
          </w:p>
          <w:p w14:paraId="349E556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38070003">
            <w:pPr>
              <w:spacing w:line="360" w:lineRule="auto"/>
              <w:ind w:left="0" w:leftChars="0" w:firstLine="0" w:firstLineChars="0"/>
              <w:jc w:val="left"/>
              <w:rPr>
                <w:rStyle w:val="25"/>
                <w:rFonts w:hint="eastAsia"/>
                <w:b w:val="0"/>
                <w:bCs w:val="0"/>
                <w:color w:val="auto"/>
                <w:sz w:val="24"/>
                <w:szCs w:val="24"/>
                <w:highlight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6E893B2">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tc>
      </w:tr>
      <w:tr w14:paraId="089E6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top w:val="single" w:color="auto" w:sz="4" w:space="0"/>
              <w:left w:val="single" w:color="auto" w:sz="4" w:space="0"/>
              <w:right w:val="single" w:color="auto" w:sz="4" w:space="0"/>
            </w:tcBorders>
            <w:noWrap w:val="0"/>
            <w:vAlign w:val="center"/>
          </w:tcPr>
          <w:p w14:paraId="39DDA29E">
            <w:pPr>
              <w:spacing w:line="360" w:lineRule="auto"/>
              <w:jc w:val="left"/>
              <w:rPr>
                <w:rFonts w:hint="eastAsia" w:ascii="宋体" w:hAnsi="宋体" w:eastAsia="宋体" w:cs="宋体"/>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3D55AC0E">
            <w:pPr>
              <w:spacing w:line="360" w:lineRule="auto"/>
              <w:ind w:left="0" w:leftChars="0" w:firstLine="0" w:firstLineChars="0"/>
              <w:jc w:val="center"/>
              <w:rPr>
                <w:rFonts w:hint="eastAsia" w:cs="宋体"/>
                <w:color w:val="000000"/>
                <w:sz w:val="24"/>
                <w:szCs w:val="24"/>
                <w:u w:val="none"/>
                <w:lang w:val="en-US" w:eastAsia="zh-CN"/>
              </w:rPr>
            </w:pPr>
            <w:r>
              <w:rPr>
                <w:rFonts w:hint="eastAsia" w:ascii="宋体" w:hAnsi="宋体" w:cs="宋体"/>
                <w:b w:val="0"/>
                <w:bCs w:val="0"/>
                <w:i w:val="0"/>
                <w:iCs w:val="0"/>
                <w:color w:val="auto"/>
                <w:kern w:val="0"/>
                <w:sz w:val="24"/>
                <w:szCs w:val="24"/>
                <w:highlight w:val="none"/>
                <w:u w:val="none"/>
                <w:lang w:val="en-US" w:eastAsia="zh-CN" w:bidi="ar"/>
              </w:rPr>
              <w:t>现场</w:t>
            </w:r>
            <w:r>
              <w:rPr>
                <w:rFonts w:hint="eastAsia" w:ascii="宋体" w:hAnsi="宋体" w:eastAsia="宋体" w:cs="宋体"/>
                <w:b w:val="0"/>
                <w:bCs w:val="0"/>
                <w:i w:val="0"/>
                <w:iCs w:val="0"/>
                <w:color w:val="auto"/>
                <w:kern w:val="0"/>
                <w:sz w:val="24"/>
                <w:szCs w:val="24"/>
                <w:highlight w:val="none"/>
                <w:u w:val="none"/>
                <w:lang w:val="en-US" w:eastAsia="zh-CN" w:bidi="ar"/>
              </w:rPr>
              <w:t>技术服务方案</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5A390F13">
            <w:pPr>
              <w:spacing w:line="360" w:lineRule="auto"/>
              <w:ind w:left="0" w:leftChars="0" w:firstLine="0" w:firstLineChars="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val="0"/>
                <w:bCs w:val="0"/>
                <w:i w:val="0"/>
                <w:iCs w:val="0"/>
                <w:color w:val="auto"/>
                <w:kern w:val="0"/>
                <w:sz w:val="24"/>
                <w:szCs w:val="24"/>
                <w:highlight w:val="none"/>
                <w:u w:val="none"/>
                <w:lang w:val="en-US" w:eastAsia="zh-CN" w:bidi="ar"/>
              </w:rPr>
              <w:t>供应商针对本项目设计服务的施工阶段</w:t>
            </w:r>
            <w:r>
              <w:rPr>
                <w:rFonts w:hint="eastAsia" w:ascii="宋体" w:hAnsi="宋体" w:cs="宋体"/>
                <w:b w:val="0"/>
                <w:bCs w:val="0"/>
                <w:i w:val="0"/>
                <w:iCs w:val="0"/>
                <w:color w:val="auto"/>
                <w:kern w:val="0"/>
                <w:sz w:val="24"/>
                <w:szCs w:val="24"/>
                <w:highlight w:val="none"/>
                <w:u w:val="none"/>
                <w:lang w:val="en-US" w:eastAsia="zh-CN" w:bidi="ar"/>
              </w:rPr>
              <w:t>制定现场</w:t>
            </w:r>
            <w:r>
              <w:rPr>
                <w:rFonts w:hint="eastAsia" w:ascii="宋体" w:hAnsi="宋体" w:eastAsia="宋体" w:cs="宋体"/>
                <w:b w:val="0"/>
                <w:bCs w:val="0"/>
                <w:i w:val="0"/>
                <w:iCs w:val="0"/>
                <w:color w:val="auto"/>
                <w:kern w:val="0"/>
                <w:sz w:val="24"/>
                <w:szCs w:val="24"/>
                <w:highlight w:val="none"/>
                <w:u w:val="none"/>
                <w:lang w:val="en-US" w:eastAsia="zh-CN" w:bidi="ar"/>
              </w:rPr>
              <w:t>技术服务方案，包括但不限于施工技术交底频次及流程、现场设计问题实时响应服务</w:t>
            </w:r>
            <w:r>
              <w:rPr>
                <w:rFonts w:hint="eastAsia" w:ascii="宋体" w:hAnsi="宋体" w:cs="宋体"/>
                <w:b w:val="0"/>
                <w:bCs w:val="0"/>
                <w:i w:val="0"/>
                <w:iCs w:val="0"/>
                <w:color w:val="auto"/>
                <w:kern w:val="0"/>
                <w:sz w:val="24"/>
                <w:szCs w:val="24"/>
                <w:highlight w:val="none"/>
                <w:u w:val="none"/>
                <w:lang w:val="en-US" w:eastAsia="zh-CN" w:bidi="ar"/>
              </w:rPr>
              <w:t>等</w:t>
            </w:r>
            <w:r>
              <w:rPr>
                <w:rFonts w:hint="eastAsia" w:ascii="宋体" w:hAnsi="宋体" w:eastAsia="宋体" w:cs="宋体"/>
                <w:b w:val="0"/>
                <w:bCs w:val="0"/>
                <w:i w:val="0"/>
                <w:iCs w:val="0"/>
                <w:color w:val="auto"/>
                <w:kern w:val="0"/>
                <w:sz w:val="24"/>
                <w:szCs w:val="24"/>
                <w:highlight w:val="none"/>
                <w:u w:val="none"/>
                <w:lang w:val="en-US" w:eastAsia="zh-CN" w:bidi="ar"/>
              </w:rPr>
              <w:t>。</w:t>
            </w:r>
          </w:p>
          <w:p w14:paraId="5C5032D9">
            <w:pPr>
              <w:spacing w:line="360" w:lineRule="auto"/>
              <w:ind w:left="0" w:leftChars="0" w:firstLine="0" w:firstLineChars="0"/>
              <w:jc w:val="left"/>
              <w:rPr>
                <w:rFonts w:hint="eastAsia" w:ascii="宋体" w:hAnsi="宋体" w:eastAsia="宋体" w:cs="宋体"/>
                <w:bCs/>
                <w:color w:val="000000"/>
                <w:sz w:val="24"/>
                <w:szCs w:val="24"/>
                <w:u w:val="none"/>
              </w:rPr>
            </w:pPr>
            <w:r>
              <w:rPr>
                <w:rFonts w:hint="eastAsia" w:ascii="宋体" w:hAnsi="宋体" w:eastAsia="宋体" w:cs="宋体"/>
                <w:bCs/>
                <w:color w:val="000000"/>
                <w:sz w:val="24"/>
                <w:szCs w:val="24"/>
                <w:u w:val="none"/>
              </w:rPr>
              <w:t>由</w:t>
            </w:r>
            <w:r>
              <w:rPr>
                <w:rFonts w:hint="eastAsia" w:ascii="宋体" w:hAnsi="宋体" w:eastAsia="宋体" w:cs="宋体"/>
                <w:bCs/>
                <w:color w:val="000000"/>
                <w:sz w:val="24"/>
                <w:szCs w:val="24"/>
                <w:u w:val="none"/>
                <w:lang w:val="en-US" w:eastAsia="zh-CN"/>
              </w:rPr>
              <w:t>磋商小组</w:t>
            </w:r>
            <w:r>
              <w:rPr>
                <w:rFonts w:hint="eastAsia" w:ascii="宋体" w:hAnsi="宋体" w:eastAsia="宋体" w:cs="宋体"/>
                <w:bCs/>
                <w:color w:val="000000"/>
                <w:sz w:val="24"/>
                <w:szCs w:val="24"/>
                <w:u w:val="none"/>
              </w:rPr>
              <w:t>根据</w:t>
            </w:r>
            <w:r>
              <w:rPr>
                <w:rFonts w:hint="eastAsia" w:ascii="宋体" w:hAnsi="宋体" w:eastAsia="宋体" w:cs="宋体"/>
                <w:bCs/>
                <w:color w:val="000000"/>
                <w:sz w:val="24"/>
                <w:szCs w:val="24"/>
                <w:u w:val="none"/>
                <w:lang w:eastAsia="zh-CN"/>
              </w:rPr>
              <w:t>响应文件</w:t>
            </w:r>
            <w:r>
              <w:rPr>
                <w:rFonts w:hint="eastAsia" w:ascii="宋体" w:hAnsi="宋体" w:eastAsia="宋体" w:cs="宋体"/>
                <w:bCs/>
                <w:color w:val="000000"/>
                <w:sz w:val="24"/>
                <w:szCs w:val="24"/>
                <w:u w:val="none"/>
              </w:rPr>
              <w:t>提供的以上内容进行综合评审：</w:t>
            </w:r>
          </w:p>
          <w:p w14:paraId="29DC5BCD">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w:t>
            </w:r>
            <w:r>
              <w:rPr>
                <w:rFonts w:hint="eastAsia" w:ascii="宋体" w:hAnsi="宋体" w:eastAsia="宋体" w:cs="宋体"/>
                <w:color w:val="000000"/>
                <w:sz w:val="24"/>
                <w:szCs w:val="24"/>
                <w:u w:val="none"/>
              </w:rPr>
              <w:t>全面详尽、定位准确，服务内容针对性强</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p w14:paraId="5021E2A2">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bCs/>
                <w:color w:val="000000"/>
                <w:sz w:val="24"/>
                <w:szCs w:val="24"/>
                <w:u w:val="none"/>
              </w:rPr>
              <w:t>方案基本符合实际，具有一定实用性的</w:t>
            </w: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≤F＜</w:t>
            </w:r>
            <w:r>
              <w:rPr>
                <w:rFonts w:hint="eastAsia" w:cs="宋体"/>
                <w:color w:val="000000"/>
                <w:sz w:val="24"/>
                <w:szCs w:val="24"/>
                <w:u w:val="none"/>
                <w:lang w:val="en-US" w:eastAsia="zh-CN"/>
              </w:rPr>
              <w:t>6</w:t>
            </w:r>
            <w:r>
              <w:rPr>
                <w:rFonts w:hint="eastAsia" w:ascii="宋体" w:hAnsi="宋体" w:eastAsia="宋体" w:cs="宋体"/>
                <w:color w:val="000000"/>
                <w:sz w:val="24"/>
                <w:szCs w:val="24"/>
                <w:u w:val="none"/>
              </w:rPr>
              <w:t>分；</w:t>
            </w:r>
          </w:p>
          <w:p w14:paraId="63FAD64A">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方案待完整0≤F＜</w:t>
            </w:r>
            <w:r>
              <w:rPr>
                <w:rFonts w:hint="eastAsia" w:cs="宋体"/>
                <w:color w:val="000000"/>
                <w:sz w:val="24"/>
                <w:szCs w:val="24"/>
                <w:u w:val="none"/>
                <w:lang w:val="en-US" w:eastAsia="zh-CN"/>
              </w:rPr>
              <w:t>3</w:t>
            </w:r>
            <w:r>
              <w:rPr>
                <w:rFonts w:hint="eastAsia" w:ascii="宋体" w:hAnsi="宋体" w:eastAsia="宋体" w:cs="宋体"/>
                <w:color w:val="000000"/>
                <w:sz w:val="24"/>
                <w:szCs w:val="24"/>
                <w:u w:val="none"/>
              </w:rPr>
              <w:t>分。</w:t>
            </w:r>
          </w:p>
          <w:p w14:paraId="54FB1AB9">
            <w:pPr>
              <w:spacing w:line="360" w:lineRule="auto"/>
              <w:ind w:left="0" w:leftChars="0" w:firstLine="0" w:firstLineChars="0"/>
              <w:jc w:val="left"/>
              <w:rPr>
                <w:rFonts w:hint="eastAsia" w:ascii="宋体" w:hAnsi="宋体" w:eastAsia="宋体" w:cs="宋体"/>
                <w:b w:val="0"/>
                <w:bCs w:val="0"/>
                <w:i w:val="0"/>
                <w:iCs w:val="0"/>
                <w:color w:val="auto"/>
                <w:kern w:val="0"/>
                <w:sz w:val="24"/>
                <w:szCs w:val="24"/>
                <w:highlight w:val="none"/>
                <w:u w:val="none"/>
                <w:lang w:val="en-US" w:eastAsia="zh-CN" w:bidi="ar"/>
              </w:rPr>
            </w:pPr>
            <w:r>
              <w:rPr>
                <w:rFonts w:hint="eastAsia" w:ascii="宋体" w:hAnsi="宋体" w:eastAsia="宋体" w:cs="宋体"/>
                <w:b/>
                <w:bCs/>
                <w:color w:val="000000"/>
                <w:sz w:val="24"/>
                <w:szCs w:val="24"/>
                <w:u w:val="none"/>
              </w:rPr>
              <w:t>注：</w:t>
            </w:r>
            <w:r>
              <w:rPr>
                <w:rFonts w:hint="eastAsia" w:ascii="宋体" w:hAnsi="宋体" w:eastAsia="宋体" w:cs="宋体"/>
                <w:b/>
                <w:color w:val="000000"/>
                <w:sz w:val="24"/>
                <w:szCs w:val="24"/>
                <w:u w:val="none"/>
              </w:rPr>
              <w:t>F为本项得分</w:t>
            </w:r>
            <w:r>
              <w:rPr>
                <w:rFonts w:hint="eastAsia" w:ascii="宋体" w:hAnsi="宋体" w:eastAsia="宋体" w:cs="宋体"/>
                <w:b/>
                <w:bCs/>
                <w:color w:val="000000"/>
                <w:sz w:val="24"/>
                <w:szCs w:val="24"/>
                <w:u w:val="none"/>
              </w:rPr>
              <w:t>。</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5568C8A5">
            <w:pPr>
              <w:spacing w:line="360" w:lineRule="auto"/>
              <w:ind w:left="0" w:leftChars="0" w:firstLine="0" w:firstLineChars="0"/>
              <w:jc w:val="center"/>
              <w:rPr>
                <w:rFonts w:hint="default" w:ascii="宋体" w:hAnsi="宋体" w:eastAsia="宋体" w:cs="宋体"/>
                <w:color w:val="000000"/>
                <w:sz w:val="24"/>
                <w:szCs w:val="24"/>
                <w:u w:val="none"/>
                <w:lang w:val="en-US" w:eastAsia="zh-CN"/>
              </w:rPr>
            </w:pPr>
            <w:r>
              <w:rPr>
                <w:rFonts w:hint="eastAsia" w:cs="宋体"/>
                <w:color w:val="000000"/>
                <w:sz w:val="24"/>
                <w:szCs w:val="24"/>
                <w:u w:val="none"/>
                <w:lang w:val="en-US" w:eastAsia="zh-CN"/>
              </w:rPr>
              <w:t>0-10分</w:t>
            </w:r>
          </w:p>
        </w:tc>
      </w:tr>
      <w:tr w14:paraId="74156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4570EA4C">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2E475E6F">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人员配备</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698A511E">
            <w:pPr>
              <w:keepNext w:val="0"/>
              <w:keepLines w:val="0"/>
              <w:pageBreakBefore w:val="0"/>
              <w:widowControl w:val="0"/>
              <w:kinsoku/>
              <w:wordWrap/>
              <w:overflowPunct/>
              <w:topLinePunct w:val="0"/>
              <w:autoSpaceDE/>
              <w:autoSpaceDN/>
              <w:bidi w:val="0"/>
              <w:adjustRightInd w:val="0"/>
              <w:snapToGrid w:val="0"/>
              <w:spacing w:line="480" w:lineRule="exact"/>
              <w:ind w:firstLine="0" w:firstLineChars="0"/>
              <w:jc w:val="left"/>
              <w:textAlignment w:val="auto"/>
              <w:rPr>
                <w:rFonts w:hint="eastAsia" w:ascii="宋体" w:hAnsi="宋体" w:eastAsia="宋体" w:cs="宋体"/>
                <w:b/>
                <w:bCs/>
                <w:color w:val="000000"/>
                <w:kern w:val="2"/>
                <w:sz w:val="24"/>
                <w:szCs w:val="24"/>
              </w:rPr>
            </w:pPr>
            <w:r>
              <w:rPr>
                <w:rFonts w:hint="eastAsia" w:ascii="宋体" w:hAnsi="宋体" w:eastAsia="宋体" w:cs="宋体"/>
                <w:b/>
                <w:bCs/>
                <w:color w:val="000000"/>
                <w:kern w:val="2"/>
                <w:sz w:val="24"/>
                <w:szCs w:val="24"/>
              </w:rPr>
              <w:t>一、拟为本项目配备的项目</w:t>
            </w:r>
            <w:r>
              <w:rPr>
                <w:rFonts w:hint="eastAsia" w:ascii="宋体" w:hAnsi="宋体" w:eastAsia="宋体" w:cs="宋体"/>
                <w:b/>
                <w:bCs/>
                <w:color w:val="000000"/>
                <w:kern w:val="2"/>
                <w:sz w:val="24"/>
                <w:szCs w:val="24"/>
                <w:lang w:val="en-US" w:eastAsia="zh-CN"/>
              </w:rPr>
              <w:t>负责人</w:t>
            </w:r>
            <w:r>
              <w:rPr>
                <w:rFonts w:hint="eastAsia" w:ascii="宋体" w:hAnsi="宋体" w:eastAsia="宋体" w:cs="宋体"/>
                <w:b/>
                <w:bCs/>
                <w:color w:val="000000"/>
                <w:kern w:val="2"/>
                <w:sz w:val="24"/>
                <w:szCs w:val="24"/>
              </w:rPr>
              <w:t>：</w:t>
            </w:r>
          </w:p>
          <w:p w14:paraId="45CB6AE7">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1.具有水利水电相关专业高级及以上职称，得3分，</w:t>
            </w:r>
            <w:r>
              <w:rPr>
                <w:rFonts w:hint="eastAsia" w:cs="宋体"/>
                <w:b w:val="0"/>
                <w:bCs w:val="0"/>
                <w:color w:val="auto"/>
                <w:kern w:val="2"/>
                <w:sz w:val="24"/>
                <w:szCs w:val="24"/>
                <w:lang w:val="en-US" w:eastAsia="zh-CN" w:bidi="ar-SA"/>
              </w:rPr>
              <w:t>中级</w:t>
            </w:r>
            <w:r>
              <w:rPr>
                <w:rFonts w:hint="eastAsia" w:ascii="宋体" w:hAnsi="宋体" w:eastAsia="宋体" w:cs="宋体"/>
                <w:b w:val="0"/>
                <w:bCs w:val="0"/>
                <w:color w:val="auto"/>
                <w:kern w:val="2"/>
                <w:sz w:val="24"/>
                <w:szCs w:val="24"/>
                <w:lang w:val="en-US" w:eastAsia="zh-CN" w:bidi="ar-SA"/>
              </w:rPr>
              <w:t>职称得2分，</w:t>
            </w:r>
            <w:r>
              <w:rPr>
                <w:rFonts w:hint="eastAsia" w:cs="宋体"/>
                <w:b w:val="0"/>
                <w:bCs w:val="0"/>
                <w:color w:val="auto"/>
                <w:kern w:val="2"/>
                <w:sz w:val="24"/>
                <w:szCs w:val="24"/>
                <w:lang w:val="en-US" w:eastAsia="zh-CN" w:bidi="ar-SA"/>
              </w:rPr>
              <w:t>满分3</w:t>
            </w:r>
            <w:r>
              <w:rPr>
                <w:rFonts w:hint="eastAsia" w:ascii="宋体" w:hAnsi="宋体" w:eastAsia="宋体" w:cs="宋体"/>
                <w:b w:val="0"/>
                <w:bCs w:val="0"/>
                <w:color w:val="auto"/>
                <w:kern w:val="2"/>
                <w:sz w:val="24"/>
                <w:szCs w:val="24"/>
                <w:lang w:val="en-US" w:eastAsia="zh-CN" w:bidi="ar-SA"/>
              </w:rPr>
              <w:t>分；</w:t>
            </w:r>
          </w:p>
          <w:p w14:paraId="476EF5C7">
            <w:pPr>
              <w:spacing w:line="360" w:lineRule="auto"/>
              <w:ind w:left="0" w:leftChars="0" w:firstLine="0" w:firstLineChars="0"/>
              <w:jc w:val="left"/>
              <w:rPr>
                <w:rFonts w:hint="eastAsia" w:ascii="宋体" w:hAnsi="宋体" w:eastAsia="宋体" w:cs="宋体"/>
                <w:b/>
                <w:bCs/>
                <w:color w:val="000000"/>
                <w:kern w:val="2"/>
                <w:sz w:val="24"/>
                <w:szCs w:val="24"/>
                <w:lang w:val="en-US" w:eastAsia="zh-CN"/>
              </w:rPr>
            </w:pPr>
            <w:r>
              <w:rPr>
                <w:rFonts w:hint="eastAsia" w:cs="宋体"/>
                <w:b/>
                <w:bCs/>
                <w:color w:val="000000"/>
                <w:kern w:val="2"/>
                <w:sz w:val="24"/>
                <w:szCs w:val="24"/>
                <w:lang w:val="en-US" w:eastAsia="zh-CN"/>
              </w:rPr>
              <w:t>二</w:t>
            </w:r>
            <w:r>
              <w:rPr>
                <w:rFonts w:hint="eastAsia" w:ascii="宋体" w:hAnsi="宋体" w:eastAsia="宋体" w:cs="宋体"/>
                <w:b/>
                <w:bCs/>
                <w:color w:val="000000"/>
                <w:kern w:val="2"/>
                <w:sz w:val="24"/>
                <w:szCs w:val="24"/>
                <w:lang w:val="en-US" w:eastAsia="zh-CN"/>
              </w:rPr>
              <w:t>、其他人员（项目负责人</w:t>
            </w:r>
            <w:r>
              <w:rPr>
                <w:rFonts w:hint="eastAsia" w:cs="宋体"/>
                <w:b/>
                <w:bCs/>
                <w:color w:val="000000"/>
                <w:kern w:val="2"/>
                <w:sz w:val="24"/>
                <w:szCs w:val="24"/>
                <w:lang w:val="en-US" w:eastAsia="zh-CN"/>
              </w:rPr>
              <w:t>除外</w:t>
            </w:r>
            <w:r>
              <w:rPr>
                <w:rFonts w:hint="eastAsia" w:ascii="宋体" w:hAnsi="宋体" w:eastAsia="宋体" w:cs="宋体"/>
                <w:b/>
                <w:bCs/>
                <w:color w:val="000000"/>
                <w:kern w:val="2"/>
                <w:sz w:val="24"/>
                <w:szCs w:val="24"/>
                <w:lang w:val="en-US" w:eastAsia="zh-CN"/>
              </w:rPr>
              <w:t>）：</w:t>
            </w:r>
          </w:p>
          <w:p w14:paraId="4E3A2FB4">
            <w:pPr>
              <w:keepNext w:val="0"/>
              <w:keepLines w:val="0"/>
              <w:pageBreakBefore w:val="0"/>
              <w:widowControl w:val="0"/>
              <w:kinsoku/>
              <w:wordWrap/>
              <w:overflowPunct/>
              <w:topLinePunct w:val="0"/>
              <w:autoSpaceDE/>
              <w:autoSpaceDN/>
              <w:bidi w:val="0"/>
              <w:adjustRightInd w:val="0"/>
              <w:snapToGrid w:val="0"/>
              <w:spacing w:after="0" w:line="480" w:lineRule="exact"/>
              <w:ind w:left="0" w:leftChars="0" w:firstLine="0" w:firstLineChars="0"/>
              <w:jc w:val="left"/>
              <w:textAlignment w:val="auto"/>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具有岩土、工程测量、水工建筑、水文水资源规划、水工结构、道路、造价专业，以上职称等级为中级及以上，专业以职称证或注册资格证书或注册执业资格证为准。配备齐全得</w:t>
            </w:r>
            <w:r>
              <w:rPr>
                <w:rFonts w:hint="eastAsia" w:cs="宋体"/>
                <w:b w:val="0"/>
                <w:bCs w:val="0"/>
                <w:color w:val="auto"/>
                <w:kern w:val="2"/>
                <w:sz w:val="24"/>
                <w:szCs w:val="24"/>
                <w:lang w:val="en-US" w:eastAsia="zh-CN" w:bidi="ar-SA"/>
              </w:rPr>
              <w:t>14</w:t>
            </w:r>
            <w:r>
              <w:rPr>
                <w:rFonts w:hint="eastAsia" w:ascii="宋体" w:hAnsi="宋体" w:eastAsia="宋体" w:cs="宋体"/>
                <w:b w:val="0"/>
                <w:bCs w:val="0"/>
                <w:color w:val="auto"/>
                <w:kern w:val="2"/>
                <w:sz w:val="24"/>
                <w:szCs w:val="24"/>
                <w:lang w:val="en-US" w:eastAsia="zh-CN" w:bidi="ar-SA"/>
              </w:rPr>
              <w:t>分，每缺一个专业扣2分，扣完为止，一人多证的仅计分一次。</w:t>
            </w:r>
          </w:p>
          <w:p w14:paraId="1CE52355">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注：上述人员不得兼任；</w:t>
            </w:r>
            <w:r>
              <w:rPr>
                <w:rFonts w:hint="eastAsia" w:ascii="宋体" w:hAnsi="宋体" w:eastAsia="宋体" w:cs="宋体"/>
                <w:b/>
                <w:color w:val="000000"/>
                <w:sz w:val="24"/>
                <w:szCs w:val="24"/>
                <w:u w:val="none"/>
                <w:lang w:eastAsia="zh-CN"/>
              </w:rPr>
              <w:t>响应文件</w:t>
            </w:r>
            <w:r>
              <w:rPr>
                <w:rFonts w:hint="eastAsia" w:ascii="宋体" w:hAnsi="宋体" w:eastAsia="宋体" w:cs="宋体"/>
                <w:b/>
                <w:color w:val="000000"/>
                <w:sz w:val="24"/>
                <w:szCs w:val="24"/>
                <w:u w:val="none"/>
              </w:rPr>
              <w:t>中同时提供以下证明材料：</w:t>
            </w:r>
          </w:p>
          <w:p w14:paraId="4FBF48CB">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（1）人员名单（格式自拟）；</w:t>
            </w:r>
          </w:p>
          <w:p w14:paraId="4009EF22">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（2）上述人员证书扫描件；</w:t>
            </w:r>
          </w:p>
          <w:p w14:paraId="48C357C0">
            <w:pPr>
              <w:spacing w:line="360" w:lineRule="auto"/>
              <w:ind w:left="0" w:leftChars="0" w:firstLine="0" w:firstLineChars="0"/>
              <w:jc w:val="left"/>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（3）</w:t>
            </w:r>
            <w:r>
              <w:rPr>
                <w:rFonts w:hint="eastAsia" w:ascii="宋体" w:hAnsi="宋体" w:eastAsia="宋体" w:cs="宋体"/>
                <w:b/>
                <w:color w:val="000000"/>
                <w:sz w:val="24"/>
                <w:szCs w:val="24"/>
                <w:u w:val="none"/>
                <w:lang w:eastAsia="zh-CN"/>
              </w:rPr>
              <w:t>供应商</w:t>
            </w:r>
            <w:r>
              <w:rPr>
                <w:rFonts w:hint="eastAsia" w:ascii="宋体" w:hAnsi="宋体" w:eastAsia="宋体" w:cs="宋体"/>
                <w:b/>
                <w:color w:val="000000"/>
                <w:sz w:val="24"/>
                <w:szCs w:val="24"/>
                <w:u w:val="none"/>
              </w:rPr>
              <w:t>为上述人员缴纳的近3个月内（任意一个月即可）社保证明材料扫描件，具体详见响应须知前附表（注：社保证明材料至少含养老保险）。</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715EA32E">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17</w:t>
            </w:r>
            <w:r>
              <w:rPr>
                <w:rFonts w:hint="eastAsia" w:ascii="宋体" w:hAnsi="宋体" w:eastAsia="宋体" w:cs="宋体"/>
                <w:color w:val="000000"/>
                <w:sz w:val="24"/>
                <w:szCs w:val="24"/>
                <w:u w:val="none"/>
              </w:rPr>
              <w:t>分</w:t>
            </w:r>
          </w:p>
        </w:tc>
      </w:tr>
      <w:tr w14:paraId="1227B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4A6C549B">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602CD47A">
            <w:pPr>
              <w:spacing w:line="360" w:lineRule="auto"/>
              <w:ind w:left="0" w:leftChars="0" w:firstLine="0" w:firstLineChars="0"/>
              <w:jc w:val="center"/>
              <w:rPr>
                <w:rFonts w:hint="eastAsia" w:ascii="宋体" w:hAnsi="宋体" w:eastAsia="宋体" w:cs="宋体"/>
                <w:i/>
                <w:color w:val="000000"/>
                <w:sz w:val="24"/>
                <w:szCs w:val="24"/>
                <w:u w:val="none"/>
              </w:rPr>
            </w:pPr>
            <w:r>
              <w:rPr>
                <w:rFonts w:hint="eastAsia" w:ascii="宋体" w:hAnsi="宋体" w:eastAsia="宋体" w:cs="宋体"/>
                <w:color w:val="000000"/>
                <w:sz w:val="24"/>
                <w:szCs w:val="24"/>
                <w:u w:val="none"/>
              </w:rPr>
              <w:t>业绩</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07B10885">
            <w:pPr>
              <w:spacing w:line="360" w:lineRule="auto"/>
              <w:ind w:left="0" w:leftChars="0" w:firstLine="0" w:firstLineChars="0"/>
              <w:jc w:val="left"/>
              <w:rPr>
                <w:rFonts w:hint="eastAsia" w:ascii="宋体" w:hAnsi="宋体" w:eastAsia="宋体" w:cs="宋体"/>
                <w:color w:val="000000"/>
                <w:sz w:val="24"/>
                <w:szCs w:val="24"/>
                <w:highlight w:val="none"/>
                <w:u w:val="none"/>
                <w:lang w:eastAsia="zh-CN"/>
              </w:rPr>
            </w:pPr>
            <w:r>
              <w:rPr>
                <w:rFonts w:hint="eastAsia" w:ascii="宋体" w:hAnsi="宋体" w:eastAsia="宋体" w:cs="宋体"/>
                <w:color w:val="000000"/>
                <w:sz w:val="24"/>
                <w:szCs w:val="24"/>
                <w:highlight w:val="none"/>
                <w:u w:val="none"/>
              </w:rPr>
              <w:t>自2</w:t>
            </w:r>
            <w:r>
              <w:rPr>
                <w:rFonts w:hint="eastAsia" w:ascii="宋体" w:hAnsi="宋体" w:eastAsia="宋体" w:cs="宋体"/>
                <w:color w:val="000000"/>
                <w:sz w:val="24"/>
                <w:szCs w:val="24"/>
                <w:highlight w:val="none"/>
                <w:u w:val="none"/>
                <w:lang w:val="en-US" w:eastAsia="zh-CN"/>
              </w:rPr>
              <w:t>02</w:t>
            </w:r>
            <w:r>
              <w:rPr>
                <w:rFonts w:hint="eastAsia" w:cs="宋体"/>
                <w:color w:val="000000"/>
                <w:sz w:val="24"/>
                <w:szCs w:val="24"/>
                <w:highlight w:val="none"/>
                <w:u w:val="none"/>
                <w:lang w:val="en-US" w:eastAsia="zh-CN"/>
              </w:rPr>
              <w:t>3</w:t>
            </w:r>
            <w:r>
              <w:rPr>
                <w:rFonts w:hint="eastAsia" w:ascii="宋体" w:hAnsi="宋体" w:eastAsia="宋体" w:cs="宋体"/>
                <w:color w:val="000000"/>
                <w:sz w:val="24"/>
                <w:szCs w:val="24"/>
                <w:highlight w:val="none"/>
                <w:u w:val="none"/>
              </w:rPr>
              <w:t>年1月1日以来</w:t>
            </w:r>
            <w:r>
              <w:rPr>
                <w:rFonts w:hint="eastAsia" w:ascii="宋体" w:hAnsi="宋体" w:eastAsia="宋体" w:cs="宋体"/>
                <w:b/>
                <w:bCs/>
                <w:color w:val="000000"/>
                <w:sz w:val="24"/>
                <w:szCs w:val="24"/>
                <w:highlight w:val="none"/>
                <w:u w:val="none"/>
              </w:rPr>
              <w:t>（以合同签订时间为准</w:t>
            </w:r>
            <w:r>
              <w:rPr>
                <w:rFonts w:hint="eastAsia" w:cs="宋体"/>
                <w:b/>
                <w:bCs/>
                <w:color w:val="000000"/>
                <w:sz w:val="24"/>
                <w:szCs w:val="24"/>
                <w:highlight w:val="none"/>
                <w:u w:val="none"/>
                <w:lang w:eastAsia="zh-CN"/>
              </w:rPr>
              <w:t>，</w:t>
            </w:r>
            <w:r>
              <w:rPr>
                <w:rFonts w:hint="eastAsia" w:cs="宋体"/>
                <w:b/>
                <w:bCs/>
                <w:color w:val="000000"/>
                <w:sz w:val="24"/>
                <w:szCs w:val="24"/>
                <w:highlight w:val="none"/>
                <w:u w:val="none"/>
                <w:lang w:val="en-US" w:eastAsia="zh-CN"/>
              </w:rPr>
              <w:t>无合同签订时间不予计分</w:t>
            </w:r>
            <w:r>
              <w:rPr>
                <w:rFonts w:hint="eastAsia" w:ascii="宋体" w:hAnsi="宋体" w:eastAsia="宋体" w:cs="宋体"/>
                <w:b/>
                <w:bCs/>
                <w:color w:val="000000"/>
                <w:sz w:val="24"/>
                <w:szCs w:val="24"/>
                <w:highlight w:val="none"/>
                <w:u w:val="none"/>
              </w:rPr>
              <w:t>）</w:t>
            </w:r>
            <w:r>
              <w:rPr>
                <w:rFonts w:hint="eastAsia" w:ascii="宋体" w:hAnsi="宋体" w:eastAsia="宋体" w:cs="宋体"/>
                <w:color w:val="000000"/>
                <w:sz w:val="24"/>
                <w:szCs w:val="24"/>
                <w:highlight w:val="none"/>
                <w:u w:val="none"/>
              </w:rPr>
              <w:t>，</w:t>
            </w:r>
            <w:r>
              <w:rPr>
                <w:rFonts w:hint="eastAsia" w:ascii="宋体" w:hAnsi="宋体" w:eastAsia="宋体" w:cs="宋体"/>
                <w:color w:val="000000"/>
                <w:sz w:val="24"/>
                <w:szCs w:val="24"/>
                <w:highlight w:val="none"/>
                <w:u w:val="none"/>
                <w:lang w:eastAsia="zh-CN"/>
              </w:rPr>
              <w:t>供应商</w:t>
            </w:r>
            <w:r>
              <w:rPr>
                <w:rFonts w:hint="eastAsia" w:ascii="宋体" w:hAnsi="宋体" w:eastAsia="宋体" w:cs="宋体"/>
                <w:b/>
                <w:bCs/>
                <w:sz w:val="24"/>
                <w:szCs w:val="24"/>
                <w:highlight w:val="none"/>
                <w:lang w:val="en-US" w:eastAsia="zh-CN"/>
              </w:rPr>
              <w:t>（或联合体成员单位）</w:t>
            </w:r>
            <w:r>
              <w:rPr>
                <w:rFonts w:hint="eastAsia" w:ascii="宋体" w:hAnsi="宋体" w:eastAsia="宋体" w:cs="宋体"/>
                <w:color w:val="000000"/>
                <w:sz w:val="24"/>
                <w:szCs w:val="24"/>
                <w:highlight w:val="none"/>
                <w:u w:val="none"/>
              </w:rPr>
              <w:t>具有</w:t>
            </w:r>
            <w:r>
              <w:rPr>
                <w:rFonts w:hint="eastAsia" w:cs="宋体"/>
                <w:color w:val="000000"/>
                <w:sz w:val="24"/>
                <w:szCs w:val="24"/>
                <w:highlight w:val="none"/>
                <w:u w:val="none"/>
                <w:lang w:val="en-US" w:eastAsia="zh-CN"/>
              </w:rPr>
              <w:t>类似项目业绩</w:t>
            </w:r>
            <w:r>
              <w:rPr>
                <w:rFonts w:hint="eastAsia" w:ascii="宋体" w:hAnsi="宋体" w:eastAsia="宋体" w:cs="宋体"/>
                <w:color w:val="000000"/>
                <w:sz w:val="24"/>
                <w:szCs w:val="24"/>
                <w:highlight w:val="none"/>
                <w:u w:val="none"/>
              </w:rPr>
              <w:t>，每个业绩得</w:t>
            </w:r>
            <w:r>
              <w:rPr>
                <w:rFonts w:hint="eastAsia" w:ascii="宋体" w:hAnsi="宋体" w:eastAsia="宋体" w:cs="宋体"/>
                <w:color w:val="000000"/>
                <w:sz w:val="24"/>
                <w:szCs w:val="24"/>
                <w:highlight w:val="none"/>
                <w:u w:val="none"/>
                <w:lang w:val="en-US" w:eastAsia="zh-CN"/>
              </w:rPr>
              <w:t>4</w:t>
            </w:r>
            <w:r>
              <w:rPr>
                <w:rFonts w:hint="eastAsia" w:ascii="宋体" w:hAnsi="宋体" w:eastAsia="宋体" w:cs="宋体"/>
                <w:color w:val="000000"/>
                <w:sz w:val="24"/>
                <w:szCs w:val="24"/>
                <w:highlight w:val="none"/>
                <w:u w:val="none"/>
              </w:rPr>
              <w:t>分，最高得</w:t>
            </w:r>
            <w:r>
              <w:rPr>
                <w:rFonts w:hint="eastAsia" w:cs="宋体"/>
                <w:color w:val="000000"/>
                <w:sz w:val="24"/>
                <w:szCs w:val="24"/>
                <w:highlight w:val="none"/>
                <w:u w:val="none"/>
                <w:lang w:val="en-US" w:eastAsia="zh-CN"/>
              </w:rPr>
              <w:t>12</w:t>
            </w:r>
            <w:r>
              <w:rPr>
                <w:rFonts w:hint="eastAsia" w:ascii="宋体" w:hAnsi="宋体" w:eastAsia="宋体" w:cs="宋体"/>
                <w:color w:val="000000"/>
                <w:sz w:val="24"/>
                <w:szCs w:val="24"/>
                <w:highlight w:val="none"/>
                <w:u w:val="none"/>
              </w:rPr>
              <w:t>分。</w:t>
            </w:r>
          </w:p>
          <w:p w14:paraId="0D7378A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b/>
                <w:bCs/>
                <w:color w:val="000000"/>
                <w:sz w:val="24"/>
                <w:szCs w:val="24"/>
                <w:u w:val="none"/>
              </w:rPr>
              <w:t>注：</w:t>
            </w:r>
          </w:p>
          <w:p w14:paraId="66CD575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cs="宋体"/>
                <w:b/>
                <w:bCs/>
                <w:color w:val="000000"/>
                <w:sz w:val="24"/>
                <w:szCs w:val="24"/>
                <w:u w:val="none"/>
                <w:lang w:val="en-US" w:eastAsia="zh-CN"/>
              </w:rPr>
              <w:t>1.</w:t>
            </w:r>
            <w:r>
              <w:rPr>
                <w:rFonts w:hint="eastAsia" w:ascii="宋体" w:hAnsi="宋体" w:eastAsia="宋体" w:cs="宋体"/>
                <w:b/>
                <w:bCs/>
                <w:color w:val="000000"/>
                <w:sz w:val="24"/>
                <w:szCs w:val="24"/>
                <w:u w:val="none"/>
                <w:lang w:eastAsia="zh-CN"/>
              </w:rPr>
              <w:t>响应文件</w:t>
            </w:r>
            <w:r>
              <w:rPr>
                <w:rFonts w:hint="eastAsia" w:ascii="宋体" w:hAnsi="宋体" w:eastAsia="宋体" w:cs="宋体"/>
                <w:b/>
                <w:bCs/>
                <w:color w:val="000000"/>
                <w:sz w:val="24"/>
                <w:szCs w:val="24"/>
                <w:u w:val="none"/>
              </w:rPr>
              <w:t>中提供业绩合同扫描件，若合同中无法体现签订时间、服务内容等关键评审因素的，须同时提供业主（合同甲方）证明材料，否则不得分。</w:t>
            </w:r>
          </w:p>
          <w:p w14:paraId="78C99663">
            <w:pPr>
              <w:spacing w:line="360" w:lineRule="auto"/>
              <w:ind w:left="0" w:leftChars="0" w:firstLine="0" w:firstLineChars="0"/>
              <w:jc w:val="left"/>
              <w:rPr>
                <w:rFonts w:hint="default" w:ascii="宋体" w:hAnsi="宋体" w:eastAsia="宋体" w:cs="宋体"/>
                <w:b/>
                <w:bCs/>
                <w:color w:val="000000"/>
                <w:sz w:val="24"/>
                <w:szCs w:val="24"/>
                <w:u w:val="none"/>
                <w:lang w:val="en-US" w:eastAsia="zh-CN"/>
              </w:rPr>
            </w:pPr>
            <w:r>
              <w:rPr>
                <w:rFonts w:hint="eastAsia" w:cs="宋体"/>
                <w:b/>
                <w:bCs/>
                <w:color w:val="000000"/>
                <w:sz w:val="24"/>
                <w:szCs w:val="24"/>
                <w:u w:val="none"/>
                <w:lang w:val="en-US" w:eastAsia="zh-CN"/>
              </w:rPr>
              <w:t>2.类似项目是指：土地综合整治类及高标准农田类设计业绩。</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2CC7A9CC">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000000"/>
                <w:sz w:val="24"/>
                <w:szCs w:val="24"/>
                <w:u w:val="none"/>
                <w:lang w:val="en-US" w:eastAsia="zh-CN"/>
              </w:rPr>
              <w:t>12</w:t>
            </w:r>
            <w:r>
              <w:rPr>
                <w:rFonts w:hint="eastAsia" w:ascii="宋体" w:hAnsi="宋体" w:eastAsia="宋体" w:cs="宋体"/>
                <w:color w:val="000000"/>
                <w:sz w:val="24"/>
                <w:szCs w:val="24"/>
                <w:u w:val="none"/>
              </w:rPr>
              <w:t>分</w:t>
            </w:r>
          </w:p>
        </w:tc>
      </w:tr>
      <w:tr w14:paraId="3A5A8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vMerge w:val="continue"/>
            <w:tcBorders>
              <w:left w:val="single" w:color="auto" w:sz="4" w:space="0"/>
              <w:right w:val="single" w:color="auto" w:sz="4" w:space="0"/>
            </w:tcBorders>
            <w:noWrap w:val="0"/>
            <w:vAlign w:val="center"/>
          </w:tcPr>
          <w:p w14:paraId="170676DA">
            <w:pPr>
              <w:spacing w:line="360" w:lineRule="auto"/>
              <w:ind w:firstLine="435"/>
              <w:jc w:val="left"/>
              <w:rPr>
                <w:rFonts w:hint="eastAsia" w:ascii="宋体" w:hAnsi="宋体" w:eastAsia="宋体" w:cs="宋体"/>
                <w:b/>
                <w:bCs/>
                <w:color w:val="000000"/>
                <w:sz w:val="24"/>
                <w:szCs w:val="24"/>
                <w:u w:val="none"/>
              </w:rPr>
            </w:pPr>
          </w:p>
        </w:tc>
        <w:tc>
          <w:tcPr>
            <w:tcW w:w="725" w:type="pct"/>
            <w:tcBorders>
              <w:top w:val="single" w:color="auto" w:sz="4" w:space="0"/>
              <w:left w:val="single" w:color="auto" w:sz="4" w:space="0"/>
              <w:bottom w:val="single" w:color="auto" w:sz="4" w:space="0"/>
              <w:right w:val="single" w:color="auto" w:sz="4" w:space="0"/>
            </w:tcBorders>
            <w:noWrap w:val="0"/>
            <w:vAlign w:val="center"/>
          </w:tcPr>
          <w:p w14:paraId="510FBD9F">
            <w:pPr>
              <w:spacing w:line="360" w:lineRule="auto"/>
              <w:ind w:left="0" w:leftChars="0" w:firstLine="0" w:firstLineChars="0"/>
              <w:jc w:val="center"/>
              <w:rPr>
                <w:rFonts w:hint="eastAsia" w:ascii="宋体" w:hAnsi="宋体" w:eastAsia="宋体" w:cs="宋体"/>
                <w:i/>
                <w:color w:val="000000"/>
                <w:sz w:val="24"/>
                <w:szCs w:val="24"/>
                <w:u w:val="none"/>
              </w:rPr>
            </w:pPr>
            <w:r>
              <w:rPr>
                <w:rFonts w:hint="eastAsia" w:ascii="宋体" w:hAnsi="宋体" w:eastAsia="宋体" w:cs="宋体"/>
                <w:color w:val="000000"/>
                <w:sz w:val="24"/>
                <w:szCs w:val="24"/>
                <w:u w:val="none"/>
              </w:rPr>
              <w:t>荣誉</w:t>
            </w:r>
          </w:p>
        </w:tc>
        <w:tc>
          <w:tcPr>
            <w:tcW w:w="2906" w:type="pct"/>
            <w:tcBorders>
              <w:top w:val="single" w:color="auto" w:sz="4" w:space="0"/>
              <w:left w:val="single" w:color="auto" w:sz="4" w:space="0"/>
              <w:bottom w:val="single" w:color="auto" w:sz="4" w:space="0"/>
              <w:right w:val="single" w:color="auto" w:sz="4" w:space="0"/>
            </w:tcBorders>
            <w:noWrap w:val="0"/>
            <w:vAlign w:val="center"/>
          </w:tcPr>
          <w:p w14:paraId="7A6D8E1E">
            <w:pPr>
              <w:spacing w:line="360" w:lineRule="auto"/>
              <w:ind w:left="0" w:leftChars="0" w:firstLine="0" w:firstLineChars="0"/>
              <w:rPr>
                <w:rFonts w:hint="default" w:cs="宋体"/>
                <w:b/>
                <w:bCs/>
                <w:color w:val="000000"/>
                <w:sz w:val="24"/>
                <w:szCs w:val="24"/>
                <w:highlight w:val="none"/>
                <w:u w:val="none"/>
                <w:lang w:val="en-US" w:eastAsia="zh-CN"/>
              </w:rPr>
            </w:pPr>
            <w:r>
              <w:rPr>
                <w:rFonts w:hint="eastAsia" w:cs="宋体"/>
                <w:color w:val="000000"/>
                <w:sz w:val="24"/>
                <w:szCs w:val="24"/>
                <w:highlight w:val="none"/>
                <w:u w:val="none"/>
                <w:lang w:val="en-US" w:eastAsia="zh-CN"/>
              </w:rPr>
              <w:t>自</w:t>
            </w:r>
            <w:r>
              <w:rPr>
                <w:rFonts w:hint="eastAsia" w:ascii="宋体" w:hAnsi="宋体" w:eastAsia="宋体" w:cs="宋体"/>
                <w:color w:val="000000"/>
                <w:sz w:val="24"/>
                <w:szCs w:val="24"/>
                <w:highlight w:val="none"/>
                <w:u w:val="none"/>
                <w:lang w:val="en-US" w:eastAsia="zh-CN"/>
              </w:rPr>
              <w:t>2023年1月1日以来</w:t>
            </w:r>
            <w:r>
              <w:rPr>
                <w:rFonts w:hint="eastAsia" w:cs="宋体"/>
                <w:b/>
                <w:bCs/>
                <w:color w:val="000000"/>
                <w:sz w:val="24"/>
                <w:szCs w:val="24"/>
                <w:highlight w:val="none"/>
                <w:u w:val="none"/>
                <w:lang w:val="en-US" w:eastAsia="zh-CN"/>
              </w:rPr>
              <w:t>（以颁奖时间为准）</w:t>
            </w:r>
            <w:r>
              <w:rPr>
                <w:rFonts w:hint="eastAsia" w:cs="宋体"/>
                <w:color w:val="000000"/>
                <w:sz w:val="24"/>
                <w:szCs w:val="24"/>
                <w:highlight w:val="none"/>
                <w:u w:val="none"/>
                <w:lang w:val="en-US" w:eastAsia="zh-CN"/>
              </w:rPr>
              <w:t>，供应商</w:t>
            </w:r>
            <w:r>
              <w:rPr>
                <w:rFonts w:hint="eastAsia" w:ascii="宋体" w:hAnsi="宋体" w:eastAsia="宋体" w:cs="宋体"/>
                <w:b/>
                <w:bCs/>
                <w:sz w:val="24"/>
                <w:szCs w:val="24"/>
                <w:highlight w:val="none"/>
                <w:lang w:val="en-US" w:eastAsia="zh-CN"/>
              </w:rPr>
              <w:t>（或联合体成员单位）</w:t>
            </w:r>
            <w:r>
              <w:rPr>
                <w:rFonts w:hint="eastAsia" w:cs="宋体"/>
                <w:color w:val="000000"/>
                <w:sz w:val="24"/>
                <w:szCs w:val="24"/>
                <w:highlight w:val="none"/>
                <w:u w:val="none"/>
                <w:lang w:val="en-US" w:eastAsia="zh-CN"/>
              </w:rPr>
              <w:t>承接的设计项目</w:t>
            </w:r>
            <w:r>
              <w:rPr>
                <w:rFonts w:hint="eastAsia" w:ascii="宋体" w:hAnsi="宋体" w:eastAsia="宋体" w:cs="宋体"/>
                <w:color w:val="000000"/>
                <w:sz w:val="24"/>
                <w:szCs w:val="24"/>
                <w:highlight w:val="none"/>
                <w:u w:val="none"/>
                <w:lang w:val="en-US" w:eastAsia="zh-CN"/>
              </w:rPr>
              <w:t>获得</w:t>
            </w:r>
            <w:r>
              <w:rPr>
                <w:rFonts w:hint="eastAsia" w:cs="宋体"/>
                <w:color w:val="000000"/>
                <w:sz w:val="24"/>
                <w:szCs w:val="24"/>
                <w:highlight w:val="none"/>
                <w:u w:val="none"/>
                <w:lang w:val="en-US" w:eastAsia="zh-CN"/>
              </w:rPr>
              <w:t>过</w:t>
            </w:r>
            <w:r>
              <w:rPr>
                <w:rFonts w:hint="eastAsia" w:ascii="宋体" w:hAnsi="宋体" w:eastAsia="宋体" w:cs="宋体"/>
                <w:color w:val="000000"/>
                <w:kern w:val="0"/>
                <w:sz w:val="24"/>
                <w:szCs w:val="24"/>
                <w:highlight w:val="none"/>
              </w:rPr>
              <w:t>行政主管部门或在国内依法登记注册的协会（或学会）</w:t>
            </w:r>
            <w:r>
              <w:rPr>
                <w:rFonts w:hint="eastAsia" w:ascii="宋体" w:hAnsi="宋体" w:eastAsia="宋体" w:cs="宋体"/>
                <w:color w:val="000000"/>
                <w:kern w:val="0"/>
                <w:sz w:val="24"/>
                <w:szCs w:val="24"/>
                <w:highlight w:val="none"/>
                <w:lang w:val="en-US" w:eastAsia="zh-CN"/>
              </w:rPr>
              <w:t>颁发的</w:t>
            </w:r>
            <w:r>
              <w:rPr>
                <w:rFonts w:hint="eastAsia" w:cs="宋体"/>
                <w:color w:val="000000"/>
                <w:sz w:val="24"/>
                <w:szCs w:val="24"/>
                <w:highlight w:val="none"/>
                <w:u w:val="none"/>
                <w:lang w:val="en-US" w:eastAsia="zh-CN"/>
              </w:rPr>
              <w:t>地市级及以上设计类奖项荣誉</w:t>
            </w:r>
            <w:r>
              <w:rPr>
                <w:rFonts w:hint="eastAsia" w:ascii="宋体" w:hAnsi="宋体" w:eastAsia="宋体" w:cs="宋体"/>
                <w:color w:val="000000"/>
                <w:sz w:val="24"/>
                <w:szCs w:val="24"/>
                <w:highlight w:val="none"/>
                <w:u w:val="none"/>
                <w:lang w:val="en-US" w:eastAsia="zh-CN"/>
              </w:rPr>
              <w:t>，每</w:t>
            </w:r>
            <w:r>
              <w:rPr>
                <w:rFonts w:hint="eastAsia" w:cs="宋体"/>
                <w:color w:val="000000"/>
                <w:sz w:val="24"/>
                <w:szCs w:val="24"/>
                <w:highlight w:val="none"/>
                <w:u w:val="none"/>
                <w:lang w:val="en-US" w:eastAsia="zh-CN"/>
              </w:rPr>
              <w:t>个</w:t>
            </w:r>
            <w:r>
              <w:rPr>
                <w:rFonts w:hint="eastAsia" w:ascii="宋体" w:hAnsi="宋体" w:eastAsia="宋体" w:cs="宋体"/>
                <w:color w:val="000000"/>
                <w:sz w:val="24"/>
                <w:szCs w:val="24"/>
                <w:highlight w:val="none"/>
                <w:u w:val="none"/>
                <w:lang w:val="en-US" w:eastAsia="zh-CN"/>
              </w:rPr>
              <w:t>得</w:t>
            </w:r>
            <w:r>
              <w:rPr>
                <w:rFonts w:hint="eastAsia"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val="en-US" w:eastAsia="zh-CN"/>
              </w:rPr>
              <w:t>分，最多得</w:t>
            </w:r>
            <w:r>
              <w:rPr>
                <w:rFonts w:hint="eastAsia" w:cs="宋体"/>
                <w:color w:val="000000"/>
                <w:sz w:val="24"/>
                <w:szCs w:val="24"/>
                <w:highlight w:val="none"/>
                <w:u w:val="none"/>
                <w:lang w:val="en-US" w:eastAsia="zh-CN"/>
              </w:rPr>
              <w:t>5</w:t>
            </w:r>
            <w:r>
              <w:rPr>
                <w:rFonts w:hint="eastAsia" w:ascii="宋体" w:hAnsi="宋体" w:eastAsia="宋体" w:cs="宋体"/>
                <w:color w:val="000000"/>
                <w:sz w:val="24"/>
                <w:szCs w:val="24"/>
                <w:highlight w:val="none"/>
                <w:u w:val="none"/>
                <w:lang w:val="en-US" w:eastAsia="zh-CN"/>
              </w:rPr>
              <w:t>分。</w:t>
            </w:r>
          </w:p>
          <w:p w14:paraId="5D6DBA20">
            <w:pPr>
              <w:spacing w:line="360" w:lineRule="auto"/>
              <w:ind w:left="0" w:leftChars="0" w:firstLine="0" w:firstLineChars="0"/>
              <w:jc w:val="left"/>
              <w:rPr>
                <w:rFonts w:hint="eastAsia" w:ascii="宋体" w:hAnsi="宋体" w:eastAsia="宋体" w:cs="宋体"/>
                <w:b/>
                <w:bCs/>
                <w:color w:val="000000"/>
                <w:sz w:val="24"/>
                <w:szCs w:val="24"/>
                <w:highlight w:val="none"/>
                <w:u w:val="none"/>
                <w:lang w:val="en-US" w:eastAsia="zh-CN"/>
              </w:rPr>
            </w:pPr>
            <w:r>
              <w:rPr>
                <w:rFonts w:hint="eastAsia" w:ascii="宋体" w:hAnsi="宋体" w:eastAsia="宋体" w:cs="宋体"/>
                <w:b/>
                <w:bCs/>
                <w:color w:val="000000"/>
                <w:sz w:val="24"/>
                <w:szCs w:val="24"/>
                <w:highlight w:val="none"/>
                <w:u w:val="none"/>
                <w:lang w:val="en-US" w:eastAsia="zh-CN"/>
              </w:rPr>
              <w:t>注：</w:t>
            </w:r>
          </w:p>
          <w:p w14:paraId="0800B8A5">
            <w:pPr>
              <w:spacing w:line="360" w:lineRule="auto"/>
              <w:ind w:left="0" w:leftChars="0" w:firstLine="0" w:firstLineChars="0"/>
              <w:jc w:val="lef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1.</w:t>
            </w:r>
            <w:r>
              <w:rPr>
                <w:rFonts w:hint="eastAsia" w:ascii="宋体" w:hAnsi="宋体" w:eastAsia="宋体" w:cs="宋体"/>
                <w:b/>
                <w:bCs/>
                <w:color w:val="000000"/>
                <w:sz w:val="24"/>
                <w:szCs w:val="24"/>
                <w:highlight w:val="none"/>
                <w:u w:val="none"/>
                <w:lang w:val="en-US" w:eastAsia="zh-CN"/>
              </w:rPr>
              <w:t>响应</w:t>
            </w:r>
            <w:r>
              <w:rPr>
                <w:rFonts w:hint="eastAsia" w:ascii="宋体" w:hAnsi="宋体" w:eastAsia="宋体" w:cs="宋体"/>
                <w:b/>
                <w:bCs/>
                <w:color w:val="000000"/>
                <w:sz w:val="24"/>
                <w:szCs w:val="24"/>
                <w:highlight w:val="none"/>
                <w:u w:val="none"/>
              </w:rPr>
              <w:t>文件中须提供颁奖单位的颁奖文件或颁奖单位官网文件截图，否则不予认可。注：颁奖文件不含荣誉证书、奖杯、奖牌、奖状。</w:t>
            </w:r>
          </w:p>
          <w:p w14:paraId="378222B4">
            <w:pPr>
              <w:spacing w:line="360" w:lineRule="auto"/>
              <w:ind w:left="0" w:leftChars="0" w:firstLine="0" w:firstLineChars="0"/>
              <w:jc w:val="left"/>
              <w:rPr>
                <w:rFonts w:hint="eastAsia" w:ascii="宋体" w:hAnsi="宋体" w:eastAsia="宋体" w:cs="宋体"/>
                <w:b/>
                <w:bCs/>
                <w:color w:val="000000"/>
                <w:sz w:val="24"/>
                <w:szCs w:val="24"/>
                <w:highlight w:val="none"/>
                <w:u w:val="none"/>
              </w:rPr>
            </w:pPr>
            <w:r>
              <w:rPr>
                <w:rFonts w:hint="eastAsia" w:ascii="宋体" w:hAnsi="宋体" w:eastAsia="宋体" w:cs="宋体"/>
                <w:b/>
                <w:bCs/>
                <w:color w:val="000000"/>
                <w:sz w:val="24"/>
                <w:szCs w:val="24"/>
                <w:highlight w:val="none"/>
                <w:u w:val="none"/>
              </w:rPr>
              <w:t>2.“ 国内依法登记注册”以中国社会组织网查询结果为准。</w:t>
            </w:r>
            <w:r>
              <w:rPr>
                <w:rFonts w:hint="eastAsia" w:ascii="宋体" w:hAnsi="宋体" w:eastAsia="宋体" w:cs="宋体"/>
                <w:b/>
                <w:bCs/>
                <w:color w:val="000000"/>
                <w:sz w:val="24"/>
                <w:szCs w:val="24"/>
                <w:highlight w:val="none"/>
                <w:u w:val="none"/>
                <w:lang w:val="en-US" w:eastAsia="zh-CN"/>
              </w:rPr>
              <w:t>响应</w:t>
            </w:r>
            <w:r>
              <w:rPr>
                <w:rFonts w:hint="eastAsia" w:ascii="宋体" w:hAnsi="宋体" w:eastAsia="宋体" w:cs="宋体"/>
                <w:b/>
                <w:bCs/>
                <w:color w:val="000000"/>
                <w:sz w:val="24"/>
                <w:szCs w:val="24"/>
                <w:highlight w:val="none"/>
                <w:u w:val="none"/>
              </w:rPr>
              <w:t>文件中须提供该协会（学会）在中国社会组织网查询结果截图。民政部公布的“离岸社团”、“山寨社团”颁发的荣誉、奖励均无效。</w:t>
            </w:r>
          </w:p>
          <w:p w14:paraId="0FDFD394">
            <w:pPr>
              <w:spacing w:line="360" w:lineRule="auto"/>
              <w:ind w:left="0" w:leftChars="0" w:firstLine="0" w:firstLineChars="0"/>
              <w:jc w:val="left"/>
              <w:rPr>
                <w:rFonts w:hint="default" w:ascii="宋体" w:hAnsi="宋体" w:eastAsia="宋体" w:cs="宋体"/>
                <w:b/>
                <w:bCs/>
                <w:color w:val="000000"/>
                <w:sz w:val="24"/>
                <w:szCs w:val="24"/>
                <w:u w:val="none"/>
                <w:lang w:val="en-US" w:eastAsia="zh-CN"/>
              </w:rPr>
            </w:pPr>
            <w:r>
              <w:rPr>
                <w:rFonts w:hint="eastAsia" w:cs="宋体"/>
                <w:b/>
                <w:bCs/>
                <w:color w:val="000000"/>
                <w:sz w:val="24"/>
                <w:szCs w:val="24"/>
                <w:highlight w:val="none"/>
                <w:u w:val="none"/>
                <w:lang w:val="en-US" w:eastAsia="zh-CN"/>
              </w:rPr>
              <w:t>3.如获奖项目的颁奖文件不能体现供应商名称的，需提供业绩合同扫描件或合同甲方证明材料（须加盖合同甲方单位章）予以明确说明，否则不予得分。</w:t>
            </w:r>
          </w:p>
        </w:tc>
        <w:tc>
          <w:tcPr>
            <w:tcW w:w="711" w:type="pct"/>
            <w:tcBorders>
              <w:top w:val="single" w:color="auto" w:sz="4" w:space="0"/>
              <w:left w:val="single" w:color="auto" w:sz="4" w:space="0"/>
              <w:bottom w:val="single" w:color="auto" w:sz="4" w:space="0"/>
              <w:right w:val="single" w:color="auto" w:sz="4" w:space="0"/>
            </w:tcBorders>
            <w:noWrap w:val="0"/>
            <w:vAlign w:val="center"/>
          </w:tcPr>
          <w:p w14:paraId="6D92F9D3">
            <w:pPr>
              <w:spacing w:line="360" w:lineRule="auto"/>
              <w:ind w:left="0" w:leftChars="0" w:firstLine="0" w:firstLineChars="0"/>
              <w:jc w:val="center"/>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0-</w:t>
            </w:r>
            <w:r>
              <w:rPr>
                <w:rFonts w:hint="eastAsia" w:cs="宋体"/>
                <w:color w:val="auto"/>
                <w:sz w:val="24"/>
                <w:szCs w:val="24"/>
                <w:u w:val="none"/>
                <w:lang w:val="en-US" w:eastAsia="zh-CN"/>
              </w:rPr>
              <w:t>5</w:t>
            </w:r>
            <w:r>
              <w:rPr>
                <w:rFonts w:hint="eastAsia" w:ascii="宋体" w:hAnsi="宋体" w:eastAsia="宋体" w:cs="宋体"/>
                <w:color w:val="000000"/>
                <w:sz w:val="24"/>
                <w:szCs w:val="24"/>
                <w:u w:val="none"/>
              </w:rPr>
              <w:t>分</w:t>
            </w:r>
          </w:p>
        </w:tc>
      </w:tr>
      <w:tr w14:paraId="78B9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6" w:type="pct"/>
            <w:tcBorders>
              <w:left w:val="single" w:color="auto" w:sz="4" w:space="0"/>
              <w:right w:val="single" w:color="auto" w:sz="4" w:space="0"/>
            </w:tcBorders>
            <w:noWrap w:val="0"/>
            <w:vAlign w:val="center"/>
          </w:tcPr>
          <w:p w14:paraId="6049E1C4">
            <w:pPr>
              <w:spacing w:line="360" w:lineRule="auto"/>
              <w:ind w:left="0" w:leftChars="0" w:firstLine="0" w:firstLineChars="0"/>
              <w:jc w:val="center"/>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价格分</w:t>
            </w:r>
          </w:p>
          <w:p w14:paraId="60CA95D5">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w:t>
            </w:r>
          </w:p>
        </w:tc>
        <w:tc>
          <w:tcPr>
            <w:tcW w:w="4343" w:type="pct"/>
            <w:gridSpan w:val="3"/>
            <w:tcBorders>
              <w:top w:val="single" w:color="auto" w:sz="4" w:space="0"/>
              <w:left w:val="single" w:color="auto" w:sz="4" w:space="0"/>
              <w:bottom w:val="single" w:color="auto" w:sz="4" w:space="0"/>
              <w:right w:val="single" w:color="auto" w:sz="4" w:space="0"/>
            </w:tcBorders>
            <w:noWrap w:val="0"/>
            <w:vAlign w:val="center"/>
          </w:tcPr>
          <w:p w14:paraId="23CE16E0">
            <w:pPr>
              <w:spacing w:line="360" w:lineRule="auto"/>
              <w:ind w:left="0" w:leftChars="0" w:firstLine="0" w:firstLineChars="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价格分统一采用低价优先法，即满足</w:t>
            </w:r>
            <w:r>
              <w:rPr>
                <w:rFonts w:hint="eastAsia" w:ascii="宋体" w:hAnsi="宋体" w:eastAsia="宋体" w:cs="宋体"/>
                <w:color w:val="000000"/>
                <w:sz w:val="24"/>
                <w:szCs w:val="24"/>
                <w:u w:val="none"/>
                <w:lang w:val="en-US" w:eastAsia="zh-CN"/>
              </w:rPr>
              <w:t>磋商</w:t>
            </w:r>
            <w:r>
              <w:rPr>
                <w:rFonts w:hint="eastAsia" w:ascii="宋体" w:hAnsi="宋体" w:eastAsia="宋体" w:cs="宋体"/>
                <w:color w:val="000000"/>
                <w:sz w:val="24"/>
                <w:szCs w:val="24"/>
                <w:u w:val="none"/>
              </w:rPr>
              <w:t>文件要求且最低的报价为评标基准价，其价格分为满分</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分。其他</w:t>
            </w:r>
            <w:r>
              <w:rPr>
                <w:rFonts w:hint="eastAsia" w:ascii="宋体" w:hAnsi="宋体" w:eastAsia="宋体" w:cs="宋体"/>
                <w:color w:val="000000"/>
                <w:sz w:val="24"/>
                <w:szCs w:val="24"/>
                <w:u w:val="none"/>
                <w:lang w:val="en-US" w:eastAsia="zh-CN"/>
              </w:rPr>
              <w:t>供应商</w:t>
            </w:r>
            <w:r>
              <w:rPr>
                <w:rFonts w:hint="eastAsia" w:ascii="宋体" w:hAnsi="宋体" w:eastAsia="宋体" w:cs="宋体"/>
                <w:color w:val="000000"/>
                <w:sz w:val="24"/>
                <w:szCs w:val="24"/>
                <w:u w:val="none"/>
              </w:rPr>
              <w:t>的价格分统一按照下列公式计算：</w:t>
            </w:r>
          </w:p>
          <w:p w14:paraId="4B5A5A74">
            <w:pPr>
              <w:spacing w:line="360" w:lineRule="auto"/>
              <w:ind w:left="0" w:leftChars="0" w:firstLine="0" w:firstLineChars="0"/>
              <w:jc w:val="left"/>
              <w:rPr>
                <w:rFonts w:hint="eastAsia" w:ascii="宋体" w:hAnsi="宋体" w:eastAsia="宋体" w:cs="宋体"/>
                <w:b/>
                <w:bCs/>
                <w:color w:val="000000"/>
                <w:sz w:val="24"/>
                <w:szCs w:val="24"/>
                <w:u w:val="none"/>
              </w:rPr>
            </w:pPr>
            <w:r>
              <w:rPr>
                <w:rFonts w:hint="eastAsia" w:ascii="宋体" w:hAnsi="宋体" w:eastAsia="宋体" w:cs="宋体"/>
                <w:color w:val="000000"/>
                <w:sz w:val="24"/>
                <w:szCs w:val="24"/>
                <w:u w:val="none"/>
              </w:rPr>
              <w:t>报价得分＝（评标基准价/报价）×</w:t>
            </w:r>
            <w:r>
              <w:rPr>
                <w:rFonts w:hint="eastAsia" w:cs="宋体"/>
                <w:color w:val="000000"/>
                <w:sz w:val="24"/>
                <w:szCs w:val="24"/>
                <w:u w:val="none"/>
                <w:lang w:val="en-US" w:eastAsia="zh-CN"/>
              </w:rPr>
              <w:t>10</w:t>
            </w:r>
            <w:r>
              <w:rPr>
                <w:rFonts w:hint="eastAsia" w:ascii="宋体" w:hAnsi="宋体" w:eastAsia="宋体" w:cs="宋体"/>
                <w:color w:val="000000"/>
                <w:sz w:val="24"/>
                <w:szCs w:val="24"/>
                <w:u w:val="none"/>
              </w:rPr>
              <w:t>％×100</w:t>
            </w:r>
          </w:p>
        </w:tc>
      </w:tr>
    </w:tbl>
    <w:p w14:paraId="5F52C50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2</w:t>
      </w:r>
      <w:r>
        <w:rPr>
          <w:rFonts w:asciiTheme="minorEastAsia" w:hAnsiTheme="minorEastAsia" w:eastAsiaTheme="minorEastAsia"/>
          <w:highlight w:val="none"/>
        </w:rPr>
        <w:t>.</w:t>
      </w:r>
      <w:r>
        <w:rPr>
          <w:rFonts w:hint="eastAsia" w:asciiTheme="minorEastAsia" w:hAnsiTheme="minorEastAsia" w:eastAsiaTheme="minorEastAsia"/>
          <w:highlight w:val="none"/>
        </w:rPr>
        <w:t>2</w:t>
      </w:r>
      <w:r>
        <w:rPr>
          <w:rFonts w:asciiTheme="minorEastAsia" w:hAnsiTheme="minorEastAsia" w:eastAsiaTheme="minorEastAsia"/>
          <w:highlight w:val="none"/>
        </w:rPr>
        <w:t>.3</w:t>
      </w:r>
      <w:r>
        <w:rPr>
          <w:rFonts w:hint="eastAsia" w:asciiTheme="minorEastAsia" w:hAnsiTheme="minorEastAsia" w:eastAsiaTheme="minorEastAsia"/>
          <w:highlight w:val="none"/>
        </w:rPr>
        <w:t>分值汇总</w:t>
      </w:r>
    </w:p>
    <w:p w14:paraId="3C429E13">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评审委员会</w:t>
      </w:r>
      <w:r>
        <w:rPr>
          <w:rFonts w:asciiTheme="minorEastAsia" w:hAnsiTheme="minorEastAsia" w:eastAsiaTheme="minorEastAsia"/>
          <w:highlight w:val="none"/>
        </w:rPr>
        <w:t>各成员应当独立对每个有效响应的文件进行评价、打分，然后汇总每个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每项评分因素的得分，再取各位评委评分之平均值，四舍五入保留至小数点后两位数，得到该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w:t>
      </w:r>
    </w:p>
    <w:p w14:paraId="462C802B">
      <w:pPr>
        <w:ind w:firstLine="48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2）将每个</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的技术资信分加上根据上述标准计算出的价格分，即为该</w:t>
      </w:r>
      <w:r>
        <w:rPr>
          <w:rFonts w:hint="eastAsia" w:asciiTheme="minorEastAsia" w:hAnsiTheme="minorEastAsia" w:eastAsiaTheme="minorEastAsia"/>
          <w:highlight w:val="none"/>
        </w:rPr>
        <w:t>供应商</w:t>
      </w:r>
      <w:r>
        <w:rPr>
          <w:rFonts w:asciiTheme="minorEastAsia" w:hAnsiTheme="minorEastAsia" w:eastAsiaTheme="minorEastAsia"/>
          <w:highlight w:val="none"/>
        </w:rPr>
        <w:t>的综合总得分。</w:t>
      </w:r>
    </w:p>
    <w:p w14:paraId="6801FCA4">
      <w:pPr>
        <w:widowControl/>
        <w:ind w:firstLine="480"/>
        <w:jc w:val="left"/>
        <w:rPr>
          <w:rFonts w:asciiTheme="minorEastAsia" w:hAnsiTheme="minorEastAsia" w:eastAsiaTheme="minorEastAsia"/>
          <w:highlight w:val="none"/>
        </w:rPr>
      </w:pPr>
      <w:r>
        <w:rPr>
          <w:rFonts w:asciiTheme="minorEastAsia" w:hAnsiTheme="minorEastAsia" w:eastAsiaTheme="minorEastAsia"/>
          <w:highlight w:val="none"/>
        </w:rPr>
        <w:br w:type="page"/>
      </w:r>
    </w:p>
    <w:p w14:paraId="35B7DE53">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3" w:name="_Toc192058174"/>
      <w:r>
        <w:rPr>
          <w:rFonts w:hint="eastAsia" w:asciiTheme="minorEastAsia" w:hAnsiTheme="minorEastAsia" w:eastAsiaTheme="minorEastAsia"/>
          <w:b/>
          <w:sz w:val="28"/>
          <w:highlight w:val="none"/>
        </w:rPr>
        <w:t>第五章  合同</w:t>
      </w:r>
      <w:bookmarkEnd w:id="13"/>
    </w:p>
    <w:p w14:paraId="7B52CD2B">
      <w:pPr>
        <w:widowControl/>
        <w:spacing w:line="240" w:lineRule="auto"/>
        <w:ind w:firstLine="0" w:firstLineChars="0"/>
        <w:jc w:val="center"/>
        <w:rPr>
          <w:rFonts w:cs="宋体"/>
          <w:b/>
          <w:bCs/>
          <w:kern w:val="2"/>
          <w:sz w:val="28"/>
          <w:szCs w:val="28"/>
          <w:highlight w:val="none"/>
        </w:rPr>
      </w:pPr>
      <w:bookmarkStart w:id="14" w:name="OLE_LINK3"/>
      <w:r>
        <w:rPr>
          <w:rFonts w:hint="eastAsia" w:cs="宋体"/>
          <w:b/>
          <w:bCs/>
          <w:kern w:val="2"/>
          <w:sz w:val="28"/>
          <w:szCs w:val="28"/>
          <w:highlight w:val="none"/>
        </w:rPr>
        <w:t>（双方依法签订）</w:t>
      </w:r>
    </w:p>
    <w:p w14:paraId="411EFE84">
      <w:pPr>
        <w:widowControl/>
        <w:spacing w:line="240" w:lineRule="auto"/>
        <w:ind w:firstLine="0" w:firstLineChars="0"/>
        <w:jc w:val="left"/>
        <w:rPr>
          <w:rFonts w:cs="宋体"/>
          <w:b/>
          <w:bCs/>
          <w:kern w:val="2"/>
          <w:sz w:val="32"/>
          <w:szCs w:val="40"/>
          <w:highlight w:val="none"/>
        </w:rPr>
      </w:pPr>
    </w:p>
    <w:p w14:paraId="48B41B5F">
      <w:pPr>
        <w:widowControl/>
        <w:spacing w:line="240" w:lineRule="auto"/>
        <w:ind w:firstLine="0" w:firstLineChars="0"/>
        <w:jc w:val="left"/>
        <w:rPr>
          <w:rFonts w:cs="宋体"/>
          <w:b/>
          <w:bCs/>
          <w:kern w:val="2"/>
          <w:sz w:val="32"/>
          <w:szCs w:val="40"/>
          <w:highlight w:val="none"/>
        </w:rPr>
      </w:pPr>
      <w:r>
        <w:rPr>
          <w:rFonts w:hint="eastAsia" w:cs="宋体"/>
          <w:b/>
          <w:bCs/>
          <w:kern w:val="2"/>
          <w:sz w:val="32"/>
          <w:szCs w:val="40"/>
          <w:highlight w:val="none"/>
        </w:rPr>
        <w:br w:type="page"/>
      </w:r>
    </w:p>
    <w:bookmarkEnd w:id="14"/>
    <w:p w14:paraId="106CD6A0">
      <w:pPr>
        <w:spacing w:before="312" w:beforeLines="100"/>
        <w:ind w:left="0" w:leftChars="0" w:firstLine="0" w:firstLineChars="0"/>
        <w:jc w:val="center"/>
        <w:outlineLvl w:val="1"/>
        <w:rPr>
          <w:rFonts w:hint="eastAsia" w:asciiTheme="minorEastAsia" w:hAnsiTheme="minorEastAsia" w:eastAsiaTheme="minorEastAsia"/>
          <w:b/>
          <w:sz w:val="28"/>
          <w:highlight w:val="none"/>
        </w:rPr>
      </w:pPr>
      <w:bookmarkStart w:id="15" w:name="_Toc192058175"/>
      <w:r>
        <w:rPr>
          <w:rFonts w:hint="eastAsia" w:asciiTheme="minorEastAsia" w:hAnsiTheme="minorEastAsia" w:eastAsiaTheme="minorEastAsia"/>
          <w:b/>
          <w:sz w:val="28"/>
          <w:highlight w:val="none"/>
        </w:rPr>
        <w:t>第六章  响应文件格式</w:t>
      </w:r>
      <w:bookmarkEnd w:id="15"/>
    </w:p>
    <w:p w14:paraId="25922F73">
      <w:pPr>
        <w:spacing w:line="900" w:lineRule="exact"/>
        <w:ind w:firstLine="723"/>
        <w:jc w:val="center"/>
        <w:rPr>
          <w:rFonts w:hint="eastAsia" w:asciiTheme="minorEastAsia" w:hAnsiTheme="minorEastAsia" w:eastAsiaTheme="minorEastAsia"/>
          <w:b/>
          <w:sz w:val="36"/>
          <w:szCs w:val="21"/>
          <w:highlight w:val="none"/>
          <w:lang w:eastAsia="zh-CN"/>
        </w:rPr>
      </w:pPr>
      <w:r>
        <w:rPr>
          <w:rFonts w:hint="eastAsia" w:asciiTheme="minorEastAsia" w:hAnsiTheme="minorEastAsia" w:eastAsiaTheme="minorEastAsia"/>
          <w:b/>
          <w:sz w:val="36"/>
          <w:szCs w:val="21"/>
          <w:highlight w:val="none"/>
          <w:lang w:eastAsia="zh-CN"/>
        </w:rPr>
        <w:t>引江济淮二期土地综合整治（城区段、严店镇）项目施工图设计项目</w:t>
      </w:r>
    </w:p>
    <w:p w14:paraId="6483E87F">
      <w:pPr>
        <w:spacing w:line="900" w:lineRule="exact"/>
        <w:ind w:firstLine="1446"/>
        <w:jc w:val="center"/>
        <w:rPr>
          <w:rFonts w:asciiTheme="minorEastAsia" w:hAnsiTheme="minorEastAsia" w:eastAsiaTheme="minorEastAsia"/>
          <w:b/>
          <w:sz w:val="72"/>
          <w:highlight w:val="none"/>
        </w:rPr>
      </w:pPr>
    </w:p>
    <w:p w14:paraId="1F1811D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响</w:t>
      </w:r>
    </w:p>
    <w:p w14:paraId="7CEA9CD9">
      <w:pPr>
        <w:spacing w:line="900" w:lineRule="exact"/>
        <w:ind w:firstLine="1446"/>
        <w:jc w:val="center"/>
        <w:rPr>
          <w:rFonts w:asciiTheme="minorEastAsia" w:hAnsiTheme="minorEastAsia" w:eastAsiaTheme="minorEastAsia"/>
          <w:b/>
          <w:sz w:val="72"/>
          <w:highlight w:val="none"/>
        </w:rPr>
      </w:pPr>
    </w:p>
    <w:p w14:paraId="6EDA97C6">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应</w:t>
      </w:r>
    </w:p>
    <w:p w14:paraId="578917BB">
      <w:pPr>
        <w:spacing w:line="900" w:lineRule="exact"/>
        <w:ind w:firstLine="1446"/>
        <w:jc w:val="center"/>
        <w:rPr>
          <w:rFonts w:asciiTheme="minorEastAsia" w:hAnsiTheme="minorEastAsia" w:eastAsiaTheme="minorEastAsia"/>
          <w:b/>
          <w:sz w:val="72"/>
          <w:highlight w:val="none"/>
        </w:rPr>
      </w:pPr>
    </w:p>
    <w:p w14:paraId="1BAE5E6F">
      <w:pPr>
        <w:spacing w:line="900" w:lineRule="exact"/>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文</w:t>
      </w:r>
    </w:p>
    <w:p w14:paraId="017FD623">
      <w:pPr>
        <w:spacing w:line="900" w:lineRule="exact"/>
        <w:ind w:firstLine="1446"/>
        <w:jc w:val="center"/>
        <w:rPr>
          <w:rFonts w:asciiTheme="minorEastAsia" w:hAnsiTheme="minorEastAsia" w:eastAsiaTheme="minorEastAsia"/>
          <w:b/>
          <w:sz w:val="72"/>
          <w:highlight w:val="none"/>
        </w:rPr>
      </w:pPr>
    </w:p>
    <w:p w14:paraId="09E2DDB9">
      <w:pPr>
        <w:ind w:firstLine="3614" w:firstLineChars="500"/>
        <w:rPr>
          <w:rFonts w:asciiTheme="minorEastAsia" w:hAnsiTheme="minorEastAsia" w:eastAsiaTheme="minorEastAsia"/>
          <w:b/>
          <w:sz w:val="72"/>
          <w:highlight w:val="none"/>
        </w:rPr>
      </w:pPr>
      <w:r>
        <w:rPr>
          <w:rFonts w:hint="eastAsia" w:asciiTheme="minorEastAsia" w:hAnsiTheme="minorEastAsia" w:eastAsiaTheme="minorEastAsia"/>
          <w:b/>
          <w:sz w:val="72"/>
          <w:highlight w:val="none"/>
        </w:rPr>
        <w:t>件</w:t>
      </w:r>
    </w:p>
    <w:p w14:paraId="32674A50">
      <w:pPr>
        <w:spacing w:after="156" w:afterLines="50"/>
        <w:ind w:firstLine="1446"/>
        <w:jc w:val="center"/>
        <w:rPr>
          <w:rFonts w:asciiTheme="minorEastAsia" w:hAnsiTheme="minorEastAsia" w:eastAsiaTheme="minorEastAsia"/>
          <w:b/>
          <w:sz w:val="72"/>
          <w:highlight w:val="none"/>
        </w:rPr>
      </w:pPr>
    </w:p>
    <w:p w14:paraId="13D6CAED">
      <w:pPr>
        <w:spacing w:after="156" w:afterLines="50" w:line="500" w:lineRule="exact"/>
        <w:ind w:firstLine="562"/>
        <w:jc w:val="center"/>
        <w:rPr>
          <w:rFonts w:asciiTheme="minorEastAsia" w:hAnsiTheme="minorEastAsia" w:eastAsiaTheme="minorEastAsia"/>
          <w:b/>
          <w:sz w:val="28"/>
          <w:szCs w:val="28"/>
          <w:highlight w:val="none"/>
        </w:rPr>
      </w:pPr>
    </w:p>
    <w:p w14:paraId="28D8D087">
      <w:pPr>
        <w:spacing w:after="156" w:afterLines="50" w:line="500" w:lineRule="exact"/>
        <w:ind w:firstLine="1446"/>
        <w:jc w:val="center"/>
        <w:rPr>
          <w:rFonts w:asciiTheme="minorEastAsia" w:hAnsiTheme="minorEastAsia" w:eastAsiaTheme="minorEastAsia"/>
          <w:b/>
          <w:sz w:val="72"/>
          <w:highlight w:val="none"/>
        </w:rPr>
      </w:pPr>
    </w:p>
    <w:p w14:paraId="100AD675">
      <w:pPr>
        <w:spacing w:after="156" w:afterLines="50" w:line="500" w:lineRule="exact"/>
        <w:ind w:firstLine="2522" w:firstLineChars="785"/>
        <w:rPr>
          <w:rFonts w:asciiTheme="minorEastAsia" w:hAnsiTheme="minorEastAsia" w:eastAsiaTheme="minorEastAsia"/>
          <w:b/>
          <w:sz w:val="32"/>
          <w:highlight w:val="none"/>
          <w:u w:val="single"/>
        </w:rPr>
      </w:pPr>
      <w:r>
        <w:rPr>
          <w:rFonts w:hint="eastAsia" w:asciiTheme="minorEastAsia" w:hAnsiTheme="minorEastAsia" w:eastAsiaTheme="minorEastAsia"/>
          <w:b/>
          <w:sz w:val="32"/>
          <w:highlight w:val="none"/>
        </w:rPr>
        <w:t>供应商：</w:t>
      </w:r>
      <w:r>
        <w:rPr>
          <w:rFonts w:hint="eastAsia" w:asciiTheme="minorEastAsia" w:hAnsiTheme="minorEastAsia" w:eastAsiaTheme="minorEastAsia"/>
          <w:b/>
          <w:sz w:val="32"/>
          <w:highlight w:val="none"/>
          <w:u w:val="single"/>
        </w:rPr>
        <w:t xml:space="preserve">               </w:t>
      </w:r>
    </w:p>
    <w:p w14:paraId="120A30E0">
      <w:pPr>
        <w:spacing w:after="156" w:afterLines="50" w:line="500" w:lineRule="exact"/>
        <w:ind w:firstLine="643"/>
        <w:jc w:val="center"/>
        <w:rPr>
          <w:rFonts w:asciiTheme="minorEastAsia" w:hAnsiTheme="minorEastAsia" w:eastAsiaTheme="minorEastAsia"/>
          <w:b/>
          <w:sz w:val="32"/>
          <w:highlight w:val="none"/>
        </w:rPr>
      </w:pP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年</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月</w:t>
      </w:r>
      <w:r>
        <w:rPr>
          <w:rFonts w:hint="eastAsia" w:asciiTheme="minorEastAsia" w:hAnsiTheme="minorEastAsia" w:eastAsiaTheme="minorEastAsia"/>
          <w:b/>
          <w:sz w:val="32"/>
          <w:highlight w:val="none"/>
          <w:u w:val="single"/>
        </w:rPr>
        <w:t xml:space="preserve">  </w:t>
      </w:r>
      <w:r>
        <w:rPr>
          <w:rFonts w:hint="eastAsia" w:asciiTheme="minorEastAsia" w:hAnsiTheme="minorEastAsia" w:eastAsiaTheme="minorEastAsia"/>
          <w:b/>
          <w:sz w:val="32"/>
          <w:highlight w:val="none"/>
        </w:rPr>
        <w:t>日</w:t>
      </w:r>
    </w:p>
    <w:p w14:paraId="32C67895">
      <w:pPr>
        <w:widowControl/>
        <w:ind w:firstLine="562"/>
        <w:jc w:val="left"/>
        <w:rPr>
          <w:rFonts w:asciiTheme="minorEastAsia" w:hAnsiTheme="minorEastAsia" w:eastAsiaTheme="minorEastAsia"/>
          <w:b/>
          <w:sz w:val="28"/>
          <w:highlight w:val="none"/>
        </w:rPr>
      </w:pPr>
      <w:r>
        <w:rPr>
          <w:rFonts w:asciiTheme="minorEastAsia" w:hAnsiTheme="minorEastAsia" w:eastAsiaTheme="minorEastAsia"/>
          <w:b/>
          <w:sz w:val="28"/>
          <w:highlight w:val="none"/>
        </w:rPr>
        <w:br w:type="page"/>
      </w:r>
    </w:p>
    <w:p w14:paraId="30F59B17">
      <w:pPr>
        <w:ind w:firstLine="482"/>
        <w:jc w:val="center"/>
        <w:outlineLvl w:val="2"/>
        <w:rPr>
          <w:rFonts w:asciiTheme="minorEastAsia" w:hAnsiTheme="minorEastAsia" w:eastAsiaTheme="minorEastAsia"/>
          <w:b/>
          <w:highlight w:val="none"/>
        </w:rPr>
      </w:pPr>
      <w:bookmarkStart w:id="16" w:name="_Toc461056631"/>
      <w:bookmarkStart w:id="17" w:name="_Toc461053086"/>
      <w:bookmarkStart w:id="18" w:name="_Toc520983587"/>
      <w:r>
        <w:rPr>
          <w:rFonts w:hint="eastAsia" w:asciiTheme="minorEastAsia" w:hAnsiTheme="minorEastAsia" w:eastAsiaTheme="minorEastAsia"/>
          <w:b/>
          <w:highlight w:val="none"/>
        </w:rPr>
        <w:t>一</w:t>
      </w:r>
      <w:bookmarkEnd w:id="16"/>
      <w:bookmarkEnd w:id="17"/>
      <w:r>
        <w:rPr>
          <w:rFonts w:hint="eastAsia" w:asciiTheme="minorEastAsia" w:hAnsiTheme="minorEastAsia" w:eastAsiaTheme="minorEastAsia"/>
          <w:b/>
          <w:highlight w:val="none"/>
        </w:rPr>
        <w:t>、报价表格式</w:t>
      </w:r>
      <w:bookmarkEnd w:id="18"/>
    </w:p>
    <w:p w14:paraId="23A1494C">
      <w:pPr>
        <w:spacing w:before="156" w:beforeLines="50" w:after="156" w:afterLines="50"/>
        <w:ind w:firstLine="482"/>
        <w:jc w:val="left"/>
        <w:rPr>
          <w:rFonts w:cs="@仿宋_GB2312" w:asciiTheme="minorEastAsia" w:hAnsiTheme="minorEastAsia" w:eastAsiaTheme="minorEastAsia"/>
          <w:b/>
          <w:kern w:val="2"/>
          <w:szCs w:val="24"/>
          <w:highlight w:val="none"/>
        </w:rPr>
      </w:pPr>
      <w:r>
        <w:rPr>
          <w:rFonts w:hint="eastAsia" w:cs="@仿宋_GB2312" w:asciiTheme="minorEastAsia" w:hAnsiTheme="minorEastAsia" w:eastAsiaTheme="minorEastAsia"/>
          <w:b/>
          <w:kern w:val="2"/>
          <w:szCs w:val="24"/>
          <w:highlight w:val="none"/>
        </w:rPr>
        <w:t>1-1 报价表</w:t>
      </w:r>
    </w:p>
    <w:p w14:paraId="6AEDBFC0">
      <w:pPr>
        <w:snapToGrid w:val="0"/>
        <w:ind w:firstLine="482"/>
        <w:jc w:val="left"/>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引江济淮二期土地综合整治（城区段、严店镇）项目施工图设计项目</w:t>
      </w:r>
      <w:r>
        <w:rPr>
          <w:rFonts w:hint="eastAsia" w:cs="宋体" w:asciiTheme="minorEastAsia" w:hAnsiTheme="minorEastAsia" w:eastAsiaTheme="minorEastAsia"/>
          <w:b/>
          <w:kern w:val="2"/>
          <w:szCs w:val="24"/>
          <w:highlight w:val="none"/>
          <w:u w:val="single"/>
        </w:rPr>
        <w:t xml:space="preserve">    </w:t>
      </w:r>
    </w:p>
    <w:p w14:paraId="2C3BE5EE">
      <w:pPr>
        <w:snapToGrid w:val="0"/>
        <w:spacing w:after="156" w:afterLines="50"/>
        <w:ind w:firstLine="482"/>
        <w:jc w:val="left"/>
        <w:rPr>
          <w:rFonts w:cs="宋体" w:asciiTheme="minorEastAsia" w:hAnsiTheme="minorEastAsia" w:eastAsiaTheme="minorEastAsia"/>
          <w:b/>
          <w:bCs/>
          <w:kern w:val="2"/>
          <w:szCs w:val="24"/>
          <w:highlight w:val="none"/>
          <w:u w:val="single"/>
        </w:rPr>
      </w:pPr>
      <w:r>
        <w:rPr>
          <w:rFonts w:hint="eastAsia" w:cs="宋体" w:asciiTheme="minorEastAsia" w:hAnsiTheme="minorEastAsia" w:eastAsiaTheme="minorEastAsia"/>
          <w:b/>
          <w:kern w:val="2"/>
          <w:szCs w:val="24"/>
          <w:highlight w:val="none"/>
        </w:rPr>
        <w:t>项目编号：</w:t>
      </w:r>
      <w:r>
        <w:rPr>
          <w:rFonts w:hint="eastAsia" w:cs="宋体" w:asciiTheme="minorEastAsia" w:hAnsiTheme="minorEastAsia" w:eastAsiaTheme="minorEastAsia"/>
          <w:b/>
          <w:kern w:val="2"/>
          <w:szCs w:val="24"/>
          <w:highlight w:val="none"/>
          <w:u w:val="single"/>
        </w:rPr>
        <w:t xml:space="preserve"> </w:t>
      </w:r>
      <w:r>
        <w:rPr>
          <w:rFonts w:hint="eastAsia" w:cs="宋体" w:asciiTheme="minorEastAsia" w:hAnsiTheme="minorEastAsia" w:eastAsiaTheme="minorEastAsia"/>
          <w:b/>
          <w:kern w:val="2"/>
          <w:szCs w:val="24"/>
          <w:highlight w:val="none"/>
          <w:u w:val="single"/>
          <w:lang w:eastAsia="zh-CN"/>
        </w:rPr>
        <w:t>2026PHBN309</w:t>
      </w:r>
      <w:r>
        <w:rPr>
          <w:rFonts w:hint="eastAsia" w:cs="宋体" w:asciiTheme="minorEastAsia" w:hAnsiTheme="minorEastAsia" w:eastAsiaTheme="minorEastAsia"/>
          <w:b/>
          <w:kern w:val="2"/>
          <w:szCs w:val="24"/>
          <w:highlight w:val="none"/>
          <w:u w:val="single"/>
        </w:rPr>
        <w:t xml:space="preserve">    </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5E0EA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2A4E0AED">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供应商名称</w:t>
            </w:r>
          </w:p>
        </w:tc>
        <w:tc>
          <w:tcPr>
            <w:tcW w:w="3558" w:type="pct"/>
            <w:tcBorders>
              <w:left w:val="single" w:color="auto" w:sz="4" w:space="0"/>
            </w:tcBorders>
          </w:tcPr>
          <w:p w14:paraId="2FE6592E">
            <w:pPr>
              <w:ind w:left="0" w:leftChars="0" w:firstLine="0" w:firstLineChars="0"/>
              <w:rPr>
                <w:rFonts w:cs="宋体" w:asciiTheme="minorEastAsia" w:hAnsiTheme="minorEastAsia" w:eastAsiaTheme="minorEastAsia"/>
                <w:b/>
                <w:kern w:val="2"/>
                <w:szCs w:val="24"/>
                <w:highlight w:val="none"/>
              </w:rPr>
            </w:pPr>
          </w:p>
        </w:tc>
      </w:tr>
      <w:tr w14:paraId="03270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587AAB7C">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bCs/>
                <w:kern w:val="2"/>
                <w:szCs w:val="24"/>
                <w:highlight w:val="none"/>
              </w:rPr>
              <w:t>磋商</w:t>
            </w:r>
            <w:r>
              <w:rPr>
                <w:rFonts w:hint="eastAsia" w:cs="宋体" w:asciiTheme="minorEastAsia" w:hAnsiTheme="minorEastAsia" w:eastAsiaTheme="minorEastAsia"/>
                <w:b/>
                <w:kern w:val="2"/>
                <w:szCs w:val="24"/>
                <w:highlight w:val="none"/>
              </w:rPr>
              <w:t>范围</w:t>
            </w:r>
          </w:p>
        </w:tc>
        <w:tc>
          <w:tcPr>
            <w:tcW w:w="3558" w:type="pct"/>
            <w:tcBorders>
              <w:left w:val="single" w:color="auto" w:sz="4" w:space="0"/>
            </w:tcBorders>
            <w:vAlign w:val="center"/>
          </w:tcPr>
          <w:p w14:paraId="4E50AF54">
            <w:pPr>
              <w:widowControl/>
              <w:ind w:left="0" w:leftChars="0" w:firstLine="0" w:firstLineChars="0"/>
              <w:rPr>
                <w:rFonts w:cs="宋体" w:asciiTheme="minorEastAsia" w:hAnsiTheme="minorEastAsia" w:eastAsiaTheme="minorEastAsia"/>
                <w:b/>
                <w:kern w:val="2"/>
                <w:szCs w:val="24"/>
                <w:highlight w:val="none"/>
              </w:rPr>
            </w:pPr>
            <w:r>
              <w:rPr>
                <w:rFonts w:hint="eastAsia" w:cs="@仿宋_GB2312" w:asciiTheme="minorEastAsia" w:hAnsiTheme="minorEastAsia" w:eastAsiaTheme="minorEastAsia"/>
                <w:kern w:val="2"/>
                <w:szCs w:val="28"/>
                <w:highlight w:val="none"/>
              </w:rPr>
              <w:t>全部</w:t>
            </w:r>
          </w:p>
        </w:tc>
      </w:tr>
      <w:tr w14:paraId="39373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4D807D79">
            <w:pPr>
              <w:ind w:left="0" w:leftChars="0" w:firstLine="0" w:firstLineChars="0"/>
              <w:jc w:val="center"/>
              <w:rPr>
                <w:rFonts w:cs="@仿宋_GB2312"/>
                <w:b/>
                <w:kern w:val="2"/>
                <w:highlight w:val="none"/>
              </w:rPr>
            </w:pPr>
            <w:r>
              <w:rPr>
                <w:rFonts w:hint="eastAsia" w:cs="@仿宋_GB2312"/>
                <w:b/>
                <w:kern w:val="2"/>
                <w:highlight w:val="none"/>
              </w:rPr>
              <w:t>报价</w:t>
            </w:r>
          </w:p>
          <w:p w14:paraId="11F10DF1">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（详见备注说明）</w:t>
            </w:r>
          </w:p>
        </w:tc>
        <w:tc>
          <w:tcPr>
            <w:tcW w:w="3558" w:type="pct"/>
            <w:vAlign w:val="center"/>
          </w:tcPr>
          <w:p w14:paraId="3E62776F">
            <w:pPr>
              <w:snapToGrid w:val="0"/>
              <w:ind w:firstLine="0" w:firstLineChars="0"/>
              <w:rPr>
                <w:rFonts w:hint="default" w:eastAsia="宋体" w:cs="宋体"/>
                <w:kern w:val="2"/>
                <w:szCs w:val="24"/>
                <w:highlight w:val="none"/>
                <w:u w:val="single"/>
                <w:lang w:val="en-US" w:eastAsia="zh-CN"/>
              </w:rPr>
            </w:pPr>
            <w:r>
              <w:rPr>
                <w:rFonts w:hint="eastAsia" w:cs="宋体"/>
                <w:kern w:val="2"/>
                <w:szCs w:val="24"/>
                <w:highlight w:val="none"/>
              </w:rPr>
              <w:t>人民币大写：</w:t>
            </w:r>
            <w:r>
              <w:rPr>
                <w:rFonts w:hint="eastAsia" w:cs="宋体"/>
                <w:kern w:val="2"/>
                <w:szCs w:val="24"/>
                <w:highlight w:val="none"/>
                <w:u w:val="single"/>
                <w:lang w:val="en-US" w:eastAsia="zh-CN"/>
              </w:rPr>
              <w:t xml:space="preserve">                 </w:t>
            </w:r>
          </w:p>
          <w:p w14:paraId="7ED7B12F">
            <w:pPr>
              <w:pStyle w:val="26"/>
              <w:ind w:left="0" w:leftChars="0" w:firstLine="0" w:firstLineChars="0"/>
              <w:rPr>
                <w:rFonts w:hint="default" w:eastAsia="宋体" w:cs="宋体" w:asciiTheme="minorEastAsia" w:hAnsiTheme="minorEastAsia"/>
                <w:b/>
                <w:kern w:val="2"/>
                <w:highlight w:val="none"/>
                <w:u w:val="single"/>
                <w:lang w:val="en-US" w:eastAsia="zh-CN"/>
              </w:rPr>
            </w:pPr>
            <w:r>
              <w:rPr>
                <w:rFonts w:hint="eastAsia"/>
                <w:highlight w:val="none"/>
                <w:lang w:val="en-US" w:eastAsia="zh-CN"/>
              </w:rPr>
              <w:t>人民币</w:t>
            </w:r>
            <w:r>
              <w:rPr>
                <w:rFonts w:hint="eastAsia"/>
                <w:highlight w:val="none"/>
                <w:lang w:val="en-US"/>
              </w:rPr>
              <w:t>小写：</w:t>
            </w:r>
            <w:r>
              <w:rPr>
                <w:rFonts w:hint="eastAsia"/>
                <w:highlight w:val="none"/>
                <w:u w:val="single"/>
                <w:lang w:val="en-US" w:eastAsia="zh-CN"/>
              </w:rPr>
              <w:t xml:space="preserve">                 </w:t>
            </w:r>
          </w:p>
        </w:tc>
      </w:tr>
      <w:tr w14:paraId="379E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536C36CF">
            <w:pPr>
              <w:snapToGrid w:val="0"/>
              <w:ind w:left="0" w:leftChars="0" w:firstLine="0" w:firstLineChars="0"/>
              <w:jc w:val="center"/>
              <w:rPr>
                <w:rFonts w:cs="宋体" w:asciiTheme="minorEastAsia" w:hAnsiTheme="minorEastAsia" w:eastAsiaTheme="minorEastAsia"/>
                <w:b/>
                <w:strike/>
                <w:kern w:val="2"/>
                <w:szCs w:val="24"/>
                <w:highlight w:val="none"/>
              </w:rPr>
            </w:pPr>
            <w:r>
              <w:rPr>
                <w:rFonts w:hint="eastAsia" w:cs="宋体" w:asciiTheme="minorEastAsia" w:hAnsiTheme="minorEastAsia" w:eastAsiaTheme="minorEastAsia"/>
                <w:b/>
                <w:kern w:val="2"/>
                <w:szCs w:val="24"/>
                <w:highlight w:val="none"/>
              </w:rPr>
              <w:t>服务期限</w:t>
            </w:r>
          </w:p>
        </w:tc>
        <w:tc>
          <w:tcPr>
            <w:tcW w:w="3558" w:type="pct"/>
            <w:vAlign w:val="center"/>
          </w:tcPr>
          <w:p w14:paraId="666B6362">
            <w:pPr>
              <w:snapToGrid w:val="0"/>
              <w:ind w:left="0" w:leftChars="0" w:firstLine="0" w:firstLineChars="0"/>
              <w:rPr>
                <w:rFonts w:cs="宋体" w:asciiTheme="minorEastAsia" w:hAnsiTheme="minorEastAsia" w:eastAsiaTheme="minorEastAsia"/>
                <w:b/>
                <w:strike/>
                <w:kern w:val="2"/>
                <w:szCs w:val="24"/>
                <w:highlight w:val="none"/>
              </w:rPr>
            </w:pPr>
          </w:p>
        </w:tc>
      </w:tr>
      <w:tr w14:paraId="12532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1442" w:type="pct"/>
            <w:vAlign w:val="center"/>
          </w:tcPr>
          <w:p w14:paraId="320551BB">
            <w:pPr>
              <w:ind w:left="0" w:leftChars="0"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备注说明</w:t>
            </w:r>
          </w:p>
        </w:tc>
        <w:tc>
          <w:tcPr>
            <w:tcW w:w="3558" w:type="pct"/>
          </w:tcPr>
          <w:p w14:paraId="181F61E7">
            <w:pPr>
              <w:ind w:left="0" w:leftChars="0" w:firstLine="0" w:firstLineChars="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本项目无二次报价</w:t>
            </w:r>
          </w:p>
        </w:tc>
      </w:tr>
    </w:tbl>
    <w:p w14:paraId="6F8B3870">
      <w:pPr>
        <w:spacing w:line="440" w:lineRule="exact"/>
        <w:ind w:firstLine="4800" w:firstLineChars="2000"/>
        <w:rPr>
          <w:rFonts w:cs="@仿宋_GB2312"/>
          <w:kern w:val="2"/>
          <w:szCs w:val="24"/>
          <w:highlight w:val="none"/>
          <w:u w:val="single"/>
        </w:rPr>
      </w:pPr>
      <w:r>
        <w:rPr>
          <w:rFonts w:hint="eastAsia" w:cs="@仿宋_GB2312"/>
          <w:kern w:val="2"/>
          <w:szCs w:val="24"/>
          <w:highlight w:val="none"/>
        </w:rPr>
        <w:t>供应商电子签章或公章：</w:t>
      </w:r>
      <w:r>
        <w:rPr>
          <w:rFonts w:hint="eastAsia" w:cs="@仿宋_GB2312"/>
          <w:kern w:val="2"/>
          <w:szCs w:val="24"/>
          <w:highlight w:val="none"/>
          <w:u w:val="single"/>
        </w:rPr>
        <w:t xml:space="preserve">     </w:t>
      </w:r>
      <w:r>
        <w:rPr>
          <w:rFonts w:cs="@仿宋_GB2312"/>
          <w:kern w:val="2"/>
          <w:szCs w:val="24"/>
          <w:highlight w:val="none"/>
          <w:u w:val="single"/>
        </w:rPr>
        <w:t xml:space="preserve">    </w:t>
      </w:r>
      <w:r>
        <w:rPr>
          <w:rFonts w:hint="eastAsia" w:cs="@仿宋_GB2312"/>
          <w:kern w:val="2"/>
          <w:szCs w:val="24"/>
          <w:highlight w:val="none"/>
          <w:u w:val="single"/>
        </w:rPr>
        <w:t xml:space="preserve">    </w:t>
      </w:r>
    </w:p>
    <w:p w14:paraId="65A9E8DB">
      <w:pPr>
        <w:spacing w:line="440" w:lineRule="exact"/>
        <w:ind w:firstLine="4800" w:firstLineChars="2000"/>
        <w:rPr>
          <w:rFonts w:cs="@仿宋_GB2312"/>
          <w:kern w:val="2"/>
          <w:szCs w:val="24"/>
          <w:highlight w:val="none"/>
          <w:u w:val="single"/>
        </w:rPr>
      </w:pPr>
      <w:r>
        <w:rPr>
          <w:rFonts w:hint="eastAsia" w:cs="@仿宋_GB2312"/>
          <w:kern w:val="2"/>
          <w:szCs w:val="24"/>
          <w:highlight w:val="none"/>
        </w:rPr>
        <w:t xml:space="preserve">日     </w:t>
      </w:r>
      <w:r>
        <w:rPr>
          <w:rFonts w:cs="@仿宋_GB2312"/>
          <w:kern w:val="2"/>
          <w:szCs w:val="24"/>
          <w:highlight w:val="none"/>
        </w:rPr>
        <w:t xml:space="preserve">    </w:t>
      </w:r>
      <w:r>
        <w:rPr>
          <w:rFonts w:hint="eastAsia" w:cs="@仿宋_GB2312"/>
          <w:kern w:val="2"/>
          <w:szCs w:val="24"/>
          <w:highlight w:val="none"/>
        </w:rPr>
        <w:t xml:space="preserve"> 期：</w:t>
      </w:r>
      <w:r>
        <w:rPr>
          <w:rFonts w:hint="eastAsia" w:cs="@仿宋_GB2312"/>
          <w:kern w:val="2"/>
          <w:szCs w:val="24"/>
          <w:highlight w:val="none"/>
          <w:u w:val="single"/>
        </w:rPr>
        <w:t xml:space="preserve">             </w:t>
      </w:r>
    </w:p>
    <w:p w14:paraId="42961E49">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注：</w:t>
      </w:r>
    </w:p>
    <w:p w14:paraId="0977216E">
      <w:pPr>
        <w:adjustRightInd w:val="0"/>
        <w:snapToGrid w:val="0"/>
        <w:ind w:firstLine="482"/>
        <w:rPr>
          <w:rFonts w:cs="宋体" w:asciiTheme="minorEastAsia" w:hAnsiTheme="minorEastAsia" w:eastAsiaTheme="minorEastAsia"/>
          <w:kern w:val="2"/>
          <w:szCs w:val="24"/>
          <w:highlight w:val="none"/>
        </w:rPr>
      </w:pPr>
      <w:r>
        <w:rPr>
          <w:rFonts w:hint="eastAsia" w:cs="宋体" w:asciiTheme="minorEastAsia" w:hAnsiTheme="minorEastAsia" w:eastAsiaTheme="minorEastAsia"/>
          <w:b/>
          <w:bCs/>
          <w:kern w:val="2"/>
          <w:szCs w:val="24"/>
          <w:highlight w:val="none"/>
        </w:rPr>
        <w:t>1.本表内容根据磋商文件要求包括了磋商文件要求提供的全部内容的所有费用。</w:t>
      </w:r>
    </w:p>
    <w:p w14:paraId="5A836388">
      <w:pPr>
        <w:adjustRightInd w:val="0"/>
        <w:snapToGrid w:val="0"/>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2.特殊事项在备注</w:t>
      </w:r>
      <w:r>
        <w:rPr>
          <w:rFonts w:hint="eastAsia" w:cs="宋体" w:asciiTheme="minorEastAsia" w:hAnsiTheme="minorEastAsia" w:eastAsiaTheme="minorEastAsia"/>
          <w:b/>
          <w:kern w:val="2"/>
          <w:szCs w:val="24"/>
          <w:highlight w:val="none"/>
        </w:rPr>
        <w:t>说明</w:t>
      </w:r>
      <w:r>
        <w:rPr>
          <w:rFonts w:hint="eastAsia" w:cs="宋体" w:asciiTheme="minorEastAsia" w:hAnsiTheme="minorEastAsia" w:eastAsiaTheme="minorEastAsia"/>
          <w:b/>
          <w:bCs/>
          <w:kern w:val="2"/>
          <w:szCs w:val="24"/>
          <w:highlight w:val="none"/>
        </w:rPr>
        <w:t>中注明。</w:t>
      </w:r>
    </w:p>
    <w:p w14:paraId="0DBFA324">
      <w:pPr>
        <w:adjustRightInd w:val="0"/>
        <w:snapToGrid w:val="0"/>
        <w:ind w:firstLine="482"/>
        <w:rPr>
          <w:rFonts w:cs="宋体" w:asciiTheme="minorEastAsia" w:hAnsiTheme="minorEastAsia" w:eastAsiaTheme="minorEastAsia"/>
          <w:b/>
          <w:bCs/>
          <w:kern w:val="2"/>
          <w:szCs w:val="24"/>
          <w:highlight w:val="none"/>
        </w:rPr>
      </w:pPr>
      <w:r>
        <w:rPr>
          <w:rFonts w:cs="宋体" w:asciiTheme="minorEastAsia" w:hAnsiTheme="minorEastAsia" w:eastAsiaTheme="minorEastAsia"/>
          <w:b/>
          <w:bCs/>
          <w:kern w:val="2"/>
          <w:szCs w:val="24"/>
          <w:highlight w:val="none"/>
        </w:rPr>
        <w:br w:type="page"/>
      </w:r>
    </w:p>
    <w:p w14:paraId="2A415AD0">
      <w:pPr>
        <w:ind w:firstLine="482"/>
        <w:jc w:val="center"/>
        <w:outlineLvl w:val="2"/>
        <w:rPr>
          <w:rFonts w:cs="宋体"/>
          <w:sz w:val="32"/>
          <w:szCs w:val="32"/>
          <w:highlight w:val="none"/>
        </w:rPr>
      </w:pPr>
      <w:bookmarkStart w:id="19" w:name="_Toc520983591"/>
      <w:r>
        <w:rPr>
          <w:rFonts w:hint="eastAsia" w:asciiTheme="minorEastAsia" w:hAnsiTheme="minorEastAsia" w:eastAsiaTheme="minorEastAsia"/>
          <w:b/>
          <w:highlight w:val="none"/>
        </w:rPr>
        <w:t>二、供应商综合情况简介</w:t>
      </w:r>
    </w:p>
    <w:p w14:paraId="4669B6B0">
      <w:pPr>
        <w:spacing w:before="156" w:beforeLines="50" w:after="156" w:afterLines="50"/>
        <w:ind w:firstLine="235" w:firstLineChars="98"/>
        <w:jc w:val="center"/>
        <w:rPr>
          <w:rFonts w:cs="Times New Roman"/>
          <w:szCs w:val="28"/>
          <w:highlight w:val="none"/>
        </w:rPr>
      </w:pPr>
      <w:r>
        <w:rPr>
          <w:rFonts w:hint="eastAsia" w:cs="Times New Roman"/>
          <w:szCs w:val="28"/>
          <w:highlight w:val="none"/>
        </w:rPr>
        <w:t>（</w:t>
      </w:r>
      <w:r>
        <w:rPr>
          <w:rFonts w:hint="eastAsia" w:cs="Times New Roman"/>
          <w:szCs w:val="18"/>
          <w:highlight w:val="none"/>
        </w:rPr>
        <w:t>供应商</w:t>
      </w:r>
      <w:r>
        <w:rPr>
          <w:rFonts w:hint="eastAsia" w:cs="Times New Roman"/>
          <w:szCs w:val="28"/>
          <w:highlight w:val="none"/>
        </w:rPr>
        <w:t>可自行制作格式）</w:t>
      </w:r>
    </w:p>
    <w:p w14:paraId="66EE537F">
      <w:pPr>
        <w:widowControl/>
        <w:ind w:firstLine="482"/>
        <w:jc w:val="left"/>
        <w:rPr>
          <w:rFonts w:asciiTheme="minorEastAsia" w:hAnsiTheme="minorEastAsia" w:eastAsiaTheme="minorEastAsia"/>
          <w:b/>
          <w:highlight w:val="none"/>
        </w:rPr>
      </w:pPr>
    </w:p>
    <w:p w14:paraId="7C3DD53F">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0B09513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三、磋商响应函</w:t>
      </w:r>
    </w:p>
    <w:p w14:paraId="18BCA12D">
      <w:pPr>
        <w:ind w:left="0" w:leftChars="0" w:firstLine="0" w:firstLineChars="0"/>
        <w:rPr>
          <w:rFonts w:hint="eastAsia" w:cs="宋体" w:asciiTheme="minorEastAsia" w:hAnsiTheme="minorEastAsia" w:eastAsiaTheme="minorEastAsia"/>
          <w:b/>
          <w:kern w:val="2"/>
          <w:szCs w:val="24"/>
          <w:highlight w:val="none"/>
          <w:u w:val="single"/>
          <w:lang w:eastAsia="zh-CN"/>
        </w:rPr>
      </w:pPr>
      <w:r>
        <w:rPr>
          <w:rFonts w:hint="eastAsia" w:cs="宋体" w:asciiTheme="minorEastAsia" w:hAnsiTheme="minorEastAsia" w:eastAsiaTheme="minorEastAsia"/>
          <w:b/>
          <w:kern w:val="2"/>
          <w:szCs w:val="24"/>
          <w:highlight w:val="none"/>
        </w:rPr>
        <w:t>致：</w:t>
      </w:r>
      <w:r>
        <w:rPr>
          <w:rFonts w:hint="eastAsia" w:cs="宋体" w:asciiTheme="minorEastAsia" w:hAnsiTheme="minorEastAsia" w:eastAsiaTheme="minorEastAsia"/>
          <w:b/>
          <w:kern w:val="2"/>
          <w:szCs w:val="24"/>
          <w:highlight w:val="none"/>
          <w:u w:val="single"/>
          <w:lang w:eastAsia="zh-CN"/>
        </w:rPr>
        <w:t xml:space="preserve">肥西县乡村振兴投资集团有限公司 </w:t>
      </w:r>
    </w:p>
    <w:p w14:paraId="530C9AE4">
      <w:pPr>
        <w:ind w:left="0" w:leftChars="0" w:firstLine="482" w:firstLineChars="200"/>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u w:val="single"/>
        </w:rPr>
        <w:t>肥西县公共资源交易有限责任公司</w:t>
      </w:r>
    </w:p>
    <w:p w14:paraId="4CA6247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根据贵方的磋商文件，我方承诺如下：</w:t>
      </w:r>
    </w:p>
    <w:p w14:paraId="0810E1F2">
      <w:pPr>
        <w:ind w:firstLine="480"/>
        <w:rPr>
          <w:rFonts w:cs="宋体" w:asciiTheme="minorEastAsia" w:hAnsiTheme="minorEastAsia" w:eastAsiaTheme="minorEastAsia"/>
          <w:kern w:val="2"/>
          <w:szCs w:val="24"/>
          <w:highlight w:val="none"/>
          <w:u w:val="single"/>
        </w:rPr>
      </w:pPr>
      <w:r>
        <w:rPr>
          <w:rFonts w:hint="eastAsia" w:cs="宋体" w:asciiTheme="minorEastAsia" w:hAnsiTheme="minorEastAsia" w:eastAsiaTheme="minorEastAsia"/>
          <w:kern w:val="2"/>
          <w:szCs w:val="24"/>
          <w:highlight w:val="none"/>
        </w:rPr>
        <w:t>1.经踏勘项目现场和研究上述磋商文件的磋商须知、合同条款、业主单位要求及其他有关文件后，我方接受上述文件要求。我方</w:t>
      </w:r>
      <w:r>
        <w:rPr>
          <w:rFonts w:hint="eastAsia" w:cs="宋体" w:asciiTheme="minorEastAsia" w:hAnsiTheme="minorEastAsia" w:eastAsiaTheme="minorEastAsia"/>
          <w:bCs/>
          <w:kern w:val="2"/>
          <w:szCs w:val="24"/>
          <w:highlight w:val="none"/>
        </w:rPr>
        <w:t>承诺按本磋商文件、合同条款和业主单位要求承担上述项目的全部内容。</w:t>
      </w:r>
    </w:p>
    <w:p w14:paraId="0CF1F498">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2.我方已详细审核全部磋商文件，包括磋商文件的补疑、澄清、变更或补充（如有），参考资料及有关附件，我方正式认可并遵守本次磋商文件，并对磋商文件各项条款（包括磋商时间）、规定及要求均无异议。且我方自愿放弃针对上述各项条款提出异议的权利。</w:t>
      </w:r>
    </w:p>
    <w:p w14:paraId="62773EFF">
      <w:pPr>
        <w:ind w:firstLine="480"/>
        <w:rPr>
          <w:highlight w:val="none"/>
        </w:rPr>
      </w:pPr>
      <w:r>
        <w:rPr>
          <w:rFonts w:hint="eastAsia"/>
          <w:highlight w:val="none"/>
        </w:rPr>
        <w:t>3.如我方成交，我方承诺愿意按磋商文件规定缴纳履约保证金和代理费用。按本次磋商文件规定及</w:t>
      </w:r>
      <w:r>
        <w:rPr>
          <w:rFonts w:cs="宋体"/>
          <w:szCs w:val="24"/>
          <w:highlight w:val="none"/>
        </w:rPr>
        <w:t>最终报价</w:t>
      </w:r>
      <w:r>
        <w:rPr>
          <w:rFonts w:hint="eastAsia"/>
          <w:highlight w:val="none"/>
        </w:rPr>
        <w:t>承诺提供服务。</w:t>
      </w:r>
    </w:p>
    <w:p w14:paraId="3D58C025">
      <w:pPr>
        <w:ind w:firstLine="480"/>
        <w:rPr>
          <w:highlight w:val="none"/>
        </w:rPr>
      </w:pPr>
      <w:r>
        <w:rPr>
          <w:rFonts w:hint="eastAsia"/>
          <w:highlight w:val="none"/>
        </w:rPr>
        <w:t>4.我方根据本次磋商文件的规定，严格履行合同的责任和义务</w:t>
      </w:r>
      <w:r>
        <w:rPr>
          <w:highlight w:val="none"/>
        </w:rPr>
        <w:t>,</w:t>
      </w:r>
      <w:r>
        <w:rPr>
          <w:rFonts w:hint="eastAsia"/>
          <w:highlight w:val="none"/>
        </w:rPr>
        <w:t>并保证于你方要求的日期内完成合同规定的全部义务。</w:t>
      </w:r>
    </w:p>
    <w:p w14:paraId="59E431E2">
      <w:pPr>
        <w:ind w:firstLine="480"/>
        <w:rPr>
          <w:highlight w:val="none"/>
        </w:rPr>
      </w:pPr>
      <w:r>
        <w:rPr>
          <w:rFonts w:hint="eastAsia"/>
          <w:highlight w:val="none"/>
        </w:rPr>
        <w:t>5.我方同意按你方要求在磋商规定时间内向你方提供与其磋商有关的任何证据或补充资料，否则，我方的响应文件可被你方拒绝。</w:t>
      </w:r>
    </w:p>
    <w:p w14:paraId="461DBFC3">
      <w:pPr>
        <w:ind w:firstLine="480"/>
        <w:rPr>
          <w:highlight w:val="none"/>
        </w:rPr>
      </w:pPr>
      <w:r>
        <w:rPr>
          <w:rFonts w:hint="eastAsia"/>
          <w:highlight w:val="none"/>
        </w:rPr>
        <w:t>6.我方完全理解你方不一定接受最低报价的磋商。</w:t>
      </w:r>
    </w:p>
    <w:p w14:paraId="02B6C71D">
      <w:pPr>
        <w:ind w:firstLine="480"/>
        <w:rPr>
          <w:highlight w:val="none"/>
        </w:rPr>
      </w:pPr>
      <w:r>
        <w:rPr>
          <w:rFonts w:hint="eastAsia"/>
          <w:highlight w:val="none"/>
        </w:rPr>
        <w:t>7.我方同意磋商文件规定的付款方式、服务期限。</w:t>
      </w:r>
    </w:p>
    <w:p w14:paraId="5CA8E0C7">
      <w:pPr>
        <w:ind w:firstLine="480"/>
        <w:rPr>
          <w:highlight w:val="none"/>
        </w:rPr>
      </w:pPr>
      <w:r>
        <w:rPr>
          <w:rFonts w:hint="eastAsia"/>
          <w:highlight w:val="none"/>
        </w:rPr>
        <w:t>8.我方对响应文件中所提供资料、文件、证书及证件的真实性和有效性负责。</w:t>
      </w:r>
    </w:p>
    <w:p w14:paraId="100DAB60">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9.我方同意所提交的响应文件在磋商文件规定的磋商有效期内有效，在此期间内如果成交，我方将受此约束。</w:t>
      </w:r>
    </w:p>
    <w:p w14:paraId="4C8C97A3">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10.除非另外达成协议并生效，你方的成交通知书和本响应文件以及磋商文件、磋商文件澄清、修改、补充将成为约束双方的合同文件的组成部分。</w:t>
      </w:r>
    </w:p>
    <w:p w14:paraId="13893AD4">
      <w:pPr>
        <w:ind w:firstLine="480"/>
        <w:rPr>
          <w:rFonts w:cs="宋体" w:asciiTheme="minorEastAsia" w:hAnsiTheme="minorEastAsia" w:eastAsiaTheme="minorEastAsia"/>
          <w:kern w:val="2"/>
          <w:szCs w:val="24"/>
          <w:highlight w:val="none"/>
        </w:rPr>
      </w:pPr>
      <w:r>
        <w:rPr>
          <w:rFonts w:hint="eastAsia" w:cs="宋体" w:asciiTheme="minorEastAsia" w:hAnsiTheme="minorEastAsia" w:eastAsiaTheme="minorEastAsia"/>
          <w:kern w:val="2"/>
          <w:szCs w:val="24"/>
          <w:highlight w:val="none"/>
        </w:rPr>
        <w:t>11.我方不存在磋商公告中“供应商资格要求”的“不良信用记录情形”规定的任何一种情形。</w:t>
      </w:r>
    </w:p>
    <w:p w14:paraId="1044CB65">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12.我方声明下述内容真实有效，如有虚假，将依法承担相应责任：</w:t>
      </w:r>
    </w:p>
    <w:p w14:paraId="393E81B0">
      <w:pPr>
        <w:ind w:firstLine="482"/>
        <w:rPr>
          <w:rFonts w:cs="宋体" w:asciiTheme="minorEastAsia" w:hAnsiTheme="minorEastAsia" w:eastAsiaTheme="minorEastAsia"/>
          <w:b/>
          <w:bCs/>
          <w:kern w:val="2"/>
          <w:szCs w:val="24"/>
          <w:highlight w:val="none"/>
        </w:rPr>
      </w:pPr>
      <w:r>
        <w:rPr>
          <w:rFonts w:hint="eastAsia" w:cs="宋体" w:asciiTheme="minorEastAsia" w:hAnsiTheme="minorEastAsia" w:eastAsiaTheme="minorEastAsia"/>
          <w:b/>
          <w:bCs/>
          <w:kern w:val="2"/>
          <w:szCs w:val="24"/>
          <w:highlight w:val="none"/>
        </w:rPr>
        <w:t>与我单位存在单位负责人为同一人或者存在直接控股、管理关系的其他法人单位信息如下：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2841"/>
        <w:gridCol w:w="2841"/>
      </w:tblGrid>
      <w:tr w14:paraId="1C7DE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B538079">
            <w:pPr>
              <w:widowControl/>
              <w:spacing w:before="156" w:beforeLines="50" w:after="10"/>
              <w:ind w:firstLine="480"/>
              <w:jc w:val="center"/>
              <w:rPr>
                <w:rFonts w:cs="宋体"/>
                <w:color w:val="000000"/>
                <w:szCs w:val="24"/>
                <w:highlight w:val="none"/>
                <w:lang w:bidi="ar"/>
              </w:rPr>
            </w:pPr>
            <w:r>
              <w:rPr>
                <w:rFonts w:hint="eastAsia" w:cs="宋体"/>
                <w:color w:val="000000"/>
                <w:szCs w:val="24"/>
                <w:highlight w:val="none"/>
                <w:lang w:bidi="ar"/>
              </w:rPr>
              <w:t>序号</w:t>
            </w:r>
          </w:p>
        </w:tc>
        <w:tc>
          <w:tcPr>
            <w:tcW w:w="2841" w:type="dxa"/>
          </w:tcPr>
          <w:p w14:paraId="32707EB3">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单位名称</w:t>
            </w:r>
          </w:p>
        </w:tc>
        <w:tc>
          <w:tcPr>
            <w:tcW w:w="2841" w:type="dxa"/>
          </w:tcPr>
          <w:p w14:paraId="26D780A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相互关系</w:t>
            </w:r>
          </w:p>
        </w:tc>
      </w:tr>
      <w:tr w14:paraId="472B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47F6200">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1</w:t>
            </w:r>
          </w:p>
        </w:tc>
        <w:tc>
          <w:tcPr>
            <w:tcW w:w="2841" w:type="dxa"/>
          </w:tcPr>
          <w:p w14:paraId="030E0EB3">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6CA744C8">
            <w:pPr>
              <w:pStyle w:val="4"/>
              <w:spacing w:before="156" w:beforeLines="50" w:after="10"/>
              <w:ind w:left="300" w:firstLine="480"/>
              <w:jc w:val="center"/>
              <w:rPr>
                <w:rFonts w:ascii="宋体" w:hAnsi="宋体" w:eastAsia="宋体" w:cs="宋体"/>
                <w:color w:val="000000"/>
                <w:highlight w:val="none"/>
                <w:lang w:val="en-US" w:bidi="ar"/>
              </w:rPr>
            </w:pPr>
          </w:p>
        </w:tc>
      </w:tr>
      <w:tr w14:paraId="6CFC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15CDD6">
            <w:pPr>
              <w:pStyle w:val="4"/>
              <w:spacing w:before="156" w:beforeLines="50" w:after="10"/>
              <w:ind w:left="300" w:firstLine="480"/>
              <w:jc w:val="center"/>
              <w:rPr>
                <w:rFonts w:ascii="宋体" w:hAnsi="宋体" w:eastAsia="宋体" w:cs="宋体"/>
                <w:color w:val="000000"/>
                <w:highlight w:val="none"/>
                <w:lang w:val="en-US" w:bidi="ar"/>
              </w:rPr>
            </w:pPr>
            <w:r>
              <w:rPr>
                <w:rFonts w:hint="eastAsia" w:ascii="宋体" w:hAnsi="宋体" w:eastAsia="宋体" w:cs="宋体"/>
                <w:color w:val="000000"/>
                <w:highlight w:val="none"/>
                <w:lang w:val="en-US" w:bidi="ar"/>
              </w:rPr>
              <w:t>2</w:t>
            </w:r>
          </w:p>
        </w:tc>
        <w:tc>
          <w:tcPr>
            <w:tcW w:w="2841" w:type="dxa"/>
          </w:tcPr>
          <w:p w14:paraId="0C12425A">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2B7D5BF4">
            <w:pPr>
              <w:pStyle w:val="4"/>
              <w:spacing w:before="156" w:beforeLines="50" w:after="10"/>
              <w:ind w:left="300" w:firstLine="480"/>
              <w:jc w:val="center"/>
              <w:rPr>
                <w:rFonts w:ascii="宋体" w:hAnsi="宋体" w:eastAsia="宋体" w:cs="宋体"/>
                <w:color w:val="000000"/>
                <w:highlight w:val="none"/>
                <w:lang w:val="en-US" w:bidi="ar"/>
              </w:rPr>
            </w:pPr>
          </w:p>
        </w:tc>
      </w:tr>
      <w:tr w14:paraId="107C8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333A176E">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5B6A0C27">
            <w:pPr>
              <w:pStyle w:val="4"/>
              <w:spacing w:before="156" w:beforeLines="50" w:after="10"/>
              <w:ind w:left="300" w:firstLine="480"/>
              <w:jc w:val="center"/>
              <w:rPr>
                <w:rFonts w:ascii="宋体" w:hAnsi="宋体" w:eastAsia="宋体" w:cs="宋体"/>
                <w:color w:val="000000"/>
                <w:highlight w:val="none"/>
                <w:lang w:val="en-US" w:bidi="ar"/>
              </w:rPr>
            </w:pPr>
          </w:p>
        </w:tc>
        <w:tc>
          <w:tcPr>
            <w:tcW w:w="2841" w:type="dxa"/>
          </w:tcPr>
          <w:p w14:paraId="3B67C44E">
            <w:pPr>
              <w:pStyle w:val="4"/>
              <w:spacing w:before="156" w:beforeLines="50" w:after="10"/>
              <w:ind w:left="300" w:firstLine="480"/>
              <w:jc w:val="center"/>
              <w:rPr>
                <w:rFonts w:ascii="宋体" w:hAnsi="宋体" w:eastAsia="宋体" w:cs="宋体"/>
                <w:color w:val="000000"/>
                <w:highlight w:val="none"/>
                <w:lang w:val="en-US" w:bidi="ar"/>
              </w:rPr>
            </w:pPr>
          </w:p>
        </w:tc>
      </w:tr>
    </w:tbl>
    <w:p w14:paraId="755B0944">
      <w:pPr>
        <w:ind w:firstLine="480"/>
        <w:rPr>
          <w:rFonts w:cs="宋体" w:asciiTheme="minorEastAsia" w:hAnsiTheme="minorEastAsia" w:eastAsiaTheme="minorEastAsia"/>
          <w:kern w:val="2"/>
          <w:szCs w:val="24"/>
          <w:highlight w:val="none"/>
        </w:rPr>
      </w:pPr>
    </w:p>
    <w:p w14:paraId="78B49361">
      <w:pPr>
        <w:ind w:firstLine="480"/>
        <w:rPr>
          <w:highlight w:val="none"/>
        </w:rPr>
      </w:pPr>
      <w:r>
        <w:rPr>
          <w:rFonts w:cs="宋体" w:asciiTheme="minorEastAsia" w:hAnsiTheme="minorEastAsia" w:eastAsiaTheme="minorEastAsia"/>
          <w:kern w:val="2"/>
          <w:szCs w:val="24"/>
          <w:highlight w:val="none"/>
        </w:rPr>
        <w:t>1</w:t>
      </w:r>
      <w:r>
        <w:rPr>
          <w:rFonts w:hint="eastAsia" w:cs="宋体" w:asciiTheme="minorEastAsia" w:hAnsiTheme="minorEastAsia" w:eastAsiaTheme="minorEastAsia"/>
          <w:kern w:val="2"/>
          <w:szCs w:val="24"/>
          <w:highlight w:val="none"/>
        </w:rPr>
        <w:t>3.其他补充说明：</w:t>
      </w:r>
      <w:r>
        <w:rPr>
          <w:rFonts w:hint="eastAsia" w:cs="宋体" w:asciiTheme="minorEastAsia" w:hAnsiTheme="minorEastAsia" w:eastAsiaTheme="minorEastAsia"/>
          <w:kern w:val="2"/>
          <w:szCs w:val="24"/>
          <w:highlight w:val="none"/>
          <w:u w:val="single"/>
        </w:rPr>
        <w:t xml:space="preserve">             补充说明事项（如有）       </w:t>
      </w:r>
    </w:p>
    <w:p w14:paraId="6FCE4092">
      <w:pPr>
        <w:pStyle w:val="12"/>
        <w:ind w:firstLine="240"/>
        <w:rPr>
          <w:highlight w:val="none"/>
        </w:rPr>
      </w:pPr>
    </w:p>
    <w:p w14:paraId="68C44FBC">
      <w:pPr>
        <w:ind w:firstLine="4800" w:firstLineChars="2000"/>
        <w:rPr>
          <w:rFonts w:cs="@仿宋_GB2312"/>
          <w:kern w:val="2"/>
          <w:highlight w:val="none"/>
        </w:rPr>
      </w:pPr>
      <w:r>
        <w:rPr>
          <w:rFonts w:hint="eastAsia" w:cs="@仿宋_GB2312"/>
          <w:kern w:val="2"/>
          <w:szCs w:val="24"/>
          <w:highlight w:val="none"/>
        </w:rPr>
        <w:t>供应商电子签章或公章</w:t>
      </w:r>
      <w:r>
        <w:rPr>
          <w:rFonts w:hint="eastAsia" w:cs="@仿宋_GB2312"/>
          <w:kern w:val="2"/>
          <w:highlight w:val="none"/>
        </w:rPr>
        <w:t>：</w:t>
      </w:r>
      <w:r>
        <w:rPr>
          <w:rFonts w:hint="eastAsia" w:cs="@仿宋_GB2312"/>
          <w:kern w:val="2"/>
          <w:highlight w:val="none"/>
          <w:u w:val="single"/>
        </w:rPr>
        <w:t xml:space="preserve">             </w:t>
      </w:r>
    </w:p>
    <w:p w14:paraId="47775770">
      <w:pPr>
        <w:ind w:firstLine="4800" w:firstLineChars="2000"/>
        <w:rPr>
          <w:rFonts w:cs="@仿宋_GB2312"/>
          <w:kern w:val="2"/>
          <w:highlight w:val="none"/>
          <w:u w:val="single"/>
        </w:rPr>
      </w:pPr>
      <w:r>
        <w:rPr>
          <w:rFonts w:hint="eastAsia" w:cs="@仿宋_GB2312"/>
          <w:kern w:val="2"/>
          <w:highlight w:val="none"/>
        </w:rPr>
        <w:t>日          期：</w:t>
      </w:r>
      <w:r>
        <w:rPr>
          <w:rFonts w:hint="eastAsia" w:cs="@仿宋_GB2312"/>
          <w:kern w:val="2"/>
          <w:highlight w:val="none"/>
          <w:u w:val="single"/>
        </w:rPr>
        <w:t xml:space="preserve">             </w:t>
      </w:r>
    </w:p>
    <w:p w14:paraId="276F3309">
      <w:pPr>
        <w:widowControl/>
        <w:ind w:firstLine="480"/>
        <w:jc w:val="left"/>
        <w:rPr>
          <w:highlight w:val="none"/>
        </w:rPr>
      </w:pPr>
      <w:r>
        <w:rPr>
          <w:highlight w:val="none"/>
        </w:rPr>
        <w:br w:type="page"/>
      </w:r>
    </w:p>
    <w:p w14:paraId="46E1BE23">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rPr>
        <w:t>四、无不良信用记录声明函</w:t>
      </w:r>
    </w:p>
    <w:p w14:paraId="0DF0CFE7">
      <w:pPr>
        <w:ind w:firstLine="480"/>
        <w:jc w:val="center"/>
        <w:rPr>
          <w:szCs w:val="24"/>
          <w:highlight w:val="none"/>
        </w:rPr>
      </w:pPr>
      <w:r>
        <w:rPr>
          <w:rFonts w:hint="eastAsia"/>
          <w:szCs w:val="24"/>
          <w:highlight w:val="none"/>
        </w:rPr>
        <w:t>（联合体参加磋商的，联合体双方均须提供）</w:t>
      </w:r>
    </w:p>
    <w:p w14:paraId="3017CA09">
      <w:pPr>
        <w:ind w:firstLine="480"/>
        <w:rPr>
          <w:szCs w:val="24"/>
          <w:highlight w:val="none"/>
        </w:rPr>
      </w:pPr>
      <w:r>
        <w:rPr>
          <w:rFonts w:hint="eastAsia"/>
          <w:szCs w:val="24"/>
          <w:highlight w:val="none"/>
        </w:rPr>
        <w:t>1、本单位郑重声明，我单位无以下不良信用记录情形：</w:t>
      </w:r>
    </w:p>
    <w:p w14:paraId="1FB9EC6B">
      <w:pPr>
        <w:ind w:firstLine="480"/>
        <w:rPr>
          <w:szCs w:val="24"/>
          <w:highlight w:val="none"/>
        </w:rPr>
      </w:pPr>
      <w:r>
        <w:rPr>
          <w:rFonts w:hint="eastAsia"/>
          <w:szCs w:val="24"/>
          <w:highlight w:val="none"/>
        </w:rPr>
        <w:t>（1）在最近三年内（自磋商截止之日向前追溯3年，下同）有骗取成交或严重违约或重大工程质量事故或重大生产安全事故的（以相关行业主管部门的行政处罚决定或司法机关出具的有关法律文书为准），但前述行政处罚已完成信用修复的，自行政处罚作出机关或信用修复主管部门同意修复之日起满一年的，不受三年期限限制；</w:t>
      </w:r>
    </w:p>
    <w:p w14:paraId="3BB05767">
      <w:pPr>
        <w:ind w:firstLine="480"/>
        <w:rPr>
          <w:szCs w:val="24"/>
          <w:highlight w:val="none"/>
        </w:rPr>
      </w:pPr>
      <w:r>
        <w:rPr>
          <w:rFonts w:hint="eastAsia"/>
          <w:szCs w:val="24"/>
          <w:highlight w:val="none"/>
        </w:rPr>
        <w:t>（2）被责令停业，暂扣或吊销执照，或吊销资质证书；</w:t>
      </w:r>
    </w:p>
    <w:p w14:paraId="745A21DF">
      <w:pPr>
        <w:ind w:firstLine="480"/>
        <w:rPr>
          <w:szCs w:val="24"/>
          <w:highlight w:val="none"/>
        </w:rPr>
      </w:pPr>
      <w:r>
        <w:rPr>
          <w:rFonts w:hint="eastAsia"/>
          <w:szCs w:val="24"/>
          <w:highlight w:val="none"/>
        </w:rPr>
        <w:t>（3）进入清算程序，或被宣告破产，或其他丧失履约能力的情形；</w:t>
      </w:r>
    </w:p>
    <w:p w14:paraId="43F3601C">
      <w:pPr>
        <w:ind w:firstLine="480"/>
        <w:rPr>
          <w:szCs w:val="24"/>
          <w:highlight w:val="none"/>
        </w:rPr>
      </w:pPr>
      <w:r>
        <w:rPr>
          <w:rFonts w:hint="eastAsia"/>
          <w:szCs w:val="24"/>
          <w:highlight w:val="none"/>
        </w:rPr>
        <w:t>（4）在国家企业信用信息公示系统（http://www.gsxt.gov.cn/）中被列入严重违法失信企业名单；</w:t>
      </w:r>
    </w:p>
    <w:p w14:paraId="33FAD3B2">
      <w:pPr>
        <w:ind w:firstLine="480"/>
        <w:rPr>
          <w:szCs w:val="24"/>
          <w:highlight w:val="none"/>
        </w:rPr>
      </w:pPr>
      <w:r>
        <w:rPr>
          <w:rFonts w:hint="eastAsia"/>
          <w:szCs w:val="24"/>
          <w:highlight w:val="none"/>
        </w:rPr>
        <w:t>（5）在“信用中国”网站（http://www.creditchina.gov.cn/）中被列入失信被执行人名单；</w:t>
      </w:r>
    </w:p>
    <w:p w14:paraId="06DA2CE5">
      <w:pPr>
        <w:ind w:firstLine="480"/>
        <w:rPr>
          <w:szCs w:val="24"/>
          <w:highlight w:val="none"/>
        </w:rPr>
      </w:pPr>
      <w:r>
        <w:rPr>
          <w:rFonts w:hint="eastAsia"/>
          <w:szCs w:val="24"/>
          <w:highlight w:val="none"/>
        </w:rPr>
        <w:t>（6）在“信用中国”网站（http://www.creditchina.gov.cn/）中被列入重大税收违法案件当事人名单；</w:t>
      </w:r>
    </w:p>
    <w:p w14:paraId="0B581A38">
      <w:pPr>
        <w:ind w:firstLine="480"/>
        <w:rPr>
          <w:szCs w:val="24"/>
          <w:highlight w:val="none"/>
        </w:rPr>
      </w:pPr>
      <w:r>
        <w:rPr>
          <w:rFonts w:hint="eastAsia"/>
          <w:szCs w:val="24"/>
          <w:highlight w:val="none"/>
        </w:rPr>
        <w:t>（7）供应商被设区的市级及以上建设行政主管部门/房屋建筑和市政基础设施工程招标投标活动的监督部门因安全生产责任事故限制本次磋商项目工程所在地或公共资源交易平台所在地承接新的工程项目且在限制期内。</w:t>
      </w:r>
    </w:p>
    <w:p w14:paraId="0D09CC4B">
      <w:pPr>
        <w:ind w:firstLine="480"/>
        <w:rPr>
          <w:szCs w:val="24"/>
          <w:highlight w:val="none"/>
        </w:rPr>
      </w:pPr>
      <w:r>
        <w:rPr>
          <w:rFonts w:hint="eastAsia"/>
          <w:szCs w:val="24"/>
          <w:highlight w:val="none"/>
        </w:rPr>
        <w:t>本单位对上述声明的真实性负责。如有虚假，将依法承担相应责任。</w:t>
      </w:r>
    </w:p>
    <w:p w14:paraId="42C7DE76">
      <w:pPr>
        <w:ind w:firstLine="480"/>
        <w:rPr>
          <w:szCs w:val="24"/>
          <w:highlight w:val="none"/>
        </w:rPr>
      </w:pPr>
    </w:p>
    <w:p w14:paraId="663EFD6C">
      <w:pPr>
        <w:ind w:firstLine="560"/>
        <w:jc w:val="right"/>
        <w:rPr>
          <w:sz w:val="28"/>
          <w:szCs w:val="28"/>
          <w:highlight w:val="none"/>
        </w:rPr>
      </w:pPr>
    </w:p>
    <w:p w14:paraId="0F9890CC">
      <w:pPr>
        <w:ind w:left="5280" w:leftChars="2200" w:firstLine="480"/>
        <w:jc w:val="left"/>
        <w:rPr>
          <w:szCs w:val="24"/>
          <w:highlight w:val="none"/>
        </w:rPr>
      </w:pPr>
      <w:r>
        <w:rPr>
          <w:rFonts w:hint="eastAsia"/>
          <w:szCs w:val="24"/>
          <w:highlight w:val="none"/>
        </w:rPr>
        <w:t>供应商电子签章：</w:t>
      </w:r>
      <w:r>
        <w:rPr>
          <w:rFonts w:hint="eastAsia"/>
          <w:szCs w:val="24"/>
          <w:highlight w:val="none"/>
          <w:u w:val="single"/>
          <w:lang w:val="en-US" w:eastAsia="zh-CN"/>
        </w:rPr>
        <w:t xml:space="preserve">        </w:t>
      </w:r>
      <w:r>
        <w:rPr>
          <w:rFonts w:hint="eastAsia"/>
          <w:szCs w:val="24"/>
          <w:highlight w:val="none"/>
        </w:rPr>
        <w:t xml:space="preserve">                     </w:t>
      </w:r>
    </w:p>
    <w:p w14:paraId="1B556866">
      <w:pPr>
        <w:ind w:left="5280" w:leftChars="2200" w:firstLine="480"/>
        <w:jc w:val="left"/>
        <w:rPr>
          <w:rFonts w:asciiTheme="minorEastAsia" w:hAnsiTheme="minorEastAsia" w:eastAsiaTheme="minorEastAsia"/>
          <w:b/>
          <w:highlight w:val="none"/>
        </w:rPr>
      </w:pPr>
      <w:r>
        <w:rPr>
          <w:rFonts w:hint="eastAsia"/>
          <w:szCs w:val="24"/>
          <w:highlight w:val="none"/>
        </w:rPr>
        <w:t>日期：</w:t>
      </w:r>
      <w:r>
        <w:rPr>
          <w:rFonts w:hint="eastAsia"/>
          <w:szCs w:val="24"/>
          <w:highlight w:val="none"/>
          <w:u w:val="single"/>
          <w:lang w:val="en-US" w:eastAsia="zh-CN"/>
        </w:rPr>
        <w:t xml:space="preserve">                </w:t>
      </w:r>
      <w:r>
        <w:rPr>
          <w:rFonts w:hint="eastAsia" w:asciiTheme="minorEastAsia" w:hAnsiTheme="minorEastAsia" w:eastAsiaTheme="minorEastAsia"/>
          <w:b/>
          <w:szCs w:val="24"/>
          <w:highlight w:val="none"/>
        </w:rPr>
        <w:t xml:space="preserve">                 </w:t>
      </w:r>
      <w:r>
        <w:rPr>
          <w:rFonts w:hint="eastAsia" w:asciiTheme="minorEastAsia" w:hAnsiTheme="minorEastAsia" w:eastAsiaTheme="minorEastAsia"/>
          <w:b/>
          <w:highlight w:val="none"/>
        </w:rPr>
        <w:t xml:space="preserve">    </w:t>
      </w:r>
    </w:p>
    <w:p w14:paraId="57FE9F14">
      <w:pPr>
        <w:widowControl/>
        <w:ind w:firstLine="482"/>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bookmarkEnd w:id="19"/>
    <w:p w14:paraId="55E0C82C">
      <w:pPr>
        <w:ind w:firstLine="482"/>
        <w:jc w:val="center"/>
        <w:outlineLvl w:val="2"/>
        <w:rPr>
          <w:rFonts w:asciiTheme="minorEastAsia" w:hAnsiTheme="minorEastAsia" w:eastAsiaTheme="minorEastAsia"/>
          <w:b/>
          <w:highlight w:val="none"/>
        </w:rPr>
      </w:pPr>
      <w:bookmarkStart w:id="20" w:name="_Toc520983594"/>
      <w:bookmarkStart w:id="21" w:name="_Toc121626298"/>
      <w:bookmarkStart w:id="22" w:name="_Toc204594911"/>
      <w:bookmarkStart w:id="23" w:name="_Toc516969106"/>
      <w:r>
        <w:rPr>
          <w:rFonts w:hint="eastAsia" w:asciiTheme="minorEastAsia" w:hAnsiTheme="minorEastAsia" w:eastAsiaTheme="minorEastAsia"/>
          <w:b/>
          <w:highlight w:val="none"/>
        </w:rPr>
        <w:t>五、授权书</w:t>
      </w:r>
      <w:bookmarkEnd w:id="20"/>
      <w:bookmarkEnd w:id="21"/>
      <w:bookmarkEnd w:id="22"/>
      <w:bookmarkEnd w:id="23"/>
    </w:p>
    <w:p w14:paraId="272A6787">
      <w:pPr>
        <w:ind w:firstLine="482"/>
        <w:jc w:val="center"/>
        <w:rPr>
          <w:rFonts w:asciiTheme="minorEastAsia" w:hAnsiTheme="minorEastAsia" w:eastAsiaTheme="minorEastAsia"/>
          <w:b/>
          <w:highlight w:val="none"/>
        </w:rPr>
      </w:pPr>
    </w:p>
    <w:p w14:paraId="3C41EBA8">
      <w:pPr>
        <w:pStyle w:val="7"/>
        <w:snapToGrid w:val="0"/>
        <w:ind w:firstLine="480"/>
        <w:jc w:val="left"/>
        <w:rPr>
          <w:rFonts w:hAnsi="宋体" w:eastAsia="宋体"/>
          <w:szCs w:val="28"/>
          <w:highlight w:val="none"/>
        </w:rPr>
      </w:pPr>
      <w:r>
        <w:rPr>
          <w:rFonts w:hint="eastAsia" w:hAnsi="宋体" w:eastAsia="宋体"/>
          <w:szCs w:val="28"/>
          <w:highlight w:val="none"/>
        </w:rPr>
        <w:t>本授权书声明：</w:t>
      </w:r>
      <w:r>
        <w:rPr>
          <w:rFonts w:hint="eastAsia" w:hAnsi="宋体" w:eastAsia="宋体"/>
          <w:szCs w:val="28"/>
          <w:highlight w:val="none"/>
          <w:u w:val="single"/>
        </w:rPr>
        <w:t xml:space="preserve">           </w:t>
      </w:r>
      <w:r>
        <w:rPr>
          <w:rFonts w:hint="eastAsia" w:hAnsi="宋体" w:eastAsia="宋体"/>
          <w:szCs w:val="28"/>
          <w:highlight w:val="none"/>
        </w:rPr>
        <w:t>（供应商名称）授权</w:t>
      </w:r>
      <w:r>
        <w:rPr>
          <w:rFonts w:hint="eastAsia" w:hAnsi="宋体" w:eastAsia="宋体"/>
          <w:szCs w:val="28"/>
          <w:highlight w:val="none"/>
          <w:u w:val="single"/>
        </w:rPr>
        <w:t xml:space="preserve">       </w:t>
      </w:r>
      <w:r>
        <w:rPr>
          <w:rFonts w:hint="eastAsia" w:hAnsi="宋体" w:eastAsia="宋体"/>
          <w:szCs w:val="28"/>
          <w:highlight w:val="none"/>
        </w:rPr>
        <w:t>（供应商授权代表姓名）代表我方参加本项目</w:t>
      </w:r>
      <w:r>
        <w:rPr>
          <w:rFonts w:hint="eastAsia" w:hAnsi="宋体" w:eastAsia="宋体"/>
          <w:bCs/>
          <w:szCs w:val="28"/>
          <w:highlight w:val="none"/>
        </w:rPr>
        <w:t>磋商活动</w:t>
      </w:r>
      <w:r>
        <w:rPr>
          <w:rFonts w:hint="eastAsia" w:hAnsi="宋体" w:eastAsia="宋体"/>
          <w:szCs w:val="28"/>
          <w:highlight w:val="none"/>
        </w:rPr>
        <w:t>，全权代表我方处理磋商过程的一切事宜，包括但不限于：提交响应文件、参与磋商、签约等。供应商授权代表在磋商活动过程中所签署的一切文件和处理与之有关的一切事务，本公司均予以认可并对此承担责任。供应商授权代表无转委托权。特此授权。</w:t>
      </w:r>
    </w:p>
    <w:p w14:paraId="16B303A4">
      <w:pPr>
        <w:pStyle w:val="7"/>
        <w:snapToGrid w:val="0"/>
        <w:ind w:firstLine="480"/>
        <w:jc w:val="left"/>
        <w:rPr>
          <w:rFonts w:hAnsi="宋体" w:eastAsia="宋体"/>
          <w:szCs w:val="28"/>
          <w:highlight w:val="none"/>
        </w:rPr>
      </w:pPr>
      <w:r>
        <w:rPr>
          <w:rFonts w:hint="eastAsia" w:hAnsi="宋体" w:eastAsia="宋体"/>
          <w:szCs w:val="28"/>
          <w:highlight w:val="none"/>
        </w:rPr>
        <w:t>本授权书自出具之日起生效。</w:t>
      </w:r>
    </w:p>
    <w:p w14:paraId="7612D91C">
      <w:pPr>
        <w:pStyle w:val="7"/>
        <w:snapToGrid w:val="0"/>
        <w:ind w:firstLine="480"/>
        <w:jc w:val="left"/>
        <w:rPr>
          <w:rFonts w:hAnsi="宋体" w:eastAsia="宋体"/>
          <w:highlight w:val="none"/>
        </w:rPr>
      </w:pPr>
    </w:p>
    <w:p w14:paraId="4874C6E1">
      <w:pPr>
        <w:pStyle w:val="7"/>
        <w:snapToGrid w:val="0"/>
        <w:ind w:firstLine="480"/>
        <w:jc w:val="left"/>
        <w:rPr>
          <w:rFonts w:hAnsi="宋体" w:eastAsia="宋体"/>
          <w:highlight w:val="none"/>
        </w:rPr>
      </w:pPr>
    </w:p>
    <w:p w14:paraId="5CA79EB9">
      <w:pPr>
        <w:pStyle w:val="7"/>
        <w:snapToGrid w:val="0"/>
        <w:ind w:firstLine="480"/>
        <w:jc w:val="left"/>
        <w:rPr>
          <w:rFonts w:hAnsi="宋体" w:eastAsia="宋体"/>
          <w:highlight w:val="none"/>
        </w:rPr>
      </w:pPr>
    </w:p>
    <w:p w14:paraId="540AE922">
      <w:pPr>
        <w:pStyle w:val="7"/>
        <w:snapToGrid w:val="0"/>
        <w:ind w:firstLine="480"/>
        <w:jc w:val="left"/>
        <w:rPr>
          <w:rFonts w:hAnsi="宋体" w:eastAsia="宋体"/>
          <w:szCs w:val="28"/>
          <w:highlight w:val="none"/>
          <w:u w:val="single"/>
        </w:rPr>
      </w:pPr>
      <w:r>
        <w:rPr>
          <w:rFonts w:hint="eastAsia" w:hAnsi="宋体" w:eastAsia="宋体"/>
          <w:szCs w:val="28"/>
          <w:highlight w:val="none"/>
        </w:rPr>
        <w:t>授权代表联系方式：</w:t>
      </w:r>
      <w:r>
        <w:rPr>
          <w:rFonts w:hint="eastAsia" w:hAnsi="宋体" w:eastAsia="宋体"/>
          <w:szCs w:val="28"/>
          <w:highlight w:val="none"/>
          <w:u w:val="single"/>
        </w:rPr>
        <w:t xml:space="preserve">          （请填写手机号码）</w:t>
      </w:r>
    </w:p>
    <w:p w14:paraId="3B340885">
      <w:pPr>
        <w:pStyle w:val="7"/>
        <w:snapToGrid w:val="0"/>
        <w:ind w:firstLine="480"/>
        <w:jc w:val="left"/>
        <w:rPr>
          <w:rFonts w:hAnsi="宋体" w:eastAsia="宋体"/>
          <w:szCs w:val="28"/>
          <w:highlight w:val="none"/>
        </w:rPr>
      </w:pPr>
    </w:p>
    <w:p w14:paraId="4087948B">
      <w:pPr>
        <w:ind w:firstLine="360" w:firstLineChars="150"/>
        <w:rPr>
          <w:szCs w:val="28"/>
          <w:highlight w:val="none"/>
        </w:rPr>
      </w:pPr>
      <w:r>
        <w:rPr>
          <w:rFonts w:hint="eastAsia"/>
          <w:szCs w:val="28"/>
          <w:highlight w:val="none"/>
        </w:rPr>
        <w:t>特此声明。</w:t>
      </w:r>
    </w:p>
    <w:p w14:paraId="442CD1DD">
      <w:pPr>
        <w:ind w:firstLine="480"/>
        <w:rPr>
          <w:szCs w:val="28"/>
          <w:highlight w:val="none"/>
        </w:rPr>
      </w:pPr>
    </w:p>
    <w:p w14:paraId="53E6A931">
      <w:pPr>
        <w:ind w:firstLine="480"/>
        <w:rPr>
          <w:bCs/>
          <w:szCs w:val="28"/>
          <w:highlight w:val="none"/>
        </w:rPr>
      </w:pPr>
      <w:r>
        <w:rPr>
          <w:rFonts w:hint="eastAsia" w:cs="@仿宋_GB2312"/>
          <w:kern w:val="2"/>
          <w:szCs w:val="24"/>
          <w:highlight w:val="none"/>
        </w:rPr>
        <w:t>供应商电子签章或公章</w:t>
      </w:r>
      <w:r>
        <w:rPr>
          <w:rFonts w:hint="eastAsia"/>
          <w:bCs/>
          <w:szCs w:val="28"/>
          <w:highlight w:val="none"/>
        </w:rPr>
        <w:t>：</w:t>
      </w:r>
      <w:r>
        <w:rPr>
          <w:rFonts w:hint="eastAsia"/>
          <w:bCs/>
          <w:szCs w:val="28"/>
          <w:highlight w:val="none"/>
          <w:u w:val="single"/>
        </w:rPr>
        <w:t xml:space="preserve">                    </w:t>
      </w:r>
    </w:p>
    <w:p w14:paraId="3D0792F2">
      <w:pPr>
        <w:ind w:firstLine="480"/>
        <w:rPr>
          <w:szCs w:val="28"/>
          <w:highlight w:val="none"/>
        </w:rPr>
      </w:pPr>
      <w:r>
        <w:rPr>
          <w:rFonts w:hint="eastAsia"/>
          <w:szCs w:val="28"/>
          <w:highlight w:val="none"/>
        </w:rPr>
        <w:t>日      期：</w:t>
      </w:r>
      <w:r>
        <w:rPr>
          <w:rFonts w:hint="eastAsia"/>
          <w:szCs w:val="28"/>
          <w:highlight w:val="none"/>
          <w:u w:val="single"/>
        </w:rPr>
        <w:t xml:space="preserve">                    </w:t>
      </w:r>
    </w:p>
    <w:p w14:paraId="0ADB79C9">
      <w:pPr>
        <w:ind w:firstLine="480"/>
        <w:rPr>
          <w:szCs w:val="28"/>
          <w:highlight w:val="none"/>
        </w:rPr>
      </w:pPr>
    </w:p>
    <w:p w14:paraId="03814665">
      <w:pPr>
        <w:ind w:firstLine="480"/>
        <w:rPr>
          <w:szCs w:val="28"/>
          <w:highlight w:val="none"/>
        </w:rPr>
      </w:pPr>
    </w:p>
    <w:p w14:paraId="75AE7632">
      <w:pPr>
        <w:pStyle w:val="7"/>
        <w:snapToGrid w:val="0"/>
        <w:ind w:firstLine="480"/>
        <w:jc w:val="left"/>
        <w:rPr>
          <w:rFonts w:hAnsi="宋体" w:eastAsia="宋体"/>
          <w:szCs w:val="28"/>
          <w:highlight w:val="none"/>
        </w:rPr>
      </w:pPr>
      <w:r>
        <w:rPr>
          <w:rFonts w:hint="eastAsia" w:hAnsi="宋体" w:eastAsia="宋体"/>
          <w:szCs w:val="28"/>
          <w:highlight w:val="none"/>
        </w:rPr>
        <w:t>注：</w:t>
      </w:r>
    </w:p>
    <w:p w14:paraId="006DCD2D">
      <w:pPr>
        <w:pStyle w:val="7"/>
        <w:snapToGrid w:val="0"/>
        <w:ind w:firstLine="480"/>
        <w:jc w:val="left"/>
        <w:rPr>
          <w:rFonts w:hAnsi="宋体" w:eastAsia="宋体"/>
          <w:szCs w:val="28"/>
          <w:highlight w:val="none"/>
        </w:rPr>
      </w:pPr>
      <w:r>
        <w:rPr>
          <w:rFonts w:hint="eastAsia" w:hAnsi="宋体" w:eastAsia="宋体"/>
          <w:szCs w:val="28"/>
          <w:highlight w:val="none"/>
        </w:rPr>
        <w:t>1.本项目只允许有唯一的供应商授权代表；</w:t>
      </w:r>
    </w:p>
    <w:p w14:paraId="2DDEEF5A">
      <w:pPr>
        <w:ind w:firstLine="480"/>
        <w:jc w:val="left"/>
        <w:rPr>
          <w:highlight w:val="none"/>
        </w:rPr>
      </w:pPr>
      <w:r>
        <w:rPr>
          <w:rFonts w:hint="eastAsia"/>
          <w:highlight w:val="none"/>
        </w:rPr>
        <w:t>2.法定代表人参加磋商的无需提供授权书，仅提供法定代表人身份证明书。</w:t>
      </w:r>
    </w:p>
    <w:p w14:paraId="6CA727C9">
      <w:pPr>
        <w:widowControl/>
        <w:ind w:firstLine="480"/>
        <w:jc w:val="left"/>
        <w:rPr>
          <w:highlight w:val="none"/>
        </w:rPr>
      </w:pPr>
      <w:r>
        <w:rPr>
          <w:highlight w:val="none"/>
        </w:rPr>
        <w:br w:type="page"/>
      </w:r>
    </w:p>
    <w:p w14:paraId="11846561">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六、法定代表人身份证明书</w:t>
      </w:r>
    </w:p>
    <w:p w14:paraId="1F5C027E">
      <w:pPr>
        <w:autoSpaceDE w:val="0"/>
        <w:autoSpaceDN w:val="0"/>
        <w:adjustRightInd w:val="0"/>
        <w:ind w:firstLine="413"/>
        <w:jc w:val="center"/>
        <w:rPr>
          <w:rFonts w:ascii="@仿宋_GB2312" w:eastAsia="@仿宋_GB2312" w:cs="宋体"/>
          <w:b/>
          <w:kern w:val="2"/>
          <w:sz w:val="21"/>
          <w:szCs w:val="24"/>
          <w:highlight w:val="none"/>
          <w:lang w:val="zh-CN"/>
        </w:rPr>
      </w:pPr>
    </w:p>
    <w:p w14:paraId="0B192A9D">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单位名称：</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694AB2F8">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单位性质：</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82B366">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地    址：</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4397C1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成立时间：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年</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月</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日</w:t>
      </w:r>
    </w:p>
    <w:p w14:paraId="242FC977">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经营期限：</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r>
        <w:rPr>
          <w:rFonts w:ascii="Calibri" w:hAnsi="Calibri" w:cs="Times New Roman"/>
          <w:kern w:val="2"/>
          <w:szCs w:val="28"/>
          <w:highlight w:val="none"/>
          <w:u w:val="single"/>
        </w:rPr>
        <w:t xml:space="preserve"> </w:t>
      </w:r>
      <w:r>
        <w:rPr>
          <w:rFonts w:hint="eastAsia" w:ascii="Calibri" w:hAnsi="Calibri" w:cs="Times New Roman"/>
          <w:kern w:val="2"/>
          <w:szCs w:val="28"/>
          <w:highlight w:val="none"/>
          <w:u w:val="single"/>
        </w:rPr>
        <w:t xml:space="preserve">     </w:t>
      </w:r>
    </w:p>
    <w:p w14:paraId="23F8BAA5">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姓    名：</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性 </w:t>
      </w:r>
      <w:r>
        <w:rPr>
          <w:rFonts w:ascii="Calibri" w:hAnsi="Calibri" w:cs="Times New Roman"/>
          <w:kern w:val="2"/>
          <w:szCs w:val="28"/>
          <w:highlight w:val="none"/>
        </w:rPr>
        <w:t xml:space="preserve">  </w:t>
      </w:r>
      <w:r>
        <w:rPr>
          <w:rFonts w:hint="eastAsia" w:ascii="Calibri" w:hAnsi="Calibri" w:cs="Times New Roman"/>
          <w:kern w:val="2"/>
          <w:szCs w:val="28"/>
          <w:highlight w:val="none"/>
        </w:rPr>
        <w:t xml:space="preserve"> 别：</w:t>
      </w:r>
      <w:r>
        <w:rPr>
          <w:rFonts w:hint="eastAsia" w:ascii="Calibri" w:hAnsi="Calibri" w:cs="Times New Roman"/>
          <w:kern w:val="2"/>
          <w:szCs w:val="28"/>
          <w:highlight w:val="none"/>
          <w:u w:val="single"/>
        </w:rPr>
        <w:t xml:space="preserve">             </w:t>
      </w:r>
    </w:p>
    <w:p w14:paraId="65F74D5E">
      <w:pPr>
        <w:snapToGrid w:val="0"/>
        <w:ind w:firstLine="480"/>
        <w:jc w:val="left"/>
        <w:rPr>
          <w:rFonts w:ascii="Calibri" w:hAnsi="Calibri" w:cs="Times New Roman"/>
          <w:kern w:val="2"/>
          <w:szCs w:val="28"/>
          <w:highlight w:val="none"/>
          <w:u w:val="single"/>
        </w:rPr>
      </w:pPr>
      <w:r>
        <w:rPr>
          <w:rFonts w:hint="eastAsia" w:ascii="Calibri" w:hAnsi="Calibri" w:cs="Times New Roman"/>
          <w:kern w:val="2"/>
          <w:szCs w:val="28"/>
          <w:highlight w:val="none"/>
        </w:rPr>
        <w:t>年    龄：</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职    务：</w:t>
      </w:r>
      <w:r>
        <w:rPr>
          <w:rFonts w:hint="eastAsia" w:ascii="Calibri" w:hAnsi="Calibri" w:cs="Times New Roman"/>
          <w:kern w:val="2"/>
          <w:szCs w:val="28"/>
          <w:highlight w:val="none"/>
          <w:u w:val="single"/>
        </w:rPr>
        <w:t xml:space="preserve">             </w:t>
      </w:r>
    </w:p>
    <w:p w14:paraId="6A0E5522">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rPr>
        <w:t>联系</w:t>
      </w:r>
      <w:r>
        <w:rPr>
          <w:rFonts w:ascii="Calibri" w:hAnsi="Calibri" w:cs="Times New Roman"/>
          <w:kern w:val="2"/>
          <w:szCs w:val="28"/>
          <w:highlight w:val="none"/>
        </w:rPr>
        <w:t>电话</w:t>
      </w:r>
      <w:r>
        <w:rPr>
          <w:rFonts w:hint="eastAsia" w:ascii="Calibri" w:hAnsi="Calibri" w:cs="Times New Roman"/>
          <w:kern w:val="2"/>
          <w:szCs w:val="28"/>
          <w:highlight w:val="none"/>
        </w:rPr>
        <w:t>：</w:t>
      </w: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 手机号码：</w:t>
      </w:r>
      <w:r>
        <w:rPr>
          <w:rFonts w:hint="eastAsia" w:ascii="Calibri" w:hAnsi="Calibri" w:cs="Times New Roman"/>
          <w:kern w:val="2"/>
          <w:szCs w:val="28"/>
          <w:highlight w:val="none"/>
          <w:u w:val="single"/>
        </w:rPr>
        <w:t xml:space="preserve">             </w:t>
      </w:r>
    </w:p>
    <w:p w14:paraId="75989FAE">
      <w:pPr>
        <w:snapToGrid w:val="0"/>
        <w:ind w:firstLine="480"/>
        <w:jc w:val="left"/>
        <w:rPr>
          <w:rFonts w:ascii="Calibri" w:hAnsi="Calibri" w:cs="Times New Roman"/>
          <w:kern w:val="2"/>
          <w:szCs w:val="28"/>
          <w:highlight w:val="none"/>
        </w:rPr>
      </w:pPr>
      <w:r>
        <w:rPr>
          <w:rFonts w:hint="eastAsia" w:ascii="Calibri" w:hAnsi="Calibri" w:cs="Times New Roman"/>
          <w:kern w:val="2"/>
          <w:szCs w:val="28"/>
          <w:highlight w:val="none"/>
          <w:u w:val="single"/>
        </w:rPr>
        <w:t xml:space="preserve">        </w:t>
      </w:r>
      <w:r>
        <w:rPr>
          <w:rFonts w:hint="eastAsia" w:ascii="Calibri" w:hAnsi="Calibri" w:cs="Times New Roman"/>
          <w:kern w:val="2"/>
          <w:szCs w:val="28"/>
          <w:highlight w:val="none"/>
        </w:rPr>
        <w:t xml:space="preserve">系  </w:t>
      </w:r>
      <w:r>
        <w:rPr>
          <w:rFonts w:hint="eastAsia" w:ascii="Calibri" w:hAnsi="Calibri" w:cs="Times New Roman"/>
          <w:kern w:val="2"/>
          <w:szCs w:val="28"/>
          <w:highlight w:val="none"/>
          <w:u w:val="single"/>
        </w:rPr>
        <w:t xml:space="preserve">   （供应商单位名称）       </w:t>
      </w:r>
      <w:r>
        <w:rPr>
          <w:rFonts w:hint="eastAsia" w:ascii="Calibri" w:hAnsi="Calibri" w:cs="Times New Roman"/>
          <w:kern w:val="2"/>
          <w:szCs w:val="28"/>
          <w:highlight w:val="none"/>
        </w:rPr>
        <w:t>的法定代表人。</w:t>
      </w:r>
    </w:p>
    <w:p w14:paraId="47ACAC43">
      <w:pPr>
        <w:spacing w:before="62" w:beforeLines="20" w:after="62" w:afterLines="20" w:line="540" w:lineRule="exact"/>
        <w:ind w:firstLine="480"/>
        <w:rPr>
          <w:rFonts w:ascii="@仿宋_GB2312" w:hAnsi="Calibri" w:eastAsia="@仿宋_GB2312" w:cs="宋体"/>
          <w:kern w:val="2"/>
          <w:szCs w:val="24"/>
          <w:highlight w:val="none"/>
        </w:rPr>
      </w:pPr>
    </w:p>
    <w:p w14:paraId="723BFCAE">
      <w:pPr>
        <w:spacing w:before="62" w:beforeLines="20" w:after="62" w:afterLines="20" w:line="540" w:lineRule="exact"/>
        <w:ind w:left="480" w:leftChars="200" w:firstLine="240" w:firstLineChars="100"/>
        <w:rPr>
          <w:rFonts w:ascii="Calibri" w:hAnsi="Calibri" w:cs="宋体"/>
          <w:kern w:val="2"/>
          <w:szCs w:val="24"/>
          <w:highlight w:val="none"/>
        </w:rPr>
      </w:pPr>
      <w:r>
        <w:rPr>
          <w:rFonts w:hint="eastAsia" w:ascii="Calibri" w:hAnsi="Calibri" w:cs="宋体"/>
          <w:kern w:val="2"/>
          <w:szCs w:val="24"/>
          <w:highlight w:val="none"/>
        </w:rPr>
        <w:t>特此证明。</w:t>
      </w:r>
    </w:p>
    <w:p w14:paraId="398755A3">
      <w:pPr>
        <w:tabs>
          <w:tab w:val="left" w:pos="720"/>
          <w:tab w:val="left" w:pos="900"/>
        </w:tabs>
        <w:spacing w:before="62" w:beforeLines="20" w:after="62" w:afterLines="20" w:line="540" w:lineRule="exact"/>
        <w:ind w:firstLine="480"/>
        <w:rPr>
          <w:rFonts w:ascii="Calibri" w:hAnsi="Calibri" w:cs="宋体"/>
          <w:kern w:val="2"/>
          <w:szCs w:val="24"/>
          <w:highlight w:val="none"/>
        </w:rPr>
      </w:pPr>
      <w:r>
        <w:rPr>
          <w:rFonts w:hint="eastAsia" w:ascii="Calibri" w:hAnsi="Calibri" w:cs="宋体"/>
          <w:kern w:val="2"/>
          <w:szCs w:val="24"/>
          <w:highlight w:val="none"/>
        </w:rPr>
        <w:t>附：法定代表人身份证扫描件</w:t>
      </w:r>
    </w:p>
    <w:p w14:paraId="0DBE04E5">
      <w:pPr>
        <w:tabs>
          <w:tab w:val="left" w:pos="720"/>
          <w:tab w:val="left" w:pos="900"/>
        </w:tabs>
        <w:spacing w:before="62" w:beforeLines="20" w:after="62" w:afterLines="20" w:line="540" w:lineRule="exact"/>
        <w:ind w:firstLine="480"/>
        <w:rPr>
          <w:rFonts w:ascii="@仿宋_GB2312" w:hAnsi="Calibri" w:eastAsia="@仿宋_GB2312" w:cs="宋体"/>
          <w:kern w:val="2"/>
          <w:szCs w:val="24"/>
          <w:highlight w:val="none"/>
        </w:rPr>
      </w:pPr>
    </w:p>
    <w:p w14:paraId="53C1A6C1">
      <w:pPr>
        <w:tabs>
          <w:tab w:val="left" w:pos="720"/>
          <w:tab w:val="left" w:pos="900"/>
        </w:tabs>
        <w:spacing w:before="62" w:beforeLines="20" w:after="62" w:afterLines="20" w:line="540" w:lineRule="exact"/>
        <w:ind w:firstLine="4560" w:firstLineChars="1900"/>
        <w:rPr>
          <w:rFonts w:ascii="@仿宋_GB2312" w:hAnsi="Calibri" w:eastAsia="@仿宋_GB2312" w:cs="宋体"/>
          <w:kern w:val="2"/>
          <w:szCs w:val="24"/>
          <w:highlight w:val="none"/>
        </w:rPr>
      </w:pPr>
    </w:p>
    <w:p w14:paraId="2919D434">
      <w:pPr>
        <w:ind w:firstLine="3840" w:firstLineChars="1600"/>
        <w:rPr>
          <w:rFonts w:cs="宋体"/>
          <w:kern w:val="2"/>
          <w:szCs w:val="24"/>
          <w:highlight w:val="none"/>
        </w:rPr>
      </w:pPr>
      <w:r>
        <w:rPr>
          <w:rFonts w:hint="eastAsia" w:cs="@仿宋_GB2312"/>
          <w:kern w:val="2"/>
          <w:szCs w:val="24"/>
          <w:highlight w:val="none"/>
        </w:rPr>
        <w:t>供应商电子签章或公章</w:t>
      </w:r>
      <w:r>
        <w:rPr>
          <w:rFonts w:hint="eastAsia" w:cs="宋体"/>
          <w:kern w:val="2"/>
          <w:szCs w:val="24"/>
          <w:highlight w:val="none"/>
        </w:rPr>
        <w:t>：</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4F82048E">
      <w:pPr>
        <w:ind w:firstLine="3840" w:firstLineChars="1600"/>
        <w:rPr>
          <w:rFonts w:cs="宋体"/>
          <w:kern w:val="2"/>
          <w:szCs w:val="24"/>
          <w:highlight w:val="none"/>
        </w:rPr>
      </w:pPr>
      <w:r>
        <w:rPr>
          <w:rFonts w:hint="eastAsia" w:cs="宋体"/>
          <w:kern w:val="2"/>
          <w:szCs w:val="24"/>
          <w:highlight w:val="none"/>
        </w:rPr>
        <w:t>日</w:t>
      </w:r>
      <w:r>
        <w:rPr>
          <w:rFonts w:cs="宋体"/>
          <w:kern w:val="2"/>
          <w:szCs w:val="24"/>
          <w:highlight w:val="none"/>
        </w:rPr>
        <w:t xml:space="preserve">   </w:t>
      </w:r>
      <w:r>
        <w:rPr>
          <w:rFonts w:hint="eastAsia" w:cs="宋体"/>
          <w:kern w:val="2"/>
          <w:szCs w:val="24"/>
          <w:highlight w:val="none"/>
        </w:rPr>
        <w:t xml:space="preserve">    </w:t>
      </w:r>
      <w:r>
        <w:rPr>
          <w:rFonts w:cs="宋体"/>
          <w:kern w:val="2"/>
          <w:szCs w:val="24"/>
          <w:highlight w:val="none"/>
        </w:rPr>
        <w:t xml:space="preserve">   </w:t>
      </w:r>
      <w:r>
        <w:rPr>
          <w:rFonts w:hint="eastAsia" w:cs="宋体"/>
          <w:kern w:val="2"/>
          <w:szCs w:val="24"/>
          <w:highlight w:val="none"/>
        </w:rPr>
        <w:t>期：</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r>
        <w:rPr>
          <w:rFonts w:hint="eastAsia" w:cs="宋体"/>
          <w:kern w:val="2"/>
          <w:szCs w:val="24"/>
          <w:highlight w:val="none"/>
          <w:u w:val="single"/>
        </w:rPr>
        <w:t xml:space="preserve">  </w:t>
      </w:r>
      <w:r>
        <w:rPr>
          <w:rFonts w:cs="宋体"/>
          <w:kern w:val="2"/>
          <w:szCs w:val="24"/>
          <w:highlight w:val="none"/>
          <w:u w:val="single"/>
        </w:rPr>
        <w:t xml:space="preserve">   </w:t>
      </w:r>
    </w:p>
    <w:p w14:paraId="3A88BFC9">
      <w:pPr>
        <w:widowControl/>
        <w:ind w:firstLine="480"/>
        <w:jc w:val="left"/>
        <w:rPr>
          <w:rFonts w:cs="@仿宋_GB2312" w:asciiTheme="minorEastAsia" w:hAnsiTheme="minorEastAsia" w:eastAsiaTheme="minorEastAsia"/>
          <w:b/>
          <w:bCs/>
          <w:kern w:val="2"/>
          <w:szCs w:val="24"/>
          <w:highlight w:val="none"/>
        </w:rPr>
      </w:pPr>
      <w:r>
        <w:rPr>
          <w:rFonts w:cs="@仿宋_GB2312" w:asciiTheme="minorEastAsia" w:hAnsiTheme="minorEastAsia" w:eastAsiaTheme="minorEastAsia"/>
          <w:kern w:val="2"/>
          <w:szCs w:val="24"/>
          <w:highlight w:val="none"/>
        </w:rPr>
        <w:br w:type="page"/>
      </w:r>
    </w:p>
    <w:p w14:paraId="2288B7B2">
      <w:pPr>
        <w:keepNext/>
        <w:keepLines/>
        <w:spacing w:before="260" w:after="260" w:line="416" w:lineRule="auto"/>
        <w:ind w:firstLine="482"/>
        <w:jc w:val="center"/>
        <w:outlineLvl w:val="2"/>
        <w:rPr>
          <w:rFonts w:cs="@仿宋_GB2312" w:asciiTheme="minorEastAsia" w:hAnsiTheme="minorEastAsia" w:eastAsiaTheme="minorEastAsia"/>
          <w:b/>
          <w:bCs/>
          <w:kern w:val="2"/>
          <w:szCs w:val="24"/>
          <w:highlight w:val="none"/>
        </w:rPr>
      </w:pPr>
      <w:r>
        <w:rPr>
          <w:rFonts w:hint="eastAsia" w:cs="@仿宋_GB2312" w:asciiTheme="minorEastAsia" w:hAnsiTheme="minorEastAsia" w:eastAsiaTheme="minorEastAsia"/>
          <w:b/>
          <w:bCs/>
          <w:kern w:val="2"/>
          <w:szCs w:val="24"/>
          <w:highlight w:val="none"/>
        </w:rPr>
        <w:t>七、业绩及证明材料</w:t>
      </w:r>
    </w:p>
    <w:p w14:paraId="2D1551F9">
      <w:pPr>
        <w:keepNext/>
        <w:keepLines/>
        <w:numPr>
          <w:ilvl w:val="0"/>
          <w:numId w:val="3"/>
        </w:numPr>
        <w:ind w:firstLine="480"/>
        <w:jc w:val="center"/>
        <w:rPr>
          <w:szCs w:val="24"/>
          <w:highlight w:val="none"/>
        </w:rPr>
      </w:pPr>
      <w:r>
        <w:rPr>
          <w:rFonts w:hint="eastAsia"/>
          <w:szCs w:val="24"/>
          <w:highlight w:val="none"/>
        </w:rPr>
        <w:t>业绩表</w:t>
      </w:r>
    </w:p>
    <w:p w14:paraId="3D349FB2">
      <w:pPr>
        <w:keepNext/>
        <w:keepLines/>
        <w:ind w:firstLine="480"/>
        <w:jc w:val="center"/>
        <w:rPr>
          <w:szCs w:val="24"/>
          <w:highlight w:val="none"/>
        </w:rPr>
      </w:pPr>
      <w:r>
        <w:rPr>
          <w:rFonts w:hint="eastAsia"/>
          <w:szCs w:val="24"/>
          <w:highlight w:val="none"/>
        </w:rPr>
        <w:t>（格式仅供参考）</w:t>
      </w:r>
    </w:p>
    <w:p w14:paraId="61FC1765">
      <w:pPr>
        <w:ind w:firstLine="420"/>
        <w:rPr>
          <w:rFonts w:eastAsia="@仿宋_GB2312" w:cs="@仿宋_GB2312"/>
          <w:kern w:val="2"/>
          <w:sz w:val="21"/>
          <w:highlight w:val="none"/>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8"/>
        <w:gridCol w:w="1655"/>
        <w:gridCol w:w="1490"/>
        <w:gridCol w:w="1565"/>
        <w:gridCol w:w="1778"/>
        <w:gridCol w:w="1086"/>
      </w:tblGrid>
      <w:tr w14:paraId="260DE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7" w:type="pct"/>
            <w:vAlign w:val="center"/>
          </w:tcPr>
          <w:p w14:paraId="0FA35990">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序号</w:t>
            </w:r>
          </w:p>
        </w:tc>
        <w:tc>
          <w:tcPr>
            <w:tcW w:w="971" w:type="pct"/>
            <w:vAlign w:val="center"/>
          </w:tcPr>
          <w:p w14:paraId="0B7A728C">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项目名称</w:t>
            </w:r>
          </w:p>
        </w:tc>
        <w:tc>
          <w:tcPr>
            <w:tcW w:w="874" w:type="pct"/>
            <w:vAlign w:val="center"/>
          </w:tcPr>
          <w:p w14:paraId="5F39912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项目内容</w:t>
            </w:r>
          </w:p>
        </w:tc>
        <w:tc>
          <w:tcPr>
            <w:tcW w:w="918" w:type="pct"/>
            <w:vAlign w:val="center"/>
          </w:tcPr>
          <w:p w14:paraId="633C8848">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合同总金额</w:t>
            </w:r>
          </w:p>
        </w:tc>
        <w:tc>
          <w:tcPr>
            <w:tcW w:w="1043" w:type="pct"/>
            <w:vAlign w:val="center"/>
          </w:tcPr>
          <w:p w14:paraId="36AB300E">
            <w:pPr>
              <w:widowControl/>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业绩合同甲方及联系电话</w:t>
            </w:r>
          </w:p>
        </w:tc>
        <w:tc>
          <w:tcPr>
            <w:tcW w:w="636" w:type="pct"/>
            <w:vAlign w:val="center"/>
          </w:tcPr>
          <w:p w14:paraId="2BBECDB7">
            <w:pPr>
              <w:ind w:firstLine="0" w:firstLineChars="0"/>
              <w:jc w:val="center"/>
              <w:rPr>
                <w:rFonts w:cs="宋体" w:asciiTheme="minorEastAsia" w:hAnsiTheme="minorEastAsia" w:eastAsiaTheme="minorEastAsia"/>
                <w:b/>
                <w:kern w:val="2"/>
                <w:szCs w:val="24"/>
                <w:highlight w:val="none"/>
              </w:rPr>
            </w:pPr>
            <w:r>
              <w:rPr>
                <w:rFonts w:hint="eastAsia" w:cs="宋体" w:asciiTheme="minorEastAsia" w:hAnsiTheme="minorEastAsia" w:eastAsiaTheme="minorEastAsia"/>
                <w:b/>
                <w:kern w:val="2"/>
                <w:szCs w:val="24"/>
                <w:highlight w:val="none"/>
              </w:rPr>
              <w:t>备注</w:t>
            </w:r>
          </w:p>
        </w:tc>
      </w:tr>
      <w:tr w14:paraId="13C7A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420AAF38">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供应商初审业绩（资格门槛业绩，如有）</w:t>
            </w:r>
          </w:p>
        </w:tc>
      </w:tr>
      <w:tr w14:paraId="44276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2F94247D">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18F8F272">
            <w:pPr>
              <w:ind w:firstLine="0" w:firstLineChars="0"/>
              <w:rPr>
                <w:rFonts w:cs="宋体" w:asciiTheme="minorEastAsia" w:hAnsiTheme="minorEastAsia" w:eastAsiaTheme="minorEastAsia"/>
                <w:bCs/>
                <w:kern w:val="2"/>
                <w:szCs w:val="24"/>
                <w:highlight w:val="none"/>
              </w:rPr>
            </w:pPr>
          </w:p>
        </w:tc>
        <w:tc>
          <w:tcPr>
            <w:tcW w:w="874" w:type="pct"/>
            <w:vAlign w:val="center"/>
          </w:tcPr>
          <w:p w14:paraId="4B2BC4D0">
            <w:pPr>
              <w:ind w:firstLine="0" w:firstLineChars="0"/>
              <w:rPr>
                <w:rFonts w:cs="宋体" w:asciiTheme="minorEastAsia" w:hAnsiTheme="minorEastAsia" w:eastAsiaTheme="minorEastAsia"/>
                <w:bCs/>
                <w:kern w:val="2"/>
                <w:szCs w:val="24"/>
                <w:highlight w:val="none"/>
              </w:rPr>
            </w:pPr>
          </w:p>
        </w:tc>
        <w:tc>
          <w:tcPr>
            <w:tcW w:w="918" w:type="pct"/>
            <w:vAlign w:val="center"/>
          </w:tcPr>
          <w:p w14:paraId="1E2B307A">
            <w:pPr>
              <w:ind w:firstLine="0" w:firstLineChars="0"/>
              <w:rPr>
                <w:rFonts w:cs="宋体" w:asciiTheme="minorEastAsia" w:hAnsiTheme="minorEastAsia" w:eastAsiaTheme="minorEastAsia"/>
                <w:bCs/>
                <w:kern w:val="2"/>
                <w:szCs w:val="24"/>
                <w:highlight w:val="none"/>
              </w:rPr>
            </w:pPr>
          </w:p>
        </w:tc>
        <w:tc>
          <w:tcPr>
            <w:tcW w:w="1043" w:type="pct"/>
            <w:vAlign w:val="center"/>
          </w:tcPr>
          <w:p w14:paraId="2E380D89">
            <w:pPr>
              <w:ind w:firstLine="0" w:firstLineChars="0"/>
              <w:rPr>
                <w:rFonts w:cs="宋体" w:asciiTheme="minorEastAsia" w:hAnsiTheme="minorEastAsia" w:eastAsiaTheme="minorEastAsia"/>
                <w:bCs/>
                <w:kern w:val="2"/>
                <w:szCs w:val="24"/>
                <w:highlight w:val="none"/>
              </w:rPr>
            </w:pPr>
          </w:p>
        </w:tc>
        <w:tc>
          <w:tcPr>
            <w:tcW w:w="636" w:type="pct"/>
            <w:vAlign w:val="center"/>
          </w:tcPr>
          <w:p w14:paraId="19990AF8">
            <w:pPr>
              <w:ind w:firstLine="0" w:firstLineChars="0"/>
              <w:rPr>
                <w:rFonts w:cs="宋体" w:asciiTheme="minorEastAsia" w:hAnsiTheme="minorEastAsia" w:eastAsiaTheme="minorEastAsia"/>
                <w:bCs/>
                <w:kern w:val="2"/>
                <w:szCs w:val="24"/>
                <w:highlight w:val="none"/>
              </w:rPr>
            </w:pPr>
          </w:p>
        </w:tc>
      </w:tr>
      <w:tr w14:paraId="68B3F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5793217B">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项目负责人初审业绩（资格门槛业绩，如有）</w:t>
            </w:r>
          </w:p>
        </w:tc>
      </w:tr>
      <w:tr w14:paraId="607F8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79A319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514931CD">
            <w:pPr>
              <w:ind w:firstLine="0" w:firstLineChars="0"/>
              <w:rPr>
                <w:rFonts w:cs="宋体" w:asciiTheme="minorEastAsia" w:hAnsiTheme="minorEastAsia" w:eastAsiaTheme="minorEastAsia"/>
                <w:bCs/>
                <w:kern w:val="2"/>
                <w:szCs w:val="24"/>
                <w:highlight w:val="none"/>
              </w:rPr>
            </w:pPr>
          </w:p>
        </w:tc>
        <w:tc>
          <w:tcPr>
            <w:tcW w:w="874" w:type="pct"/>
            <w:vAlign w:val="center"/>
          </w:tcPr>
          <w:p w14:paraId="5400C3FF">
            <w:pPr>
              <w:ind w:firstLine="0" w:firstLineChars="0"/>
              <w:rPr>
                <w:rFonts w:cs="宋体" w:asciiTheme="minorEastAsia" w:hAnsiTheme="minorEastAsia" w:eastAsiaTheme="minorEastAsia"/>
                <w:bCs/>
                <w:kern w:val="2"/>
                <w:szCs w:val="24"/>
                <w:highlight w:val="none"/>
              </w:rPr>
            </w:pPr>
          </w:p>
        </w:tc>
        <w:tc>
          <w:tcPr>
            <w:tcW w:w="918" w:type="pct"/>
            <w:vAlign w:val="center"/>
          </w:tcPr>
          <w:p w14:paraId="02293EBA">
            <w:pPr>
              <w:ind w:firstLine="0" w:firstLineChars="0"/>
              <w:rPr>
                <w:rFonts w:cs="宋体" w:asciiTheme="minorEastAsia" w:hAnsiTheme="minorEastAsia" w:eastAsiaTheme="minorEastAsia"/>
                <w:bCs/>
                <w:kern w:val="2"/>
                <w:szCs w:val="24"/>
                <w:highlight w:val="none"/>
              </w:rPr>
            </w:pPr>
          </w:p>
        </w:tc>
        <w:tc>
          <w:tcPr>
            <w:tcW w:w="1043" w:type="pct"/>
            <w:vAlign w:val="center"/>
          </w:tcPr>
          <w:p w14:paraId="6D70CB46">
            <w:pPr>
              <w:ind w:firstLine="0" w:firstLineChars="0"/>
              <w:rPr>
                <w:rFonts w:cs="宋体" w:asciiTheme="minorEastAsia" w:hAnsiTheme="minorEastAsia" w:eastAsiaTheme="minorEastAsia"/>
                <w:bCs/>
                <w:kern w:val="2"/>
                <w:szCs w:val="24"/>
                <w:highlight w:val="none"/>
              </w:rPr>
            </w:pPr>
          </w:p>
        </w:tc>
        <w:tc>
          <w:tcPr>
            <w:tcW w:w="636" w:type="pct"/>
            <w:vAlign w:val="center"/>
          </w:tcPr>
          <w:p w14:paraId="33CF3B76">
            <w:pPr>
              <w:ind w:firstLine="0" w:firstLineChars="0"/>
              <w:rPr>
                <w:rFonts w:cs="宋体" w:asciiTheme="minorEastAsia" w:hAnsiTheme="minorEastAsia" w:eastAsiaTheme="minorEastAsia"/>
                <w:bCs/>
                <w:kern w:val="2"/>
                <w:szCs w:val="24"/>
                <w:highlight w:val="none"/>
              </w:rPr>
            </w:pPr>
          </w:p>
        </w:tc>
      </w:tr>
      <w:tr w14:paraId="7ADC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01C273A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供应商评审业绩（打分业绩，如有）</w:t>
            </w:r>
          </w:p>
        </w:tc>
      </w:tr>
      <w:tr w14:paraId="48B0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01A9A8BC">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33D153D4">
            <w:pPr>
              <w:ind w:firstLine="0" w:firstLineChars="0"/>
              <w:rPr>
                <w:rFonts w:cs="宋体" w:asciiTheme="minorEastAsia" w:hAnsiTheme="minorEastAsia" w:eastAsiaTheme="minorEastAsia"/>
                <w:bCs/>
                <w:kern w:val="2"/>
                <w:szCs w:val="24"/>
                <w:highlight w:val="none"/>
              </w:rPr>
            </w:pPr>
          </w:p>
        </w:tc>
        <w:tc>
          <w:tcPr>
            <w:tcW w:w="874" w:type="pct"/>
            <w:vAlign w:val="center"/>
          </w:tcPr>
          <w:p w14:paraId="596F8680">
            <w:pPr>
              <w:ind w:firstLine="0" w:firstLineChars="0"/>
              <w:rPr>
                <w:rFonts w:cs="宋体" w:asciiTheme="minorEastAsia" w:hAnsiTheme="minorEastAsia" w:eastAsiaTheme="minorEastAsia"/>
                <w:bCs/>
                <w:kern w:val="2"/>
                <w:szCs w:val="24"/>
                <w:highlight w:val="none"/>
              </w:rPr>
            </w:pPr>
          </w:p>
        </w:tc>
        <w:tc>
          <w:tcPr>
            <w:tcW w:w="918" w:type="pct"/>
            <w:vAlign w:val="center"/>
          </w:tcPr>
          <w:p w14:paraId="69909AE0">
            <w:pPr>
              <w:ind w:firstLine="0" w:firstLineChars="0"/>
              <w:rPr>
                <w:rFonts w:cs="宋体" w:asciiTheme="minorEastAsia" w:hAnsiTheme="minorEastAsia" w:eastAsiaTheme="minorEastAsia"/>
                <w:bCs/>
                <w:kern w:val="2"/>
                <w:szCs w:val="24"/>
                <w:highlight w:val="none"/>
              </w:rPr>
            </w:pPr>
          </w:p>
        </w:tc>
        <w:tc>
          <w:tcPr>
            <w:tcW w:w="1043" w:type="pct"/>
            <w:vAlign w:val="center"/>
          </w:tcPr>
          <w:p w14:paraId="3080CEFC">
            <w:pPr>
              <w:ind w:firstLine="0" w:firstLineChars="0"/>
              <w:rPr>
                <w:rFonts w:cs="宋体" w:asciiTheme="minorEastAsia" w:hAnsiTheme="minorEastAsia" w:eastAsiaTheme="minorEastAsia"/>
                <w:bCs/>
                <w:kern w:val="2"/>
                <w:szCs w:val="24"/>
                <w:highlight w:val="none"/>
              </w:rPr>
            </w:pPr>
          </w:p>
        </w:tc>
        <w:tc>
          <w:tcPr>
            <w:tcW w:w="636" w:type="pct"/>
            <w:vAlign w:val="center"/>
          </w:tcPr>
          <w:p w14:paraId="526C43B6">
            <w:pPr>
              <w:ind w:firstLine="0" w:firstLineChars="0"/>
              <w:rPr>
                <w:rFonts w:cs="宋体" w:asciiTheme="minorEastAsia" w:hAnsiTheme="minorEastAsia" w:eastAsiaTheme="minorEastAsia"/>
                <w:bCs/>
                <w:kern w:val="2"/>
                <w:szCs w:val="24"/>
                <w:highlight w:val="none"/>
              </w:rPr>
            </w:pPr>
          </w:p>
        </w:tc>
      </w:tr>
      <w:tr w14:paraId="0BA5B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530EC6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3E8E8CB7">
            <w:pPr>
              <w:ind w:firstLine="0" w:firstLineChars="0"/>
              <w:rPr>
                <w:rFonts w:cs="宋体" w:asciiTheme="minorEastAsia" w:hAnsiTheme="minorEastAsia" w:eastAsiaTheme="minorEastAsia"/>
                <w:bCs/>
                <w:kern w:val="2"/>
                <w:szCs w:val="24"/>
                <w:highlight w:val="none"/>
              </w:rPr>
            </w:pPr>
          </w:p>
        </w:tc>
        <w:tc>
          <w:tcPr>
            <w:tcW w:w="874" w:type="pct"/>
            <w:vAlign w:val="center"/>
          </w:tcPr>
          <w:p w14:paraId="09DE2740">
            <w:pPr>
              <w:ind w:firstLine="0" w:firstLineChars="0"/>
              <w:rPr>
                <w:rFonts w:cs="宋体" w:asciiTheme="minorEastAsia" w:hAnsiTheme="minorEastAsia" w:eastAsiaTheme="minorEastAsia"/>
                <w:bCs/>
                <w:kern w:val="2"/>
                <w:szCs w:val="24"/>
                <w:highlight w:val="none"/>
              </w:rPr>
            </w:pPr>
          </w:p>
        </w:tc>
        <w:tc>
          <w:tcPr>
            <w:tcW w:w="918" w:type="pct"/>
            <w:vAlign w:val="center"/>
          </w:tcPr>
          <w:p w14:paraId="612E53D0">
            <w:pPr>
              <w:ind w:firstLine="0" w:firstLineChars="0"/>
              <w:rPr>
                <w:rFonts w:cs="宋体" w:asciiTheme="minorEastAsia" w:hAnsiTheme="minorEastAsia" w:eastAsiaTheme="minorEastAsia"/>
                <w:bCs/>
                <w:kern w:val="2"/>
                <w:szCs w:val="24"/>
                <w:highlight w:val="none"/>
              </w:rPr>
            </w:pPr>
          </w:p>
        </w:tc>
        <w:tc>
          <w:tcPr>
            <w:tcW w:w="1043" w:type="pct"/>
            <w:vAlign w:val="center"/>
          </w:tcPr>
          <w:p w14:paraId="53B95FEA">
            <w:pPr>
              <w:ind w:firstLine="0" w:firstLineChars="0"/>
              <w:rPr>
                <w:rFonts w:cs="宋体" w:asciiTheme="minorEastAsia" w:hAnsiTheme="minorEastAsia" w:eastAsiaTheme="minorEastAsia"/>
                <w:bCs/>
                <w:kern w:val="2"/>
                <w:szCs w:val="24"/>
                <w:highlight w:val="none"/>
              </w:rPr>
            </w:pPr>
          </w:p>
        </w:tc>
        <w:tc>
          <w:tcPr>
            <w:tcW w:w="636" w:type="pct"/>
            <w:vAlign w:val="center"/>
          </w:tcPr>
          <w:p w14:paraId="0BB2F395">
            <w:pPr>
              <w:ind w:firstLine="0" w:firstLineChars="0"/>
              <w:rPr>
                <w:rFonts w:cs="宋体" w:asciiTheme="minorEastAsia" w:hAnsiTheme="minorEastAsia" w:eastAsiaTheme="minorEastAsia"/>
                <w:bCs/>
                <w:kern w:val="2"/>
                <w:szCs w:val="24"/>
                <w:highlight w:val="none"/>
              </w:rPr>
            </w:pPr>
          </w:p>
        </w:tc>
      </w:tr>
      <w:tr w14:paraId="5CC88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12ECD5B6">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项目负责人评审业绩（打分业绩，如有）</w:t>
            </w:r>
          </w:p>
        </w:tc>
      </w:tr>
      <w:tr w14:paraId="7556A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EC606E2">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1</w:t>
            </w:r>
          </w:p>
        </w:tc>
        <w:tc>
          <w:tcPr>
            <w:tcW w:w="971" w:type="pct"/>
            <w:vAlign w:val="center"/>
          </w:tcPr>
          <w:p w14:paraId="7067FCCA">
            <w:pPr>
              <w:ind w:firstLine="0" w:firstLineChars="0"/>
              <w:rPr>
                <w:rFonts w:cs="宋体" w:asciiTheme="minorEastAsia" w:hAnsiTheme="minorEastAsia" w:eastAsiaTheme="minorEastAsia"/>
                <w:b/>
                <w:kern w:val="2"/>
                <w:szCs w:val="24"/>
                <w:highlight w:val="none"/>
              </w:rPr>
            </w:pPr>
          </w:p>
        </w:tc>
        <w:tc>
          <w:tcPr>
            <w:tcW w:w="874" w:type="pct"/>
            <w:vAlign w:val="center"/>
          </w:tcPr>
          <w:p w14:paraId="10389887">
            <w:pPr>
              <w:ind w:firstLine="0" w:firstLineChars="0"/>
              <w:rPr>
                <w:rFonts w:cs="宋体" w:asciiTheme="minorEastAsia" w:hAnsiTheme="minorEastAsia" w:eastAsiaTheme="minorEastAsia"/>
                <w:b/>
                <w:kern w:val="2"/>
                <w:szCs w:val="24"/>
                <w:highlight w:val="none"/>
              </w:rPr>
            </w:pPr>
          </w:p>
        </w:tc>
        <w:tc>
          <w:tcPr>
            <w:tcW w:w="918" w:type="pct"/>
            <w:vAlign w:val="center"/>
          </w:tcPr>
          <w:p w14:paraId="7EF812B0">
            <w:pPr>
              <w:ind w:firstLine="0" w:firstLineChars="0"/>
              <w:rPr>
                <w:rFonts w:cs="宋体" w:asciiTheme="minorEastAsia" w:hAnsiTheme="minorEastAsia" w:eastAsiaTheme="minorEastAsia"/>
                <w:b/>
                <w:kern w:val="2"/>
                <w:szCs w:val="24"/>
                <w:highlight w:val="none"/>
              </w:rPr>
            </w:pPr>
          </w:p>
        </w:tc>
        <w:tc>
          <w:tcPr>
            <w:tcW w:w="1043" w:type="pct"/>
            <w:vAlign w:val="center"/>
          </w:tcPr>
          <w:p w14:paraId="6221A2FC">
            <w:pPr>
              <w:ind w:firstLine="0" w:firstLineChars="0"/>
              <w:rPr>
                <w:rFonts w:cs="宋体" w:asciiTheme="minorEastAsia" w:hAnsiTheme="minorEastAsia" w:eastAsiaTheme="minorEastAsia"/>
                <w:b/>
                <w:kern w:val="2"/>
                <w:szCs w:val="24"/>
                <w:highlight w:val="none"/>
              </w:rPr>
            </w:pPr>
          </w:p>
        </w:tc>
        <w:tc>
          <w:tcPr>
            <w:tcW w:w="636" w:type="pct"/>
            <w:vAlign w:val="center"/>
          </w:tcPr>
          <w:p w14:paraId="6FB4B3A9">
            <w:pPr>
              <w:ind w:firstLine="0" w:firstLineChars="0"/>
              <w:rPr>
                <w:rFonts w:cs="宋体" w:asciiTheme="minorEastAsia" w:hAnsiTheme="minorEastAsia" w:eastAsiaTheme="minorEastAsia"/>
                <w:b/>
                <w:kern w:val="2"/>
                <w:szCs w:val="24"/>
                <w:highlight w:val="none"/>
              </w:rPr>
            </w:pPr>
          </w:p>
        </w:tc>
      </w:tr>
      <w:tr w14:paraId="5BE8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6A47585A">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2</w:t>
            </w:r>
          </w:p>
        </w:tc>
        <w:tc>
          <w:tcPr>
            <w:tcW w:w="971" w:type="pct"/>
            <w:vAlign w:val="center"/>
          </w:tcPr>
          <w:p w14:paraId="1C99982F">
            <w:pPr>
              <w:ind w:firstLine="0" w:firstLineChars="0"/>
              <w:rPr>
                <w:rFonts w:cs="宋体" w:asciiTheme="minorEastAsia" w:hAnsiTheme="minorEastAsia" w:eastAsiaTheme="minorEastAsia"/>
                <w:b/>
                <w:kern w:val="2"/>
                <w:szCs w:val="24"/>
                <w:highlight w:val="none"/>
              </w:rPr>
            </w:pPr>
          </w:p>
        </w:tc>
        <w:tc>
          <w:tcPr>
            <w:tcW w:w="874" w:type="pct"/>
            <w:vAlign w:val="center"/>
          </w:tcPr>
          <w:p w14:paraId="7DDBBE92">
            <w:pPr>
              <w:ind w:firstLine="0" w:firstLineChars="0"/>
              <w:rPr>
                <w:rFonts w:cs="宋体" w:asciiTheme="minorEastAsia" w:hAnsiTheme="minorEastAsia" w:eastAsiaTheme="minorEastAsia"/>
                <w:b/>
                <w:kern w:val="2"/>
                <w:szCs w:val="24"/>
                <w:highlight w:val="none"/>
              </w:rPr>
            </w:pPr>
          </w:p>
        </w:tc>
        <w:tc>
          <w:tcPr>
            <w:tcW w:w="918" w:type="pct"/>
            <w:vAlign w:val="center"/>
          </w:tcPr>
          <w:p w14:paraId="081EE318">
            <w:pPr>
              <w:ind w:firstLine="0" w:firstLineChars="0"/>
              <w:rPr>
                <w:rFonts w:cs="宋体" w:asciiTheme="minorEastAsia" w:hAnsiTheme="minorEastAsia" w:eastAsiaTheme="minorEastAsia"/>
                <w:b/>
                <w:kern w:val="2"/>
                <w:szCs w:val="24"/>
                <w:highlight w:val="none"/>
              </w:rPr>
            </w:pPr>
          </w:p>
        </w:tc>
        <w:tc>
          <w:tcPr>
            <w:tcW w:w="1043" w:type="pct"/>
            <w:vAlign w:val="center"/>
          </w:tcPr>
          <w:p w14:paraId="0A58BB1C">
            <w:pPr>
              <w:ind w:firstLine="0" w:firstLineChars="0"/>
              <w:rPr>
                <w:rFonts w:cs="宋体" w:asciiTheme="minorEastAsia" w:hAnsiTheme="minorEastAsia" w:eastAsiaTheme="minorEastAsia"/>
                <w:b/>
                <w:kern w:val="2"/>
                <w:szCs w:val="24"/>
                <w:highlight w:val="none"/>
              </w:rPr>
            </w:pPr>
          </w:p>
        </w:tc>
        <w:tc>
          <w:tcPr>
            <w:tcW w:w="636" w:type="pct"/>
            <w:vAlign w:val="center"/>
          </w:tcPr>
          <w:p w14:paraId="3E084475">
            <w:pPr>
              <w:ind w:firstLine="0" w:firstLineChars="0"/>
              <w:rPr>
                <w:rFonts w:cs="宋体" w:asciiTheme="minorEastAsia" w:hAnsiTheme="minorEastAsia" w:eastAsiaTheme="minorEastAsia"/>
                <w:b/>
                <w:kern w:val="2"/>
                <w:szCs w:val="24"/>
                <w:highlight w:val="none"/>
              </w:rPr>
            </w:pPr>
          </w:p>
        </w:tc>
      </w:tr>
      <w:tr w14:paraId="69D9C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7" w:type="pct"/>
            <w:vAlign w:val="center"/>
          </w:tcPr>
          <w:p w14:paraId="46BE4AC0">
            <w:pPr>
              <w:ind w:firstLine="0" w:firstLineChars="0"/>
              <w:jc w:val="center"/>
              <w:rPr>
                <w:rFonts w:cs="宋体" w:asciiTheme="minorEastAsia" w:hAnsiTheme="minorEastAsia" w:eastAsiaTheme="minorEastAsia"/>
                <w:bCs/>
                <w:kern w:val="2"/>
                <w:szCs w:val="24"/>
                <w:highlight w:val="none"/>
              </w:rPr>
            </w:pPr>
            <w:r>
              <w:rPr>
                <w:rFonts w:hint="eastAsia" w:cs="宋体" w:asciiTheme="minorEastAsia" w:hAnsiTheme="minorEastAsia" w:eastAsiaTheme="minorEastAsia"/>
                <w:bCs/>
                <w:kern w:val="2"/>
                <w:szCs w:val="24"/>
                <w:highlight w:val="none"/>
              </w:rPr>
              <w:t>……</w:t>
            </w:r>
          </w:p>
        </w:tc>
        <w:tc>
          <w:tcPr>
            <w:tcW w:w="971" w:type="pct"/>
            <w:vAlign w:val="center"/>
          </w:tcPr>
          <w:p w14:paraId="39936C16">
            <w:pPr>
              <w:ind w:firstLine="0" w:firstLineChars="0"/>
              <w:rPr>
                <w:rFonts w:cs="宋体" w:asciiTheme="minorEastAsia" w:hAnsiTheme="minorEastAsia" w:eastAsiaTheme="minorEastAsia"/>
                <w:b/>
                <w:kern w:val="2"/>
                <w:szCs w:val="24"/>
                <w:highlight w:val="none"/>
              </w:rPr>
            </w:pPr>
          </w:p>
        </w:tc>
        <w:tc>
          <w:tcPr>
            <w:tcW w:w="874" w:type="pct"/>
            <w:vAlign w:val="center"/>
          </w:tcPr>
          <w:p w14:paraId="006286CA">
            <w:pPr>
              <w:ind w:firstLine="0" w:firstLineChars="0"/>
              <w:rPr>
                <w:rFonts w:cs="宋体" w:asciiTheme="minorEastAsia" w:hAnsiTheme="minorEastAsia" w:eastAsiaTheme="minorEastAsia"/>
                <w:b/>
                <w:kern w:val="2"/>
                <w:szCs w:val="24"/>
                <w:highlight w:val="none"/>
              </w:rPr>
            </w:pPr>
          </w:p>
        </w:tc>
        <w:tc>
          <w:tcPr>
            <w:tcW w:w="918" w:type="pct"/>
            <w:vAlign w:val="center"/>
          </w:tcPr>
          <w:p w14:paraId="4EE7A6FD">
            <w:pPr>
              <w:ind w:firstLine="0" w:firstLineChars="0"/>
              <w:rPr>
                <w:rFonts w:cs="宋体" w:asciiTheme="minorEastAsia" w:hAnsiTheme="minorEastAsia" w:eastAsiaTheme="minorEastAsia"/>
                <w:b/>
                <w:kern w:val="2"/>
                <w:szCs w:val="24"/>
                <w:highlight w:val="none"/>
              </w:rPr>
            </w:pPr>
          </w:p>
        </w:tc>
        <w:tc>
          <w:tcPr>
            <w:tcW w:w="1043" w:type="pct"/>
            <w:vAlign w:val="center"/>
          </w:tcPr>
          <w:p w14:paraId="2CA3E5B8">
            <w:pPr>
              <w:ind w:firstLine="0" w:firstLineChars="0"/>
              <w:rPr>
                <w:rFonts w:cs="宋体" w:asciiTheme="minorEastAsia" w:hAnsiTheme="minorEastAsia" w:eastAsiaTheme="minorEastAsia"/>
                <w:b/>
                <w:kern w:val="2"/>
                <w:szCs w:val="24"/>
                <w:highlight w:val="none"/>
              </w:rPr>
            </w:pPr>
          </w:p>
        </w:tc>
        <w:tc>
          <w:tcPr>
            <w:tcW w:w="636" w:type="pct"/>
            <w:vAlign w:val="center"/>
          </w:tcPr>
          <w:p w14:paraId="7C05BC29">
            <w:pPr>
              <w:ind w:firstLine="0" w:firstLineChars="0"/>
              <w:rPr>
                <w:rFonts w:cs="宋体" w:asciiTheme="minorEastAsia" w:hAnsiTheme="minorEastAsia" w:eastAsiaTheme="minorEastAsia"/>
                <w:b/>
                <w:kern w:val="2"/>
                <w:szCs w:val="24"/>
                <w:highlight w:val="none"/>
              </w:rPr>
            </w:pPr>
          </w:p>
        </w:tc>
      </w:tr>
    </w:tbl>
    <w:p w14:paraId="7D885636">
      <w:pPr>
        <w:widowControl/>
        <w:ind w:firstLine="482"/>
        <w:jc w:val="left"/>
        <w:rPr>
          <w:rFonts w:asciiTheme="minorEastAsia" w:hAnsiTheme="minorEastAsia" w:eastAsiaTheme="minorEastAsia"/>
          <w:b/>
          <w:highlight w:val="none"/>
        </w:rPr>
      </w:pPr>
    </w:p>
    <w:p w14:paraId="428C28B1">
      <w:pPr>
        <w:keepNext/>
        <w:keepLines/>
        <w:ind w:firstLine="480"/>
        <w:rPr>
          <w:szCs w:val="24"/>
          <w:highlight w:val="none"/>
        </w:rPr>
      </w:pPr>
    </w:p>
    <w:p w14:paraId="46189849">
      <w:pPr>
        <w:keepNext/>
        <w:keepLines/>
        <w:numPr>
          <w:ilvl w:val="0"/>
          <w:numId w:val="3"/>
        </w:numPr>
        <w:ind w:firstLine="480"/>
        <w:jc w:val="center"/>
        <w:rPr>
          <w:szCs w:val="24"/>
          <w:highlight w:val="none"/>
        </w:rPr>
      </w:pPr>
      <w:r>
        <w:rPr>
          <w:rFonts w:hint="eastAsia"/>
          <w:szCs w:val="24"/>
          <w:highlight w:val="none"/>
        </w:rPr>
        <w:t>业绩证明材料</w:t>
      </w:r>
    </w:p>
    <w:p w14:paraId="1ECE725F">
      <w:pPr>
        <w:keepNext/>
        <w:keepLines/>
        <w:ind w:firstLine="480"/>
        <w:jc w:val="center"/>
        <w:rPr>
          <w:highlight w:val="none"/>
        </w:rPr>
      </w:pPr>
      <w:r>
        <w:rPr>
          <w:rFonts w:hint="eastAsia"/>
          <w:szCs w:val="24"/>
          <w:highlight w:val="none"/>
        </w:rPr>
        <w:t>（建议与上述“（一）业绩表”填写的业绩一一对应）</w:t>
      </w:r>
      <w:r>
        <w:rPr>
          <w:rFonts w:asciiTheme="minorEastAsia" w:hAnsiTheme="minorEastAsia" w:eastAsiaTheme="minorEastAsia"/>
          <w:b/>
          <w:highlight w:val="none"/>
        </w:rPr>
        <w:br w:type="page"/>
      </w:r>
    </w:p>
    <w:p w14:paraId="7DA6370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八</w:t>
      </w:r>
      <w:r>
        <w:rPr>
          <w:rFonts w:hint="eastAsia" w:asciiTheme="minorEastAsia" w:hAnsiTheme="minorEastAsia" w:eastAsiaTheme="minorEastAsia"/>
          <w:b/>
          <w:highlight w:val="none"/>
        </w:rPr>
        <w:t>、磋商保证金及电子交易服务费用</w:t>
      </w:r>
    </w:p>
    <w:p w14:paraId="142B982E">
      <w:pPr>
        <w:snapToGrid w:val="0"/>
        <w:ind w:firstLine="0" w:firstLineChars="0"/>
        <w:jc w:val="center"/>
        <w:rPr>
          <w:rFonts w:cs="Times New Roman"/>
          <w:szCs w:val="28"/>
          <w:highlight w:val="none"/>
        </w:rPr>
      </w:pPr>
      <w:r>
        <w:rPr>
          <w:rFonts w:hint="eastAsia" w:cs="Times New Roman"/>
          <w:szCs w:val="28"/>
          <w:highlight w:val="none"/>
        </w:rPr>
        <w:t>供应商应在此提供银行回单的扫描件。</w:t>
      </w:r>
    </w:p>
    <w:p w14:paraId="2845F771">
      <w:pPr>
        <w:widowControl/>
        <w:spacing w:line="240" w:lineRule="auto"/>
        <w:ind w:firstLine="0" w:firstLineChars="0"/>
        <w:jc w:val="center"/>
        <w:rPr>
          <w:rFonts w:cs="@仿宋_GB2312"/>
          <w:b/>
          <w:bCs/>
          <w:kern w:val="2"/>
          <w:szCs w:val="24"/>
          <w:highlight w:val="none"/>
        </w:rPr>
      </w:pPr>
    </w:p>
    <w:p w14:paraId="02BF8814">
      <w:pPr>
        <w:widowControl/>
        <w:spacing w:line="240" w:lineRule="auto"/>
        <w:ind w:firstLine="0" w:firstLineChars="0"/>
        <w:jc w:val="center"/>
        <w:rPr>
          <w:rFonts w:cs="@仿宋_GB2312"/>
          <w:b/>
          <w:bCs/>
          <w:kern w:val="2"/>
          <w:szCs w:val="24"/>
          <w:highlight w:val="none"/>
        </w:rPr>
      </w:pPr>
    </w:p>
    <w:p w14:paraId="11949EA8">
      <w:pPr>
        <w:widowControl/>
        <w:spacing w:line="240" w:lineRule="auto"/>
        <w:ind w:firstLine="0" w:firstLineChars="0"/>
        <w:jc w:val="center"/>
        <w:rPr>
          <w:rFonts w:cs="@仿宋_GB2312"/>
          <w:b/>
          <w:bCs/>
          <w:kern w:val="2"/>
          <w:szCs w:val="24"/>
          <w:highlight w:val="none"/>
        </w:rPr>
      </w:pPr>
    </w:p>
    <w:p w14:paraId="32190C75">
      <w:pPr>
        <w:widowControl/>
        <w:spacing w:line="240" w:lineRule="auto"/>
        <w:ind w:firstLine="0" w:firstLineChars="0"/>
        <w:jc w:val="center"/>
        <w:rPr>
          <w:rFonts w:cs="@仿宋_GB2312"/>
          <w:b/>
          <w:bCs/>
          <w:kern w:val="2"/>
          <w:szCs w:val="24"/>
          <w:highlight w:val="none"/>
        </w:rPr>
      </w:pPr>
    </w:p>
    <w:p w14:paraId="66D87144">
      <w:pPr>
        <w:widowControl/>
        <w:spacing w:line="240" w:lineRule="auto"/>
        <w:ind w:firstLine="0" w:firstLineChars="0"/>
        <w:jc w:val="center"/>
        <w:rPr>
          <w:rFonts w:cs="@仿宋_GB2312"/>
          <w:b/>
          <w:bCs/>
          <w:kern w:val="2"/>
          <w:szCs w:val="24"/>
          <w:highlight w:val="none"/>
        </w:rPr>
      </w:pPr>
    </w:p>
    <w:p w14:paraId="4E7B70FA">
      <w:pPr>
        <w:widowControl/>
        <w:spacing w:line="240" w:lineRule="auto"/>
        <w:ind w:firstLine="0" w:firstLineChars="0"/>
        <w:jc w:val="center"/>
        <w:rPr>
          <w:rFonts w:cs="@仿宋_GB2312"/>
          <w:b/>
          <w:bCs/>
          <w:kern w:val="2"/>
          <w:szCs w:val="24"/>
          <w:highlight w:val="none"/>
        </w:rPr>
      </w:pPr>
    </w:p>
    <w:p w14:paraId="2F0E8B47">
      <w:pPr>
        <w:widowControl/>
        <w:spacing w:line="240" w:lineRule="auto"/>
        <w:ind w:firstLine="0" w:firstLineChars="0"/>
        <w:jc w:val="center"/>
        <w:rPr>
          <w:rFonts w:cs="@仿宋_GB2312"/>
          <w:b/>
          <w:bCs/>
          <w:kern w:val="2"/>
          <w:szCs w:val="24"/>
          <w:highlight w:val="none"/>
        </w:rPr>
      </w:pPr>
    </w:p>
    <w:p w14:paraId="09B58B6C">
      <w:pPr>
        <w:widowControl/>
        <w:spacing w:line="240" w:lineRule="auto"/>
        <w:ind w:firstLine="0" w:firstLineChars="0"/>
        <w:jc w:val="center"/>
        <w:rPr>
          <w:rFonts w:cs="@仿宋_GB2312"/>
          <w:b/>
          <w:bCs/>
          <w:kern w:val="2"/>
          <w:szCs w:val="24"/>
          <w:highlight w:val="none"/>
        </w:rPr>
      </w:pPr>
    </w:p>
    <w:p w14:paraId="27FAC653">
      <w:pPr>
        <w:widowControl/>
        <w:spacing w:line="240" w:lineRule="auto"/>
        <w:ind w:firstLine="0" w:firstLineChars="0"/>
        <w:jc w:val="center"/>
        <w:rPr>
          <w:rFonts w:cs="@仿宋_GB2312"/>
          <w:b/>
          <w:bCs/>
          <w:kern w:val="2"/>
          <w:szCs w:val="24"/>
          <w:highlight w:val="none"/>
        </w:rPr>
      </w:pPr>
    </w:p>
    <w:p w14:paraId="21A7556F">
      <w:pPr>
        <w:widowControl/>
        <w:spacing w:line="240" w:lineRule="auto"/>
        <w:ind w:firstLine="0" w:firstLineChars="0"/>
        <w:jc w:val="center"/>
        <w:rPr>
          <w:rFonts w:cs="@仿宋_GB2312"/>
          <w:b/>
          <w:bCs/>
          <w:kern w:val="2"/>
          <w:szCs w:val="24"/>
          <w:highlight w:val="none"/>
        </w:rPr>
      </w:pPr>
    </w:p>
    <w:p w14:paraId="6B29386B">
      <w:pPr>
        <w:widowControl/>
        <w:spacing w:line="240" w:lineRule="auto"/>
        <w:ind w:firstLine="0" w:firstLineChars="0"/>
        <w:jc w:val="center"/>
        <w:rPr>
          <w:rFonts w:cs="@仿宋_GB2312"/>
          <w:b/>
          <w:bCs/>
          <w:kern w:val="2"/>
          <w:szCs w:val="24"/>
          <w:highlight w:val="none"/>
        </w:rPr>
      </w:pPr>
    </w:p>
    <w:p w14:paraId="1F0DF3B0">
      <w:pPr>
        <w:widowControl/>
        <w:spacing w:line="240" w:lineRule="auto"/>
        <w:ind w:firstLine="0" w:firstLineChars="0"/>
        <w:jc w:val="center"/>
        <w:rPr>
          <w:rFonts w:cs="@仿宋_GB2312"/>
          <w:b/>
          <w:bCs/>
          <w:kern w:val="2"/>
          <w:szCs w:val="24"/>
          <w:highlight w:val="none"/>
        </w:rPr>
      </w:pPr>
    </w:p>
    <w:p w14:paraId="059AF13C">
      <w:pPr>
        <w:widowControl/>
        <w:spacing w:line="240" w:lineRule="auto"/>
        <w:ind w:firstLine="0" w:firstLineChars="0"/>
        <w:jc w:val="center"/>
        <w:rPr>
          <w:rFonts w:cs="@仿宋_GB2312"/>
          <w:b/>
          <w:bCs/>
          <w:kern w:val="2"/>
          <w:szCs w:val="24"/>
          <w:highlight w:val="none"/>
        </w:rPr>
      </w:pPr>
    </w:p>
    <w:p w14:paraId="385E7945">
      <w:pPr>
        <w:spacing w:after="120" w:line="480" w:lineRule="auto"/>
        <w:ind w:firstLine="482"/>
        <w:rPr>
          <w:rFonts w:cs="宋体"/>
          <w:b/>
          <w:bCs/>
          <w:kern w:val="2"/>
          <w:szCs w:val="24"/>
          <w:highlight w:val="none"/>
        </w:rPr>
      </w:pPr>
      <w:r>
        <w:rPr>
          <w:rFonts w:hint="eastAsia" w:cs="宋体"/>
          <w:b/>
          <w:bCs/>
          <w:kern w:val="2"/>
          <w:szCs w:val="24"/>
          <w:highlight w:val="none"/>
        </w:rPr>
        <w:t>如需开具电子交易服务费用发票请在本页附上开票信息，开票信息按照下列格式填写，发票开具后可在单位税务数字账户中查收，如未填写或填写不完整后期自行带转账回单至肥光办公区3号楼2楼窗口开具。</w:t>
      </w:r>
    </w:p>
    <w:p w14:paraId="732F1EDB">
      <w:pPr>
        <w:ind w:firstLine="0" w:firstLineChars="0"/>
        <w:rPr>
          <w:rFonts w:cs="宋体"/>
          <w:b/>
          <w:kern w:val="2"/>
          <w:szCs w:val="24"/>
          <w:highlight w:val="none"/>
        </w:rPr>
      </w:pPr>
      <w:r>
        <w:rPr>
          <w:rFonts w:hint="eastAsia" w:cs="宋体"/>
          <w:b/>
          <w:kern w:val="2"/>
          <w:szCs w:val="24"/>
          <w:highlight w:val="none"/>
        </w:rPr>
        <w:t>开票信息：</w:t>
      </w:r>
    </w:p>
    <w:p w14:paraId="40FE51F7">
      <w:pPr>
        <w:spacing w:after="120"/>
        <w:ind w:firstLine="0" w:firstLineChars="0"/>
        <w:rPr>
          <w:rFonts w:cs="宋体"/>
          <w:b/>
          <w:kern w:val="2"/>
          <w:szCs w:val="24"/>
          <w:highlight w:val="none"/>
        </w:rPr>
      </w:pPr>
      <w:r>
        <w:rPr>
          <w:rFonts w:hint="eastAsia" w:cs="宋体"/>
          <w:b/>
          <w:kern w:val="2"/>
          <w:szCs w:val="24"/>
          <w:highlight w:val="none"/>
        </w:rPr>
        <w:t>发票类型：</w:t>
      </w:r>
      <w:r>
        <w:rPr>
          <w:rFonts w:hint="eastAsia" w:cs="宋体"/>
          <w:b/>
          <w:kern w:val="2"/>
          <w:szCs w:val="24"/>
          <w:highlight w:val="none"/>
          <w:u w:val="single"/>
        </w:rPr>
        <w:t xml:space="preserve">               </w:t>
      </w:r>
      <w:r>
        <w:rPr>
          <w:rFonts w:hint="eastAsia" w:cs="宋体"/>
          <w:b/>
          <w:kern w:val="2"/>
          <w:szCs w:val="24"/>
          <w:highlight w:val="none"/>
        </w:rPr>
        <w:t>（专票或普票）</w:t>
      </w:r>
    </w:p>
    <w:p w14:paraId="751FC09C">
      <w:pPr>
        <w:ind w:firstLine="0" w:firstLineChars="0"/>
        <w:rPr>
          <w:rFonts w:cs="宋体"/>
          <w:b/>
          <w:kern w:val="2"/>
          <w:szCs w:val="24"/>
          <w:highlight w:val="none"/>
        </w:rPr>
      </w:pPr>
      <w:r>
        <w:rPr>
          <w:rFonts w:hint="eastAsia" w:cs="宋体"/>
          <w:b/>
          <w:kern w:val="2"/>
          <w:szCs w:val="24"/>
          <w:highlight w:val="none"/>
        </w:rPr>
        <w:t>公司名称：</w:t>
      </w:r>
      <w:r>
        <w:rPr>
          <w:rFonts w:hint="eastAsia" w:cs="宋体"/>
          <w:kern w:val="1"/>
          <w:szCs w:val="24"/>
          <w:highlight w:val="none"/>
        </w:rPr>
        <w:t xml:space="preserve"> </w:t>
      </w:r>
      <w:r>
        <w:rPr>
          <w:rFonts w:hint="eastAsia" w:cs="宋体"/>
          <w:kern w:val="1"/>
          <w:szCs w:val="24"/>
          <w:highlight w:val="none"/>
          <w:u w:val="single"/>
        </w:rPr>
        <w:t xml:space="preserve">                           </w:t>
      </w:r>
      <w:r>
        <w:rPr>
          <w:rFonts w:hint="eastAsia" w:cs="宋体"/>
          <w:kern w:val="1"/>
          <w:szCs w:val="24"/>
          <w:highlight w:val="none"/>
        </w:rPr>
        <w:t xml:space="preserve">     </w:t>
      </w:r>
    </w:p>
    <w:p w14:paraId="070950B6">
      <w:pPr>
        <w:widowControl/>
        <w:ind w:firstLine="0" w:firstLineChars="0"/>
        <w:jc w:val="left"/>
        <w:rPr>
          <w:rFonts w:cs="宋体"/>
          <w:b/>
          <w:kern w:val="2"/>
          <w:szCs w:val="24"/>
          <w:highlight w:val="none"/>
          <w:u w:val="single"/>
        </w:rPr>
      </w:pPr>
      <w:r>
        <w:rPr>
          <w:rFonts w:hint="eastAsia" w:cs="宋体"/>
          <w:b/>
          <w:kern w:val="2"/>
          <w:szCs w:val="24"/>
          <w:highlight w:val="none"/>
        </w:rPr>
        <w:t>纳税识别号：</w:t>
      </w:r>
      <w:r>
        <w:rPr>
          <w:rFonts w:hint="eastAsia" w:cs="宋体"/>
          <w:b/>
          <w:kern w:val="2"/>
          <w:szCs w:val="24"/>
          <w:highlight w:val="none"/>
          <w:u w:val="single"/>
        </w:rPr>
        <w:t xml:space="preserve">                          </w:t>
      </w:r>
    </w:p>
    <w:p w14:paraId="380A9F8E">
      <w:pPr>
        <w:widowControl/>
        <w:ind w:firstLine="0" w:firstLineChars="0"/>
        <w:jc w:val="left"/>
        <w:rPr>
          <w:rFonts w:cs="宋体"/>
          <w:b/>
          <w:kern w:val="2"/>
          <w:szCs w:val="24"/>
          <w:highlight w:val="none"/>
          <w:u w:val="single"/>
        </w:rPr>
      </w:pPr>
      <w:r>
        <w:rPr>
          <w:rFonts w:hint="eastAsia" w:cs="宋体"/>
          <w:b/>
          <w:kern w:val="2"/>
          <w:szCs w:val="24"/>
          <w:highlight w:val="none"/>
        </w:rPr>
        <w:t>开户行名称：</w:t>
      </w:r>
      <w:r>
        <w:rPr>
          <w:rFonts w:hint="eastAsia" w:cs="宋体"/>
          <w:b/>
          <w:kern w:val="2"/>
          <w:szCs w:val="24"/>
          <w:highlight w:val="none"/>
          <w:u w:val="single"/>
        </w:rPr>
        <w:t xml:space="preserve">                          </w:t>
      </w:r>
    </w:p>
    <w:p w14:paraId="6E7985A5">
      <w:pPr>
        <w:widowControl/>
        <w:spacing w:line="240" w:lineRule="auto"/>
        <w:ind w:firstLine="0" w:firstLineChars="0"/>
        <w:jc w:val="left"/>
        <w:rPr>
          <w:rFonts w:cs="宋体"/>
          <w:b/>
          <w:bCs/>
          <w:kern w:val="2"/>
          <w:szCs w:val="24"/>
          <w:highlight w:val="none"/>
        </w:rPr>
      </w:pPr>
      <w:r>
        <w:rPr>
          <w:rFonts w:hint="eastAsia" w:cs="宋体"/>
          <w:b/>
          <w:kern w:val="2"/>
          <w:szCs w:val="24"/>
          <w:highlight w:val="none"/>
        </w:rPr>
        <w:t>开户行账号：</w:t>
      </w:r>
      <w:r>
        <w:rPr>
          <w:rFonts w:hint="eastAsia" w:cs="宋体"/>
          <w:b/>
          <w:kern w:val="2"/>
          <w:szCs w:val="24"/>
          <w:highlight w:val="none"/>
          <w:u w:val="single"/>
        </w:rPr>
        <w:t xml:space="preserve">                          </w:t>
      </w:r>
    </w:p>
    <w:p w14:paraId="654E1AE1">
      <w:pPr>
        <w:widowControl/>
        <w:spacing w:line="240" w:lineRule="auto"/>
        <w:ind w:firstLine="0" w:firstLineChars="0"/>
        <w:rPr>
          <w:rFonts w:cs="@仿宋_GB2312"/>
          <w:b/>
          <w:bCs/>
          <w:kern w:val="2"/>
          <w:szCs w:val="24"/>
          <w:highlight w:val="none"/>
        </w:rPr>
      </w:pPr>
    </w:p>
    <w:p w14:paraId="1D074C14">
      <w:pPr>
        <w:widowControl/>
        <w:spacing w:line="240" w:lineRule="auto"/>
        <w:ind w:firstLine="0" w:firstLineChars="0"/>
        <w:jc w:val="center"/>
        <w:rPr>
          <w:rFonts w:cs="@仿宋_GB2312"/>
          <w:b/>
          <w:bCs/>
          <w:kern w:val="2"/>
          <w:szCs w:val="24"/>
          <w:highlight w:val="none"/>
        </w:rPr>
      </w:pPr>
    </w:p>
    <w:p w14:paraId="6B8F2973">
      <w:pPr>
        <w:widowControl/>
        <w:spacing w:line="240" w:lineRule="auto"/>
        <w:ind w:firstLine="0" w:firstLineChars="0"/>
        <w:jc w:val="left"/>
        <w:rPr>
          <w:rFonts w:asciiTheme="minorEastAsia" w:hAnsiTheme="minorEastAsia" w:eastAsiaTheme="minorEastAsia"/>
          <w:b/>
          <w:highlight w:val="none"/>
        </w:rPr>
      </w:pPr>
      <w:r>
        <w:rPr>
          <w:rFonts w:hint="eastAsia" w:asciiTheme="minorEastAsia" w:hAnsiTheme="minorEastAsia" w:eastAsiaTheme="minorEastAsia"/>
          <w:b/>
          <w:highlight w:val="none"/>
        </w:rPr>
        <w:br w:type="page"/>
      </w:r>
    </w:p>
    <w:p w14:paraId="29AC0866">
      <w:pPr>
        <w:ind w:firstLine="482"/>
        <w:jc w:val="center"/>
        <w:outlineLvl w:val="2"/>
        <w:rPr>
          <w:rFonts w:hint="eastAsia" w:asciiTheme="minorEastAsia" w:hAnsiTheme="minorEastAsia" w:eastAsiaTheme="minorEastAsia"/>
          <w:b/>
          <w:highlight w:val="none"/>
          <w:lang w:val="en-US" w:eastAsia="zh-CN"/>
        </w:rPr>
      </w:pPr>
      <w:r>
        <w:rPr>
          <w:rFonts w:hint="eastAsia" w:asciiTheme="minorEastAsia" w:hAnsiTheme="minorEastAsia" w:eastAsiaTheme="minorEastAsia"/>
          <w:b/>
          <w:highlight w:val="none"/>
          <w:lang w:val="en-US" w:eastAsia="zh-CN"/>
        </w:rPr>
        <w:t>九、联合协议</w:t>
      </w:r>
    </w:p>
    <w:p w14:paraId="53435B40">
      <w:pPr>
        <w:spacing w:line="360" w:lineRule="auto"/>
        <w:ind w:firstLine="435"/>
        <w:rPr>
          <w:rFonts w:asciiTheme="minorEastAsia" w:hAnsiTheme="minorEastAsia" w:eastAsiaTheme="minorEastAsia"/>
          <w:sz w:val="24"/>
          <w:highlight w:val="none"/>
        </w:rPr>
      </w:pPr>
    </w:p>
    <w:p w14:paraId="53EF8189">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4FCEA1B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7498227">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25CA4DE1">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上述各成员单位经过友好协商，自愿组成</w:t>
      </w:r>
      <w:r>
        <w:rPr>
          <w:rFonts w:asciiTheme="minorEastAsia" w:hAnsiTheme="minorEastAsia" w:eastAsiaTheme="minorEastAsia"/>
          <w:sz w:val="24"/>
          <w:highlight w:val="none"/>
        </w:rPr>
        <w:t>联合体，共同参加</w:t>
      </w:r>
      <w:r>
        <w:rPr>
          <w:rFonts w:hint="eastAsia" w:asciiTheme="minorEastAsia" w:hAnsiTheme="minorEastAsia" w:eastAsiaTheme="minorEastAsia"/>
          <w:sz w:val="24"/>
          <w:highlight w:val="none"/>
        </w:rPr>
        <w:t>本项目的磋商，</w:t>
      </w:r>
      <w:r>
        <w:rPr>
          <w:rFonts w:asciiTheme="minorEastAsia" w:hAnsiTheme="minorEastAsia" w:eastAsiaTheme="minorEastAsia"/>
          <w:sz w:val="24"/>
          <w:highlight w:val="none"/>
        </w:rPr>
        <w:t>现就联合体参加磋商事宜订立如下协议：</w:t>
      </w:r>
    </w:p>
    <w:p w14:paraId="541D9E5F">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u w:val="single"/>
        </w:rPr>
        <w:t xml:space="preserve">       </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（某成员单位名称）为联合体牵头人。</w:t>
      </w:r>
    </w:p>
    <w:p w14:paraId="3D43C615">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在本项目磋商阶段，联合体牵头人负责磋商项目的一切组织、协调工作，并授权代理人以联合体的名义参加项目的磋商，代理人在磋商、合同签订过程中所签署的一切文件和处理与本次磋商有关的一切事务，联合体各方均予以承认并承担法律责任。联合体成交后，联合体各方共同与采购人签订合同，就本项目对采购人承担连带责任。</w:t>
      </w:r>
    </w:p>
    <w:p w14:paraId="63B3060E">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w:t>
      </w:r>
      <w:r>
        <w:rPr>
          <w:rFonts w:asciiTheme="minorEastAsia" w:hAnsiTheme="minorEastAsia" w:eastAsiaTheme="minorEastAsia"/>
          <w:sz w:val="24"/>
          <w:highlight w:val="none"/>
        </w:rPr>
        <w:t>.联合体各成员单位内部的职责分工</w:t>
      </w:r>
      <w:r>
        <w:rPr>
          <w:rFonts w:hint="eastAsia" w:asciiTheme="minorEastAsia" w:hAnsiTheme="minorEastAsia" w:eastAsiaTheme="minorEastAsia"/>
          <w:sz w:val="24"/>
          <w:highlight w:val="none"/>
        </w:rPr>
        <w:t>及各方负责内容的合同金额占总合同金额的百分比</w:t>
      </w:r>
      <w:r>
        <w:rPr>
          <w:rFonts w:asciiTheme="minorEastAsia" w:hAnsiTheme="minorEastAsia" w:eastAsiaTheme="minorEastAsia"/>
          <w:sz w:val="24"/>
          <w:highlight w:val="none"/>
        </w:rPr>
        <w:t>如下：</w:t>
      </w:r>
    </w:p>
    <w:p w14:paraId="3C4DA35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联合体成员一名称：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67B90E28">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联合体成员二名称：</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，承担</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工作，负责内容的合同金额占总合同金额的百分比：</w:t>
      </w:r>
      <w:r>
        <w:rPr>
          <w:rFonts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w:t>
      </w:r>
    </w:p>
    <w:p w14:paraId="37424CA6">
      <w:pPr>
        <w:spacing w:line="360" w:lineRule="auto"/>
        <w:ind w:firstLine="435"/>
        <w:rPr>
          <w:rFonts w:asciiTheme="minorEastAsia" w:hAnsiTheme="minorEastAsia" w:eastAsiaTheme="minorEastAsia"/>
          <w:sz w:val="24"/>
          <w:highlight w:val="none"/>
          <w:u w:val="single"/>
        </w:rPr>
      </w:pPr>
      <w:r>
        <w:rPr>
          <w:rFonts w:hint="eastAsia" w:asciiTheme="minorEastAsia" w:hAnsiTheme="minorEastAsia" w:eastAsiaTheme="minorEastAsia"/>
          <w:sz w:val="24"/>
          <w:highlight w:val="none"/>
        </w:rPr>
        <w:t>…………</w:t>
      </w:r>
    </w:p>
    <w:p w14:paraId="737B0FEA">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4．</w:t>
      </w:r>
      <w:r>
        <w:rPr>
          <w:rFonts w:hint="eastAsia" w:asciiTheme="minorEastAsia" w:hAnsiTheme="minorEastAsia" w:eastAsiaTheme="minorEastAsia"/>
          <w:sz w:val="24"/>
          <w:highlight w:val="none"/>
        </w:rPr>
        <w:t>磋商</w:t>
      </w:r>
      <w:r>
        <w:rPr>
          <w:rFonts w:asciiTheme="minorEastAsia" w:hAnsiTheme="minorEastAsia" w:eastAsiaTheme="minorEastAsia"/>
          <w:sz w:val="24"/>
          <w:highlight w:val="none"/>
        </w:rPr>
        <w:t>工作和联合体在</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后</w:t>
      </w:r>
      <w:r>
        <w:rPr>
          <w:rFonts w:hint="eastAsia" w:asciiTheme="minorEastAsia" w:hAnsiTheme="minorEastAsia" w:eastAsiaTheme="minorEastAsia"/>
          <w:sz w:val="24"/>
          <w:highlight w:val="none"/>
        </w:rPr>
        <w:t>项目</w:t>
      </w:r>
      <w:r>
        <w:rPr>
          <w:rFonts w:asciiTheme="minorEastAsia" w:hAnsiTheme="minorEastAsia" w:eastAsiaTheme="minorEastAsia"/>
          <w:sz w:val="24"/>
          <w:highlight w:val="none"/>
        </w:rPr>
        <w:t>实施过程中的有关费用按各自承担的工作量分摊。</w:t>
      </w:r>
    </w:p>
    <w:p w14:paraId="0E8571EE">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5．联合体</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后，本联合协议是合同的附件，对联合体各成员单位有合同约束力。</w:t>
      </w:r>
    </w:p>
    <w:p w14:paraId="37175E6B">
      <w:pPr>
        <w:spacing w:line="360" w:lineRule="auto"/>
        <w:ind w:firstLine="435"/>
        <w:rPr>
          <w:rFonts w:asciiTheme="minorEastAsia" w:hAnsiTheme="minorEastAsia" w:eastAsiaTheme="minorEastAsia"/>
          <w:sz w:val="24"/>
          <w:highlight w:val="none"/>
        </w:rPr>
      </w:pPr>
      <w:r>
        <w:rPr>
          <w:rFonts w:asciiTheme="minorEastAsia" w:hAnsiTheme="minorEastAsia" w:eastAsiaTheme="minorEastAsia"/>
          <w:sz w:val="24"/>
          <w:highlight w:val="none"/>
        </w:rPr>
        <w:t>6．本协议书自签署之日起生效，联合体未</w:t>
      </w:r>
      <w:r>
        <w:rPr>
          <w:rFonts w:hint="eastAsia" w:asciiTheme="minorEastAsia" w:hAnsiTheme="minorEastAsia" w:eastAsiaTheme="minorEastAsia"/>
          <w:sz w:val="24"/>
          <w:highlight w:val="none"/>
        </w:rPr>
        <w:t>成交</w:t>
      </w:r>
      <w:r>
        <w:rPr>
          <w:rFonts w:asciiTheme="minorEastAsia" w:hAnsiTheme="minorEastAsia" w:eastAsiaTheme="minorEastAsia"/>
          <w:sz w:val="24"/>
          <w:highlight w:val="none"/>
        </w:rPr>
        <w:t>或者合同履行完毕后自动失效。</w:t>
      </w:r>
    </w:p>
    <w:p w14:paraId="3B5A752D">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联合体成员一：</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12722DDC">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0262E343">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联合体成员二：</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（公章）</w:t>
      </w:r>
    </w:p>
    <w:p w14:paraId="6882A027">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法定代表人：</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（签字或盖章）</w:t>
      </w:r>
    </w:p>
    <w:p w14:paraId="5F197FF2">
      <w:pPr>
        <w:spacing w:line="360" w:lineRule="auto"/>
        <w:ind w:firstLine="435"/>
        <w:rPr>
          <w:rFonts w:asciiTheme="minorEastAsia" w:hAnsiTheme="minorEastAsia" w:eastAsiaTheme="minorEastAsia"/>
          <w:sz w:val="24"/>
          <w:highlight w:val="none"/>
        </w:rPr>
      </w:pPr>
      <w:r>
        <w:rPr>
          <w:rFonts w:hint="eastAsia" w:asciiTheme="minorEastAsia" w:hAnsiTheme="minorEastAsia" w:eastAsiaTheme="minorEastAsia"/>
          <w:sz w:val="24"/>
          <w:highlight w:val="none"/>
        </w:rPr>
        <w:t>…………</w:t>
      </w:r>
    </w:p>
    <w:p w14:paraId="53AE6603">
      <w:pPr>
        <w:spacing w:line="360" w:lineRule="auto"/>
        <w:ind w:right="480" w:firstLine="4680" w:firstLineChars="195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签订日期</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u w:val="single"/>
        </w:rPr>
        <w:t xml:space="preserve">  </w:t>
      </w:r>
      <w:r>
        <w:rPr>
          <w:rFonts w:hint="eastAsia" w:asciiTheme="minorEastAsia" w:hAnsiTheme="minorEastAsia" w:eastAsiaTheme="minorEastAsia"/>
          <w:sz w:val="24"/>
          <w:highlight w:val="none"/>
        </w:rPr>
        <w:t>日</w:t>
      </w:r>
    </w:p>
    <w:p w14:paraId="0FFFD3C6">
      <w:pPr>
        <w:ind w:firstLine="482"/>
        <w:jc w:val="center"/>
        <w:outlineLvl w:val="2"/>
        <w:rPr>
          <w:rFonts w:hint="eastAsia" w:asciiTheme="minorEastAsia" w:hAnsiTheme="minorEastAsia" w:eastAsiaTheme="minorEastAsia"/>
          <w:b/>
          <w:highlight w:val="none"/>
          <w:lang w:val="en-US" w:eastAsia="zh-CN"/>
        </w:rPr>
      </w:pPr>
    </w:p>
    <w:p w14:paraId="5EC4ED8E">
      <w:pPr>
        <w:ind w:firstLine="482"/>
        <w:jc w:val="center"/>
        <w:outlineLvl w:val="2"/>
        <w:rPr>
          <w:rFonts w:hint="eastAsia" w:asciiTheme="minorEastAsia" w:hAnsiTheme="minorEastAsia" w:eastAsiaTheme="minorEastAsia"/>
          <w:b/>
          <w:highlight w:val="none"/>
          <w:lang w:val="en-US" w:eastAsia="zh-CN"/>
        </w:rPr>
      </w:pPr>
    </w:p>
    <w:p w14:paraId="1553B71E">
      <w:pPr>
        <w:ind w:firstLine="482"/>
        <w:jc w:val="center"/>
        <w:outlineLvl w:val="2"/>
        <w:rPr>
          <w:rFonts w:hint="eastAsia" w:asciiTheme="minorEastAsia" w:hAnsiTheme="minorEastAsia" w:eastAsiaTheme="minorEastAsia"/>
          <w:b/>
          <w:highlight w:val="none"/>
          <w:lang w:val="en-US" w:eastAsia="zh-CN"/>
        </w:rPr>
      </w:pPr>
    </w:p>
    <w:p w14:paraId="7C18CBB8">
      <w:pPr>
        <w:ind w:firstLine="482"/>
        <w:jc w:val="center"/>
        <w:outlineLvl w:val="2"/>
        <w:rPr>
          <w:rFonts w:hint="eastAsia" w:asciiTheme="minorEastAsia" w:hAnsiTheme="minorEastAsia" w:eastAsiaTheme="minorEastAsia"/>
          <w:b/>
          <w:highlight w:val="none"/>
          <w:lang w:val="en-US" w:eastAsia="zh-CN"/>
        </w:rPr>
      </w:pPr>
    </w:p>
    <w:p w14:paraId="5C2027A6">
      <w:pPr>
        <w:ind w:firstLine="482"/>
        <w:jc w:val="center"/>
        <w:outlineLvl w:val="2"/>
        <w:rPr>
          <w:rFonts w:hint="eastAsia" w:asciiTheme="minorEastAsia" w:hAnsiTheme="minorEastAsia" w:eastAsiaTheme="minorEastAsia"/>
          <w:b/>
          <w:highlight w:val="none"/>
          <w:lang w:val="en-US" w:eastAsia="zh-CN"/>
        </w:rPr>
      </w:pPr>
    </w:p>
    <w:p w14:paraId="35330F62">
      <w:pPr>
        <w:ind w:firstLine="482"/>
        <w:jc w:val="center"/>
        <w:outlineLvl w:val="2"/>
        <w:rPr>
          <w:rFonts w:hint="eastAsia" w:asciiTheme="minorEastAsia" w:hAnsiTheme="minorEastAsia" w:eastAsiaTheme="minorEastAsia"/>
          <w:b/>
          <w:highlight w:val="none"/>
          <w:lang w:val="en-US" w:eastAsia="zh-CN"/>
        </w:rPr>
      </w:pPr>
    </w:p>
    <w:p w14:paraId="33759A83">
      <w:pPr>
        <w:ind w:firstLine="482"/>
        <w:jc w:val="center"/>
        <w:outlineLvl w:val="2"/>
        <w:rPr>
          <w:rFonts w:hint="eastAsia" w:asciiTheme="minorEastAsia" w:hAnsiTheme="minorEastAsia" w:eastAsiaTheme="minorEastAsia"/>
          <w:b/>
          <w:highlight w:val="none"/>
          <w:lang w:val="en-US" w:eastAsia="zh-CN"/>
        </w:rPr>
      </w:pPr>
    </w:p>
    <w:p w14:paraId="1C3B17EA">
      <w:pPr>
        <w:ind w:firstLine="482"/>
        <w:jc w:val="center"/>
        <w:outlineLvl w:val="2"/>
        <w:rPr>
          <w:rFonts w:hint="eastAsia" w:asciiTheme="minorEastAsia" w:hAnsiTheme="minorEastAsia" w:eastAsiaTheme="minorEastAsia"/>
          <w:b/>
          <w:highlight w:val="none"/>
          <w:lang w:val="en-US" w:eastAsia="zh-CN"/>
        </w:rPr>
      </w:pPr>
    </w:p>
    <w:p w14:paraId="3963D448">
      <w:pPr>
        <w:ind w:firstLine="482"/>
        <w:jc w:val="center"/>
        <w:outlineLvl w:val="2"/>
        <w:rPr>
          <w:rFonts w:hint="eastAsia" w:asciiTheme="minorEastAsia" w:hAnsiTheme="minorEastAsia" w:eastAsiaTheme="minorEastAsia"/>
          <w:b/>
          <w:highlight w:val="none"/>
          <w:lang w:val="en-US" w:eastAsia="zh-CN"/>
        </w:rPr>
      </w:pPr>
    </w:p>
    <w:p w14:paraId="4957C5AD">
      <w:pPr>
        <w:ind w:firstLine="482"/>
        <w:jc w:val="center"/>
        <w:outlineLvl w:val="2"/>
        <w:rPr>
          <w:rFonts w:hint="eastAsia" w:asciiTheme="minorEastAsia" w:hAnsiTheme="minorEastAsia" w:eastAsiaTheme="minorEastAsia"/>
          <w:b/>
          <w:highlight w:val="none"/>
          <w:lang w:val="en-US" w:eastAsia="zh-CN"/>
        </w:rPr>
      </w:pPr>
    </w:p>
    <w:p w14:paraId="5D5BCA6B">
      <w:pPr>
        <w:ind w:firstLine="482"/>
        <w:jc w:val="center"/>
        <w:outlineLvl w:val="2"/>
        <w:rPr>
          <w:rFonts w:hint="eastAsia" w:asciiTheme="minorEastAsia" w:hAnsiTheme="minorEastAsia" w:eastAsiaTheme="minorEastAsia"/>
          <w:b/>
          <w:highlight w:val="none"/>
          <w:lang w:val="en-US" w:eastAsia="zh-CN"/>
        </w:rPr>
      </w:pPr>
    </w:p>
    <w:p w14:paraId="3B093D30">
      <w:pPr>
        <w:ind w:firstLine="482"/>
        <w:jc w:val="center"/>
        <w:outlineLvl w:val="2"/>
        <w:rPr>
          <w:rFonts w:hint="eastAsia" w:asciiTheme="minorEastAsia" w:hAnsiTheme="minorEastAsia" w:eastAsiaTheme="minorEastAsia"/>
          <w:b/>
          <w:highlight w:val="none"/>
          <w:lang w:val="en-US" w:eastAsia="zh-CN"/>
        </w:rPr>
      </w:pPr>
    </w:p>
    <w:p w14:paraId="4861E156">
      <w:pPr>
        <w:ind w:firstLine="482"/>
        <w:jc w:val="center"/>
        <w:outlineLvl w:val="2"/>
        <w:rPr>
          <w:rFonts w:hint="eastAsia" w:asciiTheme="minorEastAsia" w:hAnsiTheme="minorEastAsia" w:eastAsiaTheme="minorEastAsia"/>
          <w:b/>
          <w:highlight w:val="none"/>
          <w:lang w:val="en-US" w:eastAsia="zh-CN"/>
        </w:rPr>
      </w:pPr>
    </w:p>
    <w:p w14:paraId="0E50877E">
      <w:pPr>
        <w:ind w:firstLine="482"/>
        <w:jc w:val="center"/>
        <w:outlineLvl w:val="2"/>
        <w:rPr>
          <w:rFonts w:hint="eastAsia" w:asciiTheme="minorEastAsia" w:hAnsiTheme="minorEastAsia" w:eastAsiaTheme="minorEastAsia"/>
          <w:b/>
          <w:highlight w:val="none"/>
          <w:lang w:val="en-US" w:eastAsia="zh-CN"/>
        </w:rPr>
      </w:pPr>
    </w:p>
    <w:p w14:paraId="00B4B1F3">
      <w:pPr>
        <w:ind w:firstLine="482"/>
        <w:jc w:val="center"/>
        <w:outlineLvl w:val="2"/>
        <w:rPr>
          <w:rFonts w:hint="eastAsia" w:asciiTheme="minorEastAsia" w:hAnsiTheme="minorEastAsia" w:eastAsiaTheme="minorEastAsia"/>
          <w:b/>
          <w:highlight w:val="none"/>
          <w:lang w:val="en-US" w:eastAsia="zh-CN"/>
        </w:rPr>
      </w:pPr>
    </w:p>
    <w:p w14:paraId="1E940AF4">
      <w:pPr>
        <w:ind w:firstLine="482"/>
        <w:jc w:val="center"/>
        <w:outlineLvl w:val="2"/>
        <w:rPr>
          <w:rFonts w:hint="eastAsia" w:asciiTheme="minorEastAsia" w:hAnsiTheme="minorEastAsia" w:eastAsiaTheme="minorEastAsia"/>
          <w:b/>
          <w:highlight w:val="none"/>
          <w:lang w:val="en-US" w:eastAsia="zh-CN"/>
        </w:rPr>
      </w:pPr>
    </w:p>
    <w:p w14:paraId="61B09889">
      <w:pPr>
        <w:ind w:firstLine="482"/>
        <w:jc w:val="center"/>
        <w:outlineLvl w:val="2"/>
        <w:rPr>
          <w:rFonts w:hint="eastAsia" w:asciiTheme="minorEastAsia" w:hAnsiTheme="minorEastAsia" w:eastAsiaTheme="minorEastAsia"/>
          <w:b/>
          <w:highlight w:val="none"/>
          <w:lang w:val="en-US" w:eastAsia="zh-CN"/>
        </w:rPr>
      </w:pPr>
    </w:p>
    <w:p w14:paraId="3CAA3EE9">
      <w:pPr>
        <w:ind w:firstLine="482"/>
        <w:jc w:val="center"/>
        <w:outlineLvl w:val="2"/>
        <w:rPr>
          <w:rFonts w:hint="eastAsia" w:asciiTheme="minorEastAsia" w:hAnsiTheme="minorEastAsia" w:eastAsiaTheme="minorEastAsia"/>
          <w:b/>
          <w:highlight w:val="none"/>
          <w:lang w:val="en-US" w:eastAsia="zh-CN"/>
        </w:rPr>
      </w:pPr>
    </w:p>
    <w:p w14:paraId="75479211">
      <w:pPr>
        <w:ind w:firstLine="482"/>
        <w:jc w:val="center"/>
        <w:outlineLvl w:val="2"/>
        <w:rPr>
          <w:rFonts w:hint="eastAsia" w:asciiTheme="minorEastAsia" w:hAnsiTheme="minorEastAsia" w:eastAsiaTheme="minorEastAsia"/>
          <w:b/>
          <w:highlight w:val="none"/>
          <w:lang w:val="en-US" w:eastAsia="zh-CN"/>
        </w:rPr>
      </w:pPr>
    </w:p>
    <w:p w14:paraId="45A87A09">
      <w:pPr>
        <w:ind w:firstLine="482"/>
        <w:jc w:val="center"/>
        <w:outlineLvl w:val="2"/>
        <w:rPr>
          <w:rFonts w:hint="eastAsia" w:asciiTheme="minorEastAsia" w:hAnsiTheme="minorEastAsia" w:eastAsiaTheme="minorEastAsia"/>
          <w:b/>
          <w:highlight w:val="none"/>
          <w:lang w:val="en-US" w:eastAsia="zh-CN"/>
        </w:rPr>
      </w:pPr>
    </w:p>
    <w:p w14:paraId="5074B138">
      <w:pPr>
        <w:ind w:firstLine="482"/>
        <w:jc w:val="center"/>
        <w:outlineLvl w:val="2"/>
        <w:rPr>
          <w:rFonts w:hint="eastAsia" w:asciiTheme="minorEastAsia" w:hAnsiTheme="minorEastAsia" w:eastAsiaTheme="minorEastAsia"/>
          <w:b/>
          <w:highlight w:val="none"/>
          <w:lang w:val="en-US" w:eastAsia="zh-CN"/>
        </w:rPr>
      </w:pPr>
    </w:p>
    <w:p w14:paraId="4CA8CFD8">
      <w:pPr>
        <w:ind w:firstLine="482"/>
        <w:jc w:val="center"/>
        <w:outlineLvl w:val="2"/>
        <w:rPr>
          <w:rFonts w:hint="eastAsia" w:asciiTheme="minorEastAsia" w:hAnsiTheme="minorEastAsia" w:eastAsiaTheme="minorEastAsia"/>
          <w:b/>
          <w:highlight w:val="none"/>
          <w:lang w:val="en-US" w:eastAsia="zh-CN"/>
        </w:rPr>
      </w:pPr>
    </w:p>
    <w:p w14:paraId="7808DBF4">
      <w:pPr>
        <w:ind w:firstLine="482"/>
        <w:jc w:val="center"/>
        <w:outlineLvl w:val="2"/>
        <w:rPr>
          <w:rFonts w:hint="eastAsia" w:asciiTheme="minorEastAsia" w:hAnsiTheme="minorEastAsia" w:eastAsiaTheme="minorEastAsia"/>
          <w:b/>
          <w:highlight w:val="none"/>
          <w:lang w:val="en-US" w:eastAsia="zh-CN"/>
        </w:rPr>
      </w:pPr>
    </w:p>
    <w:p w14:paraId="4261A3EE">
      <w:pPr>
        <w:ind w:firstLine="482"/>
        <w:jc w:val="center"/>
        <w:outlineLvl w:val="2"/>
        <w:rPr>
          <w:rFonts w:hint="eastAsia" w:asciiTheme="minorEastAsia" w:hAnsiTheme="minorEastAsia" w:eastAsiaTheme="minorEastAsia"/>
          <w:b/>
          <w:highlight w:val="none"/>
          <w:lang w:val="en-US" w:eastAsia="zh-CN"/>
        </w:rPr>
      </w:pPr>
    </w:p>
    <w:p w14:paraId="184A97A5">
      <w:pPr>
        <w:ind w:firstLine="482"/>
        <w:jc w:val="center"/>
        <w:outlineLvl w:val="2"/>
        <w:rPr>
          <w:rFonts w:hint="eastAsia" w:asciiTheme="minorEastAsia" w:hAnsiTheme="minorEastAsia" w:eastAsiaTheme="minorEastAsia"/>
          <w:b/>
          <w:highlight w:val="none"/>
          <w:lang w:val="en-US" w:eastAsia="zh-CN"/>
        </w:rPr>
      </w:pPr>
    </w:p>
    <w:p w14:paraId="76DB0333">
      <w:pPr>
        <w:ind w:firstLine="482"/>
        <w:jc w:val="center"/>
        <w:outlineLvl w:val="2"/>
        <w:rPr>
          <w:rFonts w:hint="eastAsia" w:asciiTheme="minorEastAsia" w:hAnsiTheme="minorEastAsia" w:eastAsiaTheme="minorEastAsia"/>
          <w:b/>
          <w:highlight w:val="none"/>
          <w:lang w:val="en-US" w:eastAsia="zh-CN"/>
        </w:rPr>
      </w:pPr>
    </w:p>
    <w:p w14:paraId="351048FD">
      <w:pPr>
        <w:ind w:firstLine="482"/>
        <w:jc w:val="center"/>
        <w:outlineLvl w:val="2"/>
        <w:rPr>
          <w:rFonts w:asciiTheme="minorEastAsia" w:hAnsiTheme="minorEastAsia" w:eastAsiaTheme="minorEastAsia"/>
          <w:b/>
          <w:highlight w:val="none"/>
        </w:rPr>
      </w:pPr>
      <w:r>
        <w:rPr>
          <w:rFonts w:hint="eastAsia" w:asciiTheme="minorEastAsia" w:hAnsiTheme="minorEastAsia" w:eastAsiaTheme="minorEastAsia"/>
          <w:b/>
          <w:highlight w:val="none"/>
          <w:lang w:val="en-US" w:eastAsia="zh-CN"/>
        </w:rPr>
        <w:t>十</w:t>
      </w:r>
      <w:r>
        <w:rPr>
          <w:rFonts w:hint="eastAsia" w:asciiTheme="minorEastAsia" w:hAnsiTheme="minorEastAsia" w:eastAsiaTheme="minorEastAsia"/>
          <w:b/>
          <w:highlight w:val="none"/>
        </w:rPr>
        <w:t>、其他相关证明材料</w:t>
      </w:r>
    </w:p>
    <w:p w14:paraId="08FB9765">
      <w:pPr>
        <w:ind w:firstLine="480"/>
        <w:jc w:val="center"/>
        <w:rPr>
          <w:szCs w:val="24"/>
          <w:highlight w:val="none"/>
        </w:rPr>
      </w:pPr>
      <w:bookmarkStart w:id="24" w:name="_Toc19685"/>
      <w:bookmarkStart w:id="25" w:name="_Toc29973"/>
      <w:r>
        <w:rPr>
          <w:rFonts w:hint="eastAsia"/>
          <w:szCs w:val="24"/>
          <w:highlight w:val="none"/>
        </w:rPr>
        <w:t>供应商按照第四章评审方法和标准放置的其他资料。</w:t>
      </w:r>
      <w:bookmarkEnd w:id="24"/>
      <w:bookmarkEnd w:id="25"/>
    </w:p>
    <w:p w14:paraId="2F8C84DA">
      <w:pPr>
        <w:ind w:firstLine="480"/>
        <w:rPr>
          <w:szCs w:val="22"/>
          <w:highlight w:val="none"/>
        </w:rPr>
      </w:pPr>
      <w:r>
        <w:rPr>
          <w:rFonts w:hint="eastAsia"/>
          <w:szCs w:val="22"/>
          <w:highlight w:val="none"/>
        </w:rPr>
        <w:br w:type="page"/>
      </w:r>
    </w:p>
    <w:p w14:paraId="2DEC06B9">
      <w:pPr>
        <w:ind w:firstLine="883"/>
        <w:rPr>
          <w:rFonts w:cs="宋体"/>
          <w:b/>
          <w:bCs/>
          <w:sz w:val="44"/>
          <w:szCs w:val="44"/>
          <w:highlight w:val="none"/>
        </w:rPr>
      </w:pPr>
      <w:r>
        <w:rPr>
          <w:rFonts w:hint="eastAsia" w:cs="宋体"/>
          <w:b/>
          <w:bCs/>
          <w:sz w:val="44"/>
          <w:szCs w:val="44"/>
          <w:highlight w:val="none"/>
        </w:rPr>
        <w:t>附件：全流程电子招标采购具体要求</w:t>
      </w:r>
      <w:r>
        <w:rPr>
          <w:rStyle w:val="17"/>
          <w:rFonts w:hint="eastAsia" w:cs="宋体"/>
          <w:b/>
          <w:bCs/>
          <w:sz w:val="44"/>
          <w:szCs w:val="44"/>
          <w:highlight w:val="none"/>
        </w:rPr>
        <w:footnoteReference w:id="0"/>
      </w:r>
    </w:p>
    <w:p w14:paraId="4DEC45C4">
      <w:pPr>
        <w:spacing w:line="400" w:lineRule="exact"/>
        <w:ind w:firstLine="480"/>
        <w:rPr>
          <w:rFonts w:cs="宋体"/>
          <w:szCs w:val="24"/>
          <w:highlight w:val="none"/>
        </w:rPr>
      </w:pPr>
      <w:r>
        <w:rPr>
          <w:rFonts w:hint="eastAsia" w:cs="宋体"/>
          <w:szCs w:val="24"/>
          <w:highlight w:val="none"/>
        </w:rPr>
        <w:t>说明：当采用非招标方式进行全流程电子采购活动时，按照本规定执行，其中本要求“供应商”按“</w:t>
      </w:r>
      <w:r>
        <w:rPr>
          <w:rFonts w:hint="eastAsia"/>
          <w:szCs w:val="18"/>
          <w:highlight w:val="none"/>
        </w:rPr>
        <w:t>供应商</w:t>
      </w:r>
      <w:r>
        <w:rPr>
          <w:rFonts w:hint="eastAsia" w:cs="宋体"/>
          <w:szCs w:val="24"/>
          <w:highlight w:val="none"/>
        </w:rPr>
        <w:t>”理解，“投标文件”按“响应文件”理解，“招标文件”按“采购文件”理解，“投标文件递交截止时间”按“首次递交响应文件截止时间”理解，“开标”按“开启响应文件”理解，“评审委员会”按“评审小组”理解，“投标无效”按“响应文件无效”理解。</w:t>
      </w:r>
    </w:p>
    <w:p w14:paraId="3EF3D604">
      <w:pPr>
        <w:spacing w:line="400" w:lineRule="exact"/>
        <w:ind w:firstLine="480"/>
        <w:rPr>
          <w:rFonts w:cs="宋体"/>
          <w:szCs w:val="24"/>
          <w:highlight w:val="none"/>
        </w:rPr>
      </w:pPr>
    </w:p>
    <w:p w14:paraId="6467D399">
      <w:pPr>
        <w:spacing w:line="400" w:lineRule="exact"/>
        <w:ind w:firstLine="480"/>
        <w:rPr>
          <w:rFonts w:cs="宋体"/>
          <w:szCs w:val="24"/>
          <w:highlight w:val="none"/>
        </w:rPr>
      </w:pPr>
      <w:r>
        <w:rPr>
          <w:rFonts w:hint="eastAsia" w:cs="宋体"/>
          <w:szCs w:val="24"/>
          <w:highlight w:val="none"/>
        </w:rPr>
        <w:t>一、</w:t>
      </w:r>
      <w:r>
        <w:rPr>
          <w:rFonts w:hint="eastAsia" w:cs="宋体"/>
          <w:highlight w:val="none"/>
        </w:rPr>
        <w:t>CA</w:t>
      </w:r>
      <w:r>
        <w:rPr>
          <w:rFonts w:hint="eastAsia" w:cs="宋体"/>
          <w:szCs w:val="24"/>
          <w:highlight w:val="none"/>
        </w:rPr>
        <w:t>证书办理和注意事项</w:t>
      </w:r>
    </w:p>
    <w:p w14:paraId="22941297">
      <w:pPr>
        <w:spacing w:line="400" w:lineRule="exact"/>
        <w:ind w:firstLine="480"/>
        <w:rPr>
          <w:rFonts w:cs="宋体"/>
          <w:highlight w:val="none"/>
        </w:rPr>
      </w:pPr>
      <w:r>
        <w:rPr>
          <w:rFonts w:hint="eastAsia" w:cs="宋体"/>
          <w:szCs w:val="24"/>
          <w:highlight w:val="none"/>
        </w:rPr>
        <w:t>1.本项目采用全流程电子招标采购方式，</w:t>
      </w:r>
      <w:r>
        <w:rPr>
          <w:rFonts w:hint="eastAsia" w:cs="宋体"/>
          <w:highlight w:val="none"/>
        </w:rPr>
        <w:t>潜在</w:t>
      </w:r>
      <w:r>
        <w:rPr>
          <w:rFonts w:hint="eastAsia"/>
          <w:szCs w:val="18"/>
          <w:highlight w:val="none"/>
        </w:rPr>
        <w:t>供应商</w:t>
      </w:r>
      <w:r>
        <w:rPr>
          <w:rFonts w:hint="eastAsia" w:cs="宋体"/>
          <w:highlight w:val="none"/>
        </w:rPr>
        <w:t>应及时办理CA证书，用于对投标文件进行电子签章及加、解密。</w:t>
      </w:r>
    </w:p>
    <w:p w14:paraId="55A444BA">
      <w:pPr>
        <w:spacing w:line="400" w:lineRule="exact"/>
        <w:ind w:firstLine="480"/>
        <w:rPr>
          <w:rFonts w:cs="宋体"/>
          <w:bCs/>
          <w:highlight w:val="none"/>
        </w:rPr>
      </w:pPr>
      <w:r>
        <w:rPr>
          <w:rFonts w:hint="eastAsia" w:cs="宋体"/>
          <w:szCs w:val="24"/>
          <w:highlight w:val="none"/>
        </w:rPr>
        <w:t>2.CA</w:t>
      </w:r>
      <w:r>
        <w:rPr>
          <w:rFonts w:hint="eastAsia" w:cs="宋体"/>
          <w:highlight w:val="none"/>
        </w:rPr>
        <w:t>证书</w:t>
      </w:r>
      <w:r>
        <w:rPr>
          <w:rFonts w:hint="eastAsia" w:cs="宋体"/>
          <w:szCs w:val="24"/>
          <w:highlight w:val="none"/>
        </w:rPr>
        <w:t>办理详见</w:t>
      </w:r>
      <w:r>
        <w:rPr>
          <w:rFonts w:hint="eastAsia" w:cs="宋体"/>
          <w:bCs/>
          <w:highlight w:val="none"/>
        </w:rPr>
        <w:t>《优质采平台CA数字证书办理说明》：</w:t>
      </w:r>
    </w:p>
    <w:p w14:paraId="78AECCF3">
      <w:pPr>
        <w:spacing w:line="400" w:lineRule="exact"/>
        <w:ind w:firstLine="480"/>
        <w:rPr>
          <w:rFonts w:cs="宋体"/>
          <w:b/>
          <w:bCs/>
          <w:highlight w:val="none"/>
        </w:rPr>
      </w:pPr>
      <w:r>
        <w:rPr>
          <w:highlight w:val="none"/>
        </w:rPr>
        <w:fldChar w:fldCharType="begin"/>
      </w:r>
      <w:r>
        <w:rPr>
          <w:highlight w:val="none"/>
        </w:rPr>
        <w:instrText xml:space="preserve"> HYPERLINK "http://www.youzhicai.com/ActivityTopic/AdviceDetail/8f80a7ec-911f-4c4d-a123-f8849880f045" </w:instrText>
      </w:r>
      <w:r>
        <w:rPr>
          <w:highlight w:val="none"/>
        </w:rPr>
        <w:fldChar w:fldCharType="separate"/>
      </w:r>
      <w:r>
        <w:rPr>
          <w:rStyle w:val="16"/>
          <w:rFonts w:hint="eastAsia" w:cs="宋体"/>
          <w:bCs/>
          <w:color w:val="auto"/>
          <w:highlight w:val="none"/>
        </w:rPr>
        <w:t>http://www.youzhicai.com/ActivityTopic/AdviceDetail/8f80a7ec-911f-4c4d-a123-f</w:t>
      </w:r>
      <w:bookmarkStart w:id="26" w:name="_Hlt105085547"/>
      <w:bookmarkStart w:id="27" w:name="_Hlt105085548"/>
      <w:r>
        <w:rPr>
          <w:rStyle w:val="16"/>
          <w:rFonts w:hint="eastAsia" w:cs="宋体"/>
          <w:bCs/>
          <w:color w:val="auto"/>
          <w:highlight w:val="none"/>
        </w:rPr>
        <w:t>8</w:t>
      </w:r>
      <w:bookmarkEnd w:id="26"/>
      <w:bookmarkEnd w:id="27"/>
      <w:r>
        <w:rPr>
          <w:rStyle w:val="16"/>
          <w:rFonts w:hint="eastAsia" w:cs="宋体"/>
          <w:bCs/>
          <w:color w:val="auto"/>
          <w:highlight w:val="none"/>
        </w:rPr>
        <w:t>849880f045</w:t>
      </w:r>
      <w:r>
        <w:rPr>
          <w:rStyle w:val="16"/>
          <w:rFonts w:hint="eastAsia" w:cs="宋体"/>
          <w:bCs/>
          <w:color w:val="auto"/>
          <w:highlight w:val="none"/>
        </w:rPr>
        <w:fldChar w:fldCharType="end"/>
      </w:r>
      <w:r>
        <w:rPr>
          <w:rFonts w:hint="eastAsia" w:cs="宋体"/>
          <w:bCs/>
          <w:highlight w:val="none"/>
        </w:rPr>
        <w:t>。</w:t>
      </w:r>
    </w:p>
    <w:p w14:paraId="328EC523">
      <w:pPr>
        <w:spacing w:line="400" w:lineRule="exact"/>
        <w:ind w:firstLine="480"/>
        <w:rPr>
          <w:rFonts w:cs="宋体"/>
          <w:highlight w:val="none"/>
        </w:rPr>
      </w:pPr>
      <w:r>
        <w:rPr>
          <w:rFonts w:hint="eastAsia" w:cs="宋体"/>
          <w:szCs w:val="24"/>
          <w:highlight w:val="none"/>
        </w:rPr>
        <w:t>3.CA</w:t>
      </w:r>
      <w:r>
        <w:rPr>
          <w:rFonts w:hint="eastAsia" w:cs="宋体"/>
          <w:highlight w:val="none"/>
        </w:rPr>
        <w:t>证书</w:t>
      </w:r>
      <w:r>
        <w:rPr>
          <w:rFonts w:hint="eastAsia" w:cs="宋体"/>
          <w:szCs w:val="24"/>
          <w:highlight w:val="none"/>
        </w:rPr>
        <w:t>到期或即将到期，须在递交投标文件前办理续期。</w:t>
      </w:r>
    </w:p>
    <w:p w14:paraId="7E7979CF">
      <w:pPr>
        <w:spacing w:line="400" w:lineRule="exact"/>
        <w:ind w:firstLine="480"/>
        <w:rPr>
          <w:rFonts w:cs="宋体"/>
          <w:highlight w:val="none"/>
        </w:rPr>
      </w:pPr>
      <w:r>
        <w:rPr>
          <w:rFonts w:hint="eastAsia" w:cs="宋体"/>
          <w:szCs w:val="24"/>
          <w:highlight w:val="none"/>
        </w:rPr>
        <w:t>4.CA锁</w:t>
      </w:r>
      <w:r>
        <w:rPr>
          <w:rFonts w:hint="eastAsia" w:cs="宋体"/>
          <w:highlight w:val="none"/>
        </w:rPr>
        <w:t>遗失、损坏等无法使用，须在递交投标文件前补办CA锁。</w:t>
      </w:r>
    </w:p>
    <w:p w14:paraId="66002DC2">
      <w:pPr>
        <w:spacing w:line="400" w:lineRule="exact"/>
        <w:ind w:firstLine="480"/>
        <w:rPr>
          <w:rFonts w:cs="宋体"/>
          <w:highlight w:val="none"/>
        </w:rPr>
      </w:pPr>
      <w:r>
        <w:rPr>
          <w:rFonts w:hint="eastAsia" w:cs="宋体"/>
          <w:szCs w:val="24"/>
          <w:highlight w:val="none"/>
        </w:rPr>
        <w:t>5.企业</w:t>
      </w:r>
      <w:r>
        <w:rPr>
          <w:rFonts w:hint="eastAsia" w:cs="宋体"/>
          <w:highlight w:val="none"/>
        </w:rPr>
        <w:t>信息（包括但不限于企业名称和法定代表人信息）发生变更的，须在递交投标文件前变更CA证书。</w:t>
      </w:r>
    </w:p>
    <w:p w14:paraId="0E487AF2">
      <w:pPr>
        <w:spacing w:line="400" w:lineRule="exact"/>
        <w:ind w:firstLine="480"/>
        <w:rPr>
          <w:rFonts w:cs="宋体"/>
          <w:szCs w:val="24"/>
          <w:highlight w:val="none"/>
        </w:rPr>
      </w:pPr>
      <w:r>
        <w:rPr>
          <w:rFonts w:hint="eastAsia" w:cs="宋体"/>
          <w:szCs w:val="24"/>
          <w:highlight w:val="none"/>
        </w:rPr>
        <w:tab/>
      </w:r>
      <w:r>
        <w:rPr>
          <w:rFonts w:hint="eastAsia" w:cs="宋体"/>
          <w:szCs w:val="24"/>
          <w:highlight w:val="none"/>
        </w:rPr>
        <w:t>6.</w:t>
      </w:r>
      <w:r>
        <w:rPr>
          <w:rFonts w:hint="eastAsia"/>
          <w:szCs w:val="18"/>
          <w:highlight w:val="none"/>
        </w:rPr>
        <w:t xml:space="preserve"> 供应商</w:t>
      </w:r>
      <w:r>
        <w:rPr>
          <w:rFonts w:hint="eastAsia" w:cs="宋体"/>
          <w:szCs w:val="24"/>
          <w:highlight w:val="none"/>
        </w:rPr>
        <w:t>由于</w:t>
      </w:r>
      <w:r>
        <w:rPr>
          <w:rFonts w:hint="eastAsia" w:cs="宋体"/>
          <w:highlight w:val="none"/>
        </w:rPr>
        <w:t>CA证书</w:t>
      </w:r>
      <w:r>
        <w:rPr>
          <w:rFonts w:hint="eastAsia" w:cs="宋体"/>
          <w:szCs w:val="24"/>
          <w:highlight w:val="none"/>
        </w:rPr>
        <w:t>遗失、损坏、更换、续期、企业信息变更等情况导致投标文件无法解密的，由</w:t>
      </w:r>
      <w:r>
        <w:rPr>
          <w:rFonts w:hint="eastAsia"/>
          <w:szCs w:val="18"/>
          <w:highlight w:val="none"/>
        </w:rPr>
        <w:t>供应商</w:t>
      </w:r>
      <w:r>
        <w:rPr>
          <w:rFonts w:hint="eastAsia" w:cs="宋体"/>
          <w:szCs w:val="24"/>
          <w:highlight w:val="none"/>
        </w:rPr>
        <w:t>自行承担责任；</w:t>
      </w:r>
    </w:p>
    <w:p w14:paraId="7F04FD18">
      <w:pPr>
        <w:spacing w:line="400" w:lineRule="exact"/>
        <w:ind w:firstLine="480"/>
        <w:rPr>
          <w:rFonts w:cs="宋体"/>
          <w:szCs w:val="24"/>
          <w:highlight w:val="none"/>
        </w:rPr>
      </w:pPr>
      <w:r>
        <w:rPr>
          <w:rFonts w:hint="eastAsia" w:cs="宋体"/>
          <w:szCs w:val="24"/>
          <w:highlight w:val="none"/>
        </w:rPr>
        <w:t>7.加密和解密投标文件</w:t>
      </w:r>
      <w:r>
        <w:rPr>
          <w:rFonts w:hint="eastAsia" w:cs="宋体"/>
          <w:highlight w:val="none"/>
        </w:rPr>
        <w:t>必须使用同一个CA证书</w:t>
      </w:r>
      <w:r>
        <w:rPr>
          <w:rFonts w:hint="eastAsia" w:cs="宋体"/>
          <w:szCs w:val="24"/>
          <w:highlight w:val="none"/>
        </w:rPr>
        <w:t>。</w:t>
      </w:r>
    </w:p>
    <w:p w14:paraId="262229ED">
      <w:pPr>
        <w:spacing w:line="400" w:lineRule="exact"/>
        <w:ind w:firstLine="480"/>
        <w:rPr>
          <w:rFonts w:cs="宋体"/>
          <w:szCs w:val="24"/>
          <w:highlight w:val="none"/>
        </w:rPr>
      </w:pPr>
      <w:r>
        <w:rPr>
          <w:rFonts w:hint="eastAsia" w:cs="宋体"/>
          <w:szCs w:val="24"/>
          <w:highlight w:val="none"/>
        </w:rPr>
        <w:t>二、制作、签章、加密、上传电子投标文件</w:t>
      </w:r>
    </w:p>
    <w:p w14:paraId="34A002EC">
      <w:pPr>
        <w:spacing w:line="400" w:lineRule="exact"/>
        <w:ind w:firstLine="480"/>
        <w:rPr>
          <w:rStyle w:val="16"/>
          <w:rFonts w:cs="宋体"/>
          <w:color w:val="auto"/>
          <w:highlight w:val="none"/>
        </w:rPr>
      </w:pPr>
      <w:r>
        <w:rPr>
          <w:rFonts w:hint="eastAsia" w:cs="宋体"/>
          <w:szCs w:val="24"/>
          <w:highlight w:val="none"/>
        </w:rPr>
        <w:t>8.本项目采用全流程电子化招标采购方式，潜在</w:t>
      </w:r>
      <w:r>
        <w:rPr>
          <w:rFonts w:hint="eastAsia"/>
          <w:szCs w:val="18"/>
          <w:highlight w:val="none"/>
        </w:rPr>
        <w:t>供应商</w:t>
      </w:r>
      <w:r>
        <w:rPr>
          <w:rFonts w:hint="eastAsia" w:cs="宋体"/>
          <w:highlight w:val="none"/>
        </w:rPr>
        <w:t>需使用</w:t>
      </w:r>
      <w:r>
        <w:rPr>
          <w:rFonts w:hint="eastAsia" w:cs="宋体"/>
          <w:szCs w:val="24"/>
          <w:highlight w:val="none"/>
        </w:rPr>
        <w:t>“优质采投标工具客户端”（以下简称“投标工具”）制作</w:t>
      </w:r>
      <w:r>
        <w:rPr>
          <w:rFonts w:hint="eastAsia" w:cs="宋体"/>
          <w:highlight w:val="none"/>
        </w:rPr>
        <w:t>电子投标文件，</w:t>
      </w:r>
      <w:r>
        <w:rPr>
          <w:rFonts w:hint="eastAsia" w:cs="宋体"/>
          <w:szCs w:val="24"/>
          <w:highlight w:val="none"/>
        </w:rPr>
        <w:t>投标工具及操作说明下载地址：</w:t>
      </w:r>
      <w:r>
        <w:rPr>
          <w:highlight w:val="none"/>
        </w:rPr>
        <w:fldChar w:fldCharType="begin"/>
      </w:r>
      <w:r>
        <w:rPr>
          <w:highlight w:val="none"/>
        </w:rPr>
        <w:instrText xml:space="preserve"> HYPERLINK "https://toolcdn.youzhicai.com/tools/BidderTools.zip" </w:instrText>
      </w:r>
      <w:r>
        <w:rPr>
          <w:highlight w:val="none"/>
        </w:rPr>
        <w:fldChar w:fldCharType="separate"/>
      </w:r>
      <w:r>
        <w:rPr>
          <w:rStyle w:val="16"/>
          <w:rFonts w:hint="eastAsia" w:cs="宋体"/>
          <w:color w:val="auto"/>
          <w:highlight w:val="none"/>
        </w:rPr>
        <w:t>https://toolcdn.youzhicai.com/tools/BidderTools.zip</w:t>
      </w:r>
      <w:r>
        <w:rPr>
          <w:rStyle w:val="16"/>
          <w:rFonts w:hint="eastAsia" w:cs="宋体"/>
          <w:color w:val="auto"/>
          <w:highlight w:val="none"/>
        </w:rPr>
        <w:fldChar w:fldCharType="end"/>
      </w:r>
      <w:r>
        <w:rPr>
          <w:rStyle w:val="16"/>
          <w:rFonts w:hint="eastAsia" w:cs="宋体"/>
          <w:color w:val="auto"/>
          <w:highlight w:val="none"/>
        </w:rPr>
        <w:t>。</w:t>
      </w:r>
    </w:p>
    <w:p w14:paraId="555BC6C9">
      <w:pPr>
        <w:spacing w:line="400" w:lineRule="exact"/>
        <w:ind w:firstLine="480"/>
        <w:rPr>
          <w:rStyle w:val="16"/>
          <w:rFonts w:cs="宋体"/>
          <w:color w:val="auto"/>
          <w:highlight w:val="none"/>
          <w:u w:val="none"/>
        </w:rPr>
      </w:pPr>
      <w:r>
        <w:rPr>
          <w:rStyle w:val="16"/>
          <w:rFonts w:hint="eastAsia" w:cs="宋体"/>
          <w:color w:val="auto"/>
          <w:highlight w:val="none"/>
          <w:u w:val="none"/>
        </w:rPr>
        <w:tab/>
      </w:r>
      <w:r>
        <w:rPr>
          <w:rStyle w:val="16"/>
          <w:rFonts w:hint="eastAsia" w:cs="宋体"/>
          <w:color w:val="auto"/>
          <w:highlight w:val="none"/>
          <w:u w:val="none"/>
        </w:rPr>
        <w:t>8.1.投标工具建议在window7或windows10操作系统下使用；</w:t>
      </w:r>
    </w:p>
    <w:p w14:paraId="237B33DA">
      <w:pPr>
        <w:spacing w:line="400" w:lineRule="exact"/>
        <w:ind w:firstLine="480"/>
        <w:rPr>
          <w:rFonts w:cs="宋体"/>
          <w:bCs/>
          <w:sz w:val="18"/>
          <w:highlight w:val="none"/>
        </w:rPr>
      </w:pPr>
      <w:r>
        <w:rPr>
          <w:rStyle w:val="16"/>
          <w:rFonts w:hint="eastAsia" w:cs="宋体"/>
          <w:color w:val="auto"/>
          <w:highlight w:val="none"/>
          <w:u w:val="none"/>
        </w:rPr>
        <w:tab/>
      </w:r>
      <w:r>
        <w:rPr>
          <w:rStyle w:val="16"/>
          <w:rFonts w:hint="eastAsia" w:cs="宋体"/>
          <w:color w:val="auto"/>
          <w:highlight w:val="none"/>
          <w:u w:val="none"/>
        </w:rPr>
        <w:t>8.2.电子投标文件编制建议使用</w:t>
      </w:r>
      <w:r>
        <w:rPr>
          <w:rFonts w:hint="eastAsia" w:cs="宋体"/>
          <w:highlight w:val="none"/>
        </w:rPr>
        <w:t>office2010版本。</w:t>
      </w:r>
    </w:p>
    <w:p w14:paraId="301A0A39">
      <w:pPr>
        <w:wordWrap w:val="0"/>
        <w:spacing w:line="400" w:lineRule="exact"/>
        <w:ind w:firstLine="480"/>
        <w:rPr>
          <w:rFonts w:cs="宋体"/>
          <w:bCs/>
          <w:highlight w:val="none"/>
          <w:u w:val="single"/>
        </w:rPr>
      </w:pPr>
      <w:r>
        <w:rPr>
          <w:rFonts w:hint="eastAsia" w:cs="宋体"/>
          <w:szCs w:val="24"/>
          <w:highlight w:val="none"/>
        </w:rPr>
        <w:tab/>
      </w:r>
      <w:r>
        <w:rPr>
          <w:rFonts w:hint="eastAsia" w:cs="宋体"/>
          <w:szCs w:val="24"/>
          <w:highlight w:val="none"/>
        </w:rPr>
        <w:t>9.</w:t>
      </w:r>
      <w:r>
        <w:rPr>
          <w:rFonts w:hint="eastAsia" w:cs="宋体"/>
          <w:highlight w:val="none"/>
        </w:rPr>
        <w:t>潜在</w:t>
      </w:r>
      <w:r>
        <w:rPr>
          <w:rFonts w:hint="eastAsia"/>
          <w:szCs w:val="18"/>
          <w:highlight w:val="none"/>
        </w:rPr>
        <w:t>供应商</w:t>
      </w:r>
      <w:r>
        <w:rPr>
          <w:rFonts w:hint="eastAsia" w:cs="宋体"/>
          <w:highlight w:val="none"/>
        </w:rPr>
        <w:t>制作电子投标文件后，需在</w:t>
      </w:r>
      <w:r>
        <w:rPr>
          <w:rFonts w:hint="eastAsia" w:cs="宋体"/>
          <w:szCs w:val="24"/>
          <w:highlight w:val="none"/>
        </w:rPr>
        <w:t>投标工具</w:t>
      </w:r>
      <w:r>
        <w:rPr>
          <w:rFonts w:hint="eastAsia" w:cs="宋体"/>
          <w:highlight w:val="none"/>
        </w:rPr>
        <w:t>对电子投标文件进行电子签章（项目有特殊说明的除外），并使用CA</w:t>
      </w:r>
      <w:r>
        <w:rPr>
          <w:rFonts w:hint="eastAsia" w:cs="宋体"/>
          <w:szCs w:val="24"/>
          <w:highlight w:val="none"/>
        </w:rPr>
        <w:t>证书进行</w:t>
      </w:r>
      <w:r>
        <w:rPr>
          <w:rFonts w:hint="eastAsia" w:cs="宋体"/>
          <w:highlight w:val="none"/>
        </w:rPr>
        <w:t>加密。在</w:t>
      </w:r>
      <w:r>
        <w:rPr>
          <w:rFonts w:hint="eastAsia" w:cs="宋体"/>
          <w:szCs w:val="24"/>
          <w:highlight w:val="none"/>
        </w:rPr>
        <w:t>投标工具使用CA证书</w:t>
      </w:r>
      <w:r>
        <w:rPr>
          <w:rFonts w:hint="eastAsia" w:cs="宋体"/>
          <w:highlight w:val="none"/>
        </w:rPr>
        <w:t>时需安装“优质采数字证书助手”</w:t>
      </w:r>
      <w:r>
        <w:rPr>
          <w:rFonts w:hint="eastAsia" w:cs="宋体"/>
          <w:szCs w:val="24"/>
          <w:highlight w:val="none"/>
        </w:rPr>
        <w:t xml:space="preserve"> （即数字证书驱动）</w:t>
      </w:r>
      <w:r>
        <w:rPr>
          <w:rFonts w:hint="eastAsia" w:cs="宋体"/>
          <w:highlight w:val="none"/>
        </w:rPr>
        <w:t>，下载地址：</w:t>
      </w:r>
      <w:r>
        <w:rPr>
          <w:highlight w:val="none"/>
        </w:rPr>
        <w:fldChar w:fldCharType="begin"/>
      </w:r>
      <w:r>
        <w:rPr>
          <w:highlight w:val="none"/>
        </w:rPr>
        <w:instrText xml:space="preserve"> HYPERLINK "https://toolcdn.youzhicai.com/ca.zip" </w:instrText>
      </w:r>
      <w:r>
        <w:rPr>
          <w:highlight w:val="none"/>
        </w:rPr>
        <w:fldChar w:fldCharType="separate"/>
      </w:r>
      <w:r>
        <w:rPr>
          <w:rStyle w:val="16"/>
          <w:rFonts w:hint="eastAsia" w:cs="宋体"/>
          <w:color w:val="auto"/>
          <w:highlight w:val="none"/>
        </w:rPr>
        <w:t>https://toolcdn.youzhicai.com/ca.zip</w:t>
      </w:r>
      <w:r>
        <w:rPr>
          <w:rStyle w:val="16"/>
          <w:rFonts w:hint="eastAsia" w:cs="宋体"/>
          <w:color w:val="auto"/>
          <w:highlight w:val="none"/>
        </w:rPr>
        <w:fldChar w:fldCharType="end"/>
      </w:r>
      <w:r>
        <w:rPr>
          <w:rStyle w:val="16"/>
          <w:rFonts w:hint="eastAsia" w:cs="宋体"/>
          <w:color w:val="auto"/>
          <w:highlight w:val="none"/>
        </w:rPr>
        <w:t>。</w:t>
      </w:r>
    </w:p>
    <w:p w14:paraId="220DF888">
      <w:pPr>
        <w:wordWrap w:val="0"/>
        <w:spacing w:line="400" w:lineRule="exact"/>
        <w:ind w:firstLine="480"/>
        <w:rPr>
          <w:rFonts w:cs="宋体"/>
          <w:szCs w:val="24"/>
          <w:highlight w:val="none"/>
        </w:rPr>
      </w:pPr>
      <w:r>
        <w:rPr>
          <w:rFonts w:hint="eastAsia" w:cs="宋体"/>
          <w:highlight w:val="none"/>
        </w:rPr>
        <w:tab/>
      </w:r>
      <w:r>
        <w:rPr>
          <w:rFonts w:hint="eastAsia" w:cs="宋体"/>
          <w:szCs w:val="24"/>
          <w:highlight w:val="none"/>
        </w:rPr>
        <w:t>10.潜在</w:t>
      </w:r>
      <w:r>
        <w:rPr>
          <w:rFonts w:hint="eastAsia"/>
          <w:szCs w:val="18"/>
          <w:highlight w:val="none"/>
        </w:rPr>
        <w:t>供应商</w:t>
      </w:r>
      <w:r>
        <w:rPr>
          <w:rFonts w:hint="eastAsia" w:cs="宋体"/>
          <w:szCs w:val="24"/>
          <w:highlight w:val="none"/>
        </w:rPr>
        <w:t>完成制作、签章、加密投标文件后，需在</w:t>
      </w:r>
      <w:r>
        <w:rPr>
          <w:rFonts w:hint="eastAsia" w:cs="宋体"/>
          <w:highlight w:val="none"/>
        </w:rPr>
        <w:t>招标文件规定的投标截止时间前在</w:t>
      </w:r>
      <w:r>
        <w:rPr>
          <w:rFonts w:hint="eastAsia" w:cs="宋体"/>
          <w:szCs w:val="24"/>
          <w:highlight w:val="none"/>
        </w:rPr>
        <w:t>投标工具</w:t>
      </w:r>
      <w:r>
        <w:rPr>
          <w:rFonts w:hint="eastAsia" w:cs="宋体"/>
          <w:highlight w:val="none"/>
        </w:rPr>
        <w:t>完成上传。</w:t>
      </w:r>
      <w:r>
        <w:rPr>
          <w:rFonts w:hint="eastAsia" w:cs="宋体"/>
          <w:szCs w:val="24"/>
          <w:highlight w:val="none"/>
        </w:rPr>
        <w:t>投标截止时间以优质采云采购平台（</w:t>
      </w:r>
      <w:r>
        <w:rPr>
          <w:rFonts w:cs="宋体"/>
          <w:szCs w:val="24"/>
          <w:highlight w:val="none"/>
        </w:rPr>
        <w:t>http://www.youzhicai.com/</w:t>
      </w:r>
      <w:r>
        <w:rPr>
          <w:rFonts w:hint="eastAsia" w:cs="宋体"/>
          <w:szCs w:val="24"/>
          <w:highlight w:val="none"/>
        </w:rPr>
        <w:t>）系统的时间为准，如未在投标截止时间前完成电子投标文件上传，系统将自动关闭上传通道。潜在</w:t>
      </w:r>
      <w:r>
        <w:rPr>
          <w:rFonts w:hint="eastAsia"/>
          <w:szCs w:val="18"/>
          <w:highlight w:val="none"/>
        </w:rPr>
        <w:t>供应商</w:t>
      </w:r>
      <w:r>
        <w:rPr>
          <w:rFonts w:hint="eastAsia" w:cs="宋体"/>
          <w:szCs w:val="24"/>
          <w:highlight w:val="none"/>
        </w:rPr>
        <w:t>未完成电子投标文件上传的，视为没有递交投标文件。</w:t>
      </w:r>
    </w:p>
    <w:p w14:paraId="0570BA9D">
      <w:pPr>
        <w:wordWrap w:val="0"/>
        <w:spacing w:line="400" w:lineRule="exact"/>
        <w:ind w:firstLine="480"/>
        <w:rPr>
          <w:rFonts w:cs="宋体"/>
          <w:szCs w:val="24"/>
          <w:highlight w:val="none"/>
        </w:rPr>
      </w:pPr>
      <w:r>
        <w:rPr>
          <w:rFonts w:hint="eastAsia" w:cs="宋体"/>
          <w:szCs w:val="24"/>
          <w:highlight w:val="none"/>
        </w:rPr>
        <w:t>11.潜在</w:t>
      </w:r>
      <w:r>
        <w:rPr>
          <w:rFonts w:hint="eastAsia"/>
          <w:szCs w:val="18"/>
          <w:highlight w:val="none"/>
        </w:rPr>
        <w:t>供应商</w:t>
      </w:r>
      <w:r>
        <w:rPr>
          <w:rFonts w:hint="eastAsia" w:cs="宋体"/>
          <w:szCs w:val="24"/>
          <w:highlight w:val="none"/>
        </w:rPr>
        <w:t>在投标文件递交截止时间前，可以对其所递交的电子投标文件进行撤回，修改后重新上传。</w:t>
      </w:r>
    </w:p>
    <w:p w14:paraId="13905671">
      <w:pPr>
        <w:spacing w:line="400" w:lineRule="exact"/>
        <w:ind w:firstLine="480"/>
        <w:rPr>
          <w:rFonts w:cs="宋体"/>
          <w:szCs w:val="24"/>
          <w:highlight w:val="none"/>
        </w:rPr>
      </w:pPr>
      <w:r>
        <w:rPr>
          <w:rFonts w:hint="eastAsia" w:cs="宋体"/>
          <w:szCs w:val="24"/>
          <w:highlight w:val="none"/>
        </w:rPr>
        <w:t>12.潜在</w:t>
      </w:r>
      <w:r>
        <w:rPr>
          <w:rFonts w:hint="eastAsia"/>
          <w:szCs w:val="18"/>
          <w:highlight w:val="none"/>
        </w:rPr>
        <w:t>供应商</w:t>
      </w:r>
      <w:r>
        <w:rPr>
          <w:rFonts w:hint="eastAsia" w:cs="宋体"/>
          <w:szCs w:val="24"/>
          <w:highlight w:val="none"/>
        </w:rPr>
        <w:t>在制作、签章、加密、上传电子投标文件过程中，若存在技术操作问题，请及时联系优质采云采购平台客服人员，客服电话：400-0099-555，0551-62220164。</w:t>
      </w:r>
    </w:p>
    <w:p w14:paraId="6598C53A">
      <w:pPr>
        <w:spacing w:line="400" w:lineRule="exact"/>
        <w:ind w:firstLine="480"/>
        <w:rPr>
          <w:rFonts w:cs="宋体"/>
          <w:szCs w:val="24"/>
          <w:highlight w:val="none"/>
        </w:rPr>
      </w:pPr>
      <w:r>
        <w:rPr>
          <w:rFonts w:hint="eastAsia" w:cs="宋体"/>
          <w:szCs w:val="24"/>
          <w:highlight w:val="none"/>
        </w:rPr>
        <w:t>三、开标和解密</w:t>
      </w:r>
    </w:p>
    <w:p w14:paraId="66A1BE17">
      <w:pPr>
        <w:spacing w:line="400" w:lineRule="exact"/>
        <w:ind w:firstLine="480"/>
        <w:rPr>
          <w:rFonts w:cs="宋体"/>
          <w:szCs w:val="24"/>
          <w:highlight w:val="none"/>
        </w:rPr>
      </w:pPr>
      <w:r>
        <w:rPr>
          <w:rFonts w:hint="eastAsia" w:cs="宋体"/>
          <w:szCs w:val="24"/>
          <w:highlight w:val="none"/>
        </w:rPr>
        <w:t>13.</w:t>
      </w:r>
      <w:r>
        <w:rPr>
          <w:rFonts w:hint="eastAsia"/>
          <w:szCs w:val="18"/>
          <w:highlight w:val="none"/>
        </w:rPr>
        <w:t>业主单位</w:t>
      </w:r>
      <w:r>
        <w:rPr>
          <w:rFonts w:hint="eastAsia" w:cs="宋体"/>
          <w:szCs w:val="24"/>
          <w:highlight w:val="none"/>
        </w:rPr>
        <w:t>或代理机构工作人员（以下简称工作人员）根据有关规定登录系统组织开标。投标文件递交截止时间后由</w:t>
      </w:r>
      <w:r>
        <w:rPr>
          <w:rFonts w:hint="eastAsia"/>
          <w:szCs w:val="18"/>
          <w:highlight w:val="none"/>
        </w:rPr>
        <w:t>供应商</w:t>
      </w:r>
      <w:r>
        <w:rPr>
          <w:rFonts w:hint="eastAsia" w:cs="宋体"/>
          <w:szCs w:val="24"/>
          <w:highlight w:val="none"/>
        </w:rPr>
        <w:t>使用</w:t>
      </w:r>
      <w:r>
        <w:rPr>
          <w:rFonts w:hint="eastAsia" w:cs="宋体"/>
          <w:highlight w:val="none"/>
        </w:rPr>
        <w:t>CA证书</w:t>
      </w:r>
      <w:r>
        <w:rPr>
          <w:rFonts w:hint="eastAsia" w:cs="宋体"/>
          <w:szCs w:val="24"/>
          <w:highlight w:val="none"/>
        </w:rPr>
        <w:t>解密投标文件，工作人员导入已解密投标文件并公布开标结果。</w:t>
      </w:r>
    </w:p>
    <w:p w14:paraId="7688F8F8">
      <w:pPr>
        <w:spacing w:line="400" w:lineRule="exact"/>
        <w:ind w:firstLine="480"/>
        <w:rPr>
          <w:rFonts w:cs="宋体"/>
          <w:szCs w:val="24"/>
          <w:highlight w:val="none"/>
        </w:rPr>
      </w:pPr>
      <w:r>
        <w:rPr>
          <w:rFonts w:hint="eastAsia" w:cs="宋体"/>
          <w:szCs w:val="24"/>
          <w:highlight w:val="none"/>
        </w:rPr>
        <w:t>14.投标文件可远程解密，</w:t>
      </w:r>
      <w:r>
        <w:rPr>
          <w:rFonts w:hint="eastAsia"/>
          <w:szCs w:val="18"/>
          <w:highlight w:val="none"/>
        </w:rPr>
        <w:t>供应商</w:t>
      </w:r>
      <w:r>
        <w:rPr>
          <w:rFonts w:hint="eastAsia" w:cs="宋体"/>
          <w:szCs w:val="24"/>
          <w:highlight w:val="none"/>
        </w:rPr>
        <w:t>无需到达开标现场。招标文件“</w:t>
      </w:r>
      <w:r>
        <w:rPr>
          <w:rFonts w:hint="eastAsia"/>
          <w:szCs w:val="18"/>
          <w:highlight w:val="none"/>
        </w:rPr>
        <w:t>供应商</w:t>
      </w:r>
      <w:r>
        <w:rPr>
          <w:rFonts w:hint="eastAsia" w:cs="宋体"/>
          <w:szCs w:val="24"/>
          <w:highlight w:val="none"/>
        </w:rPr>
        <w:t>须知”中另有规定的，从其规定。</w:t>
      </w:r>
    </w:p>
    <w:p w14:paraId="1AC43BD5">
      <w:pPr>
        <w:spacing w:line="400" w:lineRule="exact"/>
        <w:ind w:firstLine="480"/>
        <w:rPr>
          <w:rFonts w:cs="宋体"/>
          <w:szCs w:val="24"/>
          <w:highlight w:val="none"/>
        </w:rPr>
      </w:pPr>
      <w:r>
        <w:rPr>
          <w:rFonts w:hint="eastAsia" w:cs="宋体"/>
          <w:szCs w:val="24"/>
          <w:highlight w:val="none"/>
        </w:rPr>
        <w:t>15.潜在</w:t>
      </w:r>
      <w:r>
        <w:rPr>
          <w:rFonts w:hint="eastAsia"/>
          <w:szCs w:val="18"/>
          <w:highlight w:val="none"/>
        </w:rPr>
        <w:t>供应商</w:t>
      </w:r>
      <w:r>
        <w:rPr>
          <w:rFonts w:hint="eastAsia" w:cs="宋体"/>
          <w:szCs w:val="24"/>
          <w:highlight w:val="none"/>
        </w:rPr>
        <w:t>须按照招标文件的要求在投标文件递交截止时间前登录投标工具并保持在线，关注开标互动大厅消息直到项目评审结束。</w:t>
      </w:r>
    </w:p>
    <w:p w14:paraId="5D1FB22A">
      <w:pPr>
        <w:spacing w:line="400" w:lineRule="exact"/>
        <w:ind w:firstLine="480"/>
        <w:rPr>
          <w:rFonts w:cs="宋体"/>
          <w:szCs w:val="24"/>
          <w:highlight w:val="none"/>
        </w:rPr>
      </w:pPr>
      <w:r>
        <w:rPr>
          <w:rFonts w:hint="eastAsia" w:cs="宋体"/>
          <w:szCs w:val="24"/>
          <w:highlight w:val="none"/>
        </w:rPr>
        <w:t>16.投标文件解密时限为投标文件递交截止时间后30分钟（招标文件“</w:t>
      </w:r>
      <w:r>
        <w:rPr>
          <w:rFonts w:hint="eastAsia"/>
          <w:szCs w:val="18"/>
          <w:highlight w:val="none"/>
        </w:rPr>
        <w:t>供应商</w:t>
      </w:r>
      <w:r>
        <w:rPr>
          <w:rFonts w:hint="eastAsia" w:cs="宋体"/>
          <w:szCs w:val="24"/>
          <w:highlight w:val="none"/>
        </w:rPr>
        <w:t>须知”中另有规定的，从其规定）。潜在</w:t>
      </w:r>
      <w:r>
        <w:rPr>
          <w:rFonts w:hint="eastAsia"/>
          <w:szCs w:val="18"/>
          <w:highlight w:val="none"/>
        </w:rPr>
        <w:t>供应商</w:t>
      </w:r>
      <w:r>
        <w:rPr>
          <w:rFonts w:hint="eastAsia" w:cs="宋体"/>
          <w:szCs w:val="24"/>
          <w:highlight w:val="none"/>
        </w:rPr>
        <w:t>须在投标文件解密时限内完成投标文件解密，未能成功解密的视为放弃投标。招标文件“</w:t>
      </w:r>
      <w:r>
        <w:rPr>
          <w:rFonts w:hint="eastAsia"/>
          <w:szCs w:val="18"/>
          <w:highlight w:val="none"/>
        </w:rPr>
        <w:t>供应商</w:t>
      </w:r>
      <w:r>
        <w:rPr>
          <w:rFonts w:hint="eastAsia" w:cs="宋体"/>
          <w:szCs w:val="24"/>
          <w:highlight w:val="none"/>
        </w:rPr>
        <w:t>须知”中对投标文件解密设有线下补救方案的，执行该补救方案。</w:t>
      </w:r>
    </w:p>
    <w:p w14:paraId="5D3BCE37">
      <w:pPr>
        <w:spacing w:line="400" w:lineRule="exact"/>
        <w:ind w:firstLine="480"/>
        <w:rPr>
          <w:rFonts w:cs="宋体"/>
          <w:szCs w:val="24"/>
          <w:highlight w:val="none"/>
        </w:rPr>
      </w:pPr>
      <w:r>
        <w:rPr>
          <w:rFonts w:hint="eastAsia" w:cs="宋体"/>
          <w:szCs w:val="24"/>
          <w:highlight w:val="none"/>
        </w:rPr>
        <w:t>四、评审和询标</w:t>
      </w:r>
    </w:p>
    <w:p w14:paraId="46DBF641">
      <w:pPr>
        <w:spacing w:line="400" w:lineRule="exact"/>
        <w:ind w:firstLine="480"/>
        <w:rPr>
          <w:rFonts w:cs="宋体"/>
          <w:szCs w:val="24"/>
          <w:highlight w:val="none"/>
        </w:rPr>
      </w:pPr>
      <w:r>
        <w:rPr>
          <w:rFonts w:hint="eastAsia" w:cs="宋体"/>
          <w:szCs w:val="24"/>
          <w:highlight w:val="none"/>
        </w:rPr>
        <w:t>17.评审委员会通过优质采电子评审工具将需要澄清、说明或补正的内容以询标函的形式发送给</w:t>
      </w:r>
      <w:r>
        <w:rPr>
          <w:rFonts w:hint="eastAsia"/>
          <w:szCs w:val="18"/>
          <w:highlight w:val="none"/>
        </w:rPr>
        <w:t>供应商</w:t>
      </w:r>
      <w:r>
        <w:rPr>
          <w:rFonts w:hint="eastAsia" w:cs="宋体"/>
          <w:szCs w:val="24"/>
          <w:highlight w:val="none"/>
        </w:rPr>
        <w:t>，</w:t>
      </w:r>
      <w:r>
        <w:rPr>
          <w:rFonts w:hint="eastAsia"/>
          <w:szCs w:val="18"/>
          <w:highlight w:val="none"/>
        </w:rPr>
        <w:t>供应商</w:t>
      </w:r>
      <w:r>
        <w:rPr>
          <w:rFonts w:hint="eastAsia" w:cs="宋体"/>
          <w:szCs w:val="24"/>
          <w:highlight w:val="none"/>
        </w:rPr>
        <w:t>应登录投标工具并保持在线状态，以便及时接收评审委员会可能发出的询标函，并在询标函载明的时间内回复，若</w:t>
      </w:r>
      <w:r>
        <w:rPr>
          <w:rFonts w:hint="eastAsia"/>
          <w:szCs w:val="18"/>
          <w:highlight w:val="none"/>
        </w:rPr>
        <w:t>供应商</w:t>
      </w:r>
      <w:r>
        <w:rPr>
          <w:rFonts w:hint="eastAsia" w:cs="宋体"/>
          <w:szCs w:val="24"/>
          <w:highlight w:val="none"/>
        </w:rPr>
        <w:t>未及时回复，视为放弃澄清。</w:t>
      </w:r>
    </w:p>
    <w:p w14:paraId="11C60149">
      <w:pPr>
        <w:spacing w:line="400" w:lineRule="exact"/>
        <w:ind w:firstLine="480"/>
        <w:rPr>
          <w:rFonts w:cs="宋体"/>
          <w:highlight w:val="none"/>
        </w:rPr>
      </w:pPr>
      <w:r>
        <w:rPr>
          <w:rFonts w:hint="eastAsia" w:cs="宋体"/>
          <w:highlight w:val="none"/>
        </w:rPr>
        <w:t>五、异常情形</w:t>
      </w:r>
    </w:p>
    <w:p w14:paraId="5C587348">
      <w:pPr>
        <w:spacing w:line="400" w:lineRule="exact"/>
        <w:ind w:firstLine="480"/>
        <w:rPr>
          <w:rFonts w:cs="宋体"/>
          <w:szCs w:val="24"/>
          <w:highlight w:val="none"/>
        </w:rPr>
      </w:pPr>
      <w:r>
        <w:rPr>
          <w:rFonts w:hint="eastAsia" w:cs="宋体"/>
          <w:szCs w:val="24"/>
          <w:highlight w:val="none"/>
        </w:rPr>
        <w:t>18.出现下列情形导致电子交易系统无法正常运行，影响招投标过程的公平、公正和信息安全，经第三方机构认定后，各方当事人免责：</w:t>
      </w:r>
    </w:p>
    <w:p w14:paraId="787E375F">
      <w:pPr>
        <w:spacing w:line="400" w:lineRule="exact"/>
        <w:ind w:firstLine="480"/>
        <w:rPr>
          <w:rFonts w:cs="宋体"/>
          <w:szCs w:val="24"/>
          <w:highlight w:val="none"/>
        </w:rPr>
      </w:pPr>
      <w:r>
        <w:rPr>
          <w:rFonts w:hint="eastAsia" w:cs="宋体"/>
          <w:szCs w:val="24"/>
          <w:highlight w:val="none"/>
        </w:rPr>
        <w:t>(1)网络、服务器、数据库发生故障造成无法访问或使用的；</w:t>
      </w:r>
    </w:p>
    <w:p w14:paraId="5FC67A0F">
      <w:pPr>
        <w:spacing w:line="400" w:lineRule="exact"/>
        <w:ind w:firstLine="480"/>
        <w:rPr>
          <w:rFonts w:cs="宋体"/>
          <w:szCs w:val="24"/>
          <w:highlight w:val="none"/>
        </w:rPr>
      </w:pPr>
      <w:r>
        <w:rPr>
          <w:rFonts w:hint="eastAsia" w:cs="宋体"/>
          <w:szCs w:val="24"/>
          <w:highlight w:val="none"/>
        </w:rPr>
        <w:t>(2)电力系统发生故障导致电子服务系统或电子交易系统无法运行；</w:t>
      </w:r>
    </w:p>
    <w:p w14:paraId="6A1044D6">
      <w:pPr>
        <w:spacing w:line="400" w:lineRule="exact"/>
        <w:ind w:firstLine="480"/>
        <w:rPr>
          <w:rFonts w:cs="宋体"/>
          <w:szCs w:val="24"/>
          <w:highlight w:val="none"/>
        </w:rPr>
      </w:pPr>
      <w:r>
        <w:rPr>
          <w:rFonts w:hint="eastAsia" w:cs="宋体"/>
          <w:szCs w:val="24"/>
          <w:highlight w:val="none"/>
        </w:rPr>
        <w:t>(3)出现网络攻击、病毒入侵以及电子服务系统或电子交易系统安全漏洞导致无法正常提供服务的；</w:t>
      </w:r>
    </w:p>
    <w:p w14:paraId="4A646AE8">
      <w:pPr>
        <w:spacing w:line="400" w:lineRule="exact"/>
        <w:ind w:firstLine="480"/>
        <w:rPr>
          <w:rFonts w:cs="宋体"/>
          <w:szCs w:val="24"/>
          <w:highlight w:val="none"/>
        </w:rPr>
      </w:pPr>
      <w:r>
        <w:rPr>
          <w:rFonts w:hint="eastAsia" w:cs="宋体"/>
          <w:szCs w:val="24"/>
          <w:highlight w:val="none"/>
        </w:rPr>
        <w:t>(4)其他无法保证招投标过程公平、公正和信息安全的情形。</w:t>
      </w:r>
    </w:p>
    <w:p w14:paraId="1CFF58B9">
      <w:pPr>
        <w:spacing w:line="400" w:lineRule="exact"/>
        <w:ind w:firstLine="480"/>
        <w:rPr>
          <w:rFonts w:cs="宋体"/>
          <w:highlight w:val="none"/>
        </w:rPr>
      </w:pPr>
      <w:r>
        <w:rPr>
          <w:rFonts w:hint="eastAsia" w:cs="宋体"/>
          <w:highlight w:val="none"/>
        </w:rPr>
        <w:t>六、异常情形处理</w:t>
      </w:r>
    </w:p>
    <w:p w14:paraId="46E436A5">
      <w:pPr>
        <w:spacing w:line="400" w:lineRule="exact"/>
        <w:ind w:firstLine="480"/>
        <w:rPr>
          <w:rFonts w:cs="宋体"/>
          <w:highlight w:val="none"/>
        </w:rPr>
      </w:pPr>
      <w:r>
        <w:rPr>
          <w:rFonts w:hint="eastAsia" w:cs="宋体"/>
          <w:highlight w:val="none"/>
        </w:rPr>
        <w:t>19.出现上述情形，优质采平台及时组织相关方查明原因，排除故障。若能保证在开标前恢复系统运行的，招投标程序继续进行；若导致开评审程序无法按时开展，但能在原开标时间后2小时内恢复系统运行的，招投标程序继续进行；若导致开评审程序无法按时开展，在原开标时间后2小时内无法恢复系统运行的，按以下程序操作：</w:t>
      </w:r>
    </w:p>
    <w:p w14:paraId="32717E4A">
      <w:pPr>
        <w:spacing w:line="400" w:lineRule="exact"/>
        <w:ind w:firstLine="480"/>
        <w:rPr>
          <w:rFonts w:cs="宋体"/>
          <w:highlight w:val="none"/>
        </w:rPr>
      </w:pPr>
      <w:r>
        <w:rPr>
          <w:rFonts w:hint="eastAsia" w:cs="宋体"/>
          <w:highlight w:val="none"/>
        </w:rPr>
        <w:t>（1）项目中止，中止期限由</w:t>
      </w:r>
      <w:r>
        <w:rPr>
          <w:rFonts w:hint="eastAsia"/>
          <w:szCs w:val="18"/>
          <w:highlight w:val="none"/>
        </w:rPr>
        <w:t>业主单位</w:t>
      </w:r>
      <w:r>
        <w:rPr>
          <w:rFonts w:hint="eastAsia" w:cs="宋体"/>
          <w:highlight w:val="none"/>
        </w:rPr>
        <w:t>或代理机构根据项目具体情况确定。中止期限届满后中止情形尚未消除的，</w:t>
      </w:r>
      <w:r>
        <w:rPr>
          <w:rFonts w:hint="eastAsia"/>
          <w:szCs w:val="18"/>
          <w:highlight w:val="none"/>
        </w:rPr>
        <w:t>业主单位</w:t>
      </w:r>
      <w:r>
        <w:rPr>
          <w:rFonts w:hint="eastAsia" w:cs="宋体"/>
          <w:highlight w:val="none"/>
        </w:rPr>
        <w:t>或代理机构可以根据实际情况决定延长中止期限。决定延长中止期限的，应向</w:t>
      </w:r>
      <w:r>
        <w:rPr>
          <w:rFonts w:hint="eastAsia"/>
          <w:szCs w:val="18"/>
          <w:highlight w:val="none"/>
        </w:rPr>
        <w:t>供应商</w:t>
      </w:r>
      <w:r>
        <w:rPr>
          <w:rFonts w:hint="eastAsia" w:cs="宋体"/>
          <w:highlight w:val="none"/>
        </w:rPr>
        <w:t>发出延长中止期限通知，并发布公布。</w:t>
      </w:r>
    </w:p>
    <w:p w14:paraId="0D0EF9F7">
      <w:pPr>
        <w:spacing w:line="400" w:lineRule="exact"/>
        <w:ind w:firstLine="480"/>
        <w:rPr>
          <w:rFonts w:cs="宋体"/>
          <w:highlight w:val="none"/>
        </w:rPr>
      </w:pPr>
      <w:r>
        <w:rPr>
          <w:rFonts w:hint="eastAsia" w:cs="宋体"/>
          <w:highlight w:val="none"/>
        </w:rPr>
        <w:t>（2）项目恢复，导致项目中止的情形消除后，</w:t>
      </w:r>
      <w:r>
        <w:rPr>
          <w:rFonts w:hint="eastAsia"/>
          <w:szCs w:val="18"/>
          <w:highlight w:val="none"/>
        </w:rPr>
        <w:t>业主单位</w:t>
      </w:r>
      <w:r>
        <w:rPr>
          <w:rFonts w:hint="eastAsia" w:cs="宋体"/>
          <w:highlight w:val="none"/>
        </w:rPr>
        <w:t>或代理机构应当尽快恢复招投标程序，向</w:t>
      </w:r>
      <w:r>
        <w:rPr>
          <w:rFonts w:hint="eastAsia"/>
          <w:szCs w:val="18"/>
          <w:highlight w:val="none"/>
        </w:rPr>
        <w:t>供应商</w:t>
      </w:r>
      <w:r>
        <w:rPr>
          <w:rFonts w:hint="eastAsia" w:cs="宋体"/>
          <w:highlight w:val="none"/>
        </w:rPr>
        <w:t>发出恢复交易通知，并发布公布；已发出延长中止期限通知的，按通知执行。</w:t>
      </w:r>
    </w:p>
    <w:p w14:paraId="705A58A2">
      <w:pPr>
        <w:ind w:firstLine="480"/>
        <w:rPr>
          <w:highlight w:val="none"/>
        </w:rPr>
      </w:pPr>
    </w:p>
    <w:p w14:paraId="2FF64BD1">
      <w:pPr>
        <w:ind w:firstLine="721"/>
        <w:jc w:val="center"/>
        <w:rPr>
          <w:rFonts w:ascii="华文宋体" w:hAnsi="华文宋体" w:eastAsia="华文宋体" w:cs="华文宋体"/>
          <w:b/>
          <w:bCs/>
          <w:sz w:val="36"/>
          <w:szCs w:val="44"/>
          <w:highlight w:val="none"/>
        </w:rPr>
      </w:pPr>
    </w:p>
    <w:p w14:paraId="1E034C32">
      <w:pPr>
        <w:ind w:firstLine="721"/>
        <w:jc w:val="center"/>
        <w:rPr>
          <w:rFonts w:ascii="华文宋体" w:hAnsi="华文宋体" w:eastAsia="华文宋体" w:cs="华文宋体"/>
          <w:b/>
          <w:bCs/>
          <w:sz w:val="36"/>
          <w:szCs w:val="44"/>
          <w:highlight w:val="none"/>
        </w:rPr>
      </w:pPr>
    </w:p>
    <w:p w14:paraId="1A396DD2">
      <w:pPr>
        <w:ind w:firstLine="721"/>
        <w:jc w:val="center"/>
        <w:rPr>
          <w:rFonts w:ascii="华文宋体" w:hAnsi="华文宋体" w:eastAsia="华文宋体" w:cs="华文宋体"/>
          <w:b/>
          <w:bCs/>
          <w:sz w:val="36"/>
          <w:szCs w:val="44"/>
          <w:highlight w:val="none"/>
        </w:rPr>
      </w:pPr>
    </w:p>
    <w:p w14:paraId="430759E6">
      <w:pPr>
        <w:ind w:firstLine="721"/>
        <w:jc w:val="center"/>
        <w:rPr>
          <w:rFonts w:ascii="华文宋体" w:hAnsi="华文宋体" w:eastAsia="华文宋体" w:cs="华文宋体"/>
          <w:b/>
          <w:bCs/>
          <w:sz w:val="36"/>
          <w:szCs w:val="44"/>
          <w:highlight w:val="none"/>
        </w:rPr>
      </w:pPr>
    </w:p>
    <w:p w14:paraId="1E851CF4">
      <w:pPr>
        <w:ind w:firstLine="721"/>
        <w:jc w:val="center"/>
        <w:rPr>
          <w:rFonts w:ascii="华文宋体" w:hAnsi="华文宋体" w:eastAsia="华文宋体" w:cs="华文宋体"/>
          <w:b/>
          <w:bCs/>
          <w:sz w:val="36"/>
          <w:szCs w:val="44"/>
          <w:highlight w:val="none"/>
        </w:rPr>
      </w:pPr>
    </w:p>
    <w:p w14:paraId="72E15DC2">
      <w:pPr>
        <w:ind w:firstLine="721"/>
        <w:jc w:val="center"/>
        <w:rPr>
          <w:rFonts w:ascii="华文宋体" w:hAnsi="华文宋体" w:eastAsia="华文宋体" w:cs="华文宋体"/>
          <w:b/>
          <w:bCs/>
          <w:sz w:val="36"/>
          <w:szCs w:val="44"/>
          <w:highlight w:val="none"/>
        </w:rPr>
      </w:pPr>
    </w:p>
    <w:p w14:paraId="3827C4FA">
      <w:pPr>
        <w:ind w:firstLine="721"/>
        <w:jc w:val="center"/>
        <w:rPr>
          <w:rFonts w:ascii="华文宋体" w:hAnsi="华文宋体" w:eastAsia="华文宋体" w:cs="华文宋体"/>
          <w:b/>
          <w:bCs/>
          <w:sz w:val="36"/>
          <w:szCs w:val="44"/>
          <w:highlight w:val="none"/>
        </w:rPr>
      </w:pPr>
    </w:p>
    <w:p w14:paraId="6831882E">
      <w:pPr>
        <w:ind w:firstLine="721"/>
        <w:jc w:val="center"/>
        <w:rPr>
          <w:rFonts w:ascii="华文宋体" w:hAnsi="华文宋体" w:eastAsia="华文宋体" w:cs="华文宋体"/>
          <w:b/>
          <w:bCs/>
          <w:sz w:val="36"/>
          <w:szCs w:val="44"/>
          <w:highlight w:val="none"/>
        </w:rPr>
      </w:pPr>
    </w:p>
    <w:p w14:paraId="2788DBE0">
      <w:pPr>
        <w:ind w:firstLine="721"/>
        <w:jc w:val="center"/>
        <w:rPr>
          <w:rFonts w:ascii="华文宋体" w:hAnsi="华文宋体" w:eastAsia="华文宋体" w:cs="华文宋体"/>
          <w:b/>
          <w:bCs/>
          <w:sz w:val="36"/>
          <w:szCs w:val="44"/>
          <w:highlight w:val="none"/>
        </w:rPr>
      </w:pPr>
    </w:p>
    <w:p w14:paraId="0EA2BC83">
      <w:pPr>
        <w:ind w:firstLine="721"/>
        <w:jc w:val="center"/>
        <w:rPr>
          <w:rFonts w:ascii="华文宋体" w:hAnsi="华文宋体" w:eastAsia="华文宋体" w:cs="华文宋体"/>
          <w:b/>
          <w:bCs/>
          <w:sz w:val="36"/>
          <w:szCs w:val="44"/>
          <w:highlight w:val="none"/>
        </w:rPr>
      </w:pPr>
    </w:p>
    <w:p w14:paraId="3A749510">
      <w:pPr>
        <w:ind w:firstLine="721"/>
        <w:jc w:val="center"/>
        <w:rPr>
          <w:rFonts w:ascii="华文宋体" w:hAnsi="华文宋体" w:eastAsia="华文宋体" w:cs="华文宋体"/>
          <w:b/>
          <w:bCs/>
          <w:sz w:val="36"/>
          <w:szCs w:val="44"/>
          <w:highlight w:val="none"/>
        </w:rPr>
      </w:pPr>
    </w:p>
    <w:p w14:paraId="5ED064AC">
      <w:pPr>
        <w:ind w:firstLine="721"/>
        <w:jc w:val="center"/>
        <w:rPr>
          <w:rFonts w:ascii="华文宋体" w:hAnsi="华文宋体" w:eastAsia="华文宋体" w:cs="华文宋体"/>
          <w:b/>
          <w:bCs/>
          <w:sz w:val="36"/>
          <w:szCs w:val="44"/>
          <w:highlight w:val="none"/>
        </w:rPr>
      </w:pPr>
    </w:p>
    <w:p w14:paraId="32CFE2DA">
      <w:pPr>
        <w:ind w:firstLine="721"/>
        <w:jc w:val="center"/>
        <w:rPr>
          <w:rFonts w:ascii="华文宋体" w:hAnsi="华文宋体" w:eastAsia="华文宋体" w:cs="华文宋体"/>
          <w:b/>
          <w:bCs/>
          <w:sz w:val="36"/>
          <w:szCs w:val="44"/>
          <w:highlight w:val="none"/>
        </w:rPr>
      </w:pPr>
    </w:p>
    <w:p w14:paraId="5E4F7569">
      <w:pPr>
        <w:ind w:left="0" w:leftChars="0" w:firstLine="0" w:firstLineChars="0"/>
      </w:pPr>
    </w:p>
    <w:sectPr>
      <w:headerReference r:id="rId11" w:type="default"/>
      <w:footerReference r:id="rId12"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简标宋">
    <w:altName w:val="@宋体"/>
    <w:panose1 w:val="00000000000000000000"/>
    <w:charset w:val="86"/>
    <w:family w:val="auto"/>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宋体">
    <w:panose1 w:val="02010600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兰亭黑简体">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4E828">
    <w:pPr>
      <w:pStyle w:val="8"/>
      <w:ind w:firstLine="360"/>
      <w:jc w:val="center"/>
    </w:pPr>
  </w:p>
  <w:p w14:paraId="06519F13">
    <w:pPr>
      <w:pStyle w:val="8"/>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8D45D">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DBC48">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95530867"/>
    </w:sdtPr>
    <w:sdtContent>
      <w:p w14:paraId="3DD51B8F">
        <w:pPr>
          <w:pStyle w:val="8"/>
          <w:ind w:firstLine="360"/>
          <w:jc w:val="center"/>
        </w:pPr>
        <w:r>
          <w:fldChar w:fldCharType="begin"/>
        </w:r>
        <w:r>
          <w:instrText xml:space="preserve">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360" w:lineRule="auto"/>
        <w:ind w:firstLine="480"/>
      </w:pPr>
      <w:r>
        <w:separator/>
      </w:r>
    </w:p>
  </w:footnote>
  <w:footnote w:type="continuationSeparator" w:id="3">
    <w:p>
      <w:pPr>
        <w:spacing w:line="360" w:lineRule="auto"/>
        <w:ind w:firstLine="480"/>
      </w:pPr>
      <w:r>
        <w:continuationSeparator/>
      </w:r>
    </w:p>
  </w:footnote>
  <w:footnote w:id="0">
    <w:p w14:paraId="2704B6C4">
      <w:pPr>
        <w:pStyle w:val="10"/>
        <w:ind w:firstLine="360"/>
      </w:pPr>
      <w:r>
        <w:rPr>
          <w:rStyle w:val="17"/>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283F7">
    <w:pPr>
      <w:pStyle w:val="9"/>
      <w:ind w:firstLine="360"/>
      <w:jc w:val="left"/>
      <w:rPr>
        <w:rFonts w:eastAsiaTheme="minor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0D8A3">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45152">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13FD0">
    <w:pPr>
      <w:pStyle w:val="9"/>
      <w:ind w:firstLine="360"/>
      <w:jc w:val="left"/>
    </w:pPr>
    <w:r>
      <w:rPr>
        <w:rFonts w:hint="eastAsia"/>
      </w:rPr>
      <w:t>磋商文件示范文本—服务</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BF16BB"/>
    <w:multiLevelType w:val="singleLevel"/>
    <w:tmpl w:val="9EBF16BB"/>
    <w:lvl w:ilvl="0" w:tentative="0">
      <w:start w:val="5"/>
      <w:numFmt w:val="decimal"/>
      <w:lvlText w:val="%1."/>
      <w:lvlJc w:val="left"/>
      <w:pPr>
        <w:tabs>
          <w:tab w:val="left" w:pos="312"/>
        </w:tabs>
      </w:pPr>
    </w:lvl>
  </w:abstractNum>
  <w:abstractNum w:abstractNumId="1">
    <w:nsid w:val="BC5BF4D1"/>
    <w:multiLevelType w:val="singleLevel"/>
    <w:tmpl w:val="BC5BF4D1"/>
    <w:lvl w:ilvl="0" w:tentative="0">
      <w:start w:val="1"/>
      <w:numFmt w:val="chineseCounting"/>
      <w:suff w:val="nothing"/>
      <w:lvlText w:val="（%1）"/>
      <w:lvlJc w:val="left"/>
      <w:rPr>
        <w:rFonts w:hint="eastAsia"/>
      </w:rPr>
    </w:lvl>
  </w:abstractNum>
  <w:abstractNum w:abstractNumId="2">
    <w:nsid w:val="F71D34CA"/>
    <w:multiLevelType w:val="singleLevel"/>
    <w:tmpl w:val="F71D34CA"/>
    <w:lvl w:ilvl="0" w:tentative="0">
      <w:start w:val="1"/>
      <w:numFmt w:val="chineseCounting"/>
      <w:suff w:val="space"/>
      <w:lvlText w:val="第%1章"/>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470952"/>
    <w:rsid w:val="0E470952"/>
    <w:rsid w:val="5BA54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宋体" w:hAnsi="宋体" w:eastAsia="宋体" w:cstheme="minorBidi"/>
      <w:sz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5">
    <w:name w:val="Default Paragraph Font"/>
    <w:semiHidden/>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toc 7"/>
    <w:basedOn w:val="1"/>
    <w:next w:val="1"/>
    <w:unhideWhenUsed/>
    <w:qFormat/>
    <w:uiPriority w:val="39"/>
    <w:pPr>
      <w:ind w:left="1260"/>
      <w:jc w:val="left"/>
    </w:pPr>
    <w:rPr>
      <w:rFonts w:ascii="Calibri" w:hAnsi="Calibri" w:cs="Calibri"/>
      <w:kern w:val="2"/>
      <w:sz w:val="18"/>
      <w:szCs w:val="18"/>
    </w:rPr>
  </w:style>
  <w:style w:type="paragraph" w:styleId="4">
    <w:name w:val="Body Text"/>
    <w:basedOn w:val="1"/>
    <w:qFormat/>
    <w:uiPriority w:val="0"/>
    <w:pPr>
      <w:spacing w:after="120"/>
    </w:pPr>
    <w:rPr>
      <w:rFonts w:ascii="@微软简标宋" w:hAnsi="@微软简标宋" w:eastAsia="@微软简标宋" w:cs="@微软简标宋"/>
      <w:szCs w:val="24"/>
      <w:lang w:val="zh-CN"/>
    </w:rPr>
  </w:style>
  <w:style w:type="paragraph" w:styleId="5">
    <w:name w:val="Body Text Indent"/>
    <w:basedOn w:val="1"/>
    <w:next w:val="6"/>
    <w:unhideWhenUsed/>
    <w:qFormat/>
    <w:uiPriority w:val="0"/>
    <w:pPr>
      <w:spacing w:after="120"/>
      <w:ind w:left="420" w:leftChars="200"/>
    </w:pPr>
    <w:rPr>
      <w:rFonts w:asciiTheme="minorHAnsi" w:hAnsiTheme="minorHAnsi"/>
      <w:kern w:val="2"/>
      <w:sz w:val="21"/>
      <w:szCs w:val="22"/>
    </w:rPr>
  </w:style>
  <w:style w:type="paragraph" w:styleId="6">
    <w:name w:val="envelope return"/>
    <w:basedOn w:val="1"/>
    <w:next w:val="3"/>
    <w:qFormat/>
    <w:uiPriority w:val="0"/>
  </w:style>
  <w:style w:type="paragraph" w:styleId="7">
    <w:name w:val="Plain Text"/>
    <w:basedOn w:val="1"/>
    <w:qFormat/>
    <w:uiPriority w:val="0"/>
    <w:rPr>
      <w:rFonts w:hAnsi="Courier New" w:eastAsiaTheme="minorEastAsia"/>
      <w:szCs w:val="22"/>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unhideWhenUsed/>
    <w:qFormat/>
    <w:uiPriority w:val="0"/>
    <w:pPr>
      <w:snapToGrid w:val="0"/>
      <w:jc w:val="left"/>
    </w:pPr>
    <w:rPr>
      <w:rFonts w:ascii="Times New Roman" w:hAnsi="Times New Roman" w:cs="Times New Roman"/>
      <w:kern w:val="2"/>
      <w:sz w:val="18"/>
      <w:szCs w:val="18"/>
      <w:lang w:val="zh-CN"/>
    </w:rPr>
  </w:style>
  <w:style w:type="paragraph" w:styleId="11">
    <w:name w:val="toc 2"/>
    <w:basedOn w:val="1"/>
    <w:next w:val="1"/>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12">
    <w:name w:val="Body Text First Indent"/>
    <w:basedOn w:val="4"/>
    <w:unhideWhenUsed/>
    <w:qFormat/>
    <w:uiPriority w:val="99"/>
    <w:pPr>
      <w:ind w:firstLine="420" w:firstLineChars="100"/>
    </w:pPr>
  </w:style>
  <w:style w:type="table" w:styleId="14">
    <w:name w:val="Table Grid"/>
    <w:basedOn w:val="13"/>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026E5" w:themeColor="hyperlink"/>
      <w:u w:val="single"/>
      <w14:textFill>
        <w14:solidFill>
          <w14:schemeClr w14:val="hlink"/>
        </w14:solidFill>
      </w14:textFill>
    </w:rPr>
  </w:style>
  <w:style w:type="character" w:styleId="17">
    <w:name w:val="footnote reference"/>
    <w:unhideWhenUsed/>
    <w:qFormat/>
    <w:uiPriority w:val="0"/>
    <w:rPr>
      <w:vertAlign w:val="superscript"/>
    </w:rPr>
  </w:style>
  <w:style w:type="paragraph" w:customStyle="1" w:styleId="18">
    <w:name w:val="五级目录"/>
    <w:basedOn w:val="1"/>
    <w:qFormat/>
    <w:uiPriority w:val="0"/>
    <w:pPr>
      <w:ind w:left="150" w:leftChars="150"/>
      <w:outlineLvl w:val="4"/>
    </w:pPr>
    <w:rPr>
      <w:rFonts w:ascii="黑体" w:hAnsi="Times New Roman"/>
      <w:szCs w:val="28"/>
    </w:rPr>
  </w:style>
  <w:style w:type="paragraph" w:customStyle="1" w:styleId="19">
    <w:name w:val="正文（缩进）"/>
    <w:basedOn w:val="1"/>
    <w:qFormat/>
    <w:uiPriority w:val="0"/>
    <w:pPr>
      <w:widowControl/>
      <w:spacing w:before="156" w:after="156"/>
      <w:ind w:firstLine="480"/>
      <w:jc w:val="left"/>
    </w:pPr>
    <w:rPr>
      <w:szCs w:val="24"/>
    </w:rPr>
  </w:style>
  <w:style w:type="paragraph" w:customStyle="1" w:styleId="20">
    <w:name w:val="xl31"/>
    <w:basedOn w:val="1"/>
    <w:qFormat/>
    <w:uiPriority w:val="0"/>
    <w:pPr>
      <w:ind w:firstLine="0" w:firstLineChars="0"/>
    </w:pPr>
    <w:rPr>
      <w:rFonts w:cs="宋体"/>
      <w:bCs/>
      <w:color w:val="000000" w:themeColor="text1"/>
      <w:szCs w:val="24"/>
      <w14:textFill>
        <w14:solidFill>
          <w14:schemeClr w14:val="tx1"/>
        </w14:solidFill>
      </w14:textFill>
    </w:rPr>
  </w:style>
  <w:style w:type="paragraph" w:customStyle="1" w:styleId="21">
    <w:name w:val="D&amp;L"/>
    <w:basedOn w:val="9"/>
    <w:qFormat/>
    <w:uiPriority w:val="0"/>
    <w:pPr>
      <w:pBdr>
        <w:bottom w:val="none" w:color="auto" w:sz="0" w:space="0"/>
      </w:pBdr>
      <w:snapToGrid/>
    </w:pPr>
    <w:rPr>
      <w:rFonts w:cs="宋体"/>
      <w:bCs/>
      <w:kern w:val="2"/>
      <w:sz w:val="24"/>
      <w:szCs w:val="24"/>
    </w:rPr>
  </w:style>
  <w:style w:type="paragraph" w:customStyle="1" w:styleId="22">
    <w:name w:val="普通 (Web)"/>
    <w:basedOn w:val="1"/>
    <w:qFormat/>
    <w:uiPriority w:val="0"/>
    <w:pPr>
      <w:widowControl/>
      <w:tabs>
        <w:tab w:val="left" w:pos="1152"/>
      </w:tabs>
      <w:ind w:firstLine="0" w:firstLineChars="0"/>
      <w:jc w:val="left"/>
    </w:pPr>
    <w:rPr>
      <w:rFonts w:cs="宋体"/>
      <w:b/>
      <w:color w:val="000000" w:themeColor="text1"/>
      <w:szCs w:val="24"/>
      <w14:textFill>
        <w14:solidFill>
          <w14:schemeClr w14:val="tx1"/>
        </w14:solidFill>
      </w14:textFill>
    </w:rPr>
  </w:style>
  <w:style w:type="paragraph" w:customStyle="1" w:styleId="23">
    <w:name w:val="正文_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4">
    <w:name w:val="font11"/>
    <w:basedOn w:val="15"/>
    <w:qFormat/>
    <w:uiPriority w:val="0"/>
    <w:rPr>
      <w:rFonts w:hint="eastAsia" w:ascii="宋体" w:hAnsi="宋体" w:eastAsia="宋体" w:cs="宋体"/>
      <w:b/>
      <w:bCs/>
      <w:color w:val="000000"/>
      <w:sz w:val="24"/>
      <w:szCs w:val="24"/>
      <w:u w:val="none"/>
    </w:rPr>
  </w:style>
  <w:style w:type="character" w:customStyle="1" w:styleId="25">
    <w:name w:val="font21"/>
    <w:basedOn w:val="15"/>
    <w:qFormat/>
    <w:uiPriority w:val="0"/>
    <w:rPr>
      <w:rFonts w:hint="eastAsia" w:ascii="宋体" w:hAnsi="宋体" w:eastAsia="宋体" w:cs="宋体"/>
      <w:color w:val="000000"/>
      <w:sz w:val="24"/>
      <w:szCs w:val="24"/>
      <w:u w:val="none"/>
    </w:rPr>
  </w:style>
  <w:style w:type="paragraph" w:customStyle="1" w:styleId="26">
    <w:name w:val="BodyText1I"/>
    <w:basedOn w:val="27"/>
    <w:qFormat/>
    <w:uiPriority w:val="0"/>
    <w:pPr>
      <w:ind w:firstLine="420" w:firstLineChars="100"/>
    </w:pPr>
  </w:style>
  <w:style w:type="paragraph" w:customStyle="1" w:styleId="27">
    <w:name w:val="BodyText"/>
    <w:basedOn w:val="1"/>
    <w:next w:val="28"/>
    <w:qFormat/>
    <w:uiPriority w:val="0"/>
    <w:pPr>
      <w:widowControl/>
      <w:snapToGrid w:val="0"/>
      <w:spacing w:line="240" w:lineRule="auto"/>
      <w:jc w:val="left"/>
      <w:textAlignment w:val="baseline"/>
    </w:pPr>
    <w:rPr>
      <w:color w:val="000000"/>
      <w:szCs w:val="24"/>
      <w:lang w:val="zh-CN" w:bidi="zh-CN"/>
    </w:rPr>
  </w:style>
  <w:style w:type="paragraph" w:customStyle="1" w:styleId="28">
    <w:name w:val="Acetate"/>
    <w:basedOn w:val="1"/>
    <w:qFormat/>
    <w:uiPriority w:val="0"/>
    <w:pPr>
      <w:widowControl/>
      <w:snapToGrid w:val="0"/>
      <w:spacing w:line="240" w:lineRule="auto"/>
      <w:jc w:val="left"/>
      <w:textAlignment w:val="baseline"/>
    </w:pPr>
    <w:rPr>
      <w:rFonts w:ascii="Times New Roman" w:hAnsi="Times New Roman" w:eastAsia="Arial"/>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48</Pages>
  <Words>0</Words>
  <Characters>0</Characters>
  <Lines>0</Lines>
  <Paragraphs>0</Paragraphs>
  <TotalTime>24</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2026-06-17T08:28:00Z</dcterms:created>
  <dc:creator>唐晶晶</dc:creator>
  <cp:lastModifiedBy>唐晶晶</cp:lastModifiedBy>
  <dcterms:modified xsi:type="dcterms:W3CDTF">2026-06-17T08:59:02Z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13903067229D4CAFB70E7C24E8702CC3_11</vt:lpwstr>
  </property>
  <property fmtid="{D5CDD505-2E9C-101B-9397-08002B2CF9AE}" pid="4" name="KSOTemplateDocerSaveRecord">
    <vt:lpwstr>eyJoZGlkIjoiNGNlMGMwZDBhYWZhOTllNjljOGQ4MzE3OWEwNDRhMWMiLCJ1c2VySWQiOiIxNTY2MDI5NTY5In0=</vt:lpwstr>
  </property>
</Properties>
</file>