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fill="FFFFFF"/>
                <w:lang w:val="en-US" w:eastAsia="en-US" w:bidi="ar"/>
              </w:rPr>
              <w:t>桐城市瑞宁塑业有限公司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询比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6FB4F79D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38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9"/>
        <w:gridCol w:w="3483"/>
        <w:gridCol w:w="2837"/>
        <w:gridCol w:w="2205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项目名称：合肥派禾农业科技有限公司2026年大米外包装采购项目(二次）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E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项目编号：2026PHAX454-1 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en-US" w:bidi="ar-SA"/>
              </w:rPr>
              <w:t>报价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桐城市瑞宁塑业有限公司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90.00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152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0C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8"/>
                <w:szCs w:val="28"/>
                <w:lang w:val="en-US" w:eastAsia="zh-CN" w:bidi="ar"/>
              </w:rPr>
              <w:t>温州康田包装有限公司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ACA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2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95.00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8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4BFE4A3">
      <w:pPr>
        <w:pStyle w:val="2"/>
        <w:rPr>
          <w:rFonts w:hint="eastAsia"/>
        </w:rPr>
      </w:pPr>
      <w:bookmarkStart w:id="0" w:name="_GoBack"/>
      <w:bookmarkEnd w:id="0"/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320</Characters>
  <Lines>1</Lines>
  <Paragraphs>1</Paragraphs>
  <TotalTime>1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2026-09-17T08:42:18Z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