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185"/>
        <w:gridCol w:w="3160"/>
      </w:tblGrid>
      <w:tr w14:paraId="2017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3"/>
            <w:shd w:val="clear" w:color="auto" w:fill="auto"/>
            <w:vAlign w:val="center"/>
          </w:tcPr>
          <w:p w14:paraId="3F4A1F6C">
            <w:pPr>
              <w:jc w:val="center"/>
              <w:rPr>
                <w:rFonts w:hint="default" w:eastAsia="宋体"/>
                <w:lang w:val="en-US" w:eastAsia="zh-CN"/>
              </w:rPr>
            </w:pPr>
            <w:r>
              <w:rPr>
                <w:rFonts w:hint="eastAsia" w:ascii="宋体"/>
                <w:b/>
                <w:sz w:val="36"/>
                <w:szCs w:val="32"/>
                <w:lang w:val="en-US" w:eastAsia="zh-CN"/>
              </w:rPr>
              <w:t>成交</w:t>
            </w:r>
            <w:r>
              <w:rPr>
                <w:rFonts w:hint="eastAsia" w:ascii="宋体" w:eastAsia="宋体"/>
                <w:b/>
                <w:sz w:val="36"/>
                <w:szCs w:val="32"/>
              </w:rPr>
              <w:t>候选人信息表</w:t>
            </w:r>
          </w:p>
        </w:tc>
      </w:tr>
      <w:tr w14:paraId="6253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3"/>
            <w:shd w:val="clear" w:color="auto" w:fill="auto"/>
            <w:vAlign w:val="center"/>
          </w:tcPr>
          <w:p w14:paraId="1808A4F0">
            <w:pPr>
              <w:widowControl/>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第一成</w:t>
            </w:r>
            <w:r>
              <w:rPr>
                <w:rFonts w:hint="eastAsia" w:ascii="宋体" w:hAnsi="宋体" w:eastAsia="宋体" w:cs="宋体"/>
                <w:kern w:val="0"/>
                <w:sz w:val="28"/>
                <w:szCs w:val="28"/>
                <w:lang w:val="en-US" w:eastAsia="zh-CN"/>
              </w:rPr>
              <w:t>交候选人：</w:t>
            </w:r>
            <w:r>
              <w:rPr>
                <w:rFonts w:hint="default" w:ascii="宋体" w:hAnsi="宋体" w:eastAsia="宋体" w:cs="宋体"/>
                <w:kern w:val="0"/>
                <w:sz w:val="28"/>
                <w:szCs w:val="28"/>
                <w:lang w:val="en-US" w:eastAsia="zh-CN"/>
              </w:rPr>
              <w:t>安徽永川电力建设集团有限公司</w:t>
            </w:r>
          </w:p>
        </w:tc>
      </w:tr>
      <w:tr w14:paraId="6C34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150" w:type="dxa"/>
            <w:shd w:val="clear" w:color="auto" w:fill="auto"/>
            <w:vAlign w:val="center"/>
          </w:tcPr>
          <w:p w14:paraId="63DC6CE1">
            <w:pPr>
              <w:rPr>
                <w:rFonts w:hint="eastAsia" w:ascii="宋体" w:hAnsi="宋体" w:cs="宋体"/>
                <w:kern w:val="0"/>
                <w:sz w:val="28"/>
                <w:szCs w:val="28"/>
              </w:rPr>
            </w:pPr>
            <w:r>
              <w:rPr>
                <w:rFonts w:hint="eastAsia" w:ascii="宋体" w:hAnsi="宋体" w:cs="宋体"/>
                <w:kern w:val="0"/>
                <w:sz w:val="28"/>
                <w:szCs w:val="28"/>
                <w:lang w:val="en-US" w:eastAsia="zh-CN"/>
              </w:rPr>
              <w:t>成交</w:t>
            </w:r>
            <w:r>
              <w:rPr>
                <w:rFonts w:hint="eastAsia" w:ascii="宋体" w:hAnsi="宋体" w:cs="宋体"/>
                <w:kern w:val="0"/>
                <w:sz w:val="28"/>
                <w:szCs w:val="28"/>
              </w:rPr>
              <w:t>候选人响应</w:t>
            </w:r>
            <w:r>
              <w:rPr>
                <w:rFonts w:hint="eastAsia" w:ascii="宋体" w:hAnsi="宋体" w:cs="宋体"/>
                <w:kern w:val="0"/>
                <w:sz w:val="28"/>
                <w:szCs w:val="28"/>
                <w:lang w:val="en-US" w:eastAsia="zh-CN"/>
              </w:rPr>
              <w:t>磋商</w:t>
            </w:r>
            <w:r>
              <w:rPr>
                <w:rFonts w:hint="eastAsia" w:ascii="宋体" w:hAnsi="宋体" w:cs="宋体"/>
                <w:kern w:val="0"/>
                <w:sz w:val="28"/>
                <w:szCs w:val="28"/>
              </w:rPr>
              <w:t>文件要求的资格能力条件</w:t>
            </w:r>
          </w:p>
        </w:tc>
        <w:tc>
          <w:tcPr>
            <w:tcW w:w="6345" w:type="dxa"/>
            <w:gridSpan w:val="2"/>
            <w:shd w:val="clear" w:color="auto" w:fill="auto"/>
            <w:noWrap/>
            <w:vAlign w:val="center"/>
          </w:tcPr>
          <w:p w14:paraId="065858CC">
            <w:pPr>
              <w:keepNext w:val="0"/>
              <w:keepLines w:val="0"/>
              <w:widowControl/>
              <w:suppressLineNumbers w:val="0"/>
              <w:jc w:val="center"/>
              <w:rPr>
                <w:rFonts w:hint="default" w:ascii="宋体" w:hAnsi="宋体" w:cs="宋体"/>
                <w:kern w:val="0"/>
                <w:sz w:val="28"/>
                <w:szCs w:val="28"/>
                <w:lang w:val="en-US" w:eastAsia="zh-CN"/>
              </w:rPr>
            </w:pPr>
            <w:r>
              <w:rPr>
                <w:rFonts w:hint="eastAsia" w:ascii="宋体" w:hAnsi="宋体" w:eastAsia="宋体" w:cs="宋体"/>
                <w:color w:val="auto"/>
                <w:sz w:val="24"/>
                <w:szCs w:val="18"/>
                <w:lang w:val="en-US" w:eastAsia="zh-CN"/>
              </w:rPr>
              <w:t>具备有效的营业执照、有效的安全生产许可证、</w:t>
            </w:r>
            <w:r>
              <w:rPr>
                <w:rFonts w:hint="eastAsia" w:ascii="宋体" w:hAnsi="宋体" w:eastAsia="宋体" w:cs="宋体"/>
                <w:color w:val="auto"/>
                <w:sz w:val="24"/>
                <w:szCs w:val="18"/>
                <w:highlight w:val="none"/>
                <w:lang w:val="en-US" w:eastAsia="zh-CN"/>
              </w:rPr>
              <w:t>承装(修</w:t>
            </w:r>
            <w:r>
              <w:rPr>
                <w:rFonts w:hint="eastAsia" w:cs="宋体"/>
                <w:color w:val="auto"/>
                <w:sz w:val="24"/>
                <w:szCs w:val="18"/>
                <w:highlight w:val="none"/>
                <w:lang w:val="en-US" w:eastAsia="zh-CN"/>
              </w:rPr>
              <w:t>、</w:t>
            </w:r>
            <w:r>
              <w:rPr>
                <w:rFonts w:hint="eastAsia" w:ascii="宋体" w:hAnsi="宋体" w:eastAsia="宋体" w:cs="宋体"/>
                <w:color w:val="auto"/>
                <w:sz w:val="24"/>
                <w:szCs w:val="18"/>
                <w:highlight w:val="none"/>
                <w:lang w:val="en-US" w:eastAsia="zh-CN"/>
              </w:rPr>
              <w:t>试)电力设施许可证承装、承修、承试类均为三级</w:t>
            </w:r>
          </w:p>
        </w:tc>
      </w:tr>
      <w:tr w14:paraId="33CB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150" w:type="dxa"/>
            <w:vMerge w:val="restart"/>
            <w:shd w:val="clear" w:color="auto" w:fill="auto"/>
            <w:vAlign w:val="center"/>
          </w:tcPr>
          <w:p w14:paraId="75B08694">
            <w:pPr>
              <w:rPr>
                <w:rFonts w:hint="eastAsia" w:ascii="宋体" w:hAnsi="宋体" w:cs="宋体"/>
                <w:kern w:val="0"/>
                <w:sz w:val="28"/>
                <w:szCs w:val="28"/>
                <w:lang w:val="en-US" w:eastAsia="zh-CN"/>
              </w:rPr>
            </w:pPr>
            <w:r>
              <w:rPr>
                <w:rFonts w:hint="eastAsia" w:ascii="宋体" w:hAnsi="宋体" w:cs="宋体"/>
                <w:kern w:val="0"/>
                <w:sz w:val="28"/>
                <w:szCs w:val="28"/>
                <w:lang w:val="en-US" w:eastAsia="zh-CN"/>
              </w:rPr>
              <w:t>项目负责人</w:t>
            </w:r>
            <w:r>
              <w:rPr>
                <w:rFonts w:hint="eastAsia" w:ascii="宋体" w:hAnsi="宋体" w:cs="宋体"/>
                <w:kern w:val="0"/>
                <w:sz w:val="28"/>
                <w:szCs w:val="28"/>
              </w:rPr>
              <w:t>响应</w:t>
            </w:r>
            <w:r>
              <w:rPr>
                <w:rFonts w:hint="eastAsia" w:ascii="宋体" w:hAnsi="宋体" w:cs="宋体"/>
                <w:kern w:val="0"/>
                <w:sz w:val="28"/>
                <w:szCs w:val="28"/>
                <w:lang w:val="en-US" w:eastAsia="zh-CN"/>
              </w:rPr>
              <w:t>磋商</w:t>
            </w:r>
            <w:r>
              <w:rPr>
                <w:rFonts w:hint="eastAsia" w:ascii="宋体" w:hAnsi="宋体" w:cs="宋体"/>
                <w:kern w:val="0"/>
                <w:sz w:val="28"/>
                <w:szCs w:val="28"/>
              </w:rPr>
              <w:t>文件要求的资格能力条件</w:t>
            </w:r>
          </w:p>
        </w:tc>
        <w:tc>
          <w:tcPr>
            <w:tcW w:w="3185" w:type="dxa"/>
            <w:shd w:val="clear" w:color="auto" w:fill="auto"/>
            <w:noWrap/>
            <w:vAlign w:val="center"/>
          </w:tcPr>
          <w:p w14:paraId="09E7DAC8">
            <w:pPr>
              <w:widowControl/>
              <w:jc w:val="center"/>
              <w:rPr>
                <w:rFonts w:hint="default" w:ascii="宋体" w:hAnsi="宋体" w:eastAsia="宋体" w:cs="宋体"/>
                <w:kern w:val="0"/>
                <w:sz w:val="28"/>
                <w:szCs w:val="28"/>
                <w:lang w:val="en-US" w:eastAsia="zh-CN" w:bidi="ar-SA"/>
              </w:rPr>
            </w:pPr>
            <w:r>
              <w:rPr>
                <w:rFonts w:hint="eastAsia" w:ascii="宋体" w:hAnsi="宋体" w:cs="宋体"/>
                <w:kern w:val="0"/>
                <w:sz w:val="28"/>
                <w:szCs w:val="28"/>
              </w:rPr>
              <w:t xml:space="preserve"> 姓名</w:t>
            </w:r>
          </w:p>
        </w:tc>
        <w:tc>
          <w:tcPr>
            <w:tcW w:w="3160" w:type="dxa"/>
            <w:shd w:val="clear" w:color="auto" w:fill="auto"/>
            <w:noWrap/>
            <w:vAlign w:val="center"/>
          </w:tcPr>
          <w:p w14:paraId="701469E7">
            <w:pPr>
              <w:widowControl/>
              <w:jc w:val="center"/>
              <w:rPr>
                <w:rFonts w:hint="default" w:ascii="宋体" w:hAnsi="宋体" w:cs="宋体"/>
                <w:kern w:val="0"/>
                <w:sz w:val="28"/>
                <w:szCs w:val="28"/>
                <w:lang w:val="en-US" w:eastAsia="zh-CN" w:bidi="ar-SA"/>
              </w:rPr>
            </w:pPr>
            <w:r>
              <w:rPr>
                <w:rFonts w:hint="eastAsia" w:ascii="宋体" w:hAnsi="宋体" w:cs="宋体"/>
                <w:kern w:val="0"/>
                <w:sz w:val="28"/>
                <w:szCs w:val="28"/>
                <w:lang w:val="en-US" w:eastAsia="zh-CN"/>
              </w:rPr>
              <w:t>李冰</w:t>
            </w:r>
          </w:p>
        </w:tc>
      </w:tr>
      <w:tr w14:paraId="4B09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3150" w:type="dxa"/>
            <w:vMerge w:val="continue"/>
            <w:shd w:val="clear" w:color="auto" w:fill="auto"/>
            <w:vAlign w:val="center"/>
          </w:tcPr>
          <w:p w14:paraId="0D77DF19">
            <w:pPr>
              <w:rPr>
                <w:rFonts w:hint="eastAsia" w:ascii="宋体" w:hAnsi="宋体" w:cs="宋体"/>
                <w:kern w:val="0"/>
                <w:sz w:val="28"/>
                <w:szCs w:val="28"/>
                <w:lang w:val="en-US" w:eastAsia="zh-CN"/>
              </w:rPr>
            </w:pPr>
          </w:p>
        </w:tc>
        <w:tc>
          <w:tcPr>
            <w:tcW w:w="3185" w:type="dxa"/>
            <w:shd w:val="clear" w:color="auto" w:fill="auto"/>
            <w:noWrap/>
            <w:vAlign w:val="center"/>
          </w:tcPr>
          <w:p w14:paraId="4FDBA165">
            <w:pPr>
              <w:widowControl/>
              <w:jc w:val="center"/>
              <w:rPr>
                <w:rFonts w:hint="eastAsia" w:ascii="宋体" w:hAnsi="宋体" w:cs="宋体"/>
                <w:kern w:val="0"/>
                <w:sz w:val="28"/>
                <w:szCs w:val="28"/>
                <w:lang w:val="en-US" w:eastAsia="zh-CN" w:bidi="ar-SA"/>
              </w:rPr>
            </w:pPr>
            <w:r>
              <w:rPr>
                <w:rFonts w:hint="eastAsia" w:ascii="宋体" w:hAnsi="宋体" w:cs="宋体"/>
                <w:kern w:val="0"/>
                <w:sz w:val="28"/>
                <w:szCs w:val="28"/>
              </w:rPr>
              <w:t>证书名称</w:t>
            </w:r>
          </w:p>
        </w:tc>
        <w:tc>
          <w:tcPr>
            <w:tcW w:w="3160" w:type="dxa"/>
            <w:shd w:val="clear" w:color="auto" w:fill="auto"/>
            <w:noWrap/>
            <w:vAlign w:val="center"/>
          </w:tcPr>
          <w:p w14:paraId="257F2F8F">
            <w:pPr>
              <w:widowControl/>
              <w:jc w:val="center"/>
              <w:rPr>
                <w:rFonts w:hint="default" w:ascii="宋体" w:hAnsi="宋体" w:cs="宋体"/>
                <w:kern w:val="0"/>
                <w:sz w:val="28"/>
                <w:szCs w:val="28"/>
                <w:lang w:val="en-US" w:eastAsia="zh-CN" w:bidi="ar-SA"/>
              </w:rPr>
            </w:pPr>
            <w:r>
              <w:rPr>
                <w:rFonts w:hint="eastAsia" w:ascii="宋体" w:hAnsi="宋体" w:eastAsia="宋体" w:cs="宋体"/>
                <w:color w:val="auto"/>
                <w:sz w:val="24"/>
                <w:szCs w:val="18"/>
                <w:highlight w:val="none"/>
                <w:lang w:val="en-US" w:eastAsia="zh-CN"/>
              </w:rPr>
              <w:t>具备机电工程专业二级注册建造师资格、安全生产考核合格证书（B证）</w:t>
            </w:r>
          </w:p>
        </w:tc>
      </w:tr>
      <w:tr w14:paraId="4ABC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150" w:type="dxa"/>
            <w:vMerge w:val="continue"/>
            <w:shd w:val="clear" w:color="auto" w:fill="auto"/>
            <w:vAlign w:val="center"/>
          </w:tcPr>
          <w:p w14:paraId="5B0E9075">
            <w:pPr>
              <w:rPr>
                <w:rFonts w:hint="eastAsia" w:ascii="宋体" w:hAnsi="宋体" w:cs="宋体"/>
                <w:kern w:val="0"/>
                <w:sz w:val="28"/>
                <w:szCs w:val="28"/>
                <w:lang w:val="en-US" w:eastAsia="zh-CN"/>
              </w:rPr>
            </w:pPr>
          </w:p>
        </w:tc>
        <w:tc>
          <w:tcPr>
            <w:tcW w:w="3185" w:type="dxa"/>
            <w:shd w:val="clear" w:color="auto" w:fill="auto"/>
            <w:noWrap/>
            <w:vAlign w:val="center"/>
          </w:tcPr>
          <w:p w14:paraId="1E80F1A4">
            <w:pPr>
              <w:widowControl/>
              <w:jc w:val="center"/>
              <w:rPr>
                <w:rFonts w:hint="eastAsia" w:ascii="宋体" w:hAnsi="宋体" w:cs="宋体"/>
                <w:kern w:val="0"/>
                <w:sz w:val="28"/>
                <w:szCs w:val="28"/>
                <w:lang w:val="en-US" w:eastAsia="zh-CN" w:bidi="ar-SA"/>
              </w:rPr>
            </w:pPr>
            <w:r>
              <w:rPr>
                <w:rFonts w:hint="eastAsia" w:ascii="宋体" w:hAnsi="宋体" w:cs="宋体"/>
                <w:kern w:val="0"/>
                <w:sz w:val="28"/>
                <w:szCs w:val="28"/>
              </w:rPr>
              <w:t>证书编号（注册编号）</w:t>
            </w:r>
          </w:p>
        </w:tc>
        <w:tc>
          <w:tcPr>
            <w:tcW w:w="3160" w:type="dxa"/>
            <w:shd w:val="clear" w:color="auto" w:fill="auto"/>
            <w:noWrap/>
            <w:vAlign w:val="center"/>
          </w:tcPr>
          <w:p w14:paraId="4E8480AA">
            <w:pPr>
              <w:widowControl/>
              <w:jc w:val="center"/>
              <w:rPr>
                <w:rFonts w:hint="default" w:ascii="宋体" w:hAnsi="宋体" w:cs="宋体"/>
                <w:kern w:val="0"/>
                <w:sz w:val="28"/>
                <w:szCs w:val="28"/>
                <w:lang w:val="en-US" w:eastAsia="zh-CN" w:bidi="ar-SA"/>
              </w:rPr>
            </w:pPr>
            <w:r>
              <w:rPr>
                <w:rFonts w:hint="default" w:ascii="宋体" w:hAnsi="宋体" w:eastAsia="宋体" w:cs="宋体"/>
                <w:kern w:val="0"/>
                <w:sz w:val="28"/>
                <w:szCs w:val="28"/>
                <w:lang w:val="en-US" w:eastAsia="zh-CN" w:bidi="ar-SA"/>
              </w:rPr>
              <w:t>皖2342013201559543</w:t>
            </w:r>
            <w:r>
              <w:rPr>
                <w:rFonts w:hint="eastAsia" w:ascii="宋体" w:hAnsi="宋体" w:cs="宋体"/>
                <w:kern w:val="0"/>
                <w:sz w:val="28"/>
                <w:szCs w:val="28"/>
                <w:lang w:val="en-US" w:eastAsia="zh-CN" w:bidi="ar-SA"/>
              </w:rPr>
              <w:t>、</w:t>
            </w:r>
            <w:r>
              <w:rPr>
                <w:rFonts w:hint="eastAsia" w:ascii="宋体" w:hAnsi="宋体" w:eastAsia="宋体" w:cs="宋体"/>
                <w:color w:val="auto"/>
                <w:sz w:val="24"/>
                <w:szCs w:val="18"/>
                <w:highlight w:val="none"/>
                <w:lang w:val="en-US" w:eastAsia="zh-CN"/>
              </w:rPr>
              <w:t>皖建安B(2015）0018168</w:t>
            </w:r>
          </w:p>
        </w:tc>
      </w:tr>
      <w:tr w14:paraId="069A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150" w:type="dxa"/>
            <w:shd w:val="clear" w:color="auto" w:fill="auto"/>
            <w:vAlign w:val="center"/>
          </w:tcPr>
          <w:p w14:paraId="723AD9A9">
            <w:pPr>
              <w:widowControl/>
              <w:jc w:val="center"/>
              <w:rPr>
                <w:rFonts w:ascii="宋体" w:hAnsi="宋体" w:cs="宋体"/>
                <w:kern w:val="0"/>
                <w:sz w:val="28"/>
                <w:szCs w:val="28"/>
              </w:rPr>
            </w:pPr>
            <w:r>
              <w:rPr>
                <w:rFonts w:hint="eastAsia" w:ascii="宋体" w:hAnsi="宋体" w:cs="宋体"/>
                <w:kern w:val="0"/>
                <w:sz w:val="28"/>
                <w:szCs w:val="28"/>
              </w:rPr>
              <w:t>详细评审业绩</w:t>
            </w:r>
          </w:p>
        </w:tc>
        <w:tc>
          <w:tcPr>
            <w:tcW w:w="6345" w:type="dxa"/>
            <w:gridSpan w:val="2"/>
            <w:shd w:val="clear" w:color="auto" w:fill="auto"/>
            <w:noWrap/>
            <w:vAlign w:val="center"/>
          </w:tcPr>
          <w:p w14:paraId="618B62F5">
            <w:pPr>
              <w:widowControl/>
              <w:numPr>
                <w:ilvl w:val="0"/>
                <w:numId w:val="0"/>
              </w:numPr>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1.双通物流园超充充电站项目</w:t>
            </w:r>
          </w:p>
          <w:p w14:paraId="66703D41">
            <w:pPr>
              <w:widowControl/>
              <w:numPr>
                <w:ilvl w:val="0"/>
                <w:numId w:val="0"/>
              </w:numPr>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2.肥东县人力资源和社会保障局办</w:t>
            </w:r>
            <w:bookmarkStart w:id="0" w:name="_GoBack"/>
            <w:bookmarkEnd w:id="0"/>
            <w:r>
              <w:rPr>
                <w:rFonts w:hint="eastAsia" w:ascii="宋体" w:hAnsi="宋体" w:eastAsia="宋体" w:cs="宋体"/>
                <w:kern w:val="0"/>
                <w:sz w:val="28"/>
                <w:szCs w:val="28"/>
                <w:lang w:val="en-US" w:eastAsia="zh-CN"/>
              </w:rPr>
              <w:t>公楼屋顶分布式光伏发电项目</w:t>
            </w:r>
          </w:p>
          <w:p w14:paraId="117212E1">
            <w:pPr>
              <w:pStyle w:val="2"/>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3.安徽晞永新能源科技有限公司肥西县亿昌兴机械分布式光伏发电项目</w:t>
            </w:r>
          </w:p>
          <w:p w14:paraId="22429FC4">
            <w:pPr>
              <w:pStyle w:val="2"/>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r>
              <w:rPr>
                <w:rFonts w:hint="default" w:ascii="宋体" w:hAnsi="宋体" w:eastAsia="宋体" w:cs="宋体"/>
                <w:kern w:val="0"/>
                <w:sz w:val="28"/>
                <w:szCs w:val="28"/>
                <w:lang w:val="en-US" w:eastAsia="zh-CN"/>
              </w:rPr>
              <w:t>安徽省蚌埠市高新区安徽精菱玻璃机械有限公司2.44MW屋顶分布式光伏发电项目</w:t>
            </w:r>
          </w:p>
          <w:p w14:paraId="5EF664C5">
            <w:pPr>
              <w:widowControl/>
              <w:jc w:val="left"/>
              <w:rPr>
                <w:rFonts w:hint="default" w:ascii="宋体" w:hAnsi="宋体" w:cs="宋体"/>
                <w:kern w:val="0"/>
                <w:sz w:val="28"/>
                <w:szCs w:val="28"/>
                <w:lang w:val="en-US" w:eastAsia="zh-CN"/>
              </w:rPr>
            </w:pPr>
          </w:p>
        </w:tc>
      </w:tr>
    </w:tbl>
    <w:p w14:paraId="53DB684F">
      <w:pPr>
        <w:jc w:val="both"/>
        <w:rPr>
          <w:rFonts w:hint="eastAsia" w:ascii="宋体" w:eastAsia="宋体"/>
          <w:b/>
          <w:sz w:val="36"/>
          <w:szCs w:val="32"/>
        </w:rPr>
        <w:sectPr>
          <w:pgSz w:w="11906" w:h="16838"/>
          <w:pgMar w:top="1157" w:right="1633" w:bottom="1157" w:left="1633" w:header="851" w:footer="992" w:gutter="0"/>
          <w:cols w:space="0" w:num="1"/>
          <w:rtlGutter w:val="0"/>
          <w:docGrid w:type="lines" w:linePitch="312" w:charSpace="0"/>
        </w:sectPr>
      </w:pPr>
    </w:p>
    <w:tbl>
      <w:tblPr>
        <w:tblStyle w:val="7"/>
        <w:tblW w:w="138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35"/>
        <w:gridCol w:w="1698"/>
        <w:gridCol w:w="1852"/>
        <w:gridCol w:w="1746"/>
        <w:gridCol w:w="1358"/>
        <w:gridCol w:w="2205"/>
      </w:tblGrid>
      <w:tr w14:paraId="00D4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89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F3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评审情况一览表</w:t>
            </w:r>
          </w:p>
        </w:tc>
      </w:tr>
      <w:tr w14:paraId="5281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58A0">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项目名称：肥西县金照交口西侧停车场充电场站建设项目</w:t>
            </w:r>
          </w:p>
        </w:tc>
      </w:tr>
      <w:tr w14:paraId="0F1B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5B7E">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项目编号：2026PHGN453</w:t>
            </w:r>
          </w:p>
        </w:tc>
      </w:tr>
      <w:tr w14:paraId="5F833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4E2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供应商</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B15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初步评审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D2B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技术</w:t>
            </w:r>
            <w:r>
              <w:rPr>
                <w:rFonts w:hint="eastAsia" w:ascii="宋体" w:hAnsi="宋体" w:cs="宋体"/>
                <w:b/>
                <w:bCs/>
                <w:i w:val="0"/>
                <w:iCs w:val="0"/>
                <w:color w:val="000000"/>
                <w:kern w:val="0"/>
                <w:sz w:val="28"/>
                <w:szCs w:val="28"/>
                <w:u w:val="none"/>
                <w:lang w:val="en-US" w:eastAsia="zh-CN" w:bidi="ar"/>
              </w:rPr>
              <w:t>资信</w:t>
            </w:r>
            <w:r>
              <w:rPr>
                <w:rFonts w:hint="eastAsia" w:ascii="宋体" w:hAnsi="宋体" w:eastAsia="宋体" w:cs="宋体"/>
                <w:b/>
                <w:bCs/>
                <w:i w:val="0"/>
                <w:iCs w:val="0"/>
                <w:color w:val="000000"/>
                <w:kern w:val="0"/>
                <w:sz w:val="28"/>
                <w:szCs w:val="28"/>
                <w:u w:val="none"/>
                <w:lang w:val="en-US" w:eastAsia="zh-CN" w:bidi="ar"/>
              </w:rPr>
              <w:t>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AD0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cs="宋体"/>
                <w:b/>
                <w:bCs/>
                <w:i w:val="0"/>
                <w:iCs w:val="0"/>
                <w:color w:val="000000"/>
                <w:kern w:val="0"/>
                <w:sz w:val="28"/>
                <w:szCs w:val="28"/>
                <w:u w:val="none"/>
                <w:lang w:val="en-US" w:eastAsia="zh-CN" w:bidi="ar"/>
              </w:rPr>
              <w:t>价格</w:t>
            </w:r>
            <w:r>
              <w:rPr>
                <w:rFonts w:hint="eastAsia" w:ascii="宋体" w:hAnsi="宋体" w:eastAsia="宋体" w:cs="宋体"/>
                <w:b/>
                <w:bCs/>
                <w:i w:val="0"/>
                <w:iCs w:val="0"/>
                <w:color w:val="000000"/>
                <w:kern w:val="0"/>
                <w:sz w:val="28"/>
                <w:szCs w:val="28"/>
                <w:u w:val="none"/>
                <w:lang w:val="en-US" w:eastAsia="zh-CN" w:bidi="ar"/>
              </w:rPr>
              <w:t>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DA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总得分</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DB0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2E3D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C52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公牛集团股份有限公司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20EE">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29B8">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69</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553F">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8.77</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2FC5">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77.77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AB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p>
        </w:tc>
      </w:tr>
      <w:tr w14:paraId="152C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0CD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阳光新能源开发股份有限公司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FAC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不符合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AEB0">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BD00">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B72B">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8894">
            <w:pPr>
              <w:jc w:val="center"/>
              <w:rPr>
                <w:rFonts w:hint="eastAsia" w:ascii="宋体" w:hAnsi="宋体" w:eastAsia="宋体" w:cs="宋体"/>
                <w:i w:val="0"/>
                <w:iCs w:val="0"/>
                <w:color w:val="000000"/>
                <w:sz w:val="28"/>
                <w:szCs w:val="28"/>
                <w:u w:val="none"/>
              </w:rPr>
            </w:pPr>
          </w:p>
        </w:tc>
      </w:tr>
      <w:tr w14:paraId="681DE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E27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安徽能通新能源科技有限公司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BE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4EA0">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46</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4B0A">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8.38</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48B0">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54.38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8285">
            <w:pPr>
              <w:jc w:val="center"/>
              <w:rPr>
                <w:rFonts w:hint="eastAsia" w:ascii="宋体" w:hAnsi="宋体" w:eastAsia="宋体" w:cs="宋体"/>
                <w:i w:val="0"/>
                <w:iCs w:val="0"/>
                <w:color w:val="000000"/>
                <w:sz w:val="28"/>
                <w:szCs w:val="28"/>
                <w:u w:val="none"/>
              </w:rPr>
            </w:pPr>
          </w:p>
        </w:tc>
      </w:tr>
      <w:tr w14:paraId="3479A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E3A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合肥精锐电力工程有限公司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31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F059">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74</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F740">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8.58</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C41D">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82.58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1B70">
            <w:pPr>
              <w:jc w:val="center"/>
              <w:rPr>
                <w:rFonts w:hint="eastAsia" w:ascii="宋体" w:hAnsi="宋体" w:eastAsia="宋体" w:cs="宋体"/>
                <w:i w:val="0"/>
                <w:iCs w:val="0"/>
                <w:color w:val="000000"/>
                <w:sz w:val="28"/>
                <w:szCs w:val="28"/>
                <w:u w:val="none"/>
              </w:rPr>
            </w:pPr>
          </w:p>
        </w:tc>
      </w:tr>
      <w:tr w14:paraId="5DD5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B3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安徽鸿图电力建设有限公司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D47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不符合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FF46">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E973">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6996">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EBA9">
            <w:pPr>
              <w:jc w:val="center"/>
              <w:rPr>
                <w:rFonts w:hint="eastAsia" w:ascii="宋体" w:hAnsi="宋体" w:eastAsia="宋体" w:cs="宋体"/>
                <w:i w:val="0"/>
                <w:iCs w:val="0"/>
                <w:color w:val="000000"/>
                <w:sz w:val="28"/>
                <w:szCs w:val="28"/>
                <w:u w:val="none"/>
              </w:rPr>
            </w:pPr>
          </w:p>
        </w:tc>
      </w:tr>
      <w:tr w14:paraId="222F9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33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星耀山河能源科技有限公司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412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AA54">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75</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C57F">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9.13</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8447">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84.13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270A">
            <w:pPr>
              <w:jc w:val="center"/>
              <w:rPr>
                <w:rFonts w:hint="eastAsia" w:ascii="宋体" w:hAnsi="宋体" w:eastAsia="宋体" w:cs="宋体"/>
                <w:i w:val="0"/>
                <w:iCs w:val="0"/>
                <w:color w:val="000000"/>
                <w:sz w:val="28"/>
                <w:szCs w:val="28"/>
                <w:u w:val="none"/>
              </w:rPr>
            </w:pPr>
          </w:p>
        </w:tc>
      </w:tr>
      <w:tr w14:paraId="3A62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E94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安徽湃腾能源发展有限公司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A2C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F65B">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74</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8BA6">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8.76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1CE0">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82.76</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73DA">
            <w:pPr>
              <w:jc w:val="center"/>
              <w:rPr>
                <w:rFonts w:hint="eastAsia" w:ascii="宋体" w:hAnsi="宋体" w:eastAsia="宋体" w:cs="宋体"/>
                <w:i w:val="0"/>
                <w:iCs w:val="0"/>
                <w:color w:val="000000"/>
                <w:sz w:val="28"/>
                <w:szCs w:val="28"/>
                <w:u w:val="none"/>
              </w:rPr>
            </w:pPr>
          </w:p>
        </w:tc>
      </w:tr>
      <w:tr w14:paraId="12AE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DDF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安徽长源盈科新能源科技有限公司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BD5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不符合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BA2E">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AF0B">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AF5F">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6C0B">
            <w:pPr>
              <w:jc w:val="center"/>
              <w:rPr>
                <w:rFonts w:hint="eastAsia" w:ascii="宋体" w:hAnsi="宋体" w:eastAsia="宋体" w:cs="宋体"/>
                <w:i w:val="0"/>
                <w:iCs w:val="0"/>
                <w:color w:val="000000"/>
                <w:sz w:val="28"/>
                <w:szCs w:val="28"/>
                <w:u w:val="none"/>
              </w:rPr>
            </w:pPr>
          </w:p>
        </w:tc>
      </w:tr>
      <w:tr w14:paraId="4AC89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7B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安徽远洋电力工程有限公司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C6A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6FF7">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75</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C067">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47EA">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85.00</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D9D4">
            <w:pPr>
              <w:jc w:val="center"/>
              <w:rPr>
                <w:rFonts w:hint="eastAsia" w:ascii="宋体" w:hAnsi="宋体" w:eastAsia="宋体" w:cs="宋体"/>
                <w:i w:val="0"/>
                <w:iCs w:val="0"/>
                <w:color w:val="000000"/>
                <w:sz w:val="28"/>
                <w:szCs w:val="28"/>
                <w:u w:val="none"/>
              </w:rPr>
            </w:pPr>
          </w:p>
        </w:tc>
      </w:tr>
      <w:tr w14:paraId="69CE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4DF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安徽永川电力建设集团有限公司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0F9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CC68">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79</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B826">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8.87</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CB66">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87.87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F48B">
            <w:pPr>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第一成交候选人</w:t>
            </w:r>
          </w:p>
        </w:tc>
      </w:tr>
      <w:tr w14:paraId="7A50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849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青岛特来电新能源科技有限公司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6F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73C9">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75</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2021">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8.69</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5F88">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83.69</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0DF0">
            <w:pPr>
              <w:jc w:val="center"/>
              <w:rPr>
                <w:rFonts w:hint="eastAsia" w:ascii="宋体" w:hAnsi="宋体" w:eastAsia="宋体" w:cs="宋体"/>
                <w:i w:val="0"/>
                <w:iCs w:val="0"/>
                <w:color w:val="000000"/>
                <w:sz w:val="28"/>
                <w:szCs w:val="28"/>
                <w:u w:val="none"/>
              </w:rPr>
            </w:pPr>
          </w:p>
        </w:tc>
      </w:tr>
      <w:tr w14:paraId="0516B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8DF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32"/>
                <w:szCs w:val="32"/>
                <w:u w:val="none"/>
                <w:lang w:val="en-US" w:eastAsia="zh-CN" w:bidi="ar"/>
              </w:rPr>
              <w:t>领充新能源科技有限公司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474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sz w:val="28"/>
                <w:szCs w:val="28"/>
                <w:u w:val="none"/>
                <w:lang w:val="en-US" w:eastAsia="zh-CN"/>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51B1">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75</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1C91">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8.86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9384">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83.86</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5EB9">
            <w:pPr>
              <w:jc w:val="center"/>
              <w:rPr>
                <w:rFonts w:hint="eastAsia" w:ascii="宋体" w:hAnsi="宋体" w:eastAsia="宋体" w:cs="宋体"/>
                <w:i w:val="0"/>
                <w:iCs w:val="0"/>
                <w:color w:val="000000"/>
                <w:sz w:val="28"/>
                <w:szCs w:val="28"/>
                <w:u w:val="none"/>
              </w:rPr>
            </w:pPr>
          </w:p>
        </w:tc>
      </w:tr>
    </w:tbl>
    <w:p w14:paraId="22A54B4C">
      <w:pPr>
        <w:pStyle w:val="2"/>
        <w:rPr>
          <w:rFonts w:hint="eastAsia"/>
        </w:rPr>
      </w:pPr>
    </w:p>
    <w:sectPr>
      <w:pgSz w:w="16838" w:h="11906" w:orient="landscape"/>
      <w:pgMar w:top="1633" w:right="1157" w:bottom="1633" w:left="115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YTNmMzNhN2I0OTQwZDBhOGI4NGMyZmUxM2FiNmIifQ=="/>
  </w:docVars>
  <w:rsids>
    <w:rsidRoot w:val="00172A27"/>
    <w:rsid w:val="000027E6"/>
    <w:rsid w:val="000062E5"/>
    <w:rsid w:val="00010ED7"/>
    <w:rsid w:val="00055E54"/>
    <w:rsid w:val="00070DEF"/>
    <w:rsid w:val="00071FA4"/>
    <w:rsid w:val="00076715"/>
    <w:rsid w:val="00094EB8"/>
    <w:rsid w:val="000C1CE2"/>
    <w:rsid w:val="000D0E55"/>
    <w:rsid w:val="000E16CF"/>
    <w:rsid w:val="000F3569"/>
    <w:rsid w:val="001019E0"/>
    <w:rsid w:val="0013072C"/>
    <w:rsid w:val="0013341A"/>
    <w:rsid w:val="00134714"/>
    <w:rsid w:val="001350B5"/>
    <w:rsid w:val="0016225A"/>
    <w:rsid w:val="00171FE0"/>
    <w:rsid w:val="00172D88"/>
    <w:rsid w:val="00182C90"/>
    <w:rsid w:val="00185BFC"/>
    <w:rsid w:val="00186023"/>
    <w:rsid w:val="00194F1E"/>
    <w:rsid w:val="001A210B"/>
    <w:rsid w:val="001A71C6"/>
    <w:rsid w:val="001D1B24"/>
    <w:rsid w:val="001D48C2"/>
    <w:rsid w:val="0020035B"/>
    <w:rsid w:val="002122B2"/>
    <w:rsid w:val="002164E4"/>
    <w:rsid w:val="00226016"/>
    <w:rsid w:val="00226BAD"/>
    <w:rsid w:val="0023074C"/>
    <w:rsid w:val="0023316E"/>
    <w:rsid w:val="002460BF"/>
    <w:rsid w:val="00246D46"/>
    <w:rsid w:val="0025117E"/>
    <w:rsid w:val="00256E5D"/>
    <w:rsid w:val="00287525"/>
    <w:rsid w:val="00291473"/>
    <w:rsid w:val="00295B30"/>
    <w:rsid w:val="002A1893"/>
    <w:rsid w:val="002C1119"/>
    <w:rsid w:val="002C4B30"/>
    <w:rsid w:val="002E485E"/>
    <w:rsid w:val="002F1887"/>
    <w:rsid w:val="002F2DAC"/>
    <w:rsid w:val="00314C72"/>
    <w:rsid w:val="00331DB1"/>
    <w:rsid w:val="00380CCB"/>
    <w:rsid w:val="00387427"/>
    <w:rsid w:val="003B2920"/>
    <w:rsid w:val="003C4BC1"/>
    <w:rsid w:val="003C5445"/>
    <w:rsid w:val="003D6B64"/>
    <w:rsid w:val="003E3845"/>
    <w:rsid w:val="003F4E62"/>
    <w:rsid w:val="00442B3A"/>
    <w:rsid w:val="004502D6"/>
    <w:rsid w:val="00457F9E"/>
    <w:rsid w:val="0046041C"/>
    <w:rsid w:val="004628CB"/>
    <w:rsid w:val="00487953"/>
    <w:rsid w:val="004B5C09"/>
    <w:rsid w:val="004B5C31"/>
    <w:rsid w:val="004D340B"/>
    <w:rsid w:val="004D7AD4"/>
    <w:rsid w:val="004F1243"/>
    <w:rsid w:val="00501C65"/>
    <w:rsid w:val="00542564"/>
    <w:rsid w:val="005650D0"/>
    <w:rsid w:val="00570CE8"/>
    <w:rsid w:val="0058125F"/>
    <w:rsid w:val="005A691E"/>
    <w:rsid w:val="005B17C6"/>
    <w:rsid w:val="005B364E"/>
    <w:rsid w:val="005B71CB"/>
    <w:rsid w:val="005C030E"/>
    <w:rsid w:val="005C3789"/>
    <w:rsid w:val="005C6B33"/>
    <w:rsid w:val="005D6114"/>
    <w:rsid w:val="00617572"/>
    <w:rsid w:val="006225F3"/>
    <w:rsid w:val="00622A25"/>
    <w:rsid w:val="00626F4B"/>
    <w:rsid w:val="00631BB9"/>
    <w:rsid w:val="00636062"/>
    <w:rsid w:val="0064407B"/>
    <w:rsid w:val="00645C89"/>
    <w:rsid w:val="00655963"/>
    <w:rsid w:val="00662C02"/>
    <w:rsid w:val="006706F6"/>
    <w:rsid w:val="00671941"/>
    <w:rsid w:val="006A2824"/>
    <w:rsid w:val="006D6EE5"/>
    <w:rsid w:val="006F50AE"/>
    <w:rsid w:val="007117BB"/>
    <w:rsid w:val="00760BD2"/>
    <w:rsid w:val="00775524"/>
    <w:rsid w:val="00783607"/>
    <w:rsid w:val="007B1DED"/>
    <w:rsid w:val="007C16CF"/>
    <w:rsid w:val="007D7C52"/>
    <w:rsid w:val="008344E0"/>
    <w:rsid w:val="00835D90"/>
    <w:rsid w:val="0083785A"/>
    <w:rsid w:val="00856A70"/>
    <w:rsid w:val="00863164"/>
    <w:rsid w:val="008640FC"/>
    <w:rsid w:val="0087531D"/>
    <w:rsid w:val="00876717"/>
    <w:rsid w:val="008936EA"/>
    <w:rsid w:val="008B015E"/>
    <w:rsid w:val="008C5583"/>
    <w:rsid w:val="008C6CE0"/>
    <w:rsid w:val="008D5B69"/>
    <w:rsid w:val="008D60DE"/>
    <w:rsid w:val="008E6342"/>
    <w:rsid w:val="00922DD5"/>
    <w:rsid w:val="00932FF1"/>
    <w:rsid w:val="00936819"/>
    <w:rsid w:val="009371AA"/>
    <w:rsid w:val="00951198"/>
    <w:rsid w:val="009745C9"/>
    <w:rsid w:val="009E1F8A"/>
    <w:rsid w:val="009E2ED4"/>
    <w:rsid w:val="00A0555C"/>
    <w:rsid w:val="00A06700"/>
    <w:rsid w:val="00A10B92"/>
    <w:rsid w:val="00A25009"/>
    <w:rsid w:val="00A67BBD"/>
    <w:rsid w:val="00A87AB2"/>
    <w:rsid w:val="00A96317"/>
    <w:rsid w:val="00AB50D8"/>
    <w:rsid w:val="00AD4861"/>
    <w:rsid w:val="00AD5CCF"/>
    <w:rsid w:val="00AE7AF7"/>
    <w:rsid w:val="00AF6F91"/>
    <w:rsid w:val="00B2723E"/>
    <w:rsid w:val="00B32BBA"/>
    <w:rsid w:val="00B338EC"/>
    <w:rsid w:val="00B44571"/>
    <w:rsid w:val="00B845C4"/>
    <w:rsid w:val="00B85A14"/>
    <w:rsid w:val="00B925B9"/>
    <w:rsid w:val="00BB6239"/>
    <w:rsid w:val="00BB73E4"/>
    <w:rsid w:val="00BC2C26"/>
    <w:rsid w:val="00C2468C"/>
    <w:rsid w:val="00C30829"/>
    <w:rsid w:val="00C42141"/>
    <w:rsid w:val="00C54417"/>
    <w:rsid w:val="00C56729"/>
    <w:rsid w:val="00C644EA"/>
    <w:rsid w:val="00C80CD0"/>
    <w:rsid w:val="00C86604"/>
    <w:rsid w:val="00CA3136"/>
    <w:rsid w:val="00CC16CA"/>
    <w:rsid w:val="00CD267A"/>
    <w:rsid w:val="00CD402B"/>
    <w:rsid w:val="00CE043D"/>
    <w:rsid w:val="00CE51D6"/>
    <w:rsid w:val="00D53F8A"/>
    <w:rsid w:val="00D71942"/>
    <w:rsid w:val="00D80921"/>
    <w:rsid w:val="00D8136B"/>
    <w:rsid w:val="00DB319C"/>
    <w:rsid w:val="00DB6724"/>
    <w:rsid w:val="00DE5495"/>
    <w:rsid w:val="00DF47F0"/>
    <w:rsid w:val="00E256FD"/>
    <w:rsid w:val="00E258F3"/>
    <w:rsid w:val="00E61AD7"/>
    <w:rsid w:val="00E625D6"/>
    <w:rsid w:val="00EA00DC"/>
    <w:rsid w:val="00EC0CC4"/>
    <w:rsid w:val="00EC6F90"/>
    <w:rsid w:val="00ED4992"/>
    <w:rsid w:val="00ED4D9B"/>
    <w:rsid w:val="00EE0113"/>
    <w:rsid w:val="00F15809"/>
    <w:rsid w:val="00F56472"/>
    <w:rsid w:val="00F974E7"/>
    <w:rsid w:val="00FB5678"/>
    <w:rsid w:val="00FC25D4"/>
    <w:rsid w:val="00FC4521"/>
    <w:rsid w:val="00FF6299"/>
    <w:rsid w:val="02121FEB"/>
    <w:rsid w:val="027B1E45"/>
    <w:rsid w:val="049A38E8"/>
    <w:rsid w:val="056E3A92"/>
    <w:rsid w:val="05D109A1"/>
    <w:rsid w:val="0616760F"/>
    <w:rsid w:val="078B541E"/>
    <w:rsid w:val="0A251868"/>
    <w:rsid w:val="0D367B67"/>
    <w:rsid w:val="0E9A4CD8"/>
    <w:rsid w:val="0EC35D04"/>
    <w:rsid w:val="0FF51BE3"/>
    <w:rsid w:val="10245D58"/>
    <w:rsid w:val="12E82452"/>
    <w:rsid w:val="13691639"/>
    <w:rsid w:val="15F47393"/>
    <w:rsid w:val="16A118B4"/>
    <w:rsid w:val="16D256FC"/>
    <w:rsid w:val="17DE2DD2"/>
    <w:rsid w:val="187F73B4"/>
    <w:rsid w:val="18937C64"/>
    <w:rsid w:val="1982336D"/>
    <w:rsid w:val="19A34958"/>
    <w:rsid w:val="19F87663"/>
    <w:rsid w:val="1BAC2C91"/>
    <w:rsid w:val="1C0D7700"/>
    <w:rsid w:val="1DAF2797"/>
    <w:rsid w:val="1E50151E"/>
    <w:rsid w:val="1EC774BE"/>
    <w:rsid w:val="1F834BB0"/>
    <w:rsid w:val="202E4B31"/>
    <w:rsid w:val="207013CE"/>
    <w:rsid w:val="212C2CB6"/>
    <w:rsid w:val="21447922"/>
    <w:rsid w:val="23023F9E"/>
    <w:rsid w:val="23582961"/>
    <w:rsid w:val="24BD6179"/>
    <w:rsid w:val="251C2D73"/>
    <w:rsid w:val="258531A7"/>
    <w:rsid w:val="25D002C4"/>
    <w:rsid w:val="26A84545"/>
    <w:rsid w:val="26E81946"/>
    <w:rsid w:val="28B90D6F"/>
    <w:rsid w:val="29DE046C"/>
    <w:rsid w:val="2A282CE1"/>
    <w:rsid w:val="2BB125DD"/>
    <w:rsid w:val="2C3C048B"/>
    <w:rsid w:val="2CCA5E4F"/>
    <w:rsid w:val="2CD54443"/>
    <w:rsid w:val="2D094CF6"/>
    <w:rsid w:val="3077355B"/>
    <w:rsid w:val="30DA6B89"/>
    <w:rsid w:val="324508D9"/>
    <w:rsid w:val="325B2637"/>
    <w:rsid w:val="34213510"/>
    <w:rsid w:val="35BC7E9E"/>
    <w:rsid w:val="36A708E8"/>
    <w:rsid w:val="379C2EB0"/>
    <w:rsid w:val="385C5171"/>
    <w:rsid w:val="38AD0A17"/>
    <w:rsid w:val="3C2457D3"/>
    <w:rsid w:val="3DE7182A"/>
    <w:rsid w:val="4051140F"/>
    <w:rsid w:val="42AC07A5"/>
    <w:rsid w:val="44B3496D"/>
    <w:rsid w:val="453C470A"/>
    <w:rsid w:val="4593535F"/>
    <w:rsid w:val="45B26D1A"/>
    <w:rsid w:val="45E930B7"/>
    <w:rsid w:val="474C1290"/>
    <w:rsid w:val="47520C21"/>
    <w:rsid w:val="482F310F"/>
    <w:rsid w:val="4BAC5FD8"/>
    <w:rsid w:val="4D021D4B"/>
    <w:rsid w:val="4D1A483E"/>
    <w:rsid w:val="4DB01A5E"/>
    <w:rsid w:val="506041B4"/>
    <w:rsid w:val="50B36711"/>
    <w:rsid w:val="51107FE9"/>
    <w:rsid w:val="5117543F"/>
    <w:rsid w:val="51726C8E"/>
    <w:rsid w:val="527222EF"/>
    <w:rsid w:val="539F3E8B"/>
    <w:rsid w:val="549372E6"/>
    <w:rsid w:val="55C23194"/>
    <w:rsid w:val="55F0421D"/>
    <w:rsid w:val="58C96944"/>
    <w:rsid w:val="5A2A3FC4"/>
    <w:rsid w:val="5ED23282"/>
    <w:rsid w:val="5F604B37"/>
    <w:rsid w:val="5F627E73"/>
    <w:rsid w:val="5F971944"/>
    <w:rsid w:val="604E6A16"/>
    <w:rsid w:val="60F70BBE"/>
    <w:rsid w:val="6373695B"/>
    <w:rsid w:val="6441196D"/>
    <w:rsid w:val="65362175"/>
    <w:rsid w:val="66074602"/>
    <w:rsid w:val="665449A0"/>
    <w:rsid w:val="681C24D1"/>
    <w:rsid w:val="682F0285"/>
    <w:rsid w:val="684D7F02"/>
    <w:rsid w:val="684E2CEA"/>
    <w:rsid w:val="69BB2EF5"/>
    <w:rsid w:val="6AAF334E"/>
    <w:rsid w:val="6ABF1A10"/>
    <w:rsid w:val="6B9E38F9"/>
    <w:rsid w:val="6C0171A1"/>
    <w:rsid w:val="6EF01F43"/>
    <w:rsid w:val="6F8E498B"/>
    <w:rsid w:val="717A5854"/>
    <w:rsid w:val="725B76BF"/>
    <w:rsid w:val="727B476E"/>
    <w:rsid w:val="72DA0378"/>
    <w:rsid w:val="72DE53F0"/>
    <w:rsid w:val="73A429A0"/>
    <w:rsid w:val="74E10455"/>
    <w:rsid w:val="767827F1"/>
    <w:rsid w:val="772D6E8E"/>
    <w:rsid w:val="773109EF"/>
    <w:rsid w:val="77386362"/>
    <w:rsid w:val="783664C2"/>
    <w:rsid w:val="785271A3"/>
    <w:rsid w:val="786D08A3"/>
    <w:rsid w:val="798437A2"/>
    <w:rsid w:val="7A054486"/>
    <w:rsid w:val="7A567EAB"/>
    <w:rsid w:val="7B5A6111"/>
    <w:rsid w:val="7BA07445"/>
    <w:rsid w:val="7BA82A60"/>
    <w:rsid w:val="7C547FAA"/>
    <w:rsid w:val="7E0D42F1"/>
    <w:rsid w:val="7EF5701A"/>
    <w:rsid w:val="7F5E47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3">
    <w:name w:val="Balloon Text"/>
    <w:basedOn w:val="1"/>
    <w:link w:val="23"/>
    <w:autoRedefine/>
    <w:semiHidden/>
    <w:unhideWhenUsed/>
    <w:qFormat/>
    <w:uiPriority w:val="99"/>
    <w:rPr>
      <w:sz w:val="18"/>
      <w:szCs w:val="18"/>
    </w:rPr>
  </w:style>
  <w:style w:type="paragraph" w:styleId="4">
    <w:name w:val="footer"/>
    <w:basedOn w:val="1"/>
    <w:link w:val="22"/>
    <w:autoRedefine/>
    <w:unhideWhenUsed/>
    <w:qFormat/>
    <w:uiPriority w:val="99"/>
    <w:pPr>
      <w:tabs>
        <w:tab w:val="center" w:pos="4153"/>
        <w:tab w:val="right" w:pos="8306"/>
      </w:tabs>
      <w:snapToGrid w:val="0"/>
      <w:jc w:val="left"/>
    </w:pPr>
    <w:rPr>
      <w:sz w:val="18"/>
      <w:szCs w:val="18"/>
    </w:rPr>
  </w:style>
  <w:style w:type="paragraph" w:styleId="5">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800080"/>
      <w:u w:val="none"/>
    </w:rPr>
  </w:style>
  <w:style w:type="character" w:styleId="11">
    <w:name w:val="Emphasis"/>
    <w:basedOn w:val="8"/>
    <w:autoRedefine/>
    <w:qFormat/>
    <w:uiPriority w:val="20"/>
    <w:rPr>
      <w:b/>
      <w:bCs/>
    </w:rPr>
  </w:style>
  <w:style w:type="character" w:styleId="12">
    <w:name w:val="HTML Definition"/>
    <w:basedOn w:val="8"/>
    <w:autoRedefine/>
    <w:semiHidden/>
    <w:unhideWhenUsed/>
    <w:qFormat/>
    <w:uiPriority w:val="99"/>
  </w:style>
  <w:style w:type="character" w:styleId="13">
    <w:name w:val="HTML Typewriter"/>
    <w:basedOn w:val="8"/>
    <w:autoRedefine/>
    <w:semiHidden/>
    <w:unhideWhenUsed/>
    <w:qFormat/>
    <w:uiPriority w:val="99"/>
    <w:rPr>
      <w:rFonts w:hint="default" w:ascii="monospace" w:hAnsi="monospace" w:eastAsia="monospace" w:cs="monospace"/>
      <w:sz w:val="20"/>
    </w:rPr>
  </w:style>
  <w:style w:type="character" w:styleId="14">
    <w:name w:val="HTML Acronym"/>
    <w:basedOn w:val="8"/>
    <w:autoRedefine/>
    <w:semiHidden/>
    <w:unhideWhenUsed/>
    <w:qFormat/>
    <w:uiPriority w:val="99"/>
  </w:style>
  <w:style w:type="character" w:styleId="15">
    <w:name w:val="HTML Variable"/>
    <w:basedOn w:val="8"/>
    <w:autoRedefine/>
    <w:semiHidden/>
    <w:unhideWhenUsed/>
    <w:qFormat/>
    <w:uiPriority w:val="99"/>
  </w:style>
  <w:style w:type="character" w:styleId="16">
    <w:name w:val="Hyperlink"/>
    <w:basedOn w:val="8"/>
    <w:autoRedefine/>
    <w:semiHidden/>
    <w:unhideWhenUsed/>
    <w:qFormat/>
    <w:uiPriority w:val="99"/>
    <w:rPr>
      <w:color w:val="0000FF"/>
      <w:u w:val="none"/>
    </w:rPr>
  </w:style>
  <w:style w:type="character" w:styleId="17">
    <w:name w:val="HTML Code"/>
    <w:basedOn w:val="8"/>
    <w:autoRedefine/>
    <w:semiHidden/>
    <w:unhideWhenUsed/>
    <w:qFormat/>
    <w:uiPriority w:val="99"/>
    <w:rPr>
      <w:rFonts w:hint="default" w:ascii="monospace" w:hAnsi="monospace" w:eastAsia="monospace" w:cs="monospace"/>
      <w:sz w:val="20"/>
    </w:rPr>
  </w:style>
  <w:style w:type="character" w:styleId="18">
    <w:name w:val="HTML Cite"/>
    <w:basedOn w:val="8"/>
    <w:autoRedefine/>
    <w:semiHidden/>
    <w:unhideWhenUsed/>
    <w:qFormat/>
    <w:uiPriority w:val="99"/>
  </w:style>
  <w:style w:type="character" w:styleId="19">
    <w:name w:val="HTML Keyboard"/>
    <w:basedOn w:val="8"/>
    <w:autoRedefine/>
    <w:semiHidden/>
    <w:unhideWhenUsed/>
    <w:qFormat/>
    <w:uiPriority w:val="99"/>
    <w:rPr>
      <w:rFonts w:ascii="monospace" w:hAnsi="monospace" w:eastAsia="monospace" w:cs="monospace"/>
      <w:sz w:val="20"/>
    </w:rPr>
  </w:style>
  <w:style w:type="character" w:styleId="20">
    <w:name w:val="HTML Sample"/>
    <w:basedOn w:val="8"/>
    <w:autoRedefine/>
    <w:semiHidden/>
    <w:unhideWhenUsed/>
    <w:qFormat/>
    <w:uiPriority w:val="99"/>
    <w:rPr>
      <w:rFonts w:hint="default" w:ascii="monospace" w:hAnsi="monospace" w:eastAsia="monospace" w:cs="monospace"/>
    </w:rPr>
  </w:style>
  <w:style w:type="character" w:customStyle="1" w:styleId="21">
    <w:name w:val="页眉 Char"/>
    <w:basedOn w:val="8"/>
    <w:link w:val="5"/>
    <w:autoRedefine/>
    <w:qFormat/>
    <w:uiPriority w:val="99"/>
    <w:rPr>
      <w:rFonts w:ascii="Times New Roman" w:hAnsi="Times New Roman" w:eastAsia="宋体" w:cs="Times New Roman"/>
      <w:sz w:val="18"/>
      <w:szCs w:val="18"/>
    </w:rPr>
  </w:style>
  <w:style w:type="character" w:customStyle="1" w:styleId="22">
    <w:name w:val="页脚 Char"/>
    <w:basedOn w:val="8"/>
    <w:link w:val="4"/>
    <w:autoRedefine/>
    <w:qFormat/>
    <w:uiPriority w:val="99"/>
    <w:rPr>
      <w:rFonts w:ascii="Times New Roman" w:hAnsi="Times New Roman" w:eastAsia="宋体" w:cs="Times New Roman"/>
      <w:sz w:val="18"/>
      <w:szCs w:val="18"/>
    </w:rPr>
  </w:style>
  <w:style w:type="character" w:customStyle="1" w:styleId="23">
    <w:name w:val="批注框文本 Char"/>
    <w:basedOn w:val="8"/>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7E17-584F-4D77-A928-03B5EDCA0F55}">
  <ds:schemaRefs/>
</ds:datastoreItem>
</file>

<file path=docProps/app.xml><?xml version="1.0" encoding="utf-8"?>
<Properties xmlns="http://schemas.openxmlformats.org/officeDocument/2006/extended-properties" xmlns:vt="http://schemas.openxmlformats.org/officeDocument/2006/docPropsVTypes">
  <Template>Normal.dotm</Template>
  <Pages>3</Pages>
  <Words>567</Words>
  <Characters>682</Characters>
  <Lines>1</Lines>
  <Paragraphs>1</Paragraphs>
  <TotalTime>5</TotalTime>
  <ScaleCrop>false</ScaleCrop>
  <LinksUpToDate>false</LinksUpToDate>
  <CharactersWithSpaces>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2018-01-02T02:24:00Z</dcterms:created>
  <dc:creator>NTKO</dc:creator>
  <cp:lastModifiedBy>在你之上，踏水而歌</cp:lastModifiedBy>
  <cp:lastPrinted>2021-11-03T08:01:00Z</cp:lastPrinted>
  <dcterms:modified xsi:type="dcterms:W3CDTF">2026-09-14T08:11:45Z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C221E9E8FB284A268CA2977DB1EE9BE1_13</vt:lpwstr>
  </property>
  <property fmtid="{D5CDD505-2E9C-101B-9397-08002B2CF9AE}" pid="4" name="KSOTemplateDocerSaveRecord">
    <vt:lpwstr>eyJoZGlkIjoiOTlhNDQwZDY5NzYzYTY5YjMyMjZiM2EyNGJhOGQxODEiLCJ1c2VySWQiOiIyMjg5NDI5NDMifQ==</vt:lpwstr>
  </property>
</Properties>
</file>