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rPr>
          <w:b/>
          <w:bCs/>
          <w:sz w:val="52"/>
          <w:szCs w:val="52"/>
        </w:rPr>
      </w:pPr>
      <w:bookmarkStart w:id="0" w:name="_Hlk9544796"/>
    </w:p>
    <w:bookmarkEnd w:id="0"/>
    <w:p>
      <w:pPr>
        <w:tabs>
          <w:tab w:val="left" w:pos="315"/>
          <w:tab w:val="left" w:pos="8820"/>
        </w:tabs>
        <w:spacing w:before="240" w:beforeLines="100" w:after="120" w:afterLines="50" w:line="500" w:lineRule="exact"/>
        <w:ind w:right="254" w:rightChars="127"/>
        <w:jc w:val="center"/>
        <w:rPr>
          <w:rFonts w:cs="宋体"/>
          <w:b/>
          <w:bCs/>
          <w:sz w:val="52"/>
          <w:szCs w:val="52"/>
        </w:rPr>
      </w:pPr>
      <w:r>
        <w:rPr>
          <w:rFonts w:hint="eastAsia" w:cs="宋体"/>
          <w:b/>
          <w:bCs/>
          <w:sz w:val="52"/>
          <w:szCs w:val="52"/>
          <w:lang w:val="en-US" w:eastAsia="zh-CN"/>
        </w:rPr>
        <w:t>服务</w:t>
      </w:r>
      <w:r>
        <w:rPr>
          <w:rFonts w:hint="eastAsia" w:cs="宋体"/>
          <w:b/>
          <w:bCs/>
          <w:sz w:val="52"/>
          <w:szCs w:val="52"/>
        </w:rPr>
        <w:t>类磋商文件</w:t>
      </w:r>
    </w:p>
    <w:p>
      <w:pPr>
        <w:tabs>
          <w:tab w:val="left" w:pos="315"/>
          <w:tab w:val="left" w:pos="8820"/>
        </w:tabs>
        <w:spacing w:before="240" w:beforeLines="100" w:after="120" w:afterLines="50" w:line="500" w:lineRule="exact"/>
        <w:ind w:right="254" w:rightChars="127"/>
        <w:jc w:val="center"/>
        <w:rPr>
          <w:rFonts w:cs="宋体"/>
          <w:bCs/>
          <w:sz w:val="44"/>
          <w:szCs w:val="44"/>
        </w:rPr>
      </w:pPr>
    </w:p>
    <w:p>
      <w:pPr>
        <w:tabs>
          <w:tab w:val="left" w:pos="315"/>
          <w:tab w:val="left" w:pos="8820"/>
        </w:tabs>
        <w:spacing w:before="240" w:beforeLines="100" w:after="120" w:afterLines="50" w:line="500" w:lineRule="exact"/>
        <w:ind w:right="254" w:rightChars="127"/>
        <w:jc w:val="center"/>
        <w:rPr>
          <w:rFonts w:cs="宋体"/>
          <w:bCs/>
          <w:sz w:val="44"/>
          <w:szCs w:val="44"/>
        </w:rPr>
      </w:pPr>
    </w:p>
    <w:p>
      <w:pPr>
        <w:tabs>
          <w:tab w:val="left" w:pos="315"/>
          <w:tab w:val="left" w:pos="8820"/>
        </w:tabs>
        <w:spacing w:before="240" w:beforeLines="100" w:after="120" w:afterLines="50" w:line="500" w:lineRule="exact"/>
        <w:ind w:right="254" w:rightChars="127"/>
        <w:jc w:val="center"/>
        <w:rPr>
          <w:rFonts w:cs="宋体"/>
          <w:bCs/>
          <w:sz w:val="44"/>
          <w:szCs w:val="44"/>
        </w:rPr>
      </w:pPr>
      <w:r>
        <w:rPr>
          <w:rFonts w:hint="eastAsia" w:cs="宋体"/>
        </w:rPr>
        <w:drawing>
          <wp:anchor distT="0" distB="0" distL="114300" distR="114300" simplePos="0" relativeHeight="251659264" behindDoc="0" locked="0" layoutInCell="1" allowOverlap="1">
            <wp:simplePos x="0" y="0"/>
            <wp:positionH relativeFrom="column">
              <wp:posOffset>1651000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33550" cy="1743075"/>
                    </a:xfrm>
                    <a:prstGeom prst="rect">
                      <a:avLst/>
                    </a:prstGeom>
                    <a:noFill/>
                    <a:ln>
                      <a:noFill/>
                    </a:ln>
                  </pic:spPr>
                </pic:pic>
              </a:graphicData>
            </a:graphic>
          </wp:anchor>
        </w:drawing>
      </w:r>
    </w:p>
    <w:p>
      <w:pPr>
        <w:tabs>
          <w:tab w:val="left" w:pos="315"/>
          <w:tab w:val="left" w:pos="8820"/>
        </w:tabs>
        <w:spacing w:before="240" w:beforeLines="100" w:after="120" w:afterLines="50" w:line="500" w:lineRule="exact"/>
        <w:ind w:right="254" w:rightChars="127"/>
        <w:jc w:val="center"/>
        <w:rPr>
          <w:rFonts w:cs="宋体"/>
          <w:b/>
          <w:bCs/>
          <w:sz w:val="44"/>
          <w:szCs w:val="44"/>
        </w:rPr>
      </w:pPr>
    </w:p>
    <w:p>
      <w:pPr>
        <w:tabs>
          <w:tab w:val="left" w:pos="315"/>
          <w:tab w:val="left" w:pos="8820"/>
        </w:tabs>
        <w:spacing w:before="240" w:beforeLines="100" w:after="120" w:afterLines="50" w:line="500" w:lineRule="exact"/>
        <w:ind w:right="254" w:rightChars="127"/>
        <w:jc w:val="center"/>
        <w:rPr>
          <w:rFonts w:cs="宋体"/>
          <w:b/>
          <w:bCs/>
          <w:sz w:val="44"/>
          <w:szCs w:val="44"/>
        </w:rPr>
      </w:pPr>
    </w:p>
    <w:p>
      <w:pPr>
        <w:tabs>
          <w:tab w:val="left" w:pos="315"/>
          <w:tab w:val="left" w:pos="8820"/>
        </w:tabs>
        <w:spacing w:before="240" w:beforeLines="100" w:after="120" w:afterLines="50" w:line="500" w:lineRule="exact"/>
        <w:ind w:right="254" w:rightChars="127"/>
        <w:jc w:val="center"/>
        <w:rPr>
          <w:rFonts w:cs="宋体"/>
          <w:b/>
          <w:bCs/>
          <w:sz w:val="44"/>
          <w:szCs w:val="44"/>
        </w:rPr>
      </w:pPr>
    </w:p>
    <w:p>
      <w:pPr>
        <w:tabs>
          <w:tab w:val="left" w:pos="315"/>
          <w:tab w:val="left" w:pos="8820"/>
        </w:tabs>
        <w:spacing w:before="240" w:beforeLines="100" w:after="120" w:afterLines="50" w:line="500" w:lineRule="exact"/>
        <w:ind w:right="254" w:rightChars="127"/>
        <w:rPr>
          <w:rFonts w:cs="宋体"/>
          <w:b/>
          <w:bCs/>
          <w:sz w:val="44"/>
          <w:szCs w:val="44"/>
        </w:rPr>
      </w:pPr>
    </w:p>
    <w:p>
      <w:pPr>
        <w:tabs>
          <w:tab w:val="left" w:pos="315"/>
          <w:tab w:val="left" w:pos="8820"/>
        </w:tabs>
        <w:spacing w:before="240" w:beforeLines="100" w:after="120" w:afterLines="50" w:line="500" w:lineRule="exact"/>
        <w:ind w:right="254" w:rightChars="127"/>
        <w:rPr>
          <w:rFonts w:cs="宋体"/>
          <w:b/>
          <w:bCs/>
          <w:sz w:val="44"/>
          <w:szCs w:val="44"/>
        </w:rPr>
      </w:pPr>
    </w:p>
    <w:p>
      <w:pPr>
        <w:tabs>
          <w:tab w:val="left" w:pos="315"/>
          <w:tab w:val="left" w:pos="8820"/>
        </w:tabs>
        <w:spacing w:before="240" w:beforeLines="100" w:after="120" w:afterLines="50" w:line="500" w:lineRule="exact"/>
        <w:ind w:right="254" w:rightChars="127"/>
        <w:rPr>
          <w:rFonts w:cs="宋体"/>
          <w:b/>
          <w:bCs/>
          <w:sz w:val="44"/>
          <w:szCs w:val="44"/>
        </w:rPr>
      </w:pPr>
    </w:p>
    <w:p>
      <w:pPr>
        <w:tabs>
          <w:tab w:val="left" w:pos="2410"/>
        </w:tabs>
        <w:autoSpaceDE w:val="0"/>
        <w:autoSpaceDN w:val="0"/>
        <w:adjustRightInd w:val="0"/>
        <w:snapToGrid w:val="0"/>
        <w:spacing w:line="360" w:lineRule="auto"/>
        <w:ind w:left="1806" w:leftChars="0" w:hanging="1806" w:hangingChars="500"/>
        <w:rPr>
          <w:rFonts w:hint="eastAsia" w:eastAsia="宋体" w:cs="宋体"/>
          <w:b/>
          <w:spacing w:val="20"/>
          <w:sz w:val="32"/>
          <w:szCs w:val="32"/>
          <w:u w:val="single"/>
          <w:lang w:eastAsia="zh-CN"/>
        </w:rPr>
      </w:pPr>
      <w:r>
        <w:rPr>
          <w:rFonts w:hint="eastAsia" w:cs="宋体"/>
          <w:b/>
          <w:spacing w:val="20"/>
          <w:sz w:val="32"/>
          <w:szCs w:val="32"/>
        </w:rPr>
        <w:t>项目名称：</w:t>
      </w:r>
      <w:bookmarkStart w:id="1" w:name="OLE_LINK2"/>
      <w:r>
        <w:rPr>
          <w:rFonts w:hint="eastAsia" w:cs="宋体"/>
          <w:b/>
          <w:spacing w:val="23"/>
          <w:w w:val="90"/>
          <w:sz w:val="32"/>
          <w:szCs w:val="32"/>
          <w:u w:val="single"/>
          <w:lang w:eastAsia="zh-CN"/>
        </w:rPr>
        <w:t>2025年高店镇7个美丽宜居村庄建设设计</w:t>
      </w:r>
      <w:bookmarkEnd w:id="1"/>
    </w:p>
    <w:p>
      <w:pPr>
        <w:tabs>
          <w:tab w:val="left" w:pos="2410"/>
        </w:tabs>
        <w:autoSpaceDE w:val="0"/>
        <w:autoSpaceDN w:val="0"/>
        <w:adjustRightInd w:val="0"/>
        <w:snapToGrid w:val="0"/>
        <w:spacing w:line="360" w:lineRule="auto"/>
        <w:ind w:left="0" w:leftChars="0" w:firstLine="0" w:firstLineChars="0"/>
        <w:rPr>
          <w:rFonts w:hint="default" w:eastAsia="宋体" w:cs="宋体"/>
          <w:b/>
          <w:spacing w:val="20"/>
          <w:sz w:val="32"/>
          <w:szCs w:val="32"/>
          <w:lang w:val="en-US" w:eastAsia="zh-CN"/>
        </w:rPr>
      </w:pPr>
      <w:r>
        <w:rPr>
          <w:rFonts w:hint="eastAsia" w:cs="宋体"/>
          <w:b/>
          <w:spacing w:val="20"/>
          <w:sz w:val="32"/>
          <w:szCs w:val="32"/>
        </w:rPr>
        <w:t>项目编号：</w:t>
      </w:r>
      <w:r>
        <w:rPr>
          <w:rFonts w:hint="eastAsia" w:cs="宋体"/>
          <w:b/>
          <w:spacing w:val="20"/>
          <w:sz w:val="32"/>
          <w:szCs w:val="32"/>
          <w:u w:val="single"/>
          <w:lang w:val="en-US" w:eastAsia="zh-CN"/>
        </w:rPr>
        <w:t>2025PHBN021</w:t>
      </w:r>
      <w:r>
        <w:rPr>
          <w:rFonts w:hint="eastAsia" w:cs="宋体"/>
          <w:b/>
          <w:spacing w:val="20"/>
          <w:sz w:val="32"/>
          <w:szCs w:val="32"/>
          <w:lang w:val="en-US" w:eastAsia="zh-CN"/>
        </w:rPr>
        <w:t xml:space="preserve">  </w:t>
      </w:r>
    </w:p>
    <w:p>
      <w:pPr>
        <w:tabs>
          <w:tab w:val="left" w:pos="2410"/>
        </w:tabs>
        <w:autoSpaceDE w:val="0"/>
        <w:autoSpaceDN w:val="0"/>
        <w:adjustRightInd w:val="0"/>
        <w:snapToGrid w:val="0"/>
        <w:spacing w:line="360" w:lineRule="auto"/>
        <w:ind w:left="0" w:leftChars="0" w:firstLine="0" w:firstLineChars="0"/>
        <w:rPr>
          <w:rFonts w:hint="eastAsia" w:cs="宋体"/>
          <w:b/>
          <w:spacing w:val="20"/>
          <w:sz w:val="32"/>
          <w:szCs w:val="32"/>
          <w:u w:val="single"/>
          <w:lang w:eastAsia="zh-CN"/>
        </w:rPr>
      </w:pPr>
      <w:r>
        <w:rPr>
          <w:rFonts w:cs="宋体"/>
          <w:b/>
          <w:spacing w:val="20"/>
          <w:sz w:val="32"/>
          <w:szCs w:val="32"/>
        </w:rPr>
        <w:t>业主单位</w:t>
      </w:r>
      <w:r>
        <w:rPr>
          <w:rFonts w:hint="eastAsia" w:cs="宋体"/>
          <w:b/>
          <w:spacing w:val="20"/>
          <w:sz w:val="32"/>
          <w:szCs w:val="32"/>
        </w:rPr>
        <w:t>：</w:t>
      </w:r>
      <w:r>
        <w:rPr>
          <w:rFonts w:hint="eastAsia" w:cs="宋体"/>
          <w:b/>
          <w:spacing w:val="20"/>
          <w:sz w:val="32"/>
          <w:szCs w:val="32"/>
          <w:u w:val="single"/>
          <w:lang w:eastAsia="zh-CN"/>
        </w:rPr>
        <w:t>肥西县高店镇人民政府</w:t>
      </w:r>
    </w:p>
    <w:p>
      <w:pPr>
        <w:tabs>
          <w:tab w:val="left" w:pos="2410"/>
        </w:tabs>
        <w:autoSpaceDE w:val="0"/>
        <w:autoSpaceDN w:val="0"/>
        <w:adjustRightInd w:val="0"/>
        <w:snapToGrid w:val="0"/>
        <w:spacing w:line="360" w:lineRule="auto"/>
        <w:ind w:left="0" w:leftChars="0" w:firstLine="0" w:firstLineChars="0"/>
        <w:rPr>
          <w:rFonts w:hint="eastAsia" w:eastAsia="宋体" w:cs="宋体"/>
          <w:b/>
          <w:spacing w:val="20"/>
          <w:sz w:val="32"/>
          <w:szCs w:val="32"/>
          <w:lang w:eastAsia="zh-CN"/>
        </w:rPr>
      </w:pPr>
      <w:r>
        <w:rPr>
          <w:rFonts w:hint="eastAsia" w:cs="宋体"/>
          <w:b/>
          <w:color w:val="auto"/>
          <w:spacing w:val="20"/>
          <w:sz w:val="32"/>
          <w:szCs w:val="32"/>
          <w:highlight w:val="none"/>
        </w:rPr>
        <w:t>代理机构：</w:t>
      </w:r>
      <w:bookmarkStart w:id="2" w:name="OLE_LINK7"/>
      <w:r>
        <w:rPr>
          <w:rFonts w:hint="eastAsia" w:cs="宋体"/>
          <w:b/>
          <w:color w:val="auto"/>
          <w:spacing w:val="20"/>
          <w:sz w:val="32"/>
          <w:szCs w:val="32"/>
          <w:highlight w:val="none"/>
          <w:u w:val="single"/>
          <w:lang w:eastAsia="zh-CN"/>
        </w:rPr>
        <w:t>肥西县派合商务服务有限公司</w:t>
      </w:r>
      <w:bookmarkEnd w:id="2"/>
    </w:p>
    <w:p>
      <w:pPr>
        <w:tabs>
          <w:tab w:val="left" w:pos="2410"/>
        </w:tabs>
        <w:autoSpaceDE w:val="0"/>
        <w:autoSpaceDN w:val="0"/>
        <w:adjustRightInd w:val="0"/>
        <w:snapToGrid w:val="0"/>
        <w:spacing w:line="360" w:lineRule="auto"/>
        <w:ind w:left="0" w:leftChars="0" w:firstLine="3253" w:firstLineChars="900"/>
        <w:rPr>
          <w:rFonts w:hint="eastAsia" w:cs="宋体"/>
          <w:b/>
          <w:sz w:val="36"/>
          <w:u w:val="single"/>
        </w:rPr>
      </w:pPr>
    </w:p>
    <w:p>
      <w:pPr>
        <w:tabs>
          <w:tab w:val="left" w:pos="2410"/>
        </w:tabs>
        <w:autoSpaceDE w:val="0"/>
        <w:autoSpaceDN w:val="0"/>
        <w:adjustRightInd w:val="0"/>
        <w:snapToGrid w:val="0"/>
        <w:spacing w:line="360" w:lineRule="auto"/>
        <w:ind w:left="0" w:leftChars="0" w:firstLine="3253" w:firstLineChars="900"/>
        <w:rPr>
          <w:rFonts w:cs="宋体"/>
          <w:b/>
          <w:sz w:val="36"/>
        </w:rPr>
      </w:pPr>
      <w:r>
        <w:rPr>
          <w:rFonts w:hint="eastAsia" w:cs="宋体"/>
          <w:b/>
          <w:sz w:val="36"/>
          <w:u w:val="single"/>
        </w:rPr>
        <w:t>202</w:t>
      </w:r>
      <w:r>
        <w:rPr>
          <w:rFonts w:hint="eastAsia" w:cs="宋体"/>
          <w:b/>
          <w:sz w:val="36"/>
          <w:u w:val="single"/>
          <w:lang w:val="en-US" w:eastAsia="zh-CN"/>
        </w:rPr>
        <w:t>5</w:t>
      </w:r>
      <w:r>
        <w:rPr>
          <w:rFonts w:hint="eastAsia" w:cs="宋体"/>
          <w:b/>
          <w:sz w:val="36"/>
        </w:rPr>
        <w:t>年</w:t>
      </w:r>
      <w:r>
        <w:rPr>
          <w:rFonts w:hint="eastAsia" w:cs="宋体"/>
          <w:b/>
          <w:sz w:val="36"/>
          <w:u w:val="single"/>
          <w:lang w:val="en-US" w:eastAsia="zh-CN"/>
        </w:rPr>
        <w:t>01</w:t>
      </w:r>
      <w:r>
        <w:rPr>
          <w:rFonts w:hint="eastAsia" w:cs="宋体"/>
          <w:b/>
          <w:sz w:val="36"/>
        </w:rPr>
        <w:t>月</w:t>
      </w:r>
    </w:p>
    <w:p>
      <w:pPr>
        <w:tabs>
          <w:tab w:val="left" w:pos="2410"/>
        </w:tabs>
        <w:autoSpaceDE w:val="0"/>
        <w:autoSpaceDN w:val="0"/>
        <w:adjustRightInd w:val="0"/>
        <w:snapToGrid w:val="0"/>
        <w:spacing w:line="360" w:lineRule="auto"/>
        <w:jc w:val="center"/>
        <w:rPr>
          <w:rFonts w:cs="宋体"/>
          <w:b/>
          <w:sz w:val="24"/>
          <w:szCs w:val="24"/>
        </w:rPr>
      </w:pPr>
      <w:r>
        <w:rPr>
          <w:b/>
          <w:sz w:val="36"/>
        </w:rPr>
        <w:br w:type="page"/>
      </w:r>
      <w:r>
        <w:rPr>
          <w:rFonts w:hint="eastAsia" w:cs="宋体"/>
          <w:b/>
          <w:sz w:val="24"/>
          <w:szCs w:val="24"/>
        </w:rPr>
        <w:t>目  录</w:t>
      </w:r>
    </w:p>
    <w:p>
      <w:pPr>
        <w:pStyle w:val="14"/>
        <w:tabs>
          <w:tab w:val="right" w:leader="dot" w:pos="8279"/>
        </w:tabs>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TOC \o "1-2" \h \z \u </w:instrText>
      </w:r>
      <w:r>
        <w:rPr>
          <w:rFonts w:hint="eastAsia" w:ascii="黑体" w:hAnsi="黑体" w:eastAsia="黑体" w:cs="黑体"/>
          <w:b/>
          <w:bCs/>
          <w:sz w:val="24"/>
          <w:szCs w:val="24"/>
        </w:rPr>
        <w:fldChar w:fldCharType="separate"/>
      </w:r>
      <w:r>
        <w:fldChar w:fldCharType="begin"/>
      </w:r>
      <w:r>
        <w:instrText xml:space="preserve"> HYPERLINK \l "_Toc1170" </w:instrText>
      </w:r>
      <w:r>
        <w:fldChar w:fldCharType="separate"/>
      </w:r>
      <w:r>
        <w:rPr>
          <w:rFonts w:hint="eastAsia"/>
        </w:rPr>
        <w:t xml:space="preserve">第一章 </w:t>
      </w:r>
      <w:r>
        <w:t xml:space="preserve"> </w:t>
      </w:r>
      <w:r>
        <w:rPr>
          <w:rFonts w:hint="eastAsia"/>
        </w:rPr>
        <w:t>磋商邀请</w:t>
      </w:r>
      <w:r>
        <w:tab/>
      </w:r>
      <w:r>
        <w:fldChar w:fldCharType="begin"/>
      </w:r>
      <w:r>
        <w:instrText xml:space="preserve"> PAGEREF _Toc1170 \h </w:instrText>
      </w:r>
      <w:r>
        <w:fldChar w:fldCharType="separate"/>
      </w:r>
      <w:r>
        <w:t>1</w:t>
      </w:r>
      <w:r>
        <w:fldChar w:fldCharType="end"/>
      </w:r>
      <w:r>
        <w:fldChar w:fldCharType="end"/>
      </w:r>
    </w:p>
    <w:p>
      <w:pPr>
        <w:pStyle w:val="14"/>
        <w:tabs>
          <w:tab w:val="right" w:leader="dot" w:pos="8279"/>
        </w:tabs>
      </w:pPr>
      <w:r>
        <w:fldChar w:fldCharType="begin"/>
      </w:r>
      <w:r>
        <w:instrText xml:space="preserve"> HYPERLINK \l "_Toc6374" </w:instrText>
      </w:r>
      <w:r>
        <w:fldChar w:fldCharType="separate"/>
      </w:r>
      <w:r>
        <w:rPr>
          <w:rFonts w:hint="eastAsia"/>
        </w:rPr>
        <w:t>第二章</w:t>
      </w:r>
      <w:r>
        <w:t xml:space="preserve"> </w:t>
      </w:r>
      <w:r>
        <w:rPr>
          <w:rFonts w:hint="eastAsia"/>
        </w:rPr>
        <w:t xml:space="preserve"> 供应商</w:t>
      </w:r>
      <w:r>
        <w:t>须知</w:t>
      </w:r>
      <w:r>
        <w:tab/>
      </w:r>
      <w:r>
        <w:fldChar w:fldCharType="begin"/>
      </w:r>
      <w:r>
        <w:instrText xml:space="preserve"> PAGEREF _Toc6374 \h </w:instrText>
      </w:r>
      <w:r>
        <w:fldChar w:fldCharType="separate"/>
      </w:r>
      <w:r>
        <w:t>4</w:t>
      </w:r>
      <w:r>
        <w:fldChar w:fldCharType="end"/>
      </w:r>
      <w:r>
        <w:fldChar w:fldCharType="end"/>
      </w:r>
    </w:p>
    <w:p>
      <w:pPr>
        <w:pStyle w:val="14"/>
        <w:tabs>
          <w:tab w:val="right" w:leader="dot" w:pos="8279"/>
        </w:tabs>
      </w:pPr>
      <w:r>
        <w:fldChar w:fldCharType="begin"/>
      </w:r>
      <w:r>
        <w:instrText xml:space="preserve"> HYPERLINK \l "_Toc1535" </w:instrText>
      </w:r>
      <w:r>
        <w:fldChar w:fldCharType="separate"/>
      </w:r>
      <w:r>
        <w:rPr>
          <w:rFonts w:hint="eastAsia"/>
        </w:rPr>
        <w:t>第三章  项目需求</w:t>
      </w:r>
      <w:r>
        <w:tab/>
      </w:r>
      <w:r>
        <w:fldChar w:fldCharType="begin"/>
      </w:r>
      <w:r>
        <w:instrText xml:space="preserve"> PAGEREF _Toc1535 \h </w:instrText>
      </w:r>
      <w:r>
        <w:fldChar w:fldCharType="separate"/>
      </w:r>
      <w:r>
        <w:t>20</w:t>
      </w:r>
      <w:r>
        <w:fldChar w:fldCharType="end"/>
      </w:r>
      <w:r>
        <w:fldChar w:fldCharType="end"/>
      </w:r>
    </w:p>
    <w:p>
      <w:pPr>
        <w:pStyle w:val="14"/>
        <w:tabs>
          <w:tab w:val="right" w:leader="dot" w:pos="8279"/>
        </w:tabs>
      </w:pPr>
      <w:r>
        <w:fldChar w:fldCharType="begin"/>
      </w:r>
      <w:r>
        <w:instrText xml:space="preserve"> HYPERLINK \l "_Toc1626" </w:instrText>
      </w:r>
      <w:r>
        <w:fldChar w:fldCharType="separate"/>
      </w:r>
      <w:r>
        <w:rPr>
          <w:rFonts w:hint="eastAsia"/>
        </w:rPr>
        <w:t>第四章  评审方法和标准</w:t>
      </w:r>
      <w:r>
        <w:tab/>
      </w:r>
      <w:r>
        <w:fldChar w:fldCharType="begin"/>
      </w:r>
      <w:r>
        <w:instrText xml:space="preserve"> PAGEREF _Toc1626 \h </w:instrText>
      </w:r>
      <w:r>
        <w:fldChar w:fldCharType="separate"/>
      </w:r>
      <w:r>
        <w:t>21</w:t>
      </w:r>
      <w:r>
        <w:fldChar w:fldCharType="end"/>
      </w:r>
      <w:r>
        <w:fldChar w:fldCharType="end"/>
      </w:r>
    </w:p>
    <w:p>
      <w:pPr>
        <w:pStyle w:val="14"/>
        <w:tabs>
          <w:tab w:val="right" w:leader="dot" w:pos="8279"/>
        </w:tabs>
      </w:pPr>
      <w:r>
        <w:fldChar w:fldCharType="begin"/>
      </w:r>
      <w:r>
        <w:instrText xml:space="preserve"> HYPERLINK \l "_Toc14165" </w:instrText>
      </w:r>
      <w:r>
        <w:fldChar w:fldCharType="separate"/>
      </w:r>
      <w:r>
        <w:rPr>
          <w:rFonts w:hint="eastAsia"/>
        </w:rPr>
        <w:t>第五章  合同条款及格式</w:t>
      </w:r>
      <w:r>
        <w:tab/>
      </w:r>
      <w:r>
        <w:fldChar w:fldCharType="begin"/>
      </w:r>
      <w:r>
        <w:instrText xml:space="preserve"> PAGEREF _Toc14165 \h </w:instrText>
      </w:r>
      <w:r>
        <w:fldChar w:fldCharType="separate"/>
      </w:r>
      <w:r>
        <w:t>25</w:t>
      </w:r>
      <w:r>
        <w:fldChar w:fldCharType="end"/>
      </w:r>
      <w:r>
        <w:fldChar w:fldCharType="end"/>
      </w:r>
    </w:p>
    <w:p>
      <w:pPr>
        <w:pStyle w:val="14"/>
        <w:tabs>
          <w:tab w:val="right" w:leader="dot" w:pos="8279"/>
        </w:tabs>
      </w:pPr>
      <w:r>
        <w:fldChar w:fldCharType="begin"/>
      </w:r>
      <w:r>
        <w:instrText xml:space="preserve"> HYPERLINK \l "_Toc17979" </w:instrText>
      </w:r>
      <w:r>
        <w:fldChar w:fldCharType="separate"/>
      </w:r>
      <w:r>
        <w:rPr>
          <w:rFonts w:hint="eastAsia"/>
        </w:rPr>
        <w:t>第六章  响应文件格式</w:t>
      </w:r>
      <w:r>
        <w:tab/>
      </w:r>
      <w:r>
        <w:fldChar w:fldCharType="begin"/>
      </w:r>
      <w:r>
        <w:instrText xml:space="preserve"> PAGEREF _Toc17979 \h </w:instrText>
      </w:r>
      <w:r>
        <w:fldChar w:fldCharType="separate"/>
      </w:r>
      <w:r>
        <w:t>26</w:t>
      </w:r>
      <w:r>
        <w:fldChar w:fldCharType="end"/>
      </w:r>
      <w:r>
        <w:fldChar w:fldCharType="end"/>
      </w:r>
    </w:p>
    <w:p>
      <w:pPr>
        <w:pStyle w:val="17"/>
        <w:tabs>
          <w:tab w:val="right" w:leader="dot" w:pos="8296"/>
        </w:tabs>
        <w:spacing w:after="0" w:line="360" w:lineRule="auto"/>
        <w:ind w:left="0"/>
        <w:rPr>
          <w:rFonts w:ascii="宋体" w:hAnsi="宋体"/>
          <w:b/>
          <w:sz w:val="32"/>
        </w:rPr>
      </w:pPr>
      <w:r>
        <w:rPr>
          <w:rFonts w:hint="eastAsia" w:ascii="黑体" w:hAnsi="黑体" w:eastAsia="黑体" w:cs="黑体"/>
          <w:bCs/>
          <w:szCs w:val="24"/>
        </w:rPr>
        <w:fldChar w:fldCharType="end"/>
      </w:r>
    </w:p>
    <w:p>
      <w:pPr>
        <w:spacing w:line="360" w:lineRule="auto"/>
        <w:jc w:val="center"/>
        <w:outlineLvl w:val="1"/>
        <w:rPr>
          <w:b/>
          <w:sz w:val="28"/>
        </w:rPr>
        <w:sectPr>
          <w:headerReference r:id="rId4" w:type="default"/>
          <w:footerReference r:id="rId5" w:type="default"/>
          <w:pgSz w:w="11907" w:h="16840"/>
          <w:pgMar w:top="1474" w:right="1814" w:bottom="1474" w:left="1814" w:header="851" w:footer="992" w:gutter="0"/>
          <w:cols w:space="720" w:num="1"/>
          <w:docGrid w:linePitch="462" w:charSpace="0"/>
        </w:sectPr>
      </w:pPr>
    </w:p>
    <w:p>
      <w:pPr>
        <w:spacing w:line="360" w:lineRule="auto"/>
        <w:jc w:val="center"/>
        <w:outlineLvl w:val="0"/>
        <w:rPr>
          <w:b/>
          <w:sz w:val="28"/>
        </w:rPr>
      </w:pPr>
      <w:bookmarkStart w:id="3" w:name="_Toc1170"/>
      <w:r>
        <w:rPr>
          <w:rFonts w:hint="eastAsia"/>
          <w:b/>
          <w:sz w:val="28"/>
        </w:rPr>
        <w:t xml:space="preserve">第一章 </w:t>
      </w:r>
      <w:r>
        <w:rPr>
          <w:b/>
          <w:sz w:val="28"/>
        </w:rPr>
        <w:t xml:space="preserve"> </w:t>
      </w:r>
      <w:r>
        <w:rPr>
          <w:rFonts w:hint="eastAsia"/>
          <w:b/>
          <w:sz w:val="28"/>
        </w:rPr>
        <w:t>磋商邀请</w:t>
      </w:r>
      <w:bookmarkEnd w:id="3"/>
    </w:p>
    <w:p>
      <w:pPr>
        <w:spacing w:line="360" w:lineRule="auto"/>
        <w:ind w:firstLine="435"/>
        <w:outlineLvl w:val="1"/>
        <w:rPr>
          <w:b/>
          <w:bCs/>
          <w:sz w:val="24"/>
          <w:szCs w:val="18"/>
        </w:rPr>
      </w:pPr>
      <w:bookmarkStart w:id="4" w:name="_Toc27196"/>
      <w:bookmarkStart w:id="5" w:name="_Toc4269"/>
      <w:bookmarkStart w:id="6" w:name="_Toc11391"/>
      <w:bookmarkStart w:id="7" w:name="_Toc5496"/>
      <w:bookmarkStart w:id="8" w:name="OLE_LINK4"/>
      <w:r>
        <w:rPr>
          <w:rFonts w:hint="eastAsia"/>
          <w:b/>
          <w:bCs/>
          <w:sz w:val="24"/>
          <w:szCs w:val="18"/>
        </w:rPr>
        <w:t>一、项目名称及内容</w:t>
      </w:r>
      <w:bookmarkEnd w:id="4"/>
      <w:bookmarkEnd w:id="5"/>
      <w:bookmarkEnd w:id="6"/>
      <w:bookmarkEnd w:id="7"/>
    </w:p>
    <w:p>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1.项目编号：</w:t>
      </w:r>
      <w:r>
        <w:rPr>
          <w:rFonts w:hint="eastAsia"/>
          <w:sz w:val="24"/>
          <w:szCs w:val="18"/>
          <w:lang w:eastAsia="zh-CN"/>
        </w:rPr>
        <w:t>2025PHBN021</w:t>
      </w:r>
    </w:p>
    <w:p>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2.项目名称：</w:t>
      </w:r>
      <w:r>
        <w:rPr>
          <w:rFonts w:hint="eastAsia"/>
          <w:sz w:val="24"/>
          <w:szCs w:val="18"/>
          <w:lang w:eastAsia="zh-CN"/>
        </w:rPr>
        <w:t>2025年高店镇7个美丽宜居村庄建设设计</w:t>
      </w:r>
    </w:p>
    <w:p>
      <w:pPr>
        <w:autoSpaceDE w:val="0"/>
        <w:autoSpaceDN w:val="0"/>
        <w:adjustRightInd w:val="0"/>
        <w:spacing w:line="360" w:lineRule="auto"/>
        <w:ind w:firstLine="436" w:firstLineChars="182"/>
        <w:jc w:val="left"/>
        <w:rPr>
          <w:sz w:val="24"/>
          <w:szCs w:val="18"/>
        </w:rPr>
      </w:pPr>
      <w:r>
        <w:rPr>
          <w:rFonts w:hint="eastAsia"/>
          <w:sz w:val="24"/>
          <w:szCs w:val="18"/>
        </w:rPr>
        <w:t>3.项目地点：肥西县</w:t>
      </w:r>
      <w:r>
        <w:rPr>
          <w:rFonts w:hint="eastAsia"/>
          <w:sz w:val="24"/>
          <w:szCs w:val="18"/>
          <w:lang w:val="en-US" w:eastAsia="zh-CN"/>
        </w:rPr>
        <w:t>花岗镇</w:t>
      </w:r>
    </w:p>
    <w:p>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4.项目单位：</w:t>
      </w:r>
      <w:r>
        <w:rPr>
          <w:rFonts w:hint="eastAsia"/>
          <w:sz w:val="24"/>
          <w:szCs w:val="18"/>
          <w:lang w:eastAsia="zh-CN"/>
        </w:rPr>
        <w:t>肥西县高店镇人民政府</w:t>
      </w:r>
    </w:p>
    <w:p>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5.项目概况：</w:t>
      </w:r>
      <w:bookmarkStart w:id="9" w:name="OLE_LINK6"/>
      <w:r>
        <w:rPr>
          <w:rFonts w:hint="eastAsia"/>
          <w:sz w:val="24"/>
          <w:szCs w:val="18"/>
          <w:lang w:eastAsia="zh-CN"/>
        </w:rPr>
        <w:t>在高店社区陈小郢等7个自然村内开展污水、环境卫生、厕所、小微公（菜）园，照明、道路等项目设计服务，</w:t>
      </w:r>
      <w:r>
        <w:rPr>
          <w:rFonts w:hint="eastAsia"/>
          <w:sz w:val="24"/>
          <w:szCs w:val="18"/>
        </w:rPr>
        <w:t>主要实施“三大革命”“五件小事”</w:t>
      </w:r>
      <w:bookmarkEnd w:id="9"/>
    </w:p>
    <w:p>
      <w:pPr>
        <w:autoSpaceDE w:val="0"/>
        <w:autoSpaceDN w:val="0"/>
        <w:adjustRightInd w:val="0"/>
        <w:spacing w:line="360" w:lineRule="auto"/>
        <w:ind w:firstLine="436" w:firstLineChars="182"/>
        <w:jc w:val="left"/>
        <w:rPr>
          <w:highlight w:val="none"/>
        </w:rPr>
      </w:pPr>
      <w:r>
        <w:rPr>
          <w:rFonts w:hint="eastAsia"/>
          <w:sz w:val="24"/>
          <w:szCs w:val="18"/>
          <w:highlight w:val="none"/>
        </w:rPr>
        <w:t>6.资金来源：财政资金</w:t>
      </w:r>
    </w:p>
    <w:p>
      <w:pPr>
        <w:autoSpaceDE w:val="0"/>
        <w:autoSpaceDN w:val="0"/>
        <w:adjustRightInd w:val="0"/>
        <w:spacing w:line="360" w:lineRule="auto"/>
        <w:ind w:firstLine="436" w:firstLineChars="182"/>
        <w:jc w:val="left"/>
        <w:rPr>
          <w:sz w:val="24"/>
          <w:szCs w:val="18"/>
          <w:highlight w:val="none"/>
        </w:rPr>
      </w:pPr>
      <w:r>
        <w:rPr>
          <w:rFonts w:hint="eastAsia"/>
          <w:sz w:val="24"/>
          <w:szCs w:val="18"/>
          <w:highlight w:val="none"/>
        </w:rPr>
        <w:t>7.项目预算：</w:t>
      </w:r>
      <w:r>
        <w:rPr>
          <w:rFonts w:hint="eastAsia"/>
          <w:sz w:val="24"/>
          <w:szCs w:val="18"/>
          <w:highlight w:val="none"/>
          <w:lang w:val="en-US" w:eastAsia="zh-CN"/>
        </w:rPr>
        <w:t>14</w:t>
      </w:r>
      <w:r>
        <w:rPr>
          <w:rFonts w:hint="eastAsia"/>
          <w:sz w:val="24"/>
          <w:szCs w:val="18"/>
          <w:highlight w:val="none"/>
        </w:rPr>
        <w:t>万元</w:t>
      </w:r>
    </w:p>
    <w:p>
      <w:pPr>
        <w:autoSpaceDE w:val="0"/>
        <w:autoSpaceDN w:val="0"/>
        <w:adjustRightInd w:val="0"/>
        <w:spacing w:line="360" w:lineRule="auto"/>
        <w:ind w:firstLine="436" w:firstLineChars="182"/>
        <w:jc w:val="left"/>
        <w:rPr>
          <w:sz w:val="24"/>
          <w:szCs w:val="18"/>
          <w:highlight w:val="none"/>
        </w:rPr>
      </w:pPr>
      <w:r>
        <w:rPr>
          <w:rFonts w:hint="eastAsia"/>
          <w:sz w:val="24"/>
          <w:szCs w:val="18"/>
          <w:highlight w:val="none"/>
        </w:rPr>
        <w:t>8.项目类别：服务类</w:t>
      </w:r>
    </w:p>
    <w:p>
      <w:pPr>
        <w:autoSpaceDE w:val="0"/>
        <w:autoSpaceDN w:val="0"/>
        <w:adjustRightInd w:val="0"/>
        <w:spacing w:line="360" w:lineRule="auto"/>
        <w:ind w:firstLine="436" w:firstLineChars="182"/>
        <w:jc w:val="left"/>
        <w:rPr>
          <w:sz w:val="24"/>
          <w:szCs w:val="18"/>
          <w:highlight w:val="none"/>
        </w:rPr>
      </w:pPr>
      <w:r>
        <w:rPr>
          <w:rFonts w:hint="eastAsia"/>
          <w:sz w:val="24"/>
          <w:szCs w:val="18"/>
          <w:highlight w:val="none"/>
        </w:rPr>
        <w:t>9.工期要求：</w:t>
      </w:r>
      <w:r>
        <w:rPr>
          <w:rFonts w:hint="eastAsia"/>
          <w:sz w:val="24"/>
          <w:szCs w:val="18"/>
          <w:highlight w:val="none"/>
          <w:lang w:val="en-US" w:eastAsia="zh-CN"/>
        </w:rPr>
        <w:t>6</w:t>
      </w:r>
      <w:r>
        <w:rPr>
          <w:rFonts w:hint="eastAsia"/>
          <w:sz w:val="24"/>
          <w:szCs w:val="18"/>
          <w:highlight w:val="none"/>
        </w:rPr>
        <w:t>0日历天</w:t>
      </w:r>
    </w:p>
    <w:p>
      <w:pPr>
        <w:autoSpaceDE w:val="0"/>
        <w:autoSpaceDN w:val="0"/>
        <w:adjustRightInd w:val="0"/>
        <w:spacing w:line="360" w:lineRule="auto"/>
        <w:ind w:firstLine="439" w:firstLineChars="182"/>
        <w:jc w:val="left"/>
        <w:rPr>
          <w:b/>
          <w:bCs/>
          <w:sz w:val="24"/>
          <w:szCs w:val="18"/>
          <w:highlight w:val="none"/>
        </w:rPr>
      </w:pPr>
      <w:bookmarkStart w:id="10" w:name="_Toc19966"/>
      <w:bookmarkStart w:id="11" w:name="_Toc14580"/>
      <w:bookmarkStart w:id="12" w:name="_Toc1568"/>
      <w:bookmarkStart w:id="13" w:name="_Toc2076"/>
      <w:r>
        <w:rPr>
          <w:rFonts w:hint="eastAsia"/>
          <w:b/>
          <w:bCs/>
          <w:sz w:val="24"/>
          <w:szCs w:val="18"/>
          <w:highlight w:val="none"/>
        </w:rPr>
        <w:t>二、供应商资格</w:t>
      </w:r>
      <w:bookmarkEnd w:id="10"/>
      <w:bookmarkEnd w:id="11"/>
      <w:bookmarkEnd w:id="12"/>
      <w:bookmarkEnd w:id="13"/>
    </w:p>
    <w:p>
      <w:pPr>
        <w:spacing w:line="360" w:lineRule="auto"/>
        <w:ind w:firstLine="435"/>
        <w:rPr>
          <w:sz w:val="24"/>
          <w:szCs w:val="18"/>
          <w:highlight w:val="none"/>
        </w:rPr>
      </w:pPr>
      <w:bookmarkStart w:id="14" w:name="OLE_LINK1"/>
      <w:r>
        <w:rPr>
          <w:rFonts w:hint="eastAsia"/>
          <w:sz w:val="24"/>
          <w:szCs w:val="18"/>
          <w:highlight w:val="none"/>
        </w:rPr>
        <w:t>1.具有独立承担民事责任的能力；</w:t>
      </w:r>
    </w:p>
    <w:p>
      <w:pPr>
        <w:spacing w:line="360" w:lineRule="auto"/>
        <w:ind w:firstLine="435"/>
        <w:rPr>
          <w:sz w:val="24"/>
          <w:szCs w:val="18"/>
          <w:highlight w:val="none"/>
        </w:rPr>
      </w:pPr>
      <w:r>
        <w:rPr>
          <w:rFonts w:hint="eastAsia"/>
          <w:sz w:val="24"/>
          <w:szCs w:val="18"/>
          <w:highlight w:val="none"/>
        </w:rPr>
        <w:t>2.供应商</w:t>
      </w:r>
      <w:r>
        <w:rPr>
          <w:rFonts w:hint="eastAsia"/>
          <w:sz w:val="24"/>
          <w:szCs w:val="18"/>
          <w:highlight w:val="none"/>
          <w:lang w:val="en-US" w:eastAsia="zh-CN"/>
        </w:rPr>
        <w:t>具有下列资质</w:t>
      </w:r>
      <w:r>
        <w:rPr>
          <w:rFonts w:hint="eastAsia"/>
          <w:sz w:val="24"/>
          <w:szCs w:val="18"/>
          <w:highlight w:val="none"/>
        </w:rPr>
        <w:t>之一：</w:t>
      </w:r>
    </w:p>
    <w:p>
      <w:pPr>
        <w:autoSpaceDE w:val="0"/>
        <w:autoSpaceDN w:val="0"/>
        <w:adjustRightInd w:val="0"/>
        <w:spacing w:line="360" w:lineRule="auto"/>
        <w:ind w:firstLine="480" w:firstLineChars="200"/>
        <w:jc w:val="left"/>
        <w:rPr>
          <w:rFonts w:hint="eastAsia"/>
          <w:color w:val="auto"/>
          <w:sz w:val="24"/>
          <w:szCs w:val="18"/>
          <w:highlight w:val="none"/>
        </w:rPr>
      </w:pPr>
      <w:r>
        <w:rPr>
          <w:rFonts w:hint="eastAsia"/>
          <w:color w:val="auto"/>
          <w:sz w:val="24"/>
          <w:szCs w:val="18"/>
          <w:highlight w:val="none"/>
        </w:rPr>
        <w:t>（1）市政行业（道路工程和排水工程）专业设计丙级及以上</w:t>
      </w:r>
      <w:r>
        <w:rPr>
          <w:rFonts w:hint="eastAsia"/>
          <w:color w:val="auto"/>
          <w:sz w:val="24"/>
          <w:szCs w:val="18"/>
          <w:highlight w:val="none"/>
          <w:lang w:val="en-US" w:eastAsia="zh-CN"/>
        </w:rPr>
        <w:t>资质</w:t>
      </w:r>
      <w:r>
        <w:rPr>
          <w:rFonts w:hint="eastAsia"/>
          <w:color w:val="auto"/>
          <w:sz w:val="24"/>
          <w:szCs w:val="18"/>
          <w:highlight w:val="none"/>
        </w:rPr>
        <w:t>；</w:t>
      </w:r>
    </w:p>
    <w:p>
      <w:pPr>
        <w:autoSpaceDE w:val="0"/>
        <w:autoSpaceDN w:val="0"/>
        <w:adjustRightInd w:val="0"/>
        <w:spacing w:line="360" w:lineRule="auto"/>
        <w:ind w:firstLine="480" w:firstLineChars="200"/>
        <w:jc w:val="left"/>
        <w:rPr>
          <w:rFonts w:hint="eastAsia"/>
          <w:color w:val="auto"/>
          <w:sz w:val="24"/>
          <w:szCs w:val="18"/>
          <w:highlight w:val="none"/>
        </w:rPr>
      </w:pPr>
      <w:r>
        <w:rPr>
          <w:rFonts w:hint="eastAsia"/>
          <w:color w:val="auto"/>
          <w:sz w:val="24"/>
          <w:szCs w:val="18"/>
          <w:highlight w:val="none"/>
        </w:rPr>
        <w:t>（2）市政行业设计丙级及以上</w:t>
      </w:r>
      <w:r>
        <w:rPr>
          <w:rFonts w:hint="eastAsia"/>
          <w:color w:val="auto"/>
          <w:sz w:val="24"/>
          <w:szCs w:val="18"/>
          <w:highlight w:val="none"/>
          <w:lang w:val="en-US" w:eastAsia="zh-CN"/>
        </w:rPr>
        <w:t>资质</w:t>
      </w:r>
      <w:r>
        <w:rPr>
          <w:rFonts w:hint="eastAsia"/>
          <w:color w:val="auto"/>
          <w:sz w:val="24"/>
          <w:szCs w:val="18"/>
          <w:highlight w:val="none"/>
        </w:rPr>
        <w:t>；</w:t>
      </w:r>
    </w:p>
    <w:p>
      <w:pPr>
        <w:autoSpaceDE w:val="0"/>
        <w:autoSpaceDN w:val="0"/>
        <w:adjustRightInd w:val="0"/>
        <w:spacing w:line="360" w:lineRule="auto"/>
        <w:ind w:firstLine="480" w:firstLineChars="200"/>
        <w:jc w:val="left"/>
        <w:rPr>
          <w:color w:val="auto"/>
          <w:sz w:val="24"/>
          <w:szCs w:val="18"/>
          <w:highlight w:val="none"/>
        </w:rPr>
      </w:pPr>
      <w:r>
        <w:rPr>
          <w:rFonts w:hint="eastAsia"/>
          <w:color w:val="auto"/>
          <w:sz w:val="24"/>
          <w:szCs w:val="18"/>
          <w:highlight w:val="none"/>
        </w:rPr>
        <w:t>（3）工程设计综合甲级资质；</w:t>
      </w:r>
    </w:p>
    <w:p>
      <w:pPr>
        <w:spacing w:line="360" w:lineRule="auto"/>
        <w:ind w:firstLine="435"/>
        <w:rPr>
          <w:sz w:val="24"/>
          <w:szCs w:val="18"/>
        </w:rPr>
      </w:pPr>
      <w:r>
        <w:rPr>
          <w:rFonts w:hint="eastAsia"/>
          <w:sz w:val="24"/>
          <w:szCs w:val="18"/>
        </w:rPr>
        <w:t>3.项目负责人：具备市政相关专业中级及以上职称。</w:t>
      </w:r>
    </w:p>
    <w:p>
      <w:pPr>
        <w:spacing w:line="360" w:lineRule="auto"/>
        <w:ind w:firstLine="435"/>
        <w:rPr>
          <w:rFonts w:hint="eastAsia" w:eastAsia="宋体"/>
          <w:sz w:val="24"/>
          <w:szCs w:val="18"/>
          <w:lang w:eastAsia="zh-CN"/>
        </w:rPr>
      </w:pPr>
      <w:r>
        <w:rPr>
          <w:rFonts w:hint="eastAsia"/>
          <w:sz w:val="24"/>
          <w:szCs w:val="18"/>
        </w:rPr>
        <w:t>4.本项目不接受联合体磋商</w:t>
      </w:r>
      <w:r>
        <w:rPr>
          <w:rFonts w:hint="eastAsia"/>
          <w:sz w:val="24"/>
          <w:szCs w:val="18"/>
          <w:lang w:eastAsia="zh-CN"/>
        </w:rPr>
        <w:t>。</w:t>
      </w:r>
    </w:p>
    <w:bookmarkEnd w:id="14"/>
    <w:p>
      <w:pPr>
        <w:spacing w:line="360" w:lineRule="auto"/>
        <w:ind w:firstLine="435"/>
        <w:outlineLvl w:val="1"/>
        <w:rPr>
          <w:b/>
          <w:bCs/>
          <w:sz w:val="24"/>
          <w:szCs w:val="18"/>
        </w:rPr>
      </w:pPr>
      <w:bookmarkStart w:id="15" w:name="_Toc30622"/>
      <w:bookmarkStart w:id="16" w:name="_Toc24924"/>
      <w:bookmarkStart w:id="17" w:name="_Toc10249"/>
      <w:bookmarkStart w:id="18" w:name="_Toc5738"/>
      <w:r>
        <w:rPr>
          <w:rFonts w:hint="eastAsia"/>
          <w:b/>
          <w:bCs/>
          <w:sz w:val="24"/>
          <w:szCs w:val="18"/>
        </w:rPr>
        <w:t>三</w:t>
      </w:r>
      <w:r>
        <w:rPr>
          <w:rFonts w:hint="eastAsia"/>
          <w:b/>
          <w:sz w:val="24"/>
        </w:rPr>
        <w:t>、</w:t>
      </w:r>
      <w:r>
        <w:rPr>
          <w:rFonts w:hint="eastAsia"/>
          <w:b/>
          <w:bCs/>
          <w:sz w:val="24"/>
          <w:szCs w:val="18"/>
        </w:rPr>
        <w:t>磋商文件的获取</w:t>
      </w:r>
      <w:bookmarkEnd w:id="15"/>
      <w:bookmarkEnd w:id="16"/>
      <w:bookmarkEnd w:id="17"/>
      <w:bookmarkEnd w:id="18"/>
    </w:p>
    <w:p>
      <w:pPr>
        <w:autoSpaceDE w:val="0"/>
        <w:autoSpaceDN w:val="0"/>
        <w:adjustRightInd w:val="0"/>
        <w:spacing w:line="360" w:lineRule="auto"/>
        <w:ind w:firstLine="436" w:firstLineChars="182"/>
        <w:jc w:val="left"/>
        <w:rPr>
          <w:rFonts w:cs="宋体"/>
          <w:sz w:val="24"/>
          <w:szCs w:val="18"/>
        </w:rPr>
      </w:pPr>
      <w:r>
        <w:rPr>
          <w:rFonts w:hint="eastAsia" w:cs="宋体"/>
          <w:sz w:val="24"/>
          <w:szCs w:val="18"/>
        </w:rPr>
        <w:t>时间：202</w:t>
      </w:r>
      <w:r>
        <w:rPr>
          <w:rFonts w:hint="eastAsia" w:cs="宋体"/>
          <w:sz w:val="24"/>
          <w:szCs w:val="18"/>
          <w:lang w:val="en-US" w:eastAsia="zh-CN"/>
        </w:rPr>
        <w:t>5</w:t>
      </w:r>
      <w:r>
        <w:rPr>
          <w:rFonts w:hint="eastAsia" w:cs="宋体"/>
          <w:sz w:val="24"/>
          <w:szCs w:val="18"/>
        </w:rPr>
        <w:t>年</w:t>
      </w:r>
      <w:r>
        <w:rPr>
          <w:rFonts w:hint="eastAsia" w:cs="宋体"/>
          <w:sz w:val="24"/>
          <w:szCs w:val="18"/>
          <w:lang w:val="en-US" w:eastAsia="zh-CN"/>
        </w:rPr>
        <w:t>01</w:t>
      </w:r>
      <w:r>
        <w:rPr>
          <w:rFonts w:hint="eastAsia" w:cs="宋体"/>
          <w:sz w:val="24"/>
          <w:szCs w:val="18"/>
        </w:rPr>
        <w:t>月</w:t>
      </w:r>
      <w:r>
        <w:rPr>
          <w:rFonts w:hint="eastAsia" w:cs="宋体"/>
          <w:sz w:val="24"/>
          <w:szCs w:val="18"/>
          <w:lang w:val="en-US" w:eastAsia="zh-CN"/>
        </w:rPr>
        <w:t>22</w:t>
      </w:r>
      <w:r>
        <w:rPr>
          <w:rFonts w:hint="eastAsia" w:cs="宋体"/>
          <w:sz w:val="24"/>
          <w:szCs w:val="18"/>
        </w:rPr>
        <w:t>日至磋商时间。</w:t>
      </w:r>
    </w:p>
    <w:p>
      <w:pPr>
        <w:autoSpaceDE w:val="0"/>
        <w:autoSpaceDN w:val="0"/>
        <w:adjustRightInd w:val="0"/>
        <w:spacing w:line="360" w:lineRule="auto"/>
        <w:ind w:firstLine="436" w:firstLineChars="182"/>
        <w:jc w:val="left"/>
        <w:rPr>
          <w:rFonts w:cs="宋体"/>
          <w:sz w:val="24"/>
          <w:szCs w:val="18"/>
        </w:rPr>
      </w:pPr>
      <w:r>
        <w:rPr>
          <w:rFonts w:hint="eastAsia" w:cs="宋体"/>
          <w:sz w:val="24"/>
          <w:szCs w:val="18"/>
        </w:rPr>
        <w:t>地点：“优质采云采购平台”（http://www.youzhicai.com/）</w:t>
      </w:r>
    </w:p>
    <w:p>
      <w:pPr>
        <w:autoSpaceDE w:val="0"/>
        <w:autoSpaceDN w:val="0"/>
        <w:adjustRightInd w:val="0"/>
        <w:spacing w:line="360" w:lineRule="auto"/>
        <w:ind w:firstLine="436" w:firstLineChars="182"/>
        <w:jc w:val="left"/>
        <w:rPr>
          <w:rFonts w:cs="宋体"/>
          <w:sz w:val="24"/>
          <w:szCs w:val="18"/>
        </w:rPr>
      </w:pPr>
      <w:r>
        <w:rPr>
          <w:rFonts w:hint="eastAsia" w:cs="宋体"/>
          <w:sz w:val="24"/>
          <w:szCs w:val="18"/>
        </w:rPr>
        <w:t>方式：在线下载</w:t>
      </w:r>
    </w:p>
    <w:p>
      <w:pPr>
        <w:spacing w:line="360" w:lineRule="auto"/>
        <w:ind w:firstLine="435"/>
        <w:outlineLvl w:val="1"/>
        <w:rPr>
          <w:b/>
          <w:bCs/>
          <w:sz w:val="24"/>
          <w:szCs w:val="18"/>
        </w:rPr>
      </w:pPr>
      <w:bookmarkStart w:id="19" w:name="_Toc4161"/>
      <w:bookmarkStart w:id="20" w:name="_Toc13396"/>
      <w:bookmarkStart w:id="21" w:name="_Toc31230"/>
      <w:bookmarkStart w:id="22" w:name="_Toc24669"/>
      <w:r>
        <w:rPr>
          <w:rFonts w:hint="eastAsia"/>
          <w:b/>
          <w:bCs/>
          <w:sz w:val="24"/>
          <w:szCs w:val="18"/>
        </w:rPr>
        <w:t>四</w:t>
      </w:r>
      <w:r>
        <w:rPr>
          <w:rFonts w:hint="eastAsia"/>
          <w:b/>
          <w:sz w:val="24"/>
        </w:rPr>
        <w:t>、</w:t>
      </w:r>
      <w:r>
        <w:rPr>
          <w:rFonts w:hint="eastAsia"/>
          <w:b/>
          <w:bCs/>
          <w:sz w:val="24"/>
        </w:rPr>
        <w:t>磋商时间及地点</w:t>
      </w:r>
      <w:bookmarkEnd w:id="19"/>
      <w:bookmarkEnd w:id="20"/>
      <w:bookmarkEnd w:id="21"/>
      <w:bookmarkEnd w:id="22"/>
    </w:p>
    <w:p>
      <w:pPr>
        <w:spacing w:line="360" w:lineRule="auto"/>
        <w:ind w:firstLine="435"/>
        <w:rPr>
          <w:rFonts w:cs="宋体"/>
          <w:sz w:val="24"/>
          <w:szCs w:val="18"/>
        </w:rPr>
      </w:pPr>
      <w:r>
        <w:rPr>
          <w:rFonts w:hint="eastAsia" w:cs="宋体"/>
          <w:sz w:val="24"/>
          <w:szCs w:val="18"/>
        </w:rPr>
        <w:t>1.磋商时间：202</w:t>
      </w:r>
      <w:r>
        <w:rPr>
          <w:rFonts w:hint="eastAsia" w:cs="宋体"/>
          <w:sz w:val="24"/>
          <w:szCs w:val="18"/>
          <w:lang w:val="en-US" w:eastAsia="zh-CN"/>
        </w:rPr>
        <w:t>5</w:t>
      </w:r>
      <w:r>
        <w:rPr>
          <w:rFonts w:hint="eastAsia" w:cs="宋体"/>
          <w:sz w:val="24"/>
          <w:szCs w:val="18"/>
        </w:rPr>
        <w:t>年</w:t>
      </w:r>
      <w:r>
        <w:rPr>
          <w:rFonts w:hint="eastAsia" w:cs="宋体"/>
          <w:sz w:val="24"/>
          <w:szCs w:val="18"/>
          <w:lang w:val="en-US" w:eastAsia="zh-CN"/>
        </w:rPr>
        <w:t>02</w:t>
      </w:r>
      <w:r>
        <w:rPr>
          <w:rFonts w:hint="eastAsia" w:cs="宋体"/>
          <w:sz w:val="24"/>
          <w:szCs w:val="18"/>
        </w:rPr>
        <w:t>月</w:t>
      </w:r>
      <w:r>
        <w:rPr>
          <w:rFonts w:hint="eastAsia" w:cs="宋体"/>
          <w:sz w:val="24"/>
          <w:szCs w:val="18"/>
          <w:lang w:val="en-US" w:eastAsia="zh-CN"/>
        </w:rPr>
        <w:t>11</w:t>
      </w:r>
      <w:r>
        <w:rPr>
          <w:rFonts w:hint="eastAsia" w:cs="宋体"/>
          <w:sz w:val="24"/>
          <w:szCs w:val="18"/>
        </w:rPr>
        <w:t>日10时00分</w:t>
      </w:r>
    </w:p>
    <w:p>
      <w:pPr>
        <w:spacing w:line="360" w:lineRule="auto"/>
        <w:ind w:firstLine="435"/>
        <w:rPr>
          <w:sz w:val="24"/>
          <w:szCs w:val="18"/>
        </w:rPr>
      </w:pPr>
      <w:r>
        <w:rPr>
          <w:rFonts w:hint="eastAsia" w:cs="宋体"/>
          <w:sz w:val="24"/>
          <w:szCs w:val="18"/>
        </w:rPr>
        <w:t>2.磋商地点：优质采云采购平台（http://www.youzhicai.com/）；</w:t>
      </w:r>
    </w:p>
    <w:p>
      <w:pPr>
        <w:spacing w:line="360" w:lineRule="auto"/>
        <w:ind w:firstLine="435"/>
        <w:outlineLvl w:val="1"/>
        <w:rPr>
          <w:b/>
          <w:bCs/>
          <w:sz w:val="24"/>
          <w:szCs w:val="18"/>
        </w:rPr>
      </w:pPr>
      <w:bookmarkStart w:id="23" w:name="_Toc23523"/>
      <w:bookmarkStart w:id="24" w:name="_Toc6377"/>
      <w:bookmarkStart w:id="25" w:name="_Toc25008"/>
      <w:bookmarkStart w:id="26" w:name="_Toc30686"/>
      <w:r>
        <w:rPr>
          <w:rFonts w:hint="eastAsia"/>
          <w:b/>
          <w:bCs/>
          <w:sz w:val="24"/>
          <w:szCs w:val="18"/>
        </w:rPr>
        <w:t>五</w:t>
      </w:r>
      <w:r>
        <w:rPr>
          <w:rFonts w:hint="eastAsia"/>
          <w:b/>
          <w:sz w:val="24"/>
        </w:rPr>
        <w:t>、</w:t>
      </w:r>
      <w:r>
        <w:rPr>
          <w:rFonts w:hint="eastAsia"/>
          <w:b/>
          <w:bCs/>
          <w:sz w:val="24"/>
        </w:rPr>
        <w:t>响应文件提交截止时间</w:t>
      </w:r>
      <w:bookmarkEnd w:id="23"/>
      <w:bookmarkEnd w:id="24"/>
      <w:bookmarkEnd w:id="25"/>
      <w:bookmarkEnd w:id="26"/>
    </w:p>
    <w:p>
      <w:pPr>
        <w:spacing w:line="360" w:lineRule="auto"/>
        <w:ind w:firstLine="435"/>
        <w:rPr>
          <w:rFonts w:hint="eastAsia" w:eastAsia="宋体"/>
          <w:sz w:val="24"/>
          <w:szCs w:val="18"/>
          <w:lang w:val="en-US" w:eastAsia="zh-CN"/>
        </w:rPr>
      </w:pPr>
      <w:r>
        <w:rPr>
          <w:rFonts w:hint="eastAsia"/>
          <w:sz w:val="24"/>
          <w:szCs w:val="18"/>
        </w:rPr>
        <w:t>同磋商时间</w:t>
      </w:r>
      <w:r>
        <w:rPr>
          <w:rFonts w:hint="eastAsia"/>
          <w:sz w:val="24"/>
          <w:szCs w:val="18"/>
          <w:lang w:eastAsia="zh-CN"/>
        </w:rPr>
        <w:t>。</w:t>
      </w:r>
    </w:p>
    <w:p>
      <w:pPr>
        <w:spacing w:line="360" w:lineRule="auto"/>
        <w:ind w:firstLine="435"/>
        <w:outlineLvl w:val="1"/>
        <w:rPr>
          <w:b/>
          <w:bCs/>
          <w:sz w:val="24"/>
          <w:szCs w:val="18"/>
        </w:rPr>
      </w:pPr>
      <w:bookmarkStart w:id="27" w:name="_Toc5945"/>
      <w:bookmarkStart w:id="28" w:name="_Toc8280"/>
      <w:bookmarkStart w:id="29" w:name="_Toc22414"/>
      <w:bookmarkStart w:id="30" w:name="_Toc3309"/>
      <w:r>
        <w:rPr>
          <w:rFonts w:hint="eastAsia"/>
          <w:b/>
          <w:bCs/>
          <w:sz w:val="24"/>
          <w:szCs w:val="18"/>
        </w:rPr>
        <w:t>六</w:t>
      </w:r>
      <w:r>
        <w:rPr>
          <w:rFonts w:hint="eastAsia"/>
          <w:b/>
          <w:sz w:val="24"/>
        </w:rPr>
        <w:t>、</w:t>
      </w:r>
      <w:r>
        <w:rPr>
          <w:rFonts w:hint="eastAsia"/>
          <w:b/>
          <w:bCs/>
          <w:sz w:val="24"/>
          <w:szCs w:val="18"/>
        </w:rPr>
        <w:t>联系方式</w:t>
      </w:r>
      <w:bookmarkEnd w:id="27"/>
      <w:bookmarkEnd w:id="28"/>
      <w:bookmarkEnd w:id="29"/>
      <w:bookmarkEnd w:id="30"/>
    </w:p>
    <w:p>
      <w:pPr>
        <w:spacing w:line="360" w:lineRule="auto"/>
        <w:ind w:firstLine="435"/>
        <w:outlineLvl w:val="2"/>
        <w:rPr>
          <w:rFonts w:cs="@仿宋_GB2312"/>
          <w:kern w:val="2"/>
          <w:sz w:val="24"/>
          <w:szCs w:val="18"/>
        </w:rPr>
      </w:pPr>
      <w:r>
        <w:rPr>
          <w:rFonts w:cs="@仿宋_GB2312"/>
          <w:kern w:val="2"/>
          <w:sz w:val="24"/>
          <w:szCs w:val="18"/>
        </w:rPr>
        <w:t>1.</w:t>
      </w:r>
      <w:r>
        <w:rPr>
          <w:sz w:val="24"/>
          <w:szCs w:val="18"/>
        </w:rPr>
        <w:t>业主</w:t>
      </w:r>
      <w:r>
        <w:rPr>
          <w:rFonts w:hint="eastAsia"/>
          <w:sz w:val="24"/>
          <w:szCs w:val="18"/>
        </w:rPr>
        <w:t>单位</w:t>
      </w:r>
    </w:p>
    <w:p>
      <w:pPr>
        <w:spacing w:line="360" w:lineRule="auto"/>
        <w:ind w:firstLine="435"/>
        <w:rPr>
          <w:rFonts w:hint="eastAsia" w:eastAsia="宋体" w:cs="@仿宋_GB2312"/>
          <w:kern w:val="2"/>
          <w:sz w:val="24"/>
          <w:szCs w:val="18"/>
          <w:lang w:eastAsia="zh-CN"/>
        </w:rPr>
      </w:pPr>
      <w:r>
        <w:rPr>
          <w:sz w:val="24"/>
          <w:szCs w:val="18"/>
        </w:rPr>
        <w:t>业主</w:t>
      </w:r>
      <w:r>
        <w:rPr>
          <w:rFonts w:hint="eastAsia"/>
          <w:sz w:val="24"/>
          <w:szCs w:val="18"/>
        </w:rPr>
        <w:t>单位</w:t>
      </w:r>
      <w:r>
        <w:rPr>
          <w:rFonts w:hint="eastAsia" w:cs="@仿宋_GB2312"/>
          <w:kern w:val="2"/>
          <w:sz w:val="24"/>
          <w:szCs w:val="18"/>
        </w:rPr>
        <w:t>：</w:t>
      </w:r>
      <w:bookmarkStart w:id="31" w:name="OLE_LINK3"/>
      <w:r>
        <w:rPr>
          <w:rFonts w:hint="eastAsia" w:cs="@仿宋_GB2312"/>
          <w:kern w:val="2"/>
          <w:sz w:val="24"/>
          <w:szCs w:val="18"/>
          <w:lang w:eastAsia="zh-CN"/>
        </w:rPr>
        <w:t>肥西县高店镇人民政府</w:t>
      </w:r>
      <w:bookmarkEnd w:id="31"/>
    </w:p>
    <w:p>
      <w:pPr>
        <w:spacing w:line="360" w:lineRule="auto"/>
        <w:ind w:firstLine="435"/>
        <w:rPr>
          <w:sz w:val="24"/>
          <w:szCs w:val="24"/>
        </w:rPr>
      </w:pPr>
      <w:r>
        <w:rPr>
          <w:rFonts w:hint="eastAsia" w:cs="@仿宋_GB2312"/>
          <w:kern w:val="2"/>
          <w:sz w:val="24"/>
          <w:szCs w:val="18"/>
        </w:rPr>
        <w:t xml:space="preserve">地 </w:t>
      </w:r>
      <w:r>
        <w:rPr>
          <w:rFonts w:cs="@仿宋_GB2312"/>
          <w:kern w:val="2"/>
          <w:sz w:val="24"/>
          <w:szCs w:val="18"/>
        </w:rPr>
        <w:t xml:space="preserve">   </w:t>
      </w:r>
      <w:r>
        <w:rPr>
          <w:rFonts w:hint="eastAsia" w:cs="@仿宋_GB2312"/>
          <w:kern w:val="2"/>
          <w:sz w:val="24"/>
          <w:szCs w:val="18"/>
        </w:rPr>
        <w:t>址：高店镇高店街道</w:t>
      </w:r>
    </w:p>
    <w:p>
      <w:pPr>
        <w:spacing w:line="360" w:lineRule="auto"/>
        <w:ind w:firstLine="435"/>
        <w:rPr>
          <w:rFonts w:hint="eastAsia" w:eastAsia="宋体" w:cs="@仿宋_GB2312"/>
          <w:kern w:val="2"/>
          <w:sz w:val="24"/>
          <w:szCs w:val="18"/>
          <w:lang w:eastAsia="zh-CN"/>
        </w:rPr>
      </w:pPr>
      <w:r>
        <w:rPr>
          <w:rFonts w:hint="eastAsia" w:cs="@仿宋_GB2312"/>
          <w:kern w:val="2"/>
          <w:sz w:val="24"/>
          <w:szCs w:val="18"/>
        </w:rPr>
        <w:t>联 系 人：</w:t>
      </w:r>
      <w:r>
        <w:rPr>
          <w:rFonts w:hint="eastAsia" w:cs="@仿宋_GB2312"/>
          <w:kern w:val="2"/>
          <w:sz w:val="24"/>
          <w:szCs w:val="18"/>
          <w:lang w:val="en-US" w:eastAsia="zh-CN"/>
        </w:rPr>
        <w:t>束工</w:t>
      </w:r>
    </w:p>
    <w:p>
      <w:pPr>
        <w:spacing w:line="360" w:lineRule="auto"/>
        <w:ind w:firstLine="435"/>
        <w:rPr>
          <w:rFonts w:cs="@仿宋_GB2312"/>
          <w:kern w:val="2"/>
          <w:sz w:val="24"/>
          <w:szCs w:val="18"/>
        </w:rPr>
      </w:pPr>
      <w:r>
        <w:rPr>
          <w:rFonts w:hint="eastAsia" w:cs="@仿宋_GB2312"/>
          <w:kern w:val="2"/>
          <w:sz w:val="24"/>
          <w:szCs w:val="18"/>
        </w:rPr>
        <w:t xml:space="preserve">电 </w:t>
      </w:r>
      <w:r>
        <w:rPr>
          <w:rFonts w:cs="@仿宋_GB2312"/>
          <w:kern w:val="2"/>
          <w:sz w:val="24"/>
          <w:szCs w:val="18"/>
        </w:rPr>
        <w:t xml:space="preserve">   </w:t>
      </w:r>
      <w:r>
        <w:rPr>
          <w:rFonts w:hint="eastAsia" w:cs="@仿宋_GB2312"/>
          <w:kern w:val="2"/>
          <w:sz w:val="24"/>
          <w:szCs w:val="18"/>
        </w:rPr>
        <w:t>话：</w:t>
      </w:r>
      <w:bookmarkStart w:id="32" w:name="OLE_LINK5"/>
      <w:r>
        <w:rPr>
          <w:rFonts w:hint="eastAsia" w:cs="@仿宋_GB2312"/>
          <w:kern w:val="2"/>
          <w:sz w:val="24"/>
          <w:szCs w:val="18"/>
        </w:rPr>
        <w:t>18705608232</w:t>
      </w:r>
      <w:bookmarkEnd w:id="32"/>
    </w:p>
    <w:p>
      <w:pPr>
        <w:spacing w:line="360" w:lineRule="auto"/>
        <w:ind w:firstLine="435"/>
        <w:outlineLvl w:val="2"/>
        <w:rPr>
          <w:rFonts w:cs="@仿宋_GB2312"/>
          <w:b/>
          <w:kern w:val="2"/>
          <w:sz w:val="24"/>
          <w:szCs w:val="18"/>
        </w:rPr>
      </w:pPr>
      <w:r>
        <w:rPr>
          <w:rFonts w:cs="@仿宋_GB2312"/>
          <w:kern w:val="2"/>
          <w:sz w:val="24"/>
          <w:szCs w:val="18"/>
        </w:rPr>
        <w:t>2</w:t>
      </w:r>
      <w:r>
        <w:rPr>
          <w:rFonts w:hint="eastAsia" w:cs="@仿宋_GB2312"/>
          <w:b/>
          <w:kern w:val="2"/>
          <w:sz w:val="24"/>
          <w:szCs w:val="18"/>
        </w:rPr>
        <w:t>.</w:t>
      </w:r>
      <w:r>
        <w:rPr>
          <w:rFonts w:hint="eastAsia" w:cs="@仿宋_GB2312"/>
          <w:kern w:val="2"/>
          <w:sz w:val="24"/>
          <w:szCs w:val="18"/>
        </w:rPr>
        <w:t>代理机构</w:t>
      </w:r>
    </w:p>
    <w:p>
      <w:pPr>
        <w:spacing w:line="360" w:lineRule="auto"/>
        <w:ind w:firstLine="435"/>
        <w:rPr>
          <w:rFonts w:hint="eastAsia" w:eastAsia="宋体" w:cs="@仿宋_GB2312"/>
          <w:kern w:val="2"/>
          <w:sz w:val="24"/>
          <w:szCs w:val="18"/>
          <w:lang w:eastAsia="zh-CN"/>
        </w:rPr>
      </w:pPr>
      <w:r>
        <w:rPr>
          <w:rFonts w:hint="eastAsia" w:cs="@仿宋_GB2312"/>
          <w:kern w:val="2"/>
          <w:sz w:val="24"/>
          <w:szCs w:val="18"/>
        </w:rPr>
        <w:t>代理机构：</w:t>
      </w:r>
      <w:r>
        <w:rPr>
          <w:rFonts w:hint="eastAsia"/>
          <w:sz w:val="24"/>
          <w:szCs w:val="24"/>
          <w:lang w:eastAsia="zh-CN"/>
        </w:rPr>
        <w:t>肥西县派合商务服务有限公司</w:t>
      </w:r>
    </w:p>
    <w:p>
      <w:pPr>
        <w:spacing w:line="360" w:lineRule="auto"/>
        <w:ind w:firstLine="435"/>
        <w:rPr>
          <w:rFonts w:cs="@仿宋_GB2312"/>
          <w:kern w:val="2"/>
          <w:sz w:val="24"/>
          <w:szCs w:val="18"/>
        </w:rPr>
      </w:pPr>
      <w:r>
        <w:rPr>
          <w:rFonts w:hint="eastAsia" w:cs="@仿宋_GB2312"/>
          <w:kern w:val="2"/>
          <w:sz w:val="24"/>
          <w:szCs w:val="18"/>
        </w:rPr>
        <w:t>地  址</w:t>
      </w:r>
      <w:r>
        <w:rPr>
          <w:rFonts w:hint="eastAsia"/>
          <w:sz w:val="24"/>
          <w:szCs w:val="18"/>
        </w:rPr>
        <w:t>：</w:t>
      </w:r>
      <w:r>
        <w:rPr>
          <w:rFonts w:hint="eastAsia"/>
          <w:sz w:val="24"/>
          <w:szCs w:val="24"/>
        </w:rPr>
        <w:t>肥西县上派镇紫石路与佛光路交叉口肥光办公区3号楼2楼</w:t>
      </w:r>
    </w:p>
    <w:p>
      <w:pPr>
        <w:spacing w:line="360" w:lineRule="auto"/>
        <w:ind w:firstLine="435"/>
        <w:rPr>
          <w:rFonts w:hint="eastAsia" w:eastAsia="宋体" w:cs="@仿宋_GB2312"/>
          <w:kern w:val="2"/>
          <w:sz w:val="24"/>
          <w:szCs w:val="18"/>
          <w:lang w:eastAsia="zh-CN"/>
        </w:rPr>
      </w:pPr>
      <w:r>
        <w:rPr>
          <w:rFonts w:hint="eastAsia" w:cs="@仿宋_GB2312"/>
          <w:kern w:val="2"/>
          <w:sz w:val="24"/>
          <w:szCs w:val="18"/>
        </w:rPr>
        <w:t>联系人：</w:t>
      </w:r>
      <w:r>
        <w:rPr>
          <w:rFonts w:hint="eastAsia" w:cs="@仿宋_GB2312"/>
          <w:kern w:val="2"/>
          <w:sz w:val="24"/>
          <w:szCs w:val="18"/>
          <w:lang w:val="en-US" w:eastAsia="zh-CN"/>
        </w:rPr>
        <w:t>徐工</w:t>
      </w:r>
    </w:p>
    <w:p>
      <w:pPr>
        <w:spacing w:line="360" w:lineRule="auto"/>
        <w:ind w:firstLine="435"/>
        <w:rPr>
          <w:rFonts w:hint="eastAsia" w:eastAsia="宋体" w:cs="@仿宋_GB2312"/>
          <w:kern w:val="2"/>
          <w:sz w:val="24"/>
          <w:szCs w:val="18"/>
          <w:lang w:eastAsia="zh-CN"/>
        </w:rPr>
      </w:pPr>
      <w:r>
        <w:rPr>
          <w:rFonts w:hint="eastAsia" w:cs="@仿宋_GB2312"/>
          <w:kern w:val="2"/>
          <w:sz w:val="24"/>
          <w:szCs w:val="18"/>
        </w:rPr>
        <w:t xml:space="preserve">电 </w:t>
      </w:r>
      <w:r>
        <w:rPr>
          <w:rFonts w:cs="@仿宋_GB2312"/>
          <w:kern w:val="2"/>
          <w:sz w:val="24"/>
          <w:szCs w:val="18"/>
        </w:rPr>
        <w:t xml:space="preserve"> </w:t>
      </w:r>
      <w:r>
        <w:rPr>
          <w:rFonts w:hint="eastAsia" w:cs="@仿宋_GB2312"/>
          <w:kern w:val="2"/>
          <w:sz w:val="24"/>
          <w:szCs w:val="18"/>
        </w:rPr>
        <w:t>话</w:t>
      </w:r>
      <w:r>
        <w:rPr>
          <w:rFonts w:hint="eastAsia"/>
          <w:sz w:val="24"/>
          <w:szCs w:val="18"/>
        </w:rPr>
        <w:t>：</w:t>
      </w:r>
      <w:r>
        <w:rPr>
          <w:rFonts w:hint="eastAsia"/>
          <w:sz w:val="24"/>
          <w:szCs w:val="24"/>
        </w:rPr>
        <w:t>0551-</w:t>
      </w:r>
      <w:r>
        <w:rPr>
          <w:rFonts w:hint="eastAsia"/>
          <w:sz w:val="24"/>
          <w:szCs w:val="24"/>
          <w:lang w:eastAsia="zh-CN"/>
        </w:rPr>
        <w:t>68825007</w:t>
      </w:r>
    </w:p>
    <w:p>
      <w:pPr>
        <w:spacing w:line="360" w:lineRule="auto"/>
        <w:ind w:firstLine="435"/>
        <w:outlineLvl w:val="1"/>
        <w:rPr>
          <w:rFonts w:cs="宋体"/>
          <w:sz w:val="24"/>
          <w:szCs w:val="18"/>
        </w:rPr>
      </w:pPr>
      <w:bookmarkStart w:id="33" w:name="_Toc2215"/>
      <w:bookmarkStart w:id="34" w:name="_Toc2040"/>
      <w:bookmarkStart w:id="35" w:name="_Toc6102"/>
      <w:bookmarkStart w:id="36" w:name="_Toc28019"/>
      <w:r>
        <w:rPr>
          <w:rFonts w:hint="eastAsia"/>
          <w:b/>
          <w:sz w:val="24"/>
          <w:szCs w:val="18"/>
        </w:rPr>
        <w:t>七</w:t>
      </w:r>
      <w:r>
        <w:rPr>
          <w:rFonts w:hint="eastAsia"/>
          <w:b/>
          <w:sz w:val="24"/>
        </w:rPr>
        <w:t>、</w:t>
      </w:r>
      <w:r>
        <w:rPr>
          <w:rFonts w:hint="eastAsia"/>
          <w:b/>
          <w:sz w:val="24"/>
          <w:szCs w:val="18"/>
        </w:rPr>
        <w:t>其他事项说明</w:t>
      </w:r>
      <w:bookmarkEnd w:id="33"/>
      <w:bookmarkEnd w:id="34"/>
      <w:bookmarkEnd w:id="35"/>
      <w:bookmarkEnd w:id="36"/>
    </w:p>
    <w:p>
      <w:pPr>
        <w:spacing w:line="360" w:lineRule="auto"/>
        <w:ind w:firstLine="437"/>
        <w:rPr>
          <w:rFonts w:cs="宋体"/>
          <w:sz w:val="24"/>
          <w:szCs w:val="18"/>
        </w:rPr>
      </w:pPr>
      <w:r>
        <w:rPr>
          <w:rFonts w:hint="eastAsia" w:cs="宋体"/>
          <w:sz w:val="24"/>
          <w:szCs w:val="18"/>
        </w:rPr>
        <w:t>1.本项目相关信息同时在</w:t>
      </w:r>
      <w:r>
        <w:rPr>
          <w:rFonts w:hint="eastAsia" w:cs="宋体"/>
          <w:sz w:val="24"/>
          <w:szCs w:val="18"/>
          <w:lang w:val="en-US" w:eastAsia="zh-CN"/>
        </w:rPr>
        <w:t>肥西县公共资源交易有限责任公司</w:t>
      </w:r>
      <w:r>
        <w:rPr>
          <w:rFonts w:hint="eastAsia" w:cs="宋体"/>
          <w:sz w:val="24"/>
          <w:szCs w:val="18"/>
        </w:rPr>
        <w:t>、优质采云采购平台、安徽省招标投标信息网、中国采购与招标网上发布；</w:t>
      </w:r>
    </w:p>
    <w:p>
      <w:pPr>
        <w:spacing w:line="360" w:lineRule="auto"/>
        <w:ind w:firstLine="437"/>
        <w:rPr>
          <w:rFonts w:cs="宋体"/>
          <w:sz w:val="24"/>
          <w:szCs w:val="18"/>
        </w:rPr>
      </w:pPr>
      <w:r>
        <w:rPr>
          <w:rFonts w:hint="eastAsia" w:cs="宋体"/>
          <w:sz w:val="24"/>
          <w:szCs w:val="18"/>
        </w:rPr>
        <w:t>2.电子化交易要求：</w:t>
      </w:r>
    </w:p>
    <w:p>
      <w:pPr>
        <w:spacing w:line="360" w:lineRule="auto"/>
        <w:ind w:firstLine="437"/>
        <w:rPr>
          <w:rFonts w:cs="宋体"/>
          <w:sz w:val="24"/>
          <w:szCs w:val="18"/>
        </w:rPr>
      </w:pPr>
      <w:r>
        <w:rPr>
          <w:rFonts w:hint="eastAsia" w:cs="宋体"/>
          <w:sz w:val="24"/>
          <w:szCs w:val="18"/>
        </w:rPr>
        <w:t>（1）潜在</w:t>
      </w:r>
      <w:r>
        <w:rPr>
          <w:rFonts w:hint="eastAsia"/>
          <w:sz w:val="24"/>
          <w:szCs w:val="18"/>
        </w:rPr>
        <w:t>供应商</w:t>
      </w:r>
      <w:r>
        <w:rPr>
          <w:rFonts w:hint="eastAsia" w:cs="宋体"/>
          <w:sz w:val="24"/>
          <w:szCs w:val="18"/>
        </w:rPr>
        <w:t>须登录“优质采云采购平台”（网址：http://www.youzhicai.com/，以下称“优质采平台”）参与本项目磋商活动。首次登录须办理注册手续，请务必选择注册为“投标人角色”类型。注册流程见优质采平台“用户注册”栏目，咨询电话：400-0099-555。因未及时办理注册手续影响参加磋商活动的，责任自负。</w:t>
      </w:r>
    </w:p>
    <w:p>
      <w:pPr>
        <w:spacing w:line="360" w:lineRule="auto"/>
        <w:ind w:firstLine="437"/>
        <w:rPr>
          <w:rFonts w:cs="宋体"/>
          <w:sz w:val="24"/>
          <w:szCs w:val="18"/>
        </w:rPr>
      </w:pPr>
      <w:r>
        <w:rPr>
          <w:rFonts w:hint="eastAsia" w:cs="宋体"/>
          <w:sz w:val="24"/>
          <w:szCs w:val="18"/>
        </w:rPr>
        <w:t>（2）已注册的潜在</w:t>
      </w:r>
      <w:r>
        <w:rPr>
          <w:rFonts w:hint="eastAsia"/>
          <w:sz w:val="24"/>
          <w:szCs w:val="18"/>
        </w:rPr>
        <w:t>供应商</w:t>
      </w:r>
      <w:r>
        <w:rPr>
          <w:rFonts w:hint="eastAsia" w:cs="宋体"/>
          <w:sz w:val="24"/>
          <w:szCs w:val="18"/>
        </w:rPr>
        <w:t>可登录优质采平台获取磋商文件，本项目的磋商文件及其他资料（含澄清、答疑及相关补充文件）通过优质采平台发布，</w:t>
      </w:r>
      <w:r>
        <w:rPr>
          <w:sz w:val="24"/>
          <w:szCs w:val="18"/>
        </w:rPr>
        <w:t>业主</w:t>
      </w:r>
      <w:r>
        <w:rPr>
          <w:rFonts w:hint="eastAsia"/>
          <w:sz w:val="24"/>
          <w:szCs w:val="18"/>
        </w:rPr>
        <w:t>单位</w:t>
      </w:r>
      <w:r>
        <w:rPr>
          <w:rFonts w:hint="eastAsia" w:cs="宋体"/>
          <w:sz w:val="24"/>
          <w:szCs w:val="18"/>
        </w:rPr>
        <w:t>/代理机构不再另行书面通知，潜在</w:t>
      </w:r>
      <w:r>
        <w:rPr>
          <w:rFonts w:hint="eastAsia"/>
          <w:sz w:val="24"/>
          <w:szCs w:val="18"/>
        </w:rPr>
        <w:t>供应商</w:t>
      </w:r>
      <w:r>
        <w:rPr>
          <w:rFonts w:hint="eastAsia" w:cs="宋体"/>
          <w:sz w:val="24"/>
          <w:szCs w:val="18"/>
        </w:rPr>
        <w:t>应及时关注、查阅优质采平台。因未及时查看导致不利后果的，责任自负。</w:t>
      </w:r>
    </w:p>
    <w:p>
      <w:pPr>
        <w:spacing w:line="360" w:lineRule="auto"/>
        <w:ind w:firstLine="437"/>
        <w:rPr>
          <w:rFonts w:cs="宋体"/>
          <w:sz w:val="24"/>
          <w:szCs w:val="18"/>
        </w:rPr>
      </w:pPr>
      <w:r>
        <w:rPr>
          <w:rFonts w:hint="eastAsia" w:cs="宋体"/>
          <w:sz w:val="24"/>
          <w:szCs w:val="18"/>
        </w:rPr>
        <w:t>（3）已注册的潜在</w:t>
      </w:r>
      <w:r>
        <w:rPr>
          <w:rFonts w:hint="eastAsia"/>
          <w:sz w:val="24"/>
          <w:szCs w:val="18"/>
        </w:rPr>
        <w:t>供应商</w:t>
      </w:r>
      <w:r>
        <w:rPr>
          <w:rFonts w:hint="eastAsia" w:cs="宋体"/>
          <w:sz w:val="24"/>
          <w:szCs w:val="18"/>
        </w:rPr>
        <w:t>若注册信息发生变更（如：与初始注册信息不一致），应及时网上提交变更申请。因未及时变更导致不利后果的，责任自负。</w:t>
      </w:r>
    </w:p>
    <w:p>
      <w:pPr>
        <w:spacing w:line="360" w:lineRule="auto"/>
        <w:ind w:firstLine="437"/>
        <w:rPr>
          <w:rFonts w:cs="宋体"/>
          <w:sz w:val="24"/>
          <w:szCs w:val="18"/>
        </w:rPr>
      </w:pPr>
      <w:r>
        <w:rPr>
          <w:rFonts w:hint="eastAsia" w:cs="宋体"/>
          <w:sz w:val="24"/>
          <w:szCs w:val="18"/>
        </w:rPr>
        <w:t>（4）本项目采用全流程电子化磋商方式，潜在</w:t>
      </w:r>
      <w:r>
        <w:rPr>
          <w:rFonts w:hint="eastAsia"/>
          <w:sz w:val="24"/>
          <w:szCs w:val="18"/>
        </w:rPr>
        <w:t>供应商</w:t>
      </w:r>
      <w:r>
        <w:rPr>
          <w:rFonts w:hint="eastAsia" w:cs="宋体"/>
          <w:sz w:val="24"/>
          <w:szCs w:val="18"/>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pPr>
        <w:spacing w:line="360" w:lineRule="auto"/>
        <w:ind w:firstLine="437"/>
        <w:rPr>
          <w:rFonts w:cs="宋体"/>
          <w:sz w:val="24"/>
          <w:szCs w:val="18"/>
        </w:rPr>
      </w:pPr>
      <w:r>
        <w:rPr>
          <w:rFonts w:hint="eastAsia" w:cs="宋体"/>
          <w:sz w:val="24"/>
          <w:szCs w:val="18"/>
        </w:rPr>
        <w:t>（5）响应文件必须使用“优质采投标文件制作工具”制作生成并上传。下载地址：http://toolcdn.youzhicai.com/tools/BidderTools.zip，使用说明书及视频教程下载地址:http://file.youzhicai.com/files/BidderHelp.rar。</w:t>
      </w:r>
    </w:p>
    <w:p>
      <w:pPr>
        <w:spacing w:line="360" w:lineRule="auto"/>
        <w:ind w:firstLine="437"/>
      </w:pPr>
      <w:r>
        <w:rPr>
          <w:rFonts w:hint="eastAsia" w:cs="宋体"/>
          <w:sz w:val="24"/>
          <w:szCs w:val="18"/>
        </w:rPr>
        <w:t>3.</w:t>
      </w:r>
      <w:r>
        <w:rPr>
          <w:rFonts w:hint="eastAsia"/>
          <w:sz w:val="24"/>
          <w:szCs w:val="18"/>
        </w:rPr>
        <w:t xml:space="preserve"> 供应商</w:t>
      </w:r>
      <w:r>
        <w:rPr>
          <w:rFonts w:hint="eastAsia" w:cs="宋体"/>
          <w:sz w:val="24"/>
          <w:szCs w:val="18"/>
        </w:rPr>
        <w:t>应合理安排磋商文件获取时间，特别是网络速度慢的地区防止在系统关闭前网络拥堵无法操作。如果因计算机及网络故障造成无法完成磋商文件获取，责任自负。</w:t>
      </w:r>
    </w:p>
    <w:bookmarkEnd w:id="8"/>
    <w:p>
      <w:pPr>
        <w:spacing w:line="360" w:lineRule="auto"/>
        <w:jc w:val="center"/>
        <w:outlineLvl w:val="0"/>
        <w:rPr>
          <w:b/>
          <w:sz w:val="28"/>
        </w:rPr>
      </w:pPr>
      <w:r>
        <w:rPr>
          <w:rFonts w:hint="eastAsia" w:cs="宋体"/>
          <w:sz w:val="24"/>
          <w:szCs w:val="18"/>
        </w:rPr>
        <w:br w:type="page"/>
      </w:r>
      <w:bookmarkStart w:id="37" w:name="_Toc6374"/>
      <w:r>
        <w:rPr>
          <w:rFonts w:hint="eastAsia"/>
          <w:b/>
          <w:sz w:val="28"/>
        </w:rPr>
        <w:t>第二章</w:t>
      </w:r>
      <w:r>
        <w:rPr>
          <w:b/>
          <w:sz w:val="28"/>
        </w:rPr>
        <w:t xml:space="preserve"> </w:t>
      </w:r>
      <w:r>
        <w:rPr>
          <w:rFonts w:hint="eastAsia"/>
          <w:b/>
          <w:sz w:val="28"/>
        </w:rPr>
        <w:t xml:space="preserve"> 供应商</w:t>
      </w:r>
      <w:r>
        <w:rPr>
          <w:b/>
          <w:sz w:val="28"/>
        </w:rPr>
        <w:t>须知</w:t>
      </w:r>
      <w:bookmarkEnd w:id="37"/>
    </w:p>
    <w:p>
      <w:pPr>
        <w:spacing w:line="360" w:lineRule="auto"/>
        <w:jc w:val="center"/>
        <w:outlineLvl w:val="1"/>
        <w:rPr>
          <w:b/>
          <w:sz w:val="24"/>
        </w:rPr>
      </w:pPr>
      <w:bookmarkStart w:id="38" w:name="_Toc542"/>
      <w:bookmarkStart w:id="39" w:name="_Toc6477"/>
      <w:bookmarkStart w:id="40" w:name="_Toc4358"/>
      <w:bookmarkStart w:id="41" w:name="_Toc29910"/>
      <w:r>
        <w:rPr>
          <w:rFonts w:hint="eastAsia"/>
          <w:b/>
          <w:sz w:val="24"/>
        </w:rPr>
        <w:t>一、供应商</w:t>
      </w:r>
      <w:r>
        <w:rPr>
          <w:b/>
          <w:sz w:val="24"/>
        </w:rPr>
        <w:t>须知前附表</w:t>
      </w:r>
      <w:bookmarkEnd w:id="38"/>
      <w:bookmarkEnd w:id="39"/>
      <w:bookmarkEnd w:id="40"/>
      <w:bookmarkEnd w:id="41"/>
    </w:p>
    <w:p>
      <w:pPr>
        <w:spacing w:line="360" w:lineRule="auto"/>
        <w:ind w:firstLine="435"/>
        <w:rPr>
          <w:sz w:val="24"/>
          <w:szCs w:val="18"/>
        </w:rPr>
      </w:pPr>
      <w:r>
        <w:rPr>
          <w:rFonts w:hint="eastAsia"/>
          <w:b/>
          <w:bCs/>
          <w:sz w:val="24"/>
          <w:szCs w:val="18"/>
        </w:rPr>
        <w:t>注：</w:t>
      </w:r>
      <w:r>
        <w:rPr>
          <w:rFonts w:hint="eastAsia"/>
          <w:sz w:val="24"/>
          <w:szCs w:val="18"/>
        </w:rPr>
        <w:t>本表是本项目的具体要求，是对供应商须知的具体补充和修改，如有不一致，以本表为准。</w:t>
      </w:r>
    </w:p>
    <w:tbl>
      <w:tblPr>
        <w:tblStyle w:val="2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widowControl w:val="0"/>
              <w:spacing w:before="0" w:beforeAutospacing="0" w:after="0" w:afterAutospacing="0" w:line="360" w:lineRule="auto"/>
              <w:rPr>
                <w:bCs w:val="0"/>
                <w:kern w:val="2"/>
                <w:sz w:val="24"/>
                <w:szCs w:val="20"/>
              </w:rPr>
            </w:pPr>
            <w:r>
              <w:rPr>
                <w:rFonts w:hint="eastAsia"/>
                <w:bCs w:val="0"/>
                <w:kern w:val="2"/>
                <w:sz w:val="24"/>
                <w:szCs w:val="20"/>
              </w:rPr>
              <w:t>条款号</w:t>
            </w:r>
          </w:p>
        </w:tc>
        <w:tc>
          <w:tcPr>
            <w:tcW w:w="2031" w:type="dxa"/>
            <w:vAlign w:val="center"/>
          </w:tcPr>
          <w:p>
            <w:pPr>
              <w:pStyle w:val="39"/>
              <w:widowControl w:val="0"/>
              <w:spacing w:before="0" w:beforeAutospacing="0" w:after="0" w:afterAutospacing="0" w:line="360" w:lineRule="auto"/>
              <w:rPr>
                <w:bCs w:val="0"/>
                <w:kern w:val="2"/>
                <w:sz w:val="24"/>
                <w:szCs w:val="20"/>
              </w:rPr>
            </w:pPr>
            <w:r>
              <w:rPr>
                <w:rFonts w:hint="eastAsia"/>
                <w:bCs w:val="0"/>
                <w:kern w:val="2"/>
                <w:sz w:val="24"/>
                <w:szCs w:val="20"/>
              </w:rPr>
              <w:t>条款名称</w:t>
            </w:r>
          </w:p>
        </w:tc>
        <w:tc>
          <w:tcPr>
            <w:tcW w:w="6020" w:type="dxa"/>
            <w:vAlign w:val="center"/>
          </w:tcPr>
          <w:p>
            <w:pPr>
              <w:pStyle w:val="39"/>
              <w:widowControl w:val="0"/>
              <w:spacing w:before="0" w:beforeAutospacing="0" w:after="0" w:afterAutospacing="0" w:line="360" w:lineRule="auto"/>
              <w:rPr>
                <w:bCs w:val="0"/>
                <w:kern w:val="2"/>
                <w:sz w:val="24"/>
                <w:szCs w:val="20"/>
              </w:rPr>
            </w:pPr>
            <w:r>
              <w:rPr>
                <w:rFonts w:hint="eastAsia"/>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w:t>
            </w:r>
          </w:p>
        </w:tc>
        <w:tc>
          <w:tcPr>
            <w:tcW w:w="2031" w:type="dxa"/>
            <w:vAlign w:val="center"/>
          </w:tcPr>
          <w:p>
            <w:pPr>
              <w:pStyle w:val="39"/>
              <w:widowControl w:val="0"/>
              <w:spacing w:before="0" w:beforeAutospacing="0" w:after="0" w:afterAutospacing="0" w:line="360" w:lineRule="auto"/>
              <w:jc w:val="left"/>
              <w:rPr>
                <w:b w:val="0"/>
                <w:bCs w:val="0"/>
                <w:sz w:val="24"/>
              </w:rPr>
            </w:pPr>
            <w:r>
              <w:rPr>
                <w:b w:val="0"/>
                <w:sz w:val="24"/>
                <w:szCs w:val="18"/>
              </w:rPr>
              <w:t>业主</w:t>
            </w:r>
            <w:r>
              <w:rPr>
                <w:rFonts w:hint="eastAsia"/>
                <w:b w:val="0"/>
                <w:sz w:val="24"/>
                <w:szCs w:val="18"/>
              </w:rPr>
              <w:t>单位</w:t>
            </w:r>
          </w:p>
        </w:tc>
        <w:tc>
          <w:tcPr>
            <w:tcW w:w="6020" w:type="dxa"/>
            <w:vAlign w:val="center"/>
          </w:tcPr>
          <w:p>
            <w:pPr>
              <w:pStyle w:val="39"/>
              <w:widowControl w:val="0"/>
              <w:spacing w:before="0" w:beforeAutospacing="0" w:after="0" w:afterAutospacing="0" w:line="360" w:lineRule="auto"/>
              <w:jc w:val="both"/>
              <w:rPr>
                <w:rFonts w:hint="eastAsia" w:eastAsia="宋体"/>
                <w:b w:val="0"/>
                <w:bCs w:val="0"/>
                <w:kern w:val="2"/>
                <w:sz w:val="24"/>
                <w:szCs w:val="20"/>
                <w:lang w:eastAsia="zh-CN"/>
              </w:rPr>
            </w:pPr>
            <w:r>
              <w:rPr>
                <w:rFonts w:hint="eastAsia"/>
                <w:b w:val="0"/>
                <w:bCs w:val="0"/>
                <w:sz w:val="24"/>
                <w:szCs w:val="18"/>
                <w:u w:val="single"/>
                <w:lang w:eastAsia="zh-CN"/>
              </w:rPr>
              <w:t>肥西县高店镇人民政府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w:t>
            </w:r>
          </w:p>
        </w:tc>
        <w:tc>
          <w:tcPr>
            <w:tcW w:w="2031" w:type="dxa"/>
            <w:vAlign w:val="center"/>
          </w:tcPr>
          <w:p>
            <w:pPr>
              <w:pStyle w:val="39"/>
              <w:widowControl w:val="0"/>
              <w:spacing w:before="0" w:beforeAutospacing="0" w:after="0" w:afterAutospacing="0" w:line="360" w:lineRule="auto"/>
              <w:jc w:val="left"/>
              <w:rPr>
                <w:b w:val="0"/>
                <w:bCs w:val="0"/>
                <w:sz w:val="24"/>
              </w:rPr>
            </w:pPr>
            <w:r>
              <w:rPr>
                <w:rFonts w:hint="eastAsia"/>
                <w:b w:val="0"/>
                <w:bCs w:val="0"/>
                <w:sz w:val="24"/>
              </w:rPr>
              <w:t>代理机构</w:t>
            </w:r>
          </w:p>
        </w:tc>
        <w:tc>
          <w:tcPr>
            <w:tcW w:w="6020" w:type="dxa"/>
            <w:vAlign w:val="center"/>
          </w:tcPr>
          <w:p>
            <w:pPr>
              <w:pStyle w:val="39"/>
              <w:widowControl w:val="0"/>
              <w:spacing w:before="0" w:beforeAutospacing="0" w:after="0" w:afterAutospacing="0" w:line="360" w:lineRule="auto"/>
              <w:jc w:val="both"/>
              <w:rPr>
                <w:rFonts w:hint="eastAsia" w:eastAsia="宋体"/>
                <w:b w:val="0"/>
                <w:bCs w:val="0"/>
                <w:sz w:val="24"/>
                <w:szCs w:val="18"/>
                <w:lang w:eastAsia="zh-CN"/>
              </w:rPr>
            </w:pPr>
            <w:r>
              <w:rPr>
                <w:rFonts w:hint="eastAsia"/>
                <w:b w:val="0"/>
                <w:bCs w:val="0"/>
                <w:sz w:val="24"/>
                <w:szCs w:val="18"/>
                <w:u w:val="single"/>
                <w:lang w:eastAsia="zh-CN"/>
              </w:rPr>
              <w:t>肥西县派合商务服务有限公司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3</w:t>
            </w:r>
          </w:p>
        </w:tc>
        <w:tc>
          <w:tcPr>
            <w:tcW w:w="2031" w:type="dxa"/>
            <w:vAlign w:val="center"/>
          </w:tcPr>
          <w:p>
            <w:pPr>
              <w:pStyle w:val="39"/>
              <w:widowControl w:val="0"/>
              <w:spacing w:before="0" w:beforeAutospacing="0" w:after="0" w:afterAutospacing="0"/>
              <w:jc w:val="left"/>
              <w:rPr>
                <w:rFonts w:hint="eastAsia" w:eastAsia="宋体"/>
                <w:b w:val="0"/>
                <w:sz w:val="24"/>
                <w:lang w:eastAsia="zh-CN"/>
              </w:rPr>
            </w:pPr>
            <w:r>
              <w:rPr>
                <w:rFonts w:hint="eastAsia"/>
                <w:b w:val="0"/>
                <w:sz w:val="24"/>
              </w:rPr>
              <w:t>现场</w:t>
            </w:r>
            <w:r>
              <w:rPr>
                <w:rFonts w:hint="eastAsia"/>
                <w:b w:val="0"/>
                <w:sz w:val="24"/>
                <w:lang w:val="en-US" w:eastAsia="zh-CN"/>
              </w:rPr>
              <w:t>踏勘</w:t>
            </w:r>
          </w:p>
        </w:tc>
        <w:tc>
          <w:tcPr>
            <w:tcW w:w="6020" w:type="dxa"/>
            <w:vAlign w:val="center"/>
          </w:tcPr>
          <w:p>
            <w:pPr>
              <w:spacing w:line="500" w:lineRule="exact"/>
              <w:rPr>
                <w:sz w:val="24"/>
              </w:rPr>
            </w:pPr>
            <w:r>
              <w:rPr>
                <w:rFonts w:ascii="Segoe UI Symbol" w:hAnsi="Segoe UI Symbol" w:cs="Segoe UI Symbol"/>
                <w:sz w:val="24"/>
                <w:szCs w:val="24"/>
              </w:rPr>
              <w:t>☑</w:t>
            </w:r>
            <w:r>
              <w:rPr>
                <w:rFonts w:hint="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4</w:t>
            </w:r>
          </w:p>
        </w:tc>
        <w:tc>
          <w:tcPr>
            <w:tcW w:w="2031" w:type="dxa"/>
            <w:vAlign w:val="center"/>
          </w:tcPr>
          <w:p>
            <w:pPr>
              <w:pStyle w:val="39"/>
              <w:widowControl w:val="0"/>
              <w:spacing w:before="0" w:beforeAutospacing="0" w:after="0" w:afterAutospacing="0" w:line="360" w:lineRule="auto"/>
              <w:jc w:val="left"/>
              <w:rPr>
                <w:b w:val="0"/>
                <w:sz w:val="24"/>
              </w:rPr>
            </w:pPr>
            <w:r>
              <w:rPr>
                <w:rFonts w:hint="eastAsia"/>
                <w:b w:val="0"/>
                <w:sz w:val="24"/>
              </w:rPr>
              <w:t>网上询问截止时间</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rPr>
              <w:t>202</w:t>
            </w:r>
            <w:r>
              <w:rPr>
                <w:rFonts w:hint="eastAsia"/>
                <w:b w:val="0"/>
                <w:sz w:val="24"/>
                <w:u w:val="single"/>
                <w:lang w:val="en-US" w:eastAsia="zh-CN"/>
              </w:rPr>
              <w:t>5</w:t>
            </w:r>
            <w:r>
              <w:rPr>
                <w:rFonts w:hint="eastAsia"/>
                <w:b w:val="0"/>
                <w:sz w:val="24"/>
              </w:rPr>
              <w:t>年</w:t>
            </w:r>
            <w:r>
              <w:rPr>
                <w:rFonts w:hint="eastAsia"/>
                <w:b w:val="0"/>
                <w:sz w:val="24"/>
                <w:u w:val="single"/>
                <w:lang w:val="en-US" w:eastAsia="zh-CN"/>
              </w:rPr>
              <w:t>02</w:t>
            </w:r>
            <w:r>
              <w:rPr>
                <w:rFonts w:hint="eastAsia"/>
                <w:b w:val="0"/>
                <w:sz w:val="24"/>
              </w:rPr>
              <w:t>月</w:t>
            </w:r>
            <w:r>
              <w:rPr>
                <w:rFonts w:hint="eastAsia"/>
                <w:b w:val="0"/>
                <w:sz w:val="24"/>
                <w:u w:val="single"/>
                <w:lang w:val="en-US" w:eastAsia="zh-CN"/>
              </w:rPr>
              <w:t>05</w:t>
            </w:r>
            <w:r>
              <w:rPr>
                <w:rFonts w:hint="eastAsia"/>
                <w:b w:val="0"/>
                <w:sz w:val="24"/>
              </w:rPr>
              <w:t>日17：30前接受网上答疑（逾期不予受理），疑问的提出与答疑获取详见磋商文件第二章供应商须知。</w:t>
            </w:r>
          </w:p>
          <w:p>
            <w:pPr>
              <w:pStyle w:val="39"/>
              <w:widowControl w:val="0"/>
              <w:spacing w:before="0" w:beforeAutospacing="0" w:after="0" w:afterAutospacing="0" w:line="360" w:lineRule="auto"/>
              <w:jc w:val="both"/>
              <w:rPr>
                <w:b w:val="0"/>
                <w:sz w:val="24"/>
              </w:rPr>
            </w:pPr>
            <w:r>
              <w:rPr>
                <w:rFonts w:hint="eastAsia"/>
                <w:b w:val="0"/>
                <w:sz w:val="24"/>
              </w:rPr>
              <w:t>供应商请注意：</w:t>
            </w:r>
            <w:r>
              <w:rPr>
                <w:rFonts w:hint="eastAsia"/>
                <w:b w:val="0"/>
                <w:sz w:val="24"/>
                <w:lang w:eastAsia="zh-CN"/>
              </w:rPr>
              <w:t>肥西县派合商务服务有限公司</w:t>
            </w:r>
            <w:r>
              <w:rPr>
                <w:rFonts w:hint="eastAsia"/>
                <w:b w:val="0"/>
                <w:sz w:val="24"/>
              </w:rPr>
              <w:t>对磋商文件进行的澄清、更正或更改，将在网站上及时发布，该公告内容为磋商文件的组成部分，对供应商具有同样约束力效力。供应商应主动上网查询。</w:t>
            </w:r>
            <w:r>
              <w:rPr>
                <w:rFonts w:hint="eastAsia"/>
                <w:b w:val="0"/>
                <w:sz w:val="24"/>
                <w:lang w:eastAsia="zh-CN"/>
              </w:rPr>
              <w:t>肥西县派合商务服务有限公司</w:t>
            </w:r>
            <w:r>
              <w:rPr>
                <w:rFonts w:hint="eastAsia"/>
                <w:b w:val="0"/>
                <w:sz w:val="24"/>
              </w:rPr>
              <w:t>不承担供应商未及时关注相关信息引发的相关责任。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5</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评审方法</w:t>
            </w:r>
          </w:p>
        </w:tc>
        <w:tc>
          <w:tcPr>
            <w:tcW w:w="6020" w:type="dxa"/>
            <w:vAlign w:val="center"/>
          </w:tcPr>
          <w:p>
            <w:pPr>
              <w:pStyle w:val="39"/>
              <w:widowControl w:val="0"/>
              <w:spacing w:before="0" w:beforeAutospacing="0" w:after="0" w:afterAutospacing="0" w:line="360" w:lineRule="auto"/>
              <w:jc w:val="both"/>
              <w:rPr>
                <w:b w:val="0"/>
                <w:sz w:val="24"/>
              </w:rPr>
            </w:pPr>
            <w:r>
              <w:rPr>
                <w:rFonts w:ascii="Segoe UI Symbol" w:hAnsi="Segoe UI Symbol" w:cs="Segoe UI Symbol"/>
                <w:b w:val="0"/>
                <w:bCs w:val="0"/>
                <w:sz w:val="24"/>
                <w:szCs w:val="24"/>
              </w:rPr>
              <w:t>☑</w:t>
            </w:r>
            <w:r>
              <w:rPr>
                <w:rFonts w:hint="eastAsia"/>
                <w:b w:val="0"/>
                <w:sz w:val="24"/>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6</w:t>
            </w:r>
          </w:p>
        </w:tc>
        <w:tc>
          <w:tcPr>
            <w:tcW w:w="2031" w:type="dxa"/>
            <w:vAlign w:val="center"/>
          </w:tcPr>
          <w:p>
            <w:pPr>
              <w:pStyle w:val="39"/>
              <w:widowControl w:val="0"/>
              <w:spacing w:before="0" w:beforeAutospacing="0" w:after="0" w:afterAutospacing="0" w:line="360" w:lineRule="auto"/>
              <w:jc w:val="left"/>
              <w:rPr>
                <w:b w:val="0"/>
                <w:sz w:val="24"/>
              </w:rPr>
            </w:pPr>
            <w:r>
              <w:rPr>
                <w:rFonts w:hint="eastAsia"/>
                <w:b w:val="0"/>
                <w:sz w:val="24"/>
              </w:rPr>
              <w:t>磋商保证金</w:t>
            </w:r>
          </w:p>
        </w:tc>
        <w:tc>
          <w:tcPr>
            <w:tcW w:w="6020" w:type="dxa"/>
            <w:vAlign w:val="center"/>
          </w:tcPr>
          <w:p>
            <w:pPr>
              <w:spacing w:line="360" w:lineRule="auto"/>
              <w:jc w:val="left"/>
              <w:rPr>
                <w:rFonts w:cs="宋体"/>
                <w:sz w:val="24"/>
              </w:rPr>
            </w:pPr>
            <w:r>
              <w:rPr>
                <w:rFonts w:hint="eastAsia" w:cs="宋体"/>
                <w:sz w:val="24"/>
              </w:rPr>
              <w:t>是否要求</w:t>
            </w:r>
            <w:r>
              <w:rPr>
                <w:rFonts w:hint="eastAsia"/>
                <w:sz w:val="24"/>
              </w:rPr>
              <w:t>供应商</w:t>
            </w:r>
            <w:r>
              <w:rPr>
                <w:rFonts w:hint="eastAsia" w:cs="宋体"/>
                <w:sz w:val="24"/>
              </w:rPr>
              <w:t>递交磋商保证金：</w:t>
            </w:r>
          </w:p>
          <w:p>
            <w:pPr>
              <w:spacing w:line="360" w:lineRule="auto"/>
              <w:jc w:val="left"/>
              <w:rPr>
                <w:rFonts w:cs="宋体"/>
                <w:sz w:val="24"/>
              </w:rPr>
            </w:pPr>
            <w:r>
              <w:rPr>
                <w:rFonts w:hint="eastAsia" w:cs="宋体"/>
                <w:b/>
                <w:bCs/>
                <w:sz w:val="24"/>
              </w:rPr>
              <w:t>□</w:t>
            </w:r>
            <w:r>
              <w:rPr>
                <w:rFonts w:hint="eastAsia" w:cs="宋体"/>
                <w:sz w:val="24"/>
              </w:rPr>
              <w:t>不要求</w:t>
            </w:r>
          </w:p>
          <w:p>
            <w:pPr>
              <w:spacing w:line="360" w:lineRule="auto"/>
              <w:jc w:val="left"/>
              <w:rPr>
                <w:rFonts w:cs="宋体"/>
                <w:b/>
                <w:bCs/>
                <w:sz w:val="24"/>
              </w:rPr>
            </w:pPr>
            <w:r>
              <w:rPr>
                <w:rFonts w:ascii="Segoe UI Symbol" w:hAnsi="Segoe UI Symbol" w:cs="Segoe UI Symbol"/>
                <w:b/>
                <w:bCs/>
                <w:sz w:val="24"/>
              </w:rPr>
              <w:t>☑</w:t>
            </w:r>
            <w:r>
              <w:rPr>
                <w:rFonts w:hint="eastAsia" w:cs="宋体"/>
                <w:b/>
                <w:bCs/>
                <w:sz w:val="24"/>
              </w:rPr>
              <w:t>要求</w:t>
            </w:r>
          </w:p>
          <w:p>
            <w:pPr>
              <w:spacing w:line="360" w:lineRule="auto"/>
              <w:rPr>
                <w:rFonts w:cs="宋体"/>
                <w:sz w:val="24"/>
              </w:rPr>
            </w:pPr>
            <w:r>
              <w:rPr>
                <w:rFonts w:hint="eastAsia" w:cs="宋体"/>
                <w:sz w:val="24"/>
              </w:rPr>
              <w:t>磋商保证金的形式：</w:t>
            </w:r>
            <w:r>
              <w:rPr>
                <w:rFonts w:hint="eastAsia" w:ascii="Segoe UI Symbol" w:hAnsi="Segoe UI Symbol" w:cs="Segoe UI Symbol"/>
                <w:sz w:val="24"/>
              </w:rPr>
              <w:t>☑</w:t>
            </w:r>
            <w:r>
              <w:rPr>
                <w:rFonts w:hint="eastAsia" w:cs="宋体"/>
                <w:sz w:val="24"/>
              </w:rPr>
              <w:t>银行转账  ☑银行电汇</w:t>
            </w:r>
          </w:p>
          <w:p>
            <w:pPr>
              <w:snapToGrid w:val="0"/>
              <w:spacing w:line="460" w:lineRule="exact"/>
              <w:rPr>
                <w:rFonts w:cs="宋体"/>
                <w:sz w:val="24"/>
              </w:rPr>
            </w:pPr>
            <w:r>
              <w:rPr>
                <w:rFonts w:hint="eastAsia" w:cs="宋体"/>
                <w:sz w:val="24"/>
              </w:rPr>
              <w:t>磋商保证金的金额：</w:t>
            </w:r>
            <w:r>
              <w:rPr>
                <w:rFonts w:cs="宋体"/>
                <w:b/>
                <w:bCs/>
                <w:sz w:val="24"/>
                <w:szCs w:val="24"/>
              </w:rPr>
              <w:t>磋商保证金的金额：人民币</w:t>
            </w:r>
            <w:r>
              <w:rPr>
                <w:rFonts w:hint="eastAsia" w:cs="宋体"/>
                <w:b/>
                <w:bCs/>
                <w:sz w:val="24"/>
                <w:szCs w:val="24"/>
                <w:lang w:val="en-US" w:eastAsia="zh-CN"/>
              </w:rPr>
              <w:t>17</w:t>
            </w:r>
            <w:r>
              <w:rPr>
                <w:rFonts w:hint="eastAsia" w:cs="宋体"/>
                <w:b/>
                <w:bCs/>
                <w:sz w:val="24"/>
                <w:szCs w:val="24"/>
              </w:rPr>
              <w:t>00</w:t>
            </w:r>
            <w:r>
              <w:rPr>
                <w:rFonts w:cs="宋体"/>
                <w:b/>
                <w:bCs/>
                <w:sz w:val="24"/>
                <w:szCs w:val="24"/>
              </w:rPr>
              <w:t>元</w:t>
            </w:r>
            <w:r>
              <w:rPr>
                <w:rFonts w:hint="eastAsia" w:cs="宋体"/>
                <w:b/>
                <w:bCs/>
                <w:sz w:val="24"/>
                <w:szCs w:val="24"/>
              </w:rPr>
              <w:t>；其中</w:t>
            </w:r>
            <w:r>
              <w:rPr>
                <w:rFonts w:cs="宋体"/>
                <w:b/>
                <w:bCs/>
                <w:sz w:val="24"/>
                <w:szCs w:val="24"/>
              </w:rPr>
              <w:t>工本费：人民币</w:t>
            </w:r>
            <w:r>
              <w:rPr>
                <w:rFonts w:hint="eastAsia" w:cs="宋体"/>
                <w:b/>
                <w:bCs/>
                <w:sz w:val="24"/>
                <w:szCs w:val="24"/>
              </w:rPr>
              <w:t>2</w:t>
            </w:r>
            <w:r>
              <w:rPr>
                <w:rFonts w:cs="宋体"/>
                <w:b/>
                <w:bCs/>
                <w:sz w:val="24"/>
                <w:szCs w:val="24"/>
              </w:rPr>
              <w:t>00.00元（</w:t>
            </w:r>
            <w:r>
              <w:rPr>
                <w:rFonts w:hint="eastAsia" w:cs="宋体"/>
                <w:b/>
                <w:bCs/>
                <w:sz w:val="24"/>
                <w:szCs w:val="24"/>
              </w:rPr>
              <w:t>工本费</w:t>
            </w:r>
            <w:r>
              <w:rPr>
                <w:rFonts w:cs="宋体"/>
                <w:b/>
                <w:bCs/>
                <w:sz w:val="24"/>
                <w:szCs w:val="24"/>
              </w:rPr>
              <w:t>售后不退）</w:t>
            </w:r>
          </w:p>
          <w:p>
            <w:pPr>
              <w:spacing w:line="360" w:lineRule="auto"/>
              <w:jc w:val="left"/>
              <w:rPr>
                <w:rFonts w:cs="宋体"/>
                <w:sz w:val="24"/>
              </w:rPr>
            </w:pPr>
            <w:r>
              <w:rPr>
                <w:rFonts w:hint="eastAsia" w:cs="宋体"/>
                <w:sz w:val="24"/>
              </w:rPr>
              <w:t>递交要求：</w:t>
            </w:r>
          </w:p>
          <w:p>
            <w:pPr>
              <w:spacing w:line="360" w:lineRule="auto"/>
              <w:jc w:val="left"/>
              <w:rPr>
                <w:rFonts w:cs="宋体"/>
                <w:sz w:val="24"/>
                <w:szCs w:val="24"/>
              </w:rPr>
            </w:pPr>
            <w:r>
              <w:rPr>
                <w:rFonts w:hint="eastAsia" w:cs="宋体"/>
                <w:sz w:val="24"/>
                <w:szCs w:val="24"/>
              </w:rPr>
              <w:t>①磋商保证金的到账截止时间：磋商截止时间。</w:t>
            </w:r>
          </w:p>
          <w:p>
            <w:pPr>
              <w:spacing w:line="360" w:lineRule="auto"/>
              <w:jc w:val="left"/>
              <w:rPr>
                <w:rFonts w:cs="宋体"/>
                <w:sz w:val="24"/>
                <w:szCs w:val="24"/>
              </w:rPr>
            </w:pPr>
            <w:r>
              <w:rPr>
                <w:rFonts w:hint="eastAsia" w:cs="宋体"/>
                <w:sz w:val="24"/>
                <w:szCs w:val="24"/>
              </w:rPr>
              <w:t>②磋商保证金应当从</w:t>
            </w:r>
            <w:r>
              <w:rPr>
                <w:rFonts w:hint="eastAsia"/>
                <w:sz w:val="24"/>
              </w:rPr>
              <w:t>供应商</w:t>
            </w:r>
            <w:r>
              <w:rPr>
                <w:rFonts w:hint="eastAsia" w:cs="宋体"/>
                <w:sz w:val="24"/>
                <w:szCs w:val="24"/>
              </w:rPr>
              <w:t>基本账户转出，转出保证金的账户与</w:t>
            </w:r>
            <w:r>
              <w:rPr>
                <w:rFonts w:hint="eastAsia"/>
                <w:sz w:val="24"/>
              </w:rPr>
              <w:t>供应商</w:t>
            </w:r>
            <w:r>
              <w:rPr>
                <w:rFonts w:hint="eastAsia" w:cs="宋体"/>
                <w:sz w:val="24"/>
                <w:szCs w:val="24"/>
              </w:rPr>
              <w:t>响应文件提供的基本账户不一致的，视为未按磋商文件规定要求递交磋商保证金。</w:t>
            </w:r>
          </w:p>
          <w:p>
            <w:pPr>
              <w:spacing w:line="360" w:lineRule="auto"/>
              <w:jc w:val="left"/>
              <w:rPr>
                <w:rFonts w:cs="宋体"/>
                <w:b/>
                <w:bCs/>
                <w:sz w:val="24"/>
                <w:szCs w:val="24"/>
              </w:rPr>
            </w:pPr>
            <w:r>
              <w:rPr>
                <w:rFonts w:hint="eastAsia" w:cs="宋体"/>
                <w:b/>
                <w:bCs/>
                <w:sz w:val="24"/>
                <w:szCs w:val="24"/>
              </w:rPr>
              <w:t>③转入的开户银行及账号：</w:t>
            </w:r>
          </w:p>
          <w:p>
            <w:pPr>
              <w:snapToGrid w:val="0"/>
              <w:spacing w:line="460" w:lineRule="exact"/>
              <w:ind w:firstLine="120" w:firstLineChars="50"/>
              <w:rPr>
                <w:rFonts w:cs="宋体"/>
                <w:sz w:val="24"/>
                <w:szCs w:val="24"/>
                <w:highlight w:val="none"/>
              </w:rPr>
            </w:pPr>
            <w:r>
              <w:rPr>
                <w:rFonts w:hint="eastAsia" w:cs="宋体"/>
                <w:sz w:val="24"/>
                <w:szCs w:val="24"/>
                <w:highlight w:val="none"/>
              </w:rPr>
              <w:t>开户银行：广发银行合肥肥西支行</w:t>
            </w:r>
          </w:p>
          <w:p>
            <w:pPr>
              <w:snapToGrid w:val="0"/>
              <w:spacing w:line="460" w:lineRule="exact"/>
              <w:ind w:firstLine="120" w:firstLineChars="50"/>
              <w:rPr>
                <w:rFonts w:hint="eastAsia" w:eastAsia="宋体" w:cs="宋体"/>
                <w:sz w:val="24"/>
                <w:szCs w:val="24"/>
                <w:highlight w:val="none"/>
                <w:lang w:eastAsia="zh-CN"/>
              </w:rPr>
            </w:pPr>
            <w:r>
              <w:rPr>
                <w:rFonts w:hint="eastAsia" w:cs="宋体"/>
                <w:sz w:val="24"/>
                <w:szCs w:val="24"/>
                <w:highlight w:val="none"/>
              </w:rPr>
              <w:t>开户名：</w:t>
            </w:r>
            <w:bookmarkStart w:id="75" w:name="_GoBack"/>
            <w:r>
              <w:rPr>
                <w:rFonts w:hint="eastAsia" w:cs="宋体"/>
                <w:sz w:val="24"/>
                <w:szCs w:val="24"/>
                <w:highlight w:val="none"/>
                <w:lang w:eastAsia="zh-CN"/>
              </w:rPr>
              <w:t>肥西县派合商务服务有限公司</w:t>
            </w:r>
            <w:bookmarkEnd w:id="75"/>
          </w:p>
          <w:p>
            <w:pPr>
              <w:snapToGrid w:val="0"/>
              <w:spacing w:line="460" w:lineRule="exact"/>
              <w:ind w:firstLine="120" w:firstLineChars="50"/>
              <w:rPr>
                <w:rFonts w:cs="宋体"/>
                <w:sz w:val="24"/>
                <w:szCs w:val="24"/>
                <w:highlight w:val="none"/>
                <w:u w:val="single"/>
              </w:rPr>
            </w:pPr>
            <w:r>
              <w:rPr>
                <w:rFonts w:hint="eastAsia" w:cs="宋体"/>
                <w:sz w:val="24"/>
                <w:szCs w:val="24"/>
                <w:highlight w:val="none"/>
              </w:rPr>
              <w:t>账号：9550880248258000130</w:t>
            </w:r>
          </w:p>
          <w:p>
            <w:pPr>
              <w:spacing w:line="360" w:lineRule="auto"/>
              <w:jc w:val="left"/>
              <w:rPr>
                <w:rFonts w:cs="宋体"/>
                <w:sz w:val="24"/>
                <w:highlight w:val="none"/>
              </w:rPr>
            </w:pPr>
            <w:r>
              <w:rPr>
                <w:rFonts w:hint="eastAsia" w:cs="宋体"/>
                <w:sz w:val="24"/>
                <w:highlight w:val="none"/>
              </w:rPr>
              <w:t>注意事项：</w:t>
            </w:r>
          </w:p>
          <w:p>
            <w:pPr>
              <w:numPr>
                <w:ilvl w:val="0"/>
                <w:numId w:val="2"/>
              </w:numPr>
              <w:spacing w:line="360" w:lineRule="auto"/>
              <w:jc w:val="left"/>
              <w:rPr>
                <w:rFonts w:hint="eastAsia" w:cs="宋体"/>
                <w:b/>
                <w:bCs/>
                <w:sz w:val="32"/>
                <w:szCs w:val="22"/>
                <w:highlight w:val="none"/>
                <w:lang w:val="en-US" w:eastAsia="zh-CN"/>
              </w:rPr>
            </w:pPr>
            <w:r>
              <w:rPr>
                <w:rFonts w:hint="eastAsia" w:cs="宋体"/>
                <w:b/>
                <w:bCs/>
                <w:sz w:val="32"/>
                <w:szCs w:val="22"/>
                <w:highlight w:val="none"/>
              </w:rPr>
              <w:t>磋商保证金交纳账号采用</w:t>
            </w:r>
            <w:r>
              <w:rPr>
                <w:rFonts w:hint="eastAsia" w:cs="宋体"/>
                <w:b/>
                <w:bCs/>
                <w:sz w:val="32"/>
                <w:szCs w:val="22"/>
                <w:highlight w:val="none"/>
                <w:lang w:val="en-US" w:eastAsia="zh-CN"/>
              </w:rPr>
              <w:t>实体</w:t>
            </w:r>
            <w:r>
              <w:rPr>
                <w:rFonts w:hint="eastAsia" w:cs="宋体"/>
                <w:b/>
                <w:bCs/>
                <w:sz w:val="32"/>
                <w:szCs w:val="22"/>
                <w:highlight w:val="none"/>
              </w:rPr>
              <w:t>账号，请</w:t>
            </w:r>
            <w:r>
              <w:rPr>
                <w:rFonts w:hint="eastAsia"/>
                <w:b/>
                <w:bCs/>
                <w:sz w:val="32"/>
                <w:szCs w:val="21"/>
                <w:highlight w:val="none"/>
              </w:rPr>
              <w:t>参审单位</w:t>
            </w:r>
            <w:r>
              <w:rPr>
                <w:rFonts w:hint="eastAsia" w:cs="宋体"/>
                <w:b/>
                <w:bCs/>
                <w:sz w:val="32"/>
                <w:szCs w:val="22"/>
                <w:highlight w:val="none"/>
              </w:rPr>
              <w:t>参与磋商</w:t>
            </w:r>
            <w:r>
              <w:rPr>
                <w:rFonts w:hint="eastAsia" w:cs="宋体"/>
                <w:b/>
                <w:bCs/>
                <w:sz w:val="32"/>
                <w:szCs w:val="22"/>
                <w:highlight w:val="none"/>
                <w:lang w:val="en-US" w:eastAsia="zh-CN"/>
              </w:rPr>
              <w:t>递交参审文件时</w:t>
            </w:r>
            <w:r>
              <w:rPr>
                <w:rFonts w:hint="eastAsia" w:cs="宋体"/>
                <w:b/>
                <w:bCs/>
                <w:sz w:val="32"/>
                <w:szCs w:val="22"/>
                <w:highlight w:val="none"/>
              </w:rPr>
              <w:t>，</w:t>
            </w:r>
            <w:r>
              <w:rPr>
                <w:rFonts w:hint="eastAsia" w:cs="宋体"/>
                <w:b/>
                <w:bCs/>
                <w:sz w:val="32"/>
                <w:szCs w:val="22"/>
                <w:highlight w:val="none"/>
                <w:lang w:val="en-US" w:eastAsia="zh-CN"/>
              </w:rPr>
              <w:t>务必备注如下：</w:t>
            </w:r>
          </w:p>
          <w:p>
            <w:pPr>
              <w:numPr>
                <w:ilvl w:val="0"/>
                <w:numId w:val="0"/>
              </w:numPr>
              <w:spacing w:line="360" w:lineRule="auto"/>
              <w:jc w:val="left"/>
              <w:rPr>
                <w:rFonts w:hint="eastAsia" w:cs="宋体"/>
                <w:b/>
                <w:bCs/>
                <w:color w:val="FF0000"/>
                <w:sz w:val="32"/>
                <w:szCs w:val="22"/>
                <w:highlight w:val="none"/>
                <w:u w:val="single"/>
                <w:lang w:val="en-US" w:eastAsia="zh-CN"/>
              </w:rPr>
            </w:pPr>
            <w:r>
              <w:rPr>
                <w:rFonts w:hint="eastAsia" w:cs="宋体"/>
                <w:b/>
                <w:bCs/>
                <w:color w:val="FF0000"/>
                <w:sz w:val="32"/>
                <w:szCs w:val="22"/>
                <w:highlight w:val="none"/>
                <w:u w:val="single"/>
                <w:lang w:val="en-US" w:eastAsia="zh-CN"/>
              </w:rPr>
              <w:t>（项目编号）磋商保证金</w:t>
            </w:r>
          </w:p>
          <w:p>
            <w:pPr>
              <w:numPr>
                <w:ilvl w:val="0"/>
                <w:numId w:val="0"/>
              </w:numPr>
              <w:spacing w:line="360" w:lineRule="auto"/>
              <w:jc w:val="left"/>
              <w:rPr>
                <w:rFonts w:hint="default" w:cs="宋体"/>
                <w:b/>
                <w:bCs/>
                <w:sz w:val="32"/>
                <w:szCs w:val="22"/>
                <w:highlight w:val="none"/>
                <w:lang w:val="en-US" w:eastAsia="zh-CN"/>
              </w:rPr>
            </w:pPr>
            <w:r>
              <w:rPr>
                <w:rFonts w:hint="eastAsia" w:cs="宋体"/>
                <w:b/>
                <w:bCs/>
                <w:sz w:val="32"/>
                <w:szCs w:val="22"/>
                <w:highlight w:val="none"/>
                <w:lang w:val="en-US" w:eastAsia="zh-CN"/>
              </w:rPr>
              <w:t>参审单位如未进行备注的，可能会因评审委员会无法识别磋商保证金到账情况导致参审文件被否决，责任由参审单位自行承担。</w:t>
            </w:r>
          </w:p>
          <w:p>
            <w:pPr>
              <w:spacing w:line="360" w:lineRule="auto"/>
              <w:jc w:val="left"/>
              <w:rPr>
                <w:rFonts w:cs="宋体"/>
                <w:sz w:val="24"/>
                <w:highlight w:val="none"/>
              </w:rPr>
            </w:pPr>
            <w:r>
              <w:rPr>
                <w:rFonts w:hint="eastAsia" w:cs="宋体"/>
                <w:sz w:val="24"/>
                <w:highlight w:val="none"/>
              </w:rPr>
              <w:t>（2）如本项目前次磋商失败，退还</w:t>
            </w:r>
            <w:r>
              <w:rPr>
                <w:rFonts w:hint="eastAsia"/>
                <w:sz w:val="24"/>
                <w:szCs w:val="18"/>
                <w:highlight w:val="none"/>
              </w:rPr>
              <w:t>参审单位</w:t>
            </w:r>
            <w:r>
              <w:rPr>
                <w:rFonts w:hint="eastAsia" w:cs="宋体"/>
                <w:sz w:val="24"/>
                <w:highlight w:val="none"/>
                <w:u w:val="single"/>
                <w:lang w:val="en-US" w:eastAsia="zh-CN"/>
              </w:rPr>
              <w:t>15</w:t>
            </w:r>
            <w:r>
              <w:rPr>
                <w:rFonts w:hint="eastAsia" w:cs="宋体"/>
                <w:sz w:val="24"/>
                <w:highlight w:val="none"/>
                <w:u w:val="single"/>
              </w:rPr>
              <w:t>00</w:t>
            </w:r>
            <w:r>
              <w:rPr>
                <w:rFonts w:cs="宋体"/>
                <w:sz w:val="24"/>
                <w:highlight w:val="none"/>
                <w:u w:val="single"/>
              </w:rPr>
              <w:t>.00</w:t>
            </w:r>
            <w:r>
              <w:rPr>
                <w:rFonts w:cs="宋体"/>
                <w:sz w:val="24"/>
                <w:highlight w:val="none"/>
              </w:rPr>
              <w:t>元</w:t>
            </w:r>
            <w:r>
              <w:rPr>
                <w:rFonts w:hint="eastAsia" w:cs="宋体"/>
                <w:sz w:val="24"/>
                <w:highlight w:val="none"/>
              </w:rPr>
              <w:t>。</w:t>
            </w:r>
            <w:r>
              <w:rPr>
                <w:rFonts w:hint="eastAsia"/>
                <w:sz w:val="24"/>
                <w:szCs w:val="18"/>
                <w:highlight w:val="none"/>
              </w:rPr>
              <w:t>参审单位</w:t>
            </w:r>
            <w:r>
              <w:rPr>
                <w:rFonts w:hint="eastAsia" w:cs="宋体"/>
                <w:sz w:val="24"/>
                <w:highlight w:val="none"/>
              </w:rPr>
              <w:t>参与本次磋商，须向本项目本次公告公布的磋商保证金账号重新交纳磋商保证金。</w:t>
            </w:r>
          </w:p>
          <w:p>
            <w:pPr>
              <w:spacing w:line="360" w:lineRule="auto"/>
              <w:jc w:val="left"/>
              <w:rPr>
                <w:rFonts w:hint="eastAsia" w:cs="宋体"/>
                <w:sz w:val="24"/>
                <w:highlight w:val="none"/>
              </w:rPr>
            </w:pPr>
            <w:r>
              <w:rPr>
                <w:rFonts w:hint="eastAsia" w:cs="宋体"/>
                <w:sz w:val="24"/>
                <w:highlight w:val="none"/>
              </w:rPr>
              <w:t>（3）凡转账到其他项目</w:t>
            </w:r>
            <w:r>
              <w:rPr>
                <w:rFonts w:hint="eastAsia" w:cs="宋体"/>
                <w:sz w:val="24"/>
                <w:highlight w:val="none"/>
                <w:lang w:val="en-US" w:eastAsia="zh-CN"/>
              </w:rPr>
              <w:t>磋商保证金</w:t>
            </w:r>
            <w:r>
              <w:rPr>
                <w:rFonts w:hint="eastAsia" w:cs="宋体"/>
                <w:sz w:val="24"/>
                <w:highlight w:val="none"/>
              </w:rPr>
              <w:t>账户或本项目前次公告账户的，磋商保证金无效。</w:t>
            </w:r>
          </w:p>
          <w:p>
            <w:pPr>
              <w:pStyle w:val="39"/>
              <w:widowControl w:val="0"/>
              <w:spacing w:before="0" w:beforeAutospacing="0" w:after="0" w:afterAutospacing="0" w:line="360" w:lineRule="auto"/>
              <w:jc w:val="both"/>
              <w:rPr>
                <w:rFonts w:cs="宋体"/>
                <w:sz w:val="24"/>
              </w:rPr>
            </w:pPr>
            <w:r>
              <w:rPr>
                <w:rFonts w:hint="eastAsia" w:ascii="宋体" w:hAnsi="宋体" w:eastAsia="宋体" w:cs="宋体"/>
                <w:b w:val="0"/>
                <w:bCs w:val="0"/>
                <w:sz w:val="24"/>
                <w:szCs w:val="20"/>
                <w:highlight w:val="none"/>
                <w:lang w:val="en-US" w:eastAsia="zh-CN" w:bidi="ar-SA"/>
              </w:rPr>
              <w:t>（4）参审单位参与本项目多个包别磋商的（如分多包别的），应该按包别分别递交磋商保证金。未递交磋商保证金的包别，其磋商无效。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7</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磋商有效期</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lang w:val="en-US" w:eastAsia="zh-CN"/>
              </w:rPr>
              <w:t>12</w:t>
            </w:r>
            <w:r>
              <w:rPr>
                <w:rFonts w:hint="eastAsia"/>
                <w:b w:val="0"/>
                <w:sz w:val="24"/>
                <w:u w:val="single"/>
              </w:rPr>
              <w:t>0</w:t>
            </w:r>
            <w:r>
              <w:rPr>
                <w:rFonts w:hint="eastAsia"/>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8</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响应文件要求</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rPr>
              <w:t>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9</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磋商现场提交的其他材料要求</w:t>
            </w:r>
          </w:p>
        </w:tc>
        <w:tc>
          <w:tcPr>
            <w:tcW w:w="6020" w:type="dxa"/>
            <w:vAlign w:val="center"/>
          </w:tcPr>
          <w:p>
            <w:pPr>
              <w:pStyle w:val="39"/>
              <w:widowControl w:val="0"/>
              <w:spacing w:before="0" w:beforeAutospacing="0" w:after="0" w:afterAutospacing="0" w:line="360" w:lineRule="auto"/>
              <w:jc w:val="both"/>
              <w:rPr>
                <w:b w:val="0"/>
                <w:sz w:val="24"/>
                <w:u w:val="single"/>
              </w:rPr>
            </w:pPr>
            <w:r>
              <w:rPr>
                <w:rFonts w:hint="eastAsia"/>
                <w:b w:val="0"/>
                <w:bCs w:val="0"/>
                <w:sz w:val="24"/>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10</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响应文件提交截止时间</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11</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响应文件解密时间</w:t>
            </w:r>
          </w:p>
        </w:tc>
        <w:tc>
          <w:tcPr>
            <w:tcW w:w="6020" w:type="dxa"/>
            <w:vAlign w:val="center"/>
          </w:tcPr>
          <w:p>
            <w:pPr>
              <w:pStyle w:val="39"/>
              <w:widowControl w:val="0"/>
              <w:spacing w:before="0" w:beforeAutospacing="0" w:after="0" w:afterAutospacing="0" w:line="360" w:lineRule="auto"/>
              <w:jc w:val="both"/>
              <w:rPr>
                <w:rFonts w:cs="宋体"/>
                <w:b w:val="0"/>
                <w:sz w:val="24"/>
                <w:u w:val="single"/>
              </w:rPr>
            </w:pPr>
            <w:r>
              <w:rPr>
                <w:rFonts w:hint="eastAsia" w:cs="宋体"/>
                <w:b w:val="0"/>
                <w:sz w:val="24"/>
                <w:u w:val="single"/>
              </w:rPr>
              <w:t>响应文件提交截止时间后30分钟内（以系统解密倒计时为准）</w:t>
            </w:r>
          </w:p>
          <w:p>
            <w:pPr>
              <w:pStyle w:val="39"/>
              <w:widowControl w:val="0"/>
              <w:spacing w:before="0" w:beforeAutospacing="0" w:after="0" w:afterAutospacing="0" w:line="360" w:lineRule="auto"/>
              <w:jc w:val="both"/>
              <w:rPr>
                <w:b w:val="0"/>
                <w:sz w:val="24"/>
                <w:u w:val="single"/>
              </w:rPr>
            </w:pPr>
            <w:r>
              <w:rPr>
                <w:rFonts w:hint="eastAsia" w:cs="宋体"/>
                <w:bCs w:val="0"/>
                <w:sz w:val="24"/>
              </w:rPr>
              <w:t>其他要求：响应文件解密可以采用网上远程方式，无需到磋商现场进行解密。解密的CA锁必须与响应文件加密的CA锁一致，否则造成的后果由</w:t>
            </w:r>
            <w:r>
              <w:rPr>
                <w:rFonts w:hint="eastAsia"/>
                <w:sz w:val="24"/>
                <w:szCs w:val="18"/>
              </w:rPr>
              <w:t>供应商</w:t>
            </w:r>
            <w:r>
              <w:rPr>
                <w:rFonts w:hint="eastAsia" w:cs="宋体"/>
                <w:bCs w:val="0"/>
                <w:sz w:val="24"/>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12</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磋商时间</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40"/>
              <w:pBdr>
                <w:bottom w:val="none" w:color="auto" w:sz="0" w:space="0"/>
              </w:pBdr>
              <w:tabs>
                <w:tab w:val="clear" w:pos="4153"/>
                <w:tab w:val="clear" w:pos="8306"/>
              </w:tabs>
              <w:adjustRightInd/>
              <w:spacing w:line="360" w:lineRule="auto"/>
              <w:textAlignment w:val="auto"/>
              <w:rPr>
                <w:bCs/>
                <w:kern w:val="2"/>
              </w:rPr>
            </w:pP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磋商地点</w:t>
            </w:r>
          </w:p>
        </w:tc>
        <w:tc>
          <w:tcPr>
            <w:tcW w:w="6020" w:type="dxa"/>
            <w:vAlign w:val="center"/>
          </w:tcPr>
          <w:p>
            <w:pPr>
              <w:pStyle w:val="39"/>
              <w:widowControl w:val="0"/>
              <w:spacing w:before="0" w:beforeAutospacing="0" w:after="0" w:afterAutospacing="0" w:line="360" w:lineRule="auto"/>
              <w:jc w:val="both"/>
              <w:rPr>
                <w:b w:val="0"/>
                <w:sz w:val="24"/>
                <w:u w:val="single"/>
              </w:rPr>
            </w:pPr>
            <w:r>
              <w:rPr>
                <w:rFonts w:hint="eastAsia"/>
                <w:b w:val="0"/>
                <w:sz w:val="24"/>
                <w:u w:val="single"/>
              </w:rPr>
              <w:t>详见磋商邀请</w:t>
            </w:r>
          </w:p>
          <w:p>
            <w:pPr>
              <w:spacing w:line="360" w:lineRule="auto"/>
              <w:rPr>
                <w:sz w:val="24"/>
                <w:u w:val="single"/>
              </w:rPr>
            </w:pPr>
            <w:r>
              <w:rPr>
                <w:rFonts w:hint="eastAsia"/>
                <w:b/>
                <w:bCs/>
                <w:sz w:val="24"/>
                <w:szCs w:val="18"/>
                <w:u w:val="single"/>
              </w:rPr>
              <w:t>备注：</w:t>
            </w:r>
            <w:r>
              <w:rPr>
                <w:rFonts w:hint="eastAsia"/>
                <w:b/>
                <w:sz w:val="24"/>
                <w:szCs w:val="18"/>
                <w:u w:val="single"/>
              </w:rPr>
              <w:t>供应商</w:t>
            </w:r>
            <w:r>
              <w:rPr>
                <w:rFonts w:hint="eastAsia"/>
                <w:b/>
                <w:bCs/>
                <w:sz w:val="24"/>
                <w:szCs w:val="18"/>
                <w:u w:val="single"/>
              </w:rPr>
              <w:t>可以在线解密响应文件，无须现场参加磋商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13</w:t>
            </w:r>
          </w:p>
        </w:tc>
        <w:tc>
          <w:tcPr>
            <w:tcW w:w="2031" w:type="dxa"/>
            <w:vMerge w:val="restart"/>
            <w:vAlign w:val="center"/>
          </w:tcPr>
          <w:p>
            <w:pPr>
              <w:pStyle w:val="39"/>
              <w:widowControl w:val="0"/>
              <w:spacing w:before="0" w:beforeAutospacing="0" w:after="0" w:afterAutospacing="0" w:line="360" w:lineRule="auto"/>
              <w:jc w:val="both"/>
              <w:rPr>
                <w:b w:val="0"/>
                <w:sz w:val="24"/>
              </w:rPr>
            </w:pPr>
            <w:r>
              <w:rPr>
                <w:rFonts w:hint="eastAsia"/>
                <w:b w:val="0"/>
                <w:sz w:val="24"/>
              </w:rPr>
              <w:t>确定成交候选人和成交人</w:t>
            </w:r>
          </w:p>
        </w:tc>
        <w:tc>
          <w:tcPr>
            <w:tcW w:w="6020" w:type="dxa"/>
            <w:vAlign w:val="center"/>
          </w:tcPr>
          <w:p>
            <w:pPr>
              <w:pStyle w:val="39"/>
              <w:widowControl w:val="0"/>
              <w:spacing w:before="0" w:beforeAutospacing="0" w:after="0" w:afterAutospacing="0" w:line="360" w:lineRule="auto"/>
              <w:jc w:val="both"/>
              <w:rPr>
                <w:b w:val="0"/>
                <w:sz w:val="24"/>
                <w:u w:val="single"/>
              </w:rPr>
            </w:pPr>
            <w:r>
              <w:rPr>
                <w:rFonts w:hint="eastAsia"/>
                <w:b w:val="0"/>
                <w:sz w:val="24"/>
              </w:rPr>
              <w:t>磋商小组推荐成交</w:t>
            </w:r>
            <w:r>
              <w:rPr>
                <w:b w:val="0"/>
                <w:sz w:val="24"/>
              </w:rPr>
              <w:t>候选</w:t>
            </w:r>
            <w:r>
              <w:rPr>
                <w:rFonts w:hint="eastAsia"/>
                <w:b w:val="0"/>
                <w:sz w:val="24"/>
              </w:rPr>
              <w:t>人的</w:t>
            </w:r>
            <w:r>
              <w:rPr>
                <w:b w:val="0"/>
                <w:sz w:val="24"/>
              </w:rPr>
              <w:t>数量</w:t>
            </w:r>
            <w:r>
              <w:rPr>
                <w:rFonts w:hint="eastAsia"/>
                <w:b w:val="0"/>
                <w:sz w:val="24"/>
              </w:rPr>
              <w:t>：</w:t>
            </w:r>
            <w:r>
              <w:rPr>
                <w:rFonts w:hint="eastAsia"/>
                <w:b w:val="0"/>
                <w:sz w:val="24"/>
                <w:u w:val="single"/>
              </w:rPr>
              <w:t>1</w:t>
            </w:r>
            <w:r>
              <w:rPr>
                <w:b w:val="0"/>
                <w:sz w:val="24"/>
                <w:u w:val="singl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40"/>
              <w:pBdr>
                <w:bottom w:val="none" w:color="auto" w:sz="0" w:space="0"/>
              </w:pBdr>
              <w:tabs>
                <w:tab w:val="clear" w:pos="4153"/>
                <w:tab w:val="clear" w:pos="8306"/>
              </w:tabs>
              <w:adjustRightInd/>
              <w:spacing w:line="360" w:lineRule="auto"/>
              <w:textAlignment w:val="auto"/>
              <w:rPr>
                <w:bCs/>
                <w:kern w:val="2"/>
              </w:rPr>
            </w:pPr>
          </w:p>
        </w:tc>
        <w:tc>
          <w:tcPr>
            <w:tcW w:w="2031" w:type="dxa"/>
            <w:vMerge w:val="continue"/>
            <w:vAlign w:val="center"/>
          </w:tcPr>
          <w:p>
            <w:pPr>
              <w:pStyle w:val="39"/>
              <w:widowControl w:val="0"/>
              <w:spacing w:before="0" w:beforeAutospacing="0" w:after="0" w:afterAutospacing="0" w:line="360" w:lineRule="auto"/>
              <w:jc w:val="both"/>
              <w:rPr>
                <w:b w:val="0"/>
                <w:sz w:val="24"/>
              </w:rPr>
            </w:pP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rPr>
              <w:t>确定成交人：</w:t>
            </w:r>
          </w:p>
          <w:p>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b w:val="0"/>
                <w:sz w:val="24"/>
                <w:szCs w:val="18"/>
              </w:rPr>
              <w:t>业主</w:t>
            </w:r>
            <w:r>
              <w:rPr>
                <w:rFonts w:hint="eastAsia"/>
                <w:b w:val="0"/>
                <w:sz w:val="24"/>
                <w:szCs w:val="18"/>
              </w:rPr>
              <w:t>单位</w:t>
            </w:r>
            <w:r>
              <w:rPr>
                <w:rFonts w:hint="eastAsia"/>
                <w:b w:val="0"/>
                <w:sz w:val="24"/>
              </w:rPr>
              <w:t>委托磋商小组确定  □</w:t>
            </w:r>
            <w:r>
              <w:rPr>
                <w:b w:val="0"/>
                <w:sz w:val="24"/>
                <w:szCs w:val="18"/>
              </w:rPr>
              <w:t>业主</w:t>
            </w:r>
            <w:r>
              <w:rPr>
                <w:rFonts w:hint="eastAsia"/>
                <w:b w:val="0"/>
                <w:sz w:val="24"/>
                <w:szCs w:val="18"/>
              </w:rPr>
              <w:t>单位</w:t>
            </w:r>
            <w:r>
              <w:rPr>
                <w:rFonts w:hint="eastAsia"/>
                <w:b w:val="0"/>
                <w:sz w:val="24"/>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14</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成交通知书发出的形式</w:t>
            </w:r>
          </w:p>
        </w:tc>
        <w:tc>
          <w:tcPr>
            <w:tcW w:w="6020" w:type="dxa"/>
            <w:vAlign w:val="center"/>
          </w:tcPr>
          <w:p>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 xml:space="preserve">书面 </w:t>
            </w:r>
            <w:r>
              <w:rPr>
                <w:b w:val="0"/>
                <w:sz w:val="24"/>
              </w:rPr>
              <w:t xml:space="preserve">   </w:t>
            </w:r>
            <w:r>
              <w:rPr>
                <w:rFonts w:hint="eastAsia"/>
                <w:b w:val="0"/>
                <w:sz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15</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告知磋商结果的形式</w:t>
            </w:r>
          </w:p>
        </w:tc>
        <w:tc>
          <w:tcPr>
            <w:tcW w:w="6020" w:type="dxa"/>
            <w:vAlign w:val="center"/>
          </w:tcPr>
          <w:p>
            <w:pPr>
              <w:pStyle w:val="39"/>
              <w:widowControl w:val="0"/>
              <w:spacing w:before="0" w:beforeAutospacing="0" w:after="0" w:afterAutospacing="0" w:line="360" w:lineRule="auto"/>
              <w:jc w:val="both"/>
              <w:rPr>
                <w:b w:val="0"/>
                <w:bCs w:val="0"/>
                <w:sz w:val="24"/>
                <w:szCs w:val="24"/>
              </w:rPr>
            </w:pPr>
            <w:r>
              <w:rPr>
                <w:rFonts w:ascii="Segoe UI Symbol" w:hAnsi="Segoe UI Symbol" w:cs="Segoe UI Symbol"/>
                <w:b w:val="0"/>
                <w:sz w:val="24"/>
              </w:rPr>
              <w:t>☑</w:t>
            </w:r>
            <w:r>
              <w:rPr>
                <w:rFonts w:hint="eastAsia"/>
                <w:b w:val="0"/>
                <w:sz w:val="24"/>
              </w:rPr>
              <w:t>供应商</w:t>
            </w:r>
            <w:r>
              <w:rPr>
                <w:rFonts w:hint="eastAsia" w:cs="宋体"/>
                <w:b w:val="0"/>
                <w:bCs w:val="0"/>
                <w:sz w:val="24"/>
                <w:szCs w:val="24"/>
              </w:rPr>
              <w:t>自行登录系统查看</w:t>
            </w:r>
          </w:p>
          <w:p>
            <w:pPr>
              <w:pStyle w:val="39"/>
              <w:widowControl w:val="0"/>
              <w:spacing w:before="0" w:beforeAutospacing="0" w:after="0" w:afterAutospacing="0" w:line="360" w:lineRule="auto"/>
              <w:jc w:val="both"/>
              <w:rPr>
                <w:b w:val="0"/>
                <w:bCs w:val="0"/>
                <w:sz w:val="24"/>
                <w:szCs w:val="24"/>
              </w:rPr>
            </w:pPr>
            <w:r>
              <w:rPr>
                <w:rFonts w:hint="eastAsia"/>
                <w:b w:val="0"/>
                <w:sz w:val="24"/>
              </w:rPr>
              <w:t>□磋商现场告知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16</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履约保证金</w:t>
            </w:r>
          </w:p>
        </w:tc>
        <w:tc>
          <w:tcPr>
            <w:tcW w:w="6020" w:type="dxa"/>
            <w:vAlign w:val="center"/>
          </w:tcPr>
          <w:p>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不收取</w:t>
            </w:r>
          </w:p>
          <w:p>
            <w:pPr>
              <w:pStyle w:val="39"/>
              <w:widowControl w:val="0"/>
              <w:spacing w:before="0" w:beforeAutospacing="0" w:after="0" w:afterAutospacing="0" w:line="360" w:lineRule="auto"/>
              <w:jc w:val="both"/>
              <w:rPr>
                <w:b w:val="0"/>
                <w:sz w:val="24"/>
              </w:rPr>
            </w:pPr>
            <w:r>
              <w:rPr>
                <w:rFonts w:hint="eastAsia"/>
                <w:b w:val="0"/>
                <w:sz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17</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代理费</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rPr>
              <w:t>□不收取</w:t>
            </w:r>
          </w:p>
          <w:p>
            <w:pPr>
              <w:pStyle w:val="39"/>
              <w:widowControl w:val="0"/>
              <w:spacing w:before="0" w:beforeAutospacing="0" w:after="0" w:afterAutospacing="0" w:line="360" w:lineRule="auto"/>
              <w:jc w:val="both"/>
              <w:rPr>
                <w:bCs w:val="0"/>
                <w:sz w:val="24"/>
              </w:rPr>
            </w:pPr>
            <w:r>
              <w:rPr>
                <w:rFonts w:ascii="Segoe UI Symbol" w:hAnsi="Segoe UI Symbol" w:cs="Segoe UI Symbol"/>
                <w:bCs w:val="0"/>
                <w:sz w:val="24"/>
              </w:rPr>
              <w:t>☑</w:t>
            </w:r>
            <w:r>
              <w:rPr>
                <w:rFonts w:hint="eastAsia"/>
                <w:bCs w:val="0"/>
                <w:sz w:val="24"/>
              </w:rPr>
              <w:t>收取</w:t>
            </w:r>
          </w:p>
          <w:p>
            <w:pPr>
              <w:spacing w:line="360" w:lineRule="auto"/>
              <w:rPr>
                <w:rFonts w:hint="eastAsia" w:eastAsia="宋体"/>
                <w:b/>
                <w:sz w:val="24"/>
                <w:szCs w:val="28"/>
                <w:lang w:eastAsia="zh-CN"/>
              </w:rPr>
            </w:pPr>
            <w:r>
              <w:rPr>
                <w:rFonts w:hint="eastAsia"/>
                <w:sz w:val="24"/>
                <w:szCs w:val="28"/>
              </w:rPr>
              <w:t>（1）金额</w:t>
            </w:r>
            <w:r>
              <w:rPr>
                <w:rFonts w:hint="eastAsia"/>
                <w:sz w:val="24"/>
                <w:szCs w:val="28"/>
                <w:u w:val="none"/>
                <w:lang w:eastAsia="zh-CN"/>
              </w:rPr>
              <w:t>：</w:t>
            </w:r>
          </w:p>
          <w:p>
            <w:pPr>
              <w:spacing w:line="360" w:lineRule="auto"/>
              <w:rPr>
                <w:b/>
                <w:sz w:val="24"/>
                <w:szCs w:val="28"/>
              </w:rPr>
            </w:pPr>
            <w:r>
              <w:rPr>
                <w:sz w:val="24"/>
                <w:szCs w:val="28"/>
              </w:rPr>
              <w:t>□</w:t>
            </w:r>
            <w:r>
              <w:rPr>
                <w:rFonts w:hint="eastAsia"/>
                <w:sz w:val="24"/>
                <w:szCs w:val="28"/>
              </w:rPr>
              <w:t>定额收取：人民币</w:t>
            </w:r>
            <w:r>
              <w:rPr>
                <w:rFonts w:hint="eastAsia"/>
                <w:sz w:val="24"/>
                <w:szCs w:val="28"/>
                <w:u w:val="single"/>
              </w:rPr>
              <w:t xml:space="preserve">              </w:t>
            </w:r>
            <w:r>
              <w:rPr>
                <w:rFonts w:hint="eastAsia"/>
                <w:sz w:val="24"/>
                <w:szCs w:val="28"/>
              </w:rPr>
              <w:t>元</w:t>
            </w:r>
          </w:p>
          <w:p>
            <w:pPr>
              <w:spacing w:line="360" w:lineRule="auto"/>
              <w:rPr>
                <w:sz w:val="24"/>
                <w:szCs w:val="28"/>
              </w:rPr>
            </w:pPr>
            <w:r>
              <w:rPr>
                <w:rFonts w:ascii="Segoe UI Symbol" w:hAnsi="Segoe UI Symbol" w:cs="Segoe UI Symbol"/>
                <w:sz w:val="24"/>
                <w:szCs w:val="28"/>
              </w:rPr>
              <w:t>☑</w:t>
            </w:r>
            <w:r>
              <w:rPr>
                <w:rFonts w:hint="eastAsia"/>
                <w:sz w:val="24"/>
                <w:szCs w:val="28"/>
              </w:rPr>
              <w:t>按下列标准收取： 详见“</w:t>
            </w:r>
            <w:r>
              <w:rPr>
                <w:rFonts w:hint="eastAsia"/>
                <w:sz w:val="24"/>
                <w:szCs w:val="18"/>
              </w:rPr>
              <w:t>参审单位</w:t>
            </w:r>
            <w:r>
              <w:rPr>
                <w:rFonts w:hint="eastAsia"/>
                <w:sz w:val="24"/>
                <w:szCs w:val="28"/>
              </w:rPr>
              <w:t>须知正文27.代理费”，代理费不足</w:t>
            </w:r>
            <w:r>
              <w:rPr>
                <w:rFonts w:hint="eastAsia"/>
                <w:sz w:val="24"/>
                <w:szCs w:val="28"/>
                <w:lang w:val="en-US" w:eastAsia="zh-CN"/>
              </w:rPr>
              <w:t>4</w:t>
            </w:r>
            <w:r>
              <w:rPr>
                <w:rFonts w:hint="eastAsia"/>
                <w:sz w:val="24"/>
                <w:szCs w:val="28"/>
              </w:rPr>
              <w:t>000元按</w:t>
            </w:r>
            <w:r>
              <w:rPr>
                <w:rFonts w:hint="eastAsia"/>
                <w:sz w:val="24"/>
                <w:szCs w:val="28"/>
                <w:lang w:val="en-US" w:eastAsia="zh-CN"/>
              </w:rPr>
              <w:t>4</w:t>
            </w:r>
            <w:r>
              <w:rPr>
                <w:rFonts w:hint="eastAsia"/>
                <w:sz w:val="24"/>
                <w:szCs w:val="28"/>
              </w:rPr>
              <w:t>000元收取。</w:t>
            </w:r>
          </w:p>
          <w:p>
            <w:pPr>
              <w:spacing w:line="360" w:lineRule="auto"/>
              <w:rPr>
                <w:b/>
                <w:sz w:val="24"/>
                <w:szCs w:val="28"/>
              </w:rPr>
            </w:pPr>
            <w:r>
              <w:rPr>
                <w:rFonts w:hint="eastAsia"/>
                <w:sz w:val="24"/>
                <w:szCs w:val="28"/>
              </w:rPr>
              <w:t>（2）支付方式：</w:t>
            </w:r>
            <w:r>
              <w:rPr>
                <w:rFonts w:ascii="Segoe UI Symbol" w:hAnsi="Segoe UI Symbol" w:cs="Segoe UI Symbol"/>
                <w:sz w:val="24"/>
                <w:szCs w:val="28"/>
              </w:rPr>
              <w:t>☑</w:t>
            </w:r>
            <w:r>
              <w:rPr>
                <w:sz w:val="24"/>
                <w:szCs w:val="28"/>
              </w:rPr>
              <w:t>转账/电汇</w:t>
            </w:r>
          </w:p>
          <w:p>
            <w:pPr>
              <w:pStyle w:val="39"/>
              <w:widowControl w:val="0"/>
              <w:spacing w:before="0" w:beforeAutospacing="0" w:after="0" w:afterAutospacing="0" w:line="360" w:lineRule="auto"/>
              <w:jc w:val="both"/>
              <w:rPr>
                <w:rFonts w:hint="eastAsia" w:eastAsia="宋体"/>
                <w:b w:val="0"/>
                <w:bCs w:val="0"/>
                <w:sz w:val="24"/>
                <w:lang w:eastAsia="zh-CN"/>
              </w:rPr>
            </w:pPr>
            <w:r>
              <w:rPr>
                <w:rFonts w:hint="eastAsia"/>
                <w:b w:val="0"/>
                <w:bCs w:val="0"/>
                <w:sz w:val="24"/>
              </w:rPr>
              <w:t>（3）收取单位：</w:t>
            </w:r>
            <w:r>
              <w:rPr>
                <w:rFonts w:hint="eastAsia"/>
                <w:b w:val="0"/>
                <w:bCs w:val="0"/>
                <w:sz w:val="24"/>
                <w:lang w:eastAsia="zh-CN"/>
              </w:rPr>
              <w:t>肥西县派合商务服务有限公司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18</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异议函递交方式、接收部门、联系电话和通讯地址</w:t>
            </w:r>
          </w:p>
        </w:tc>
        <w:tc>
          <w:tcPr>
            <w:tcW w:w="6020" w:type="dxa"/>
            <w:vAlign w:val="center"/>
          </w:tcPr>
          <w:p>
            <w:pPr>
              <w:pStyle w:val="39"/>
              <w:widowControl w:val="0"/>
              <w:spacing w:before="0" w:beforeAutospacing="0" w:after="0" w:afterAutospacing="0" w:line="360" w:lineRule="auto"/>
              <w:jc w:val="both"/>
              <w:rPr>
                <w:bCs w:val="0"/>
                <w:sz w:val="24"/>
              </w:rPr>
            </w:pPr>
            <w:r>
              <w:rPr>
                <w:rFonts w:hint="eastAsia"/>
                <w:bCs w:val="0"/>
                <w:sz w:val="24"/>
                <w:u w:val="single"/>
              </w:rPr>
              <w:t>递交方式：书面形式递交</w:t>
            </w:r>
          </w:p>
          <w:p>
            <w:pPr>
              <w:pStyle w:val="39"/>
              <w:widowControl w:val="0"/>
              <w:spacing w:before="0" w:beforeAutospacing="0" w:after="0" w:afterAutospacing="0" w:line="360" w:lineRule="auto"/>
              <w:jc w:val="both"/>
              <w:rPr>
                <w:rFonts w:hint="eastAsia" w:eastAsia="宋体"/>
                <w:b w:val="0"/>
                <w:bCs w:val="0"/>
                <w:sz w:val="24"/>
                <w:szCs w:val="18"/>
                <w:u w:val="single"/>
                <w:lang w:eastAsia="zh-CN"/>
              </w:rPr>
            </w:pPr>
            <w:r>
              <w:rPr>
                <w:rFonts w:hint="eastAsia"/>
                <w:b w:val="0"/>
                <w:sz w:val="24"/>
              </w:rPr>
              <w:t>接收部门：</w:t>
            </w:r>
            <w:r>
              <w:rPr>
                <w:rFonts w:hint="eastAsia"/>
                <w:b w:val="0"/>
                <w:bCs w:val="0"/>
                <w:sz w:val="24"/>
                <w:szCs w:val="18"/>
                <w:u w:val="single"/>
                <w:lang w:eastAsia="zh-CN"/>
              </w:rPr>
              <w:t>肥西县派合商务服务有限公司</w:t>
            </w:r>
          </w:p>
          <w:p>
            <w:pPr>
              <w:pStyle w:val="39"/>
              <w:widowControl w:val="0"/>
              <w:spacing w:before="0" w:beforeAutospacing="0" w:after="0" w:afterAutospacing="0" w:line="360" w:lineRule="auto"/>
              <w:jc w:val="both"/>
              <w:rPr>
                <w:rFonts w:hint="eastAsia" w:eastAsia="宋体"/>
                <w:b w:val="0"/>
                <w:bCs w:val="0"/>
                <w:sz w:val="24"/>
                <w:szCs w:val="18"/>
                <w:u w:val="single"/>
                <w:lang w:eastAsia="zh-CN"/>
              </w:rPr>
            </w:pPr>
            <w:r>
              <w:rPr>
                <w:b w:val="0"/>
                <w:sz w:val="24"/>
              </w:rPr>
              <w:t>联系电话：</w:t>
            </w:r>
            <w:r>
              <w:rPr>
                <w:rFonts w:hint="eastAsia"/>
                <w:b w:val="0"/>
                <w:bCs w:val="0"/>
                <w:sz w:val="24"/>
                <w:szCs w:val="18"/>
                <w:u w:val="single"/>
              </w:rPr>
              <w:t>0551-</w:t>
            </w:r>
            <w:r>
              <w:rPr>
                <w:rFonts w:hint="eastAsia"/>
                <w:b w:val="0"/>
                <w:bCs w:val="0"/>
                <w:sz w:val="24"/>
                <w:szCs w:val="18"/>
                <w:u w:val="single"/>
                <w:lang w:eastAsia="zh-CN"/>
              </w:rPr>
              <w:t>68825007</w:t>
            </w:r>
          </w:p>
          <w:p>
            <w:pPr>
              <w:pStyle w:val="39"/>
              <w:widowControl w:val="0"/>
              <w:spacing w:before="0" w:beforeAutospacing="0" w:after="0" w:afterAutospacing="0" w:line="360" w:lineRule="auto"/>
              <w:jc w:val="both"/>
              <w:rPr>
                <w:b w:val="0"/>
                <w:sz w:val="24"/>
              </w:rPr>
            </w:pPr>
            <w:r>
              <w:rPr>
                <w:rFonts w:hint="eastAsia"/>
                <w:b w:val="0"/>
                <w:sz w:val="24"/>
              </w:rPr>
              <w:t>通讯地址：</w:t>
            </w:r>
            <w:r>
              <w:rPr>
                <w:rFonts w:hint="eastAsia"/>
                <w:b w:val="0"/>
                <w:bCs w:val="0"/>
                <w:sz w:val="24"/>
                <w:szCs w:val="18"/>
                <w:u w:val="single"/>
              </w:rPr>
              <w:t>肥西县上派镇紫石路与佛光路交叉口肥光办公区3号楼2楼321</w:t>
            </w:r>
            <w:r>
              <w:rPr>
                <w:rFonts w:hint="eastAsia"/>
                <w:b w:val="0"/>
                <w:bCs w:val="0"/>
                <w:sz w:val="24"/>
                <w:szCs w:val="18"/>
                <w:u w:val="single"/>
                <w:lang w:val="en-US" w:eastAsia="zh-CN"/>
              </w:rPr>
              <w:t>7-1</w:t>
            </w:r>
            <w:r>
              <w:rPr>
                <w:rFonts w:hint="eastAsia"/>
                <w:b w:val="0"/>
                <w:bCs w:val="0"/>
                <w:sz w:val="24"/>
                <w:szCs w:val="18"/>
                <w:u w:val="singl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19</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其他内容</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20</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lang w:val="en-US" w:eastAsia="zh-CN"/>
              </w:rPr>
              <w:t>服务周</w:t>
            </w:r>
            <w:r>
              <w:rPr>
                <w:b w:val="0"/>
                <w:sz w:val="24"/>
              </w:rPr>
              <w:t>期</w:t>
            </w:r>
          </w:p>
        </w:tc>
        <w:tc>
          <w:tcPr>
            <w:tcW w:w="6020" w:type="dxa"/>
            <w:vAlign w:val="center"/>
          </w:tcPr>
          <w:p>
            <w:pPr>
              <w:pStyle w:val="39"/>
              <w:widowControl w:val="0"/>
              <w:spacing w:before="0" w:beforeAutospacing="0" w:after="0" w:afterAutospacing="0" w:line="360" w:lineRule="auto"/>
              <w:jc w:val="both"/>
              <w:rPr>
                <w:rFonts w:hint="eastAsia"/>
                <w:b w:val="0"/>
                <w:sz w:val="24"/>
              </w:rPr>
            </w:pPr>
            <w:r>
              <w:rPr>
                <w:rFonts w:hint="eastAsia"/>
                <w:b w:val="0"/>
                <w:sz w:val="24"/>
              </w:rPr>
              <w:t>设计工期时间</w:t>
            </w:r>
            <w:r>
              <w:rPr>
                <w:rFonts w:hint="eastAsia"/>
                <w:b w:val="0"/>
                <w:sz w:val="24"/>
                <w:lang w:eastAsia="zh-CN"/>
              </w:rPr>
              <w:t>：</w:t>
            </w:r>
            <w:r>
              <w:rPr>
                <w:rFonts w:hint="eastAsia"/>
                <w:b w:val="0"/>
                <w:sz w:val="24"/>
                <w:lang w:val="en-US" w:eastAsia="zh-CN"/>
              </w:rPr>
              <w:t>成交</w:t>
            </w:r>
            <w:r>
              <w:rPr>
                <w:rFonts w:hint="eastAsia"/>
                <w:b w:val="0"/>
                <w:sz w:val="24"/>
              </w:rPr>
              <w:t>公示无异议发放</w:t>
            </w:r>
            <w:r>
              <w:rPr>
                <w:rFonts w:hint="eastAsia"/>
                <w:b w:val="0"/>
                <w:sz w:val="24"/>
                <w:lang w:val="en-US" w:eastAsia="zh-CN"/>
              </w:rPr>
              <w:t>成交确认</w:t>
            </w:r>
            <w:r>
              <w:rPr>
                <w:rFonts w:hint="eastAsia"/>
                <w:b w:val="0"/>
                <w:sz w:val="24"/>
              </w:rPr>
              <w:t>书，下发</w:t>
            </w:r>
            <w:r>
              <w:rPr>
                <w:rFonts w:hint="eastAsia"/>
                <w:b w:val="0"/>
                <w:sz w:val="24"/>
                <w:lang w:val="en-US" w:eastAsia="zh-CN"/>
              </w:rPr>
              <w:t>成交确认书</w:t>
            </w:r>
            <w:r>
              <w:rPr>
                <w:rFonts w:hint="eastAsia"/>
                <w:b w:val="0"/>
                <w:sz w:val="24"/>
              </w:rPr>
              <w:t>后60日内设计完毕，交付设计图纸。</w:t>
            </w:r>
          </w:p>
          <w:p>
            <w:pPr>
              <w:pStyle w:val="39"/>
              <w:widowControl w:val="0"/>
              <w:spacing w:before="0" w:beforeAutospacing="0" w:after="0" w:afterAutospacing="0" w:line="360" w:lineRule="auto"/>
              <w:jc w:val="both"/>
              <w:rPr>
                <w:b w:val="0"/>
                <w:sz w:val="24"/>
              </w:rPr>
            </w:pPr>
            <w:r>
              <w:rPr>
                <w:rFonts w:hint="eastAsia"/>
                <w:b w:val="0"/>
                <w:sz w:val="24"/>
              </w:rPr>
              <w:t>服务期限</w:t>
            </w:r>
            <w:r>
              <w:rPr>
                <w:rFonts w:hint="eastAsia"/>
                <w:b w:val="0"/>
                <w:sz w:val="24"/>
                <w:lang w:eastAsia="zh-CN"/>
              </w:rPr>
              <w:t>：</w:t>
            </w:r>
            <w:r>
              <w:rPr>
                <w:rFonts w:hint="eastAsia"/>
                <w:b w:val="0"/>
                <w:sz w:val="24"/>
              </w:rPr>
              <w:t>项目开工至实施完成全过程。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21</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质量标准要求</w:t>
            </w:r>
          </w:p>
        </w:tc>
        <w:tc>
          <w:tcPr>
            <w:tcW w:w="6020" w:type="dxa"/>
            <w:vAlign w:val="center"/>
          </w:tcPr>
          <w:p>
            <w:pPr>
              <w:pStyle w:val="41"/>
              <w:tabs>
                <w:tab w:val="left" w:pos="1152"/>
              </w:tabs>
              <w:spacing w:before="0" w:beforeAutospacing="0" w:after="0" w:afterAutospacing="0" w:line="360" w:lineRule="auto"/>
              <w:rPr>
                <w:rFonts w:cs="@仿宋_GB2312"/>
                <w:bCs/>
                <w:szCs w:val="28"/>
              </w:rPr>
            </w:pPr>
            <w:r>
              <w:rPr>
                <w:rFonts w:hint="eastAsia" w:cs="@仿宋_GB2312"/>
                <w:bCs/>
                <w:szCs w:val="28"/>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22</w:t>
            </w:r>
          </w:p>
        </w:tc>
        <w:tc>
          <w:tcPr>
            <w:tcW w:w="2031" w:type="dxa"/>
            <w:vAlign w:val="center"/>
          </w:tcPr>
          <w:p>
            <w:pPr>
              <w:pStyle w:val="42"/>
              <w:spacing w:line="360" w:lineRule="auto"/>
              <w:jc w:val="left"/>
              <w:rPr>
                <w:sz w:val="24"/>
              </w:rPr>
            </w:pPr>
            <w:r>
              <w:rPr>
                <w:sz w:val="24"/>
              </w:rPr>
              <w:t>同义词语</w:t>
            </w:r>
          </w:p>
        </w:tc>
        <w:tc>
          <w:tcPr>
            <w:tcW w:w="6020" w:type="dxa"/>
            <w:vAlign w:val="center"/>
          </w:tcPr>
          <w:p>
            <w:pPr>
              <w:pStyle w:val="42"/>
              <w:spacing w:line="360" w:lineRule="auto"/>
              <w:jc w:val="left"/>
              <w:rPr>
                <w:sz w:val="24"/>
              </w:rPr>
            </w:pPr>
            <w:r>
              <w:rPr>
                <w:spacing w:val="-1"/>
                <w:sz w:val="24"/>
              </w:rPr>
              <w:t>构成</w:t>
            </w:r>
            <w:r>
              <w:rPr>
                <w:rFonts w:hint="eastAsia"/>
                <w:spacing w:val="-1"/>
                <w:sz w:val="24"/>
              </w:rPr>
              <w:t>磋商</w:t>
            </w:r>
            <w:r>
              <w:rPr>
                <w:spacing w:val="-1"/>
                <w:sz w:val="24"/>
              </w:rPr>
              <w:t xml:space="preserve">文件组成部分的“通用合同条款”、“专用合同条款”、“技术标准和要求”和“工程量清单” </w:t>
            </w:r>
            <w:r>
              <w:rPr>
                <w:spacing w:val="-12"/>
                <w:sz w:val="24"/>
              </w:rPr>
              <w:t>等章节中 “发包人”和“承包人”，等同于</w:t>
            </w:r>
            <w:r>
              <w:rPr>
                <w:rFonts w:hint="eastAsia"/>
                <w:spacing w:val="-12"/>
                <w:sz w:val="24"/>
              </w:rPr>
              <w:t>磋商</w:t>
            </w:r>
            <w:r>
              <w:rPr>
                <w:sz w:val="24"/>
              </w:rPr>
              <w:t>阶段的“</w:t>
            </w:r>
            <w:r>
              <w:rPr>
                <w:rFonts w:hint="eastAsia"/>
                <w:sz w:val="24"/>
                <w:szCs w:val="18"/>
              </w:rPr>
              <w:t>业主单位</w:t>
            </w:r>
            <w:r>
              <w:rPr>
                <w:sz w:val="24"/>
              </w:rPr>
              <w:t>”和“</w:t>
            </w:r>
            <w:r>
              <w:rPr>
                <w:rFonts w:hint="eastAsia"/>
                <w:sz w:val="24"/>
                <w:lang w:val="en-US"/>
              </w:rPr>
              <w:t>供应商</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23</w:t>
            </w:r>
          </w:p>
        </w:tc>
        <w:tc>
          <w:tcPr>
            <w:tcW w:w="2031" w:type="dxa"/>
            <w:vAlign w:val="center"/>
          </w:tcPr>
          <w:p>
            <w:pPr>
              <w:pStyle w:val="39"/>
              <w:widowControl w:val="0"/>
              <w:spacing w:before="0" w:beforeAutospacing="0" w:after="0" w:afterAutospacing="0" w:line="360" w:lineRule="auto"/>
              <w:jc w:val="left"/>
              <w:rPr>
                <w:b w:val="0"/>
                <w:sz w:val="24"/>
              </w:rPr>
            </w:pPr>
            <w:r>
              <w:rPr>
                <w:rFonts w:hint="eastAsia"/>
                <w:b w:val="0"/>
                <w:sz w:val="24"/>
              </w:rPr>
              <w:t>社保</w:t>
            </w:r>
            <w:r>
              <w:rPr>
                <w:b w:val="0"/>
                <w:sz w:val="24"/>
              </w:rPr>
              <w:t>证明材料</w:t>
            </w:r>
          </w:p>
          <w:p>
            <w:pPr>
              <w:pStyle w:val="39"/>
              <w:widowControl w:val="0"/>
              <w:spacing w:before="0" w:beforeAutospacing="0" w:after="0" w:afterAutospacing="0" w:line="360" w:lineRule="auto"/>
              <w:jc w:val="left"/>
              <w:rPr>
                <w:b w:val="0"/>
                <w:sz w:val="24"/>
              </w:rPr>
            </w:pPr>
            <w:r>
              <w:rPr>
                <w:rFonts w:hint="eastAsia"/>
                <w:b w:val="0"/>
                <w:sz w:val="24"/>
              </w:rPr>
              <w:t>（如有</w:t>
            </w:r>
            <w:r>
              <w:rPr>
                <w:b w:val="0"/>
                <w:sz w:val="24"/>
              </w:rPr>
              <w:t>）</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rPr>
              <w:t>本项目磋商文件中要求提供的社保</w:t>
            </w:r>
            <w:r>
              <w:rPr>
                <w:b w:val="0"/>
                <w:sz w:val="24"/>
              </w:rPr>
              <w:t>证明材料</w:t>
            </w:r>
            <w:r>
              <w:rPr>
                <w:rFonts w:hint="eastAsia"/>
                <w:b w:val="0"/>
                <w:sz w:val="24"/>
              </w:rPr>
              <w:t>为下述形式之一（响应文件中须提供扫描件）：</w:t>
            </w:r>
          </w:p>
          <w:p>
            <w:pPr>
              <w:pStyle w:val="39"/>
              <w:widowControl w:val="0"/>
              <w:spacing w:before="0" w:beforeAutospacing="0" w:after="0" w:afterAutospacing="0" w:line="360" w:lineRule="auto"/>
              <w:jc w:val="both"/>
              <w:rPr>
                <w:b w:val="0"/>
                <w:sz w:val="24"/>
              </w:rPr>
            </w:pPr>
            <w:r>
              <w:rPr>
                <w:rFonts w:hint="eastAsia"/>
                <w:b w:val="0"/>
                <w:sz w:val="24"/>
              </w:rPr>
              <w:t>（1）</w:t>
            </w:r>
            <w:r>
              <w:rPr>
                <w:b w:val="0"/>
                <w:sz w:val="24"/>
              </w:rPr>
              <w:t>社保局官方网站查询的缴费记录截图；</w:t>
            </w:r>
          </w:p>
          <w:p>
            <w:pPr>
              <w:pStyle w:val="39"/>
              <w:widowControl w:val="0"/>
              <w:spacing w:before="0" w:beforeAutospacing="0" w:after="0" w:afterAutospacing="0" w:line="360" w:lineRule="auto"/>
              <w:jc w:val="both"/>
              <w:rPr>
                <w:b w:val="0"/>
                <w:sz w:val="24"/>
              </w:rPr>
            </w:pPr>
            <w:r>
              <w:rPr>
                <w:rFonts w:hint="eastAsia"/>
                <w:b w:val="0"/>
                <w:sz w:val="24"/>
              </w:rPr>
              <w:t>（2）</w:t>
            </w:r>
            <w:r>
              <w:rPr>
                <w:b w:val="0"/>
                <w:sz w:val="24"/>
              </w:rPr>
              <w:t>社保局的书面证明材料；</w:t>
            </w:r>
          </w:p>
          <w:p>
            <w:pPr>
              <w:pStyle w:val="39"/>
              <w:widowControl w:val="0"/>
              <w:spacing w:before="0" w:beforeAutospacing="0" w:after="0" w:afterAutospacing="0" w:line="360" w:lineRule="auto"/>
              <w:jc w:val="both"/>
              <w:rPr>
                <w:b w:val="0"/>
                <w:sz w:val="24"/>
              </w:rPr>
            </w:pPr>
            <w:r>
              <w:rPr>
                <w:rFonts w:hint="eastAsia"/>
                <w:b w:val="0"/>
                <w:sz w:val="24"/>
              </w:rPr>
              <w:t>（3）</w:t>
            </w:r>
            <w:r>
              <w:rPr>
                <w:b w:val="0"/>
                <w:sz w:val="24"/>
              </w:rPr>
              <w:t>经</w:t>
            </w:r>
            <w:r>
              <w:rPr>
                <w:rFonts w:hint="eastAsia"/>
                <w:b w:val="0"/>
                <w:sz w:val="24"/>
              </w:rPr>
              <w:t>供应商</w:t>
            </w:r>
            <w:r>
              <w:rPr>
                <w:b w:val="0"/>
                <w:sz w:val="24"/>
              </w:rPr>
              <w:t>委托的第三方人力资源服务机构或与</w:t>
            </w:r>
            <w:r>
              <w:rPr>
                <w:rFonts w:hint="eastAsia"/>
                <w:b w:val="0"/>
                <w:sz w:val="24"/>
              </w:rPr>
              <w:t>供应商</w:t>
            </w:r>
            <w:r>
              <w:rPr>
                <w:b w:val="0"/>
                <w:sz w:val="24"/>
              </w:rPr>
              <w:t>有直接隶属关系的机构可以代缴社保，但须提供有关证明材料并经</w:t>
            </w:r>
            <w:r>
              <w:rPr>
                <w:rFonts w:hint="eastAsia"/>
                <w:b w:val="0"/>
                <w:sz w:val="24"/>
              </w:rPr>
              <w:t>磋商小组</w:t>
            </w:r>
            <w:r>
              <w:rPr>
                <w:b w:val="0"/>
                <w:sz w:val="24"/>
              </w:rPr>
              <w:t>确认。</w:t>
            </w:r>
          </w:p>
          <w:p>
            <w:pPr>
              <w:pStyle w:val="39"/>
              <w:widowControl w:val="0"/>
              <w:spacing w:before="0" w:beforeAutospacing="0" w:after="0" w:afterAutospacing="0" w:line="360" w:lineRule="auto"/>
              <w:jc w:val="both"/>
              <w:rPr>
                <w:b w:val="0"/>
                <w:sz w:val="24"/>
              </w:rPr>
            </w:pPr>
            <w:r>
              <w:rPr>
                <w:rFonts w:hint="eastAsia"/>
                <w:b w:val="0"/>
                <w:sz w:val="24"/>
              </w:rPr>
              <w:t>（4）</w:t>
            </w:r>
            <w:r>
              <w:rPr>
                <w:b w:val="0"/>
                <w:sz w:val="24"/>
              </w:rPr>
              <w:t>参与</w:t>
            </w:r>
            <w:r>
              <w:rPr>
                <w:rFonts w:hint="eastAsia"/>
                <w:b w:val="0"/>
                <w:sz w:val="24"/>
              </w:rPr>
              <w:t>磋商</w:t>
            </w:r>
            <w:r>
              <w:rPr>
                <w:b w:val="0"/>
                <w:sz w:val="24"/>
              </w:rPr>
              <w:t>的院校，社保证明可以用以下任意一种：</w:t>
            </w:r>
          </w:p>
          <w:p>
            <w:pPr>
              <w:pStyle w:val="39"/>
              <w:widowControl w:val="0"/>
              <w:spacing w:before="0" w:beforeAutospacing="0" w:after="0" w:afterAutospacing="0" w:line="360" w:lineRule="auto"/>
              <w:jc w:val="both"/>
              <w:rPr>
                <w:b w:val="0"/>
                <w:sz w:val="24"/>
              </w:rPr>
            </w:pPr>
            <w:r>
              <w:rPr>
                <w:rFonts w:hint="eastAsia"/>
                <w:b w:val="0"/>
                <w:sz w:val="24"/>
              </w:rPr>
              <w:t>①</w:t>
            </w:r>
            <w:r>
              <w:rPr>
                <w:b w:val="0"/>
                <w:sz w:val="24"/>
              </w:rPr>
              <w:t>加盖</w:t>
            </w:r>
            <w:r>
              <w:rPr>
                <w:rFonts w:hint="eastAsia"/>
                <w:b w:val="0"/>
                <w:sz w:val="24"/>
              </w:rPr>
              <w:t>供应商</w:t>
            </w:r>
            <w:r>
              <w:rPr>
                <w:b w:val="0"/>
                <w:sz w:val="24"/>
              </w:rPr>
              <w:t>公章的教师证（须为本</w:t>
            </w:r>
            <w:r>
              <w:rPr>
                <w:rFonts w:hint="eastAsia"/>
                <w:b w:val="0"/>
                <w:sz w:val="24"/>
              </w:rPr>
              <w:t>单位</w:t>
            </w:r>
            <w:r>
              <w:rPr>
                <w:b w:val="0"/>
                <w:sz w:val="24"/>
              </w:rPr>
              <w:t>人员）</w:t>
            </w:r>
            <w:r>
              <w:rPr>
                <w:rFonts w:hint="eastAsia"/>
                <w:b w:val="0"/>
                <w:sz w:val="24"/>
              </w:rPr>
              <w:t>；</w:t>
            </w:r>
          </w:p>
          <w:p>
            <w:pPr>
              <w:pStyle w:val="39"/>
              <w:widowControl w:val="0"/>
              <w:spacing w:before="0" w:beforeAutospacing="0" w:after="0" w:afterAutospacing="0" w:line="360" w:lineRule="auto"/>
              <w:jc w:val="both"/>
              <w:rPr>
                <w:b w:val="0"/>
                <w:sz w:val="24"/>
              </w:rPr>
            </w:pPr>
            <w:r>
              <w:rPr>
                <w:rFonts w:hint="eastAsia"/>
                <w:b w:val="0"/>
                <w:sz w:val="24"/>
              </w:rPr>
              <w:t>②</w:t>
            </w:r>
            <w:r>
              <w:rPr>
                <w:b w:val="0"/>
                <w:sz w:val="24"/>
              </w:rPr>
              <w:t>医保证明材料</w:t>
            </w:r>
            <w:r>
              <w:rPr>
                <w:rFonts w:hint="eastAsia"/>
                <w:b w:val="0"/>
                <w:sz w:val="24"/>
              </w:rPr>
              <w:t>。</w:t>
            </w:r>
          </w:p>
          <w:p>
            <w:pPr>
              <w:pStyle w:val="39"/>
              <w:widowControl w:val="0"/>
              <w:spacing w:before="0" w:beforeAutospacing="0" w:after="0" w:afterAutospacing="0" w:line="360" w:lineRule="auto"/>
              <w:jc w:val="both"/>
              <w:rPr>
                <w:b w:val="0"/>
                <w:sz w:val="24"/>
              </w:rPr>
            </w:pPr>
            <w:r>
              <w:rPr>
                <w:rFonts w:hint="eastAsia"/>
                <w:b w:val="0"/>
                <w:sz w:val="24"/>
              </w:rPr>
              <w:t>（5）</w:t>
            </w:r>
            <w:r>
              <w:rPr>
                <w:b w:val="0"/>
                <w:sz w:val="24"/>
              </w:rPr>
              <w:t>其他经</w:t>
            </w:r>
            <w:r>
              <w:rPr>
                <w:rFonts w:hint="eastAsia"/>
                <w:b w:val="0"/>
                <w:sz w:val="24"/>
              </w:rPr>
              <w:t>磋商小组</w:t>
            </w:r>
            <w:r>
              <w:rPr>
                <w:b w:val="0"/>
                <w:sz w:val="24"/>
              </w:rPr>
              <w:t>认可的证明材料。</w:t>
            </w:r>
          </w:p>
          <w:p>
            <w:pPr>
              <w:pStyle w:val="39"/>
              <w:widowControl w:val="0"/>
              <w:spacing w:before="0" w:beforeAutospacing="0" w:after="0" w:afterAutospacing="0" w:line="360" w:lineRule="auto"/>
              <w:jc w:val="both"/>
              <w:rPr>
                <w:b w:val="0"/>
                <w:sz w:val="24"/>
              </w:rPr>
            </w:pPr>
            <w:r>
              <w:rPr>
                <w:rFonts w:hint="eastAsia"/>
                <w:b w:val="0"/>
                <w:sz w:val="24"/>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24</w:t>
            </w:r>
          </w:p>
        </w:tc>
        <w:tc>
          <w:tcPr>
            <w:tcW w:w="2031" w:type="dxa"/>
            <w:vAlign w:val="center"/>
          </w:tcPr>
          <w:p>
            <w:pPr>
              <w:pStyle w:val="39"/>
              <w:widowControl w:val="0"/>
              <w:spacing w:before="0" w:beforeAutospacing="0" w:after="0" w:afterAutospacing="0" w:line="360" w:lineRule="auto"/>
              <w:jc w:val="left"/>
              <w:rPr>
                <w:b w:val="0"/>
                <w:sz w:val="24"/>
              </w:rPr>
            </w:pPr>
            <w:r>
              <w:rPr>
                <w:rFonts w:hint="eastAsia"/>
                <w:b w:val="0"/>
                <w:sz w:val="24"/>
              </w:rPr>
              <w:t>解释权</w:t>
            </w:r>
          </w:p>
        </w:tc>
        <w:tc>
          <w:tcPr>
            <w:tcW w:w="6020" w:type="dxa"/>
            <w:vAlign w:val="center"/>
          </w:tcPr>
          <w:p>
            <w:pPr>
              <w:spacing w:line="360" w:lineRule="auto"/>
              <w:rPr>
                <w:bCs/>
                <w:sz w:val="24"/>
                <w:szCs w:val="24"/>
              </w:rPr>
            </w:pPr>
            <w:r>
              <w:rPr>
                <w:rFonts w:hint="eastAsia"/>
                <w:bCs/>
                <w:sz w:val="24"/>
                <w:szCs w:val="24"/>
              </w:rPr>
              <w:t>（1）</w:t>
            </w:r>
            <w:r>
              <w:rPr>
                <w:bCs/>
                <w:sz w:val="24"/>
                <w:szCs w:val="24"/>
              </w:rPr>
              <w:t>构成本</w:t>
            </w:r>
            <w:r>
              <w:rPr>
                <w:rFonts w:hint="eastAsia"/>
                <w:bCs/>
                <w:sz w:val="24"/>
                <w:szCs w:val="24"/>
              </w:rPr>
              <w:t>磋商</w:t>
            </w:r>
            <w:r>
              <w:rPr>
                <w:bCs/>
                <w:sz w:val="24"/>
                <w:szCs w:val="24"/>
              </w:rPr>
              <w:t>文件的各个组成文件应互为解释，互为说明；</w:t>
            </w:r>
          </w:p>
          <w:p>
            <w:pPr>
              <w:spacing w:line="360" w:lineRule="auto"/>
              <w:rPr>
                <w:bCs/>
                <w:sz w:val="24"/>
                <w:szCs w:val="24"/>
              </w:rPr>
            </w:pPr>
            <w:r>
              <w:rPr>
                <w:rFonts w:hint="eastAsia"/>
                <w:bCs/>
                <w:sz w:val="24"/>
                <w:szCs w:val="24"/>
              </w:rPr>
              <w:t>（2）</w:t>
            </w:r>
            <w:r>
              <w:rPr>
                <w:bCs/>
                <w:sz w:val="24"/>
                <w:szCs w:val="24"/>
              </w:rPr>
              <w:t>同一组成文件中就同一事项的规定或约定不一致的，以编排顺序在后者为准；</w:t>
            </w:r>
          </w:p>
          <w:p>
            <w:pPr>
              <w:spacing w:line="360" w:lineRule="auto"/>
              <w:rPr>
                <w:bCs/>
                <w:sz w:val="24"/>
                <w:szCs w:val="24"/>
              </w:rPr>
            </w:pPr>
            <w:r>
              <w:rPr>
                <w:rFonts w:hint="eastAsia"/>
                <w:bCs/>
                <w:sz w:val="24"/>
                <w:szCs w:val="24"/>
              </w:rPr>
              <w:t>（3）</w:t>
            </w:r>
            <w:r>
              <w:rPr>
                <w:bCs/>
                <w:sz w:val="24"/>
                <w:szCs w:val="24"/>
              </w:rPr>
              <w:t>如有不明确或不一致，构成合同文件组成内容的，以合同文件约定内容为准，且以专用合同条款约定的合同文件优先顺序解释；</w:t>
            </w:r>
          </w:p>
          <w:p>
            <w:pPr>
              <w:spacing w:line="360" w:lineRule="auto"/>
              <w:rPr>
                <w:bCs/>
                <w:sz w:val="24"/>
                <w:szCs w:val="24"/>
              </w:rPr>
            </w:pPr>
            <w:r>
              <w:rPr>
                <w:rFonts w:hint="eastAsia"/>
                <w:bCs/>
                <w:sz w:val="24"/>
                <w:szCs w:val="24"/>
              </w:rPr>
              <w:t>（4）</w:t>
            </w:r>
            <w:r>
              <w:rPr>
                <w:bCs/>
                <w:sz w:val="24"/>
                <w:szCs w:val="24"/>
              </w:rPr>
              <w:t>除</w:t>
            </w:r>
            <w:r>
              <w:rPr>
                <w:rFonts w:hint="eastAsia"/>
                <w:bCs/>
                <w:sz w:val="24"/>
                <w:szCs w:val="24"/>
              </w:rPr>
              <w:t>磋商</w:t>
            </w:r>
            <w:r>
              <w:rPr>
                <w:bCs/>
                <w:sz w:val="24"/>
                <w:szCs w:val="24"/>
              </w:rPr>
              <w:t>文件中有特别规定外，仅适用于</w:t>
            </w:r>
            <w:r>
              <w:rPr>
                <w:rFonts w:hint="eastAsia"/>
                <w:bCs/>
                <w:sz w:val="24"/>
                <w:szCs w:val="24"/>
              </w:rPr>
              <w:t>磋商及响应文件提交</w:t>
            </w:r>
            <w:r>
              <w:rPr>
                <w:bCs/>
                <w:sz w:val="24"/>
                <w:szCs w:val="24"/>
              </w:rPr>
              <w:t>阶段的规定，按</w:t>
            </w:r>
            <w:r>
              <w:rPr>
                <w:rFonts w:hint="eastAsia"/>
                <w:bCs/>
                <w:sz w:val="24"/>
                <w:szCs w:val="24"/>
              </w:rPr>
              <w:t>磋商</w:t>
            </w:r>
            <w:r>
              <w:rPr>
                <w:bCs/>
                <w:sz w:val="24"/>
                <w:szCs w:val="24"/>
              </w:rPr>
              <w:t>公告、</w:t>
            </w:r>
            <w:r>
              <w:rPr>
                <w:rFonts w:hint="eastAsia"/>
                <w:bCs/>
                <w:sz w:val="24"/>
                <w:szCs w:val="24"/>
              </w:rPr>
              <w:t>磋商邀请、</w:t>
            </w:r>
            <w:r>
              <w:rPr>
                <w:rFonts w:hint="eastAsia"/>
                <w:sz w:val="24"/>
              </w:rPr>
              <w:t>供应商</w:t>
            </w:r>
            <w:r>
              <w:rPr>
                <w:bCs/>
                <w:sz w:val="24"/>
                <w:szCs w:val="24"/>
              </w:rPr>
              <w:t>须知、评</w:t>
            </w:r>
            <w:r>
              <w:rPr>
                <w:rFonts w:hint="eastAsia"/>
                <w:bCs/>
                <w:sz w:val="24"/>
                <w:szCs w:val="24"/>
              </w:rPr>
              <w:t>审方</w:t>
            </w:r>
            <w:r>
              <w:rPr>
                <w:bCs/>
                <w:sz w:val="24"/>
                <w:szCs w:val="24"/>
              </w:rPr>
              <w:t>法</w:t>
            </w:r>
            <w:r>
              <w:rPr>
                <w:rFonts w:hint="eastAsia"/>
                <w:bCs/>
                <w:sz w:val="24"/>
                <w:szCs w:val="24"/>
              </w:rPr>
              <w:t>和标准</w:t>
            </w:r>
            <w:r>
              <w:rPr>
                <w:bCs/>
                <w:sz w:val="24"/>
                <w:szCs w:val="24"/>
              </w:rPr>
              <w:t>、</w:t>
            </w:r>
            <w:r>
              <w:rPr>
                <w:rFonts w:hint="eastAsia"/>
                <w:bCs/>
                <w:sz w:val="24"/>
                <w:szCs w:val="24"/>
              </w:rPr>
              <w:t>响应</w:t>
            </w:r>
            <w:r>
              <w:rPr>
                <w:bCs/>
                <w:sz w:val="24"/>
                <w:szCs w:val="24"/>
              </w:rPr>
              <w:t>文件格式的先后顺序解释；</w:t>
            </w:r>
          </w:p>
          <w:p>
            <w:pPr>
              <w:pStyle w:val="39"/>
              <w:widowControl w:val="0"/>
              <w:spacing w:before="0" w:beforeAutospacing="0" w:after="0" w:afterAutospacing="0" w:line="360" w:lineRule="auto"/>
              <w:jc w:val="both"/>
              <w:rPr>
                <w:b w:val="0"/>
                <w:sz w:val="24"/>
              </w:rPr>
            </w:pPr>
            <w:r>
              <w:rPr>
                <w:rFonts w:hint="eastAsia"/>
                <w:b w:val="0"/>
                <w:sz w:val="24"/>
                <w:szCs w:val="24"/>
              </w:rPr>
              <w:t>（5）</w:t>
            </w:r>
            <w:r>
              <w:rPr>
                <w:b w:val="0"/>
                <w:sz w:val="24"/>
                <w:szCs w:val="24"/>
              </w:rPr>
              <w:t>按本款前述规定仍不能形成结论的，由</w:t>
            </w:r>
            <w:r>
              <w:rPr>
                <w:rFonts w:hint="eastAsia"/>
                <w:sz w:val="24"/>
                <w:szCs w:val="18"/>
              </w:rPr>
              <w:t>业主单位</w:t>
            </w:r>
            <w:r>
              <w:rPr>
                <w:b w:val="0"/>
                <w:sz w:val="24"/>
                <w:szCs w:val="24"/>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25</w:t>
            </w:r>
          </w:p>
        </w:tc>
        <w:tc>
          <w:tcPr>
            <w:tcW w:w="2031" w:type="dxa"/>
            <w:vAlign w:val="center"/>
          </w:tcPr>
          <w:p>
            <w:pPr>
              <w:pStyle w:val="39"/>
              <w:widowControl w:val="0"/>
              <w:spacing w:before="0" w:beforeAutospacing="0" w:after="0" w:afterAutospacing="0" w:line="360" w:lineRule="auto"/>
              <w:jc w:val="both"/>
              <w:rPr>
                <w:bCs w:val="0"/>
                <w:sz w:val="24"/>
              </w:rPr>
            </w:pPr>
            <w:r>
              <w:rPr>
                <w:rFonts w:hint="eastAsia"/>
                <w:b w:val="0"/>
                <w:sz w:val="24"/>
                <w:szCs w:val="18"/>
              </w:rPr>
              <w:t>业主单位</w:t>
            </w:r>
            <w:r>
              <w:rPr>
                <w:rFonts w:hint="eastAsia" w:cs="宋体"/>
                <w:b w:val="0"/>
                <w:sz w:val="24"/>
                <w:szCs w:val="24"/>
              </w:rPr>
              <w:t>其他要求及重要提示</w:t>
            </w:r>
          </w:p>
        </w:tc>
        <w:tc>
          <w:tcPr>
            <w:tcW w:w="6020" w:type="dxa"/>
            <w:vAlign w:val="center"/>
          </w:tcPr>
          <w:p>
            <w:pPr>
              <w:pStyle w:val="39"/>
              <w:widowControl w:val="0"/>
              <w:spacing w:before="0" w:beforeAutospacing="0" w:after="0" w:afterAutospacing="0" w:line="360" w:lineRule="auto"/>
              <w:jc w:val="both"/>
              <w:rPr>
                <w:bCs w:val="0"/>
                <w:sz w:val="24"/>
              </w:rPr>
            </w:pPr>
            <w:r>
              <w:rPr>
                <w:rFonts w:hint="eastAsia" w:cs="宋体"/>
                <w:b w:val="0"/>
                <w:sz w:val="24"/>
                <w:szCs w:val="24"/>
              </w:rPr>
              <w:t>/</w:t>
            </w:r>
          </w:p>
        </w:tc>
      </w:tr>
    </w:tbl>
    <w:p>
      <w:pPr>
        <w:spacing w:line="360" w:lineRule="auto"/>
        <w:jc w:val="center"/>
        <w:outlineLvl w:val="1"/>
        <w:rPr>
          <w:b/>
          <w:sz w:val="24"/>
          <w:szCs w:val="24"/>
        </w:rPr>
      </w:pPr>
      <w:r>
        <w:rPr>
          <w:b/>
          <w:sz w:val="28"/>
        </w:rPr>
        <w:br w:type="page"/>
      </w:r>
      <w:bookmarkStart w:id="42" w:name="_Toc9679"/>
      <w:bookmarkStart w:id="43" w:name="_Toc30605"/>
      <w:bookmarkStart w:id="44" w:name="_Toc16431"/>
      <w:bookmarkStart w:id="45" w:name="_Toc7877"/>
      <w:r>
        <w:rPr>
          <w:rFonts w:hint="eastAsia"/>
          <w:b/>
          <w:sz w:val="24"/>
          <w:szCs w:val="24"/>
        </w:rPr>
        <w:t>二、供应商</w:t>
      </w:r>
      <w:r>
        <w:rPr>
          <w:b/>
          <w:sz w:val="24"/>
          <w:szCs w:val="24"/>
        </w:rPr>
        <w:t>须知</w:t>
      </w:r>
      <w:r>
        <w:rPr>
          <w:rFonts w:hint="eastAsia"/>
          <w:b/>
          <w:sz w:val="24"/>
          <w:szCs w:val="24"/>
        </w:rPr>
        <w:t>正文</w:t>
      </w:r>
      <w:bookmarkEnd w:id="42"/>
      <w:bookmarkEnd w:id="43"/>
      <w:bookmarkEnd w:id="44"/>
      <w:bookmarkEnd w:id="45"/>
    </w:p>
    <w:p>
      <w:pPr>
        <w:spacing w:line="360" w:lineRule="auto"/>
        <w:ind w:firstLine="437"/>
        <w:outlineLvl w:val="2"/>
        <w:rPr>
          <w:b/>
          <w:sz w:val="24"/>
        </w:rPr>
      </w:pPr>
      <w:r>
        <w:rPr>
          <w:rFonts w:hint="eastAsia"/>
          <w:b/>
          <w:sz w:val="24"/>
        </w:rPr>
        <w:t>1</w:t>
      </w:r>
      <w:r>
        <w:rPr>
          <w:b/>
          <w:sz w:val="24"/>
        </w:rPr>
        <w:t>.</w:t>
      </w:r>
      <w:r>
        <w:rPr>
          <w:rFonts w:hint="eastAsia"/>
          <w:b/>
          <w:sz w:val="24"/>
        </w:rPr>
        <w:t>适用范围</w:t>
      </w:r>
    </w:p>
    <w:p>
      <w:pPr>
        <w:spacing w:line="360" w:lineRule="auto"/>
        <w:ind w:firstLine="437"/>
        <w:outlineLvl w:val="3"/>
        <w:rPr>
          <w:sz w:val="24"/>
        </w:rPr>
      </w:pPr>
      <w:r>
        <w:rPr>
          <w:rFonts w:hint="eastAsia"/>
          <w:sz w:val="24"/>
        </w:rPr>
        <w:t>本磋商文件仅适用于本次磋商所述的服务项目。</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pPr>
        <w:spacing w:line="360" w:lineRule="auto"/>
        <w:ind w:firstLine="435"/>
        <w:rPr>
          <w:sz w:val="24"/>
        </w:rPr>
      </w:pPr>
      <w:r>
        <w:rPr>
          <w:rFonts w:hint="eastAsia"/>
          <w:sz w:val="24"/>
        </w:rPr>
        <w:t>财政资金。</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费用</w:t>
      </w:r>
    </w:p>
    <w:p>
      <w:pPr>
        <w:spacing w:line="360" w:lineRule="auto"/>
        <w:ind w:firstLine="437"/>
        <w:outlineLvl w:val="3"/>
        <w:rPr>
          <w:sz w:val="24"/>
        </w:rPr>
      </w:pPr>
      <w:r>
        <w:rPr>
          <w:rFonts w:hint="eastAsia"/>
          <w:sz w:val="24"/>
        </w:rPr>
        <w:t>不论结果如何，供应商应承担所有与准备和参加本次项目磋商的全部费用。</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文件构成</w:t>
      </w:r>
    </w:p>
    <w:p>
      <w:pPr>
        <w:spacing w:line="360" w:lineRule="auto"/>
        <w:ind w:firstLine="435"/>
        <w:rPr>
          <w:sz w:val="24"/>
        </w:rPr>
      </w:pPr>
      <w:r>
        <w:rPr>
          <w:rFonts w:hint="eastAsia"/>
          <w:sz w:val="24"/>
        </w:rPr>
        <w:t>4.1项目磋商文件包括下列内容：</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磋商邀请</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sz w:val="24"/>
        </w:rPr>
        <w:t>供应商</w:t>
      </w:r>
      <w:r>
        <w:rPr>
          <w:rFonts w:asciiTheme="minorEastAsia" w:hAnsiTheme="minorEastAsia" w:eastAsiaTheme="minorEastAsia"/>
          <w:sz w:val="24"/>
        </w:rPr>
        <w:t>须知</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w:t>
      </w:r>
      <w:r>
        <w:rPr>
          <w:rFonts w:hint="eastAsia" w:asciiTheme="minorEastAsia" w:hAnsiTheme="minorEastAsia" w:eastAsiaTheme="minorEastAsia"/>
          <w:sz w:val="24"/>
        </w:rPr>
        <w:t>项目</w:t>
      </w:r>
      <w:r>
        <w:rPr>
          <w:rFonts w:asciiTheme="minorEastAsia" w:hAnsiTheme="minorEastAsia" w:eastAsiaTheme="minorEastAsia"/>
          <w:sz w:val="24"/>
        </w:rPr>
        <w:t>需求</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w:t>
      </w:r>
      <w:r>
        <w:rPr>
          <w:rFonts w:hint="eastAsia" w:asciiTheme="minorEastAsia" w:hAnsiTheme="minorEastAsia" w:eastAsiaTheme="minorEastAsia"/>
          <w:sz w:val="24"/>
        </w:rPr>
        <w:t>合同条款及格式</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响应文件格式</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hint="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w:t>
      </w:r>
      <w:r>
        <w:rPr>
          <w:rFonts w:hint="eastAsia"/>
          <w:sz w:val="24"/>
        </w:rPr>
        <w:t>供应商</w:t>
      </w:r>
      <w:r>
        <w:rPr>
          <w:rFonts w:asciiTheme="minorEastAsia" w:hAnsiTheme="minorEastAsia" w:eastAsiaTheme="minorEastAsia"/>
          <w:sz w:val="24"/>
        </w:rPr>
        <w:t>应认真阅读</w:t>
      </w:r>
      <w:r>
        <w:rPr>
          <w:rFonts w:hint="eastAsia" w:asciiTheme="minorEastAsia" w:hAnsiTheme="minorEastAsia" w:eastAsiaTheme="minorEastAsia"/>
          <w:sz w:val="24"/>
        </w:rPr>
        <w:t>项目磋商文件</w:t>
      </w:r>
      <w:r>
        <w:rPr>
          <w:rFonts w:asciiTheme="minorEastAsia" w:hAnsiTheme="minorEastAsia" w:eastAsiaTheme="minorEastAsia"/>
          <w:sz w:val="24"/>
        </w:rPr>
        <w:t>所有的事项、格式、条款和技术规范等。</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项目磋商文件的澄清与修改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sz w:val="24"/>
        </w:rPr>
        <w:t>供应商</w:t>
      </w:r>
      <w:r>
        <w:rPr>
          <w:rFonts w:hint="eastAsia" w:asciiTheme="minorEastAsia" w:hAnsiTheme="minorEastAsia" w:eastAsiaTheme="minorEastAsia"/>
          <w:sz w:val="24"/>
        </w:rPr>
        <w:t>如对磋商文件内容有疑问，必须在</w:t>
      </w:r>
      <w:r>
        <w:rPr>
          <w:rFonts w:hint="eastAsia"/>
          <w:sz w:val="24"/>
        </w:rPr>
        <w:t>供应商</w:t>
      </w:r>
      <w:r>
        <w:rPr>
          <w:rFonts w:hint="eastAsia" w:asciiTheme="minorEastAsia" w:hAnsiTheme="minorEastAsia" w:eastAsiaTheme="minorEastAsia"/>
          <w:sz w:val="24"/>
        </w:rPr>
        <w:t>须知前附表规定的网上询问截止时间前以网上提问形式提交给代理机构</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2业主单位可主动或在解答</w:t>
      </w:r>
      <w:r>
        <w:rPr>
          <w:rFonts w:hint="eastAsia"/>
          <w:sz w:val="24"/>
        </w:rPr>
        <w:t>供应商</w:t>
      </w:r>
      <w:r>
        <w:rPr>
          <w:rFonts w:hint="eastAsia" w:asciiTheme="minorEastAsia" w:hAnsiTheme="minorEastAsia" w:eastAsiaTheme="minorEastAsia"/>
          <w:sz w:val="24"/>
        </w:rPr>
        <w:t>提出的问题时对磋商文件进行澄清或者修改。代理机构将在优质采云采购平台发布更正公告的方式澄清或者修改磋商文件，更正公告的内容作为磋商文件的组成部分，对</w:t>
      </w:r>
      <w:r>
        <w:rPr>
          <w:rFonts w:hint="eastAsia"/>
          <w:sz w:val="24"/>
        </w:rPr>
        <w:t>供应商</w:t>
      </w:r>
      <w:r>
        <w:rPr>
          <w:rFonts w:hint="eastAsia" w:asciiTheme="minorEastAsia" w:hAnsiTheme="minorEastAsia" w:eastAsiaTheme="minorEastAsia"/>
          <w:sz w:val="24"/>
        </w:rPr>
        <w:t>起约束作用。</w:t>
      </w:r>
      <w:r>
        <w:rPr>
          <w:rFonts w:hint="eastAsia"/>
          <w:sz w:val="24"/>
        </w:rPr>
        <w:t>供应商</w:t>
      </w:r>
      <w:r>
        <w:rPr>
          <w:rFonts w:hint="eastAsia" w:asciiTheme="minorEastAsia" w:hAnsiTheme="minorEastAsia" w:eastAsiaTheme="minorEastAsia"/>
          <w:sz w:val="24"/>
        </w:rPr>
        <w:t>应主动上网查询。代理机构不承担</w:t>
      </w:r>
      <w:r>
        <w:rPr>
          <w:rFonts w:hint="eastAsia"/>
          <w:sz w:val="24"/>
        </w:rPr>
        <w:t>供应商</w:t>
      </w:r>
      <w:r>
        <w:rPr>
          <w:rFonts w:hint="eastAsia" w:asciiTheme="minorEastAsia" w:hAnsiTheme="minorEastAsia" w:eastAsiaTheme="minorEastAsia"/>
          <w:sz w:val="24"/>
        </w:rPr>
        <w:t>未及时关注相关信息引发的相关责任。</w:t>
      </w:r>
    </w:p>
    <w:p>
      <w:pPr>
        <w:spacing w:line="360" w:lineRule="auto"/>
        <w:ind w:firstLine="435"/>
        <w:rPr>
          <w:sz w:val="24"/>
        </w:rPr>
      </w:pPr>
      <w:r>
        <w:rPr>
          <w:rFonts w:hint="eastAsia"/>
          <w:sz w:val="24"/>
        </w:rPr>
        <w:t>5.3任何人或任何组织向供应商提供的任何书面或口头资料，未经代理机构在网上发布或书面通知，均作无效处理，不得作为磋商文件的组成部分。代理机构对供应商由此而做出的推论、理解和结论概不负责。</w:t>
      </w:r>
    </w:p>
    <w:p>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4对于没有提出询问又参与了本项目磋商的</w:t>
      </w:r>
      <w:r>
        <w:rPr>
          <w:rFonts w:hint="eastAsia"/>
          <w:sz w:val="24"/>
        </w:rPr>
        <w:t>供应商</w:t>
      </w:r>
      <w:r>
        <w:rPr>
          <w:rFonts w:hint="eastAsia" w:asciiTheme="minorEastAsia" w:hAnsiTheme="minorEastAsia" w:eastAsiaTheme="minorEastAsia"/>
          <w:sz w:val="24"/>
        </w:rPr>
        <w:t>将被视为完全认同本磋商文件（含更正公告的内容）</w:t>
      </w:r>
      <w:r>
        <w:rPr>
          <w:rFonts w:hint="eastAsia" w:asciiTheme="minorEastAsia" w:hAnsiTheme="minorEastAsia" w:eastAsiaTheme="minorEastAsia"/>
          <w:i/>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项目响应文件构成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应完整地按</w:t>
      </w:r>
      <w:r>
        <w:rPr>
          <w:rFonts w:hint="eastAsia" w:asciiTheme="minorEastAsia" w:hAnsiTheme="minorEastAsia" w:eastAsiaTheme="minorEastAsia"/>
          <w:sz w:val="24"/>
        </w:rPr>
        <w:t>项目磋商文件</w:t>
      </w:r>
      <w:r>
        <w:rPr>
          <w:rFonts w:asciiTheme="minorEastAsia" w:hAnsiTheme="minorEastAsia" w:eastAsiaTheme="minorEastAsia"/>
          <w:sz w:val="24"/>
        </w:rPr>
        <w:t>提供的文件格式及要求</w:t>
      </w:r>
      <w:r>
        <w:rPr>
          <w:rFonts w:hint="eastAsia" w:asciiTheme="minorEastAsia" w:hAnsiTheme="minorEastAsia" w:eastAsiaTheme="minorEastAsia"/>
          <w:sz w:val="24"/>
        </w:rPr>
        <w:t>编</w:t>
      </w:r>
      <w:r>
        <w:rPr>
          <w:rFonts w:asciiTheme="minorEastAsia" w:hAnsiTheme="minorEastAsia" w:eastAsiaTheme="minorEastAsia"/>
          <w:sz w:val="24"/>
        </w:rPr>
        <w:t>写</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具体内容详见本项目第六章响应文件格式的相关内容。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.2上述</w:t>
      </w:r>
      <w:r>
        <w:rPr>
          <w:sz w:val="24"/>
        </w:rPr>
        <w:t>文件</w:t>
      </w:r>
      <w:r>
        <w:rPr>
          <w:rFonts w:asciiTheme="minorEastAsia" w:hAnsiTheme="minorEastAsia" w:eastAsiaTheme="minorEastAsia"/>
          <w:sz w:val="24"/>
        </w:rPr>
        <w:t>应按照</w:t>
      </w:r>
      <w:r>
        <w:rPr>
          <w:rFonts w:hint="eastAsia" w:asciiTheme="minorEastAsia" w:hAnsiTheme="minorEastAsia" w:eastAsiaTheme="minorEastAsia"/>
          <w:sz w:val="24"/>
        </w:rPr>
        <w:t>项目磋商文件</w:t>
      </w:r>
      <w:r>
        <w:rPr>
          <w:rFonts w:asciiTheme="minorEastAsia" w:hAnsiTheme="minorEastAsia" w:eastAsiaTheme="minorEastAsia"/>
          <w:sz w:val="24"/>
        </w:rPr>
        <w:t>规定的格式填写、签署和盖章。</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证明服务符合项目磋商文件规定的技术文件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应提交</w:t>
      </w:r>
      <w:r>
        <w:rPr>
          <w:rFonts w:hint="eastAsia" w:asciiTheme="minorEastAsia" w:hAnsiTheme="minorEastAsia" w:eastAsiaTheme="minorEastAsia"/>
          <w:sz w:val="24"/>
        </w:rPr>
        <w:t>项目磋商文件要求的</w:t>
      </w:r>
      <w:r>
        <w:rPr>
          <w:rFonts w:asciiTheme="minorEastAsia" w:hAnsiTheme="minorEastAsia" w:eastAsiaTheme="minorEastAsia"/>
          <w:sz w:val="24"/>
        </w:rPr>
        <w:t>证明文件，证明其内容符合</w:t>
      </w:r>
      <w:r>
        <w:rPr>
          <w:rFonts w:hint="eastAsia" w:asciiTheme="minorEastAsia" w:hAnsiTheme="minorEastAsia" w:eastAsiaTheme="minorEastAsia"/>
          <w:sz w:val="24"/>
        </w:rPr>
        <w:t>项目磋商文件</w:t>
      </w:r>
      <w:r>
        <w:rPr>
          <w:rFonts w:asciiTheme="minorEastAsia" w:hAnsiTheme="minorEastAsia" w:eastAsiaTheme="minorEastAsia"/>
          <w:sz w:val="24"/>
        </w:rPr>
        <w:t>规定。该证明文件是</w:t>
      </w:r>
      <w:r>
        <w:rPr>
          <w:rFonts w:hint="eastAsia" w:asciiTheme="minorEastAsia" w:hAnsiTheme="minorEastAsia" w:eastAsiaTheme="minorEastAsia"/>
          <w:sz w:val="24"/>
        </w:rPr>
        <w:t>响应文件</w:t>
      </w:r>
      <w:r>
        <w:rPr>
          <w:rFonts w:asciiTheme="minorEastAsia" w:hAnsiTheme="minorEastAsia" w:eastAsiaTheme="minorEastAsia"/>
          <w:sz w:val="24"/>
        </w:rPr>
        <w:t>的一部分。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.2上款所述的证明文件，可以是文字资料、图纸和数据</w:t>
      </w:r>
      <w:bookmarkStart w:id="46" w:name="_Hlk11703583"/>
      <w:r>
        <w:rPr>
          <w:rFonts w:hint="eastAsia" w:asciiTheme="minorEastAsia" w:hAnsiTheme="minorEastAsia" w:eastAsiaTheme="minorEastAsia"/>
          <w:sz w:val="24"/>
        </w:rPr>
        <w:t>。</w:t>
      </w:r>
    </w:p>
    <w:bookmarkEnd w:id="46"/>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3本条所指证明文件不包括对项目磋商文件相关部分的文字、图标的复制。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为保证</w:t>
      </w:r>
      <w:r>
        <w:rPr>
          <w:sz w:val="24"/>
        </w:rPr>
        <w:t>公平</w:t>
      </w:r>
      <w:r>
        <w:rPr>
          <w:rFonts w:asciiTheme="minorEastAsia" w:hAnsiTheme="minorEastAsia" w:eastAsiaTheme="minorEastAsia"/>
          <w:sz w:val="24"/>
        </w:rPr>
        <w:t>公正，除非另有规定或说明，</w:t>
      </w:r>
      <w:r>
        <w:rPr>
          <w:rFonts w:hint="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磋商</w:t>
      </w:r>
      <w:r>
        <w:rPr>
          <w:rFonts w:asciiTheme="minorEastAsia" w:hAnsiTheme="minorEastAsia" w:eastAsiaTheme="minorEastAsia"/>
          <w:sz w:val="24"/>
        </w:rPr>
        <w:t>时，不得同时提供</w:t>
      </w:r>
      <w:r>
        <w:rPr>
          <w:rFonts w:hint="eastAsia" w:asciiTheme="minorEastAsia" w:hAnsiTheme="minorEastAsia" w:eastAsiaTheme="minorEastAsia"/>
          <w:sz w:val="24"/>
        </w:rPr>
        <w:t>备选</w:t>
      </w:r>
      <w:r>
        <w:rPr>
          <w:rFonts w:asciiTheme="minorEastAsia" w:hAnsiTheme="minorEastAsia" w:eastAsiaTheme="minorEastAsia"/>
          <w:sz w:val="24"/>
        </w:rPr>
        <w:t>方案。</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报价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项目</w:t>
      </w:r>
      <w:r>
        <w:rPr>
          <w:rFonts w:asciiTheme="minorEastAsia" w:hAnsiTheme="minorEastAsia" w:eastAsiaTheme="minorEastAsia"/>
          <w:sz w:val="24"/>
        </w:rPr>
        <w:t>需求所应提供的</w:t>
      </w:r>
      <w:r>
        <w:rPr>
          <w:rFonts w:hint="eastAsia" w:asciiTheme="minorEastAsia" w:hAnsiTheme="minorEastAsia" w:eastAsiaTheme="minorEastAsia"/>
          <w:sz w:val="24"/>
        </w:rPr>
        <w:t>服务。所有均应以人民币报价。</w:t>
      </w:r>
      <w:r>
        <w:rPr>
          <w:rFonts w:hint="eastAsia"/>
          <w:sz w:val="24"/>
        </w:rPr>
        <w:t>供应商</w:t>
      </w:r>
      <w:r>
        <w:rPr>
          <w:rFonts w:hint="eastAsia" w:asciiTheme="minorEastAsia" w:hAnsiTheme="minorEastAsia" w:eastAsiaTheme="minorEastAsia"/>
          <w:sz w:val="24"/>
        </w:rPr>
        <w:t>的报价应遵守相关法律。</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sz w:val="24"/>
        </w:rPr>
        <w:t>供应商</w:t>
      </w:r>
      <w:r>
        <w:rPr>
          <w:rFonts w:asciiTheme="minorEastAsia" w:hAnsiTheme="minorEastAsia" w:eastAsiaTheme="minorEastAsia"/>
          <w:sz w:val="24"/>
        </w:rPr>
        <w:t>报价超过</w:t>
      </w:r>
      <w:r>
        <w:rPr>
          <w:rFonts w:hint="eastAsia" w:asciiTheme="minorEastAsia" w:hAnsiTheme="minorEastAsia" w:eastAsiaTheme="minorEastAsia"/>
          <w:sz w:val="24"/>
        </w:rPr>
        <w:t>项目磋商文件</w:t>
      </w:r>
      <w:r>
        <w:rPr>
          <w:rFonts w:asciiTheme="minorEastAsia" w:hAnsiTheme="minorEastAsia" w:eastAsiaTheme="minorEastAsia"/>
          <w:sz w:val="24"/>
        </w:rPr>
        <w:t>规定的预算金额或者分项、分包最高限价，其将被认定为</w:t>
      </w:r>
      <w:r>
        <w:rPr>
          <w:rFonts w:asciiTheme="minorEastAsia" w:hAnsiTheme="minorEastAsia" w:eastAsiaTheme="minorEastAsia"/>
          <w:b/>
          <w:bCs/>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.3</w:t>
      </w:r>
      <w:r>
        <w:rPr>
          <w:rFonts w:hint="eastAsia"/>
          <w:sz w:val="24"/>
        </w:rPr>
        <w:t>供应商</w:t>
      </w:r>
      <w:r>
        <w:rPr>
          <w:rFonts w:asciiTheme="minorEastAsia" w:hAnsiTheme="minorEastAsia" w:eastAsiaTheme="minorEastAsia"/>
          <w:sz w:val="24"/>
        </w:rPr>
        <w:t>应在分项报价表上标明服务的单价（如适用）和总价。</w:t>
      </w:r>
      <w:r>
        <w:rPr>
          <w:rFonts w:hint="eastAsia" w:asciiTheme="minorEastAsia" w:hAnsiTheme="minorEastAsia" w:eastAsiaTheme="minorEastAsia"/>
          <w:sz w:val="24"/>
        </w:rPr>
        <w:t>未标明的视同包含在报价中。</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在合同履行过程中是固定不变的，不得以任何理由予以变更。任何包含价格调整要求的，其将被认定为</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sz w:val="24"/>
        </w:rPr>
      </w:pPr>
      <w:r>
        <w:rPr>
          <w:rFonts w:hint="eastAsia" w:asciiTheme="minorEastAsia" w:hAnsiTheme="minorEastAsia" w:eastAsiaTheme="minorEastAsia"/>
          <w:sz w:val="24"/>
        </w:rPr>
        <w:t>8</w:t>
      </w:r>
      <w:r>
        <w:rPr>
          <w:rFonts w:asciiTheme="minorEastAsia" w:hAnsiTheme="minorEastAsia" w:eastAsiaTheme="minorEastAsia"/>
          <w:sz w:val="24"/>
        </w:rPr>
        <w:t>.5</w:t>
      </w:r>
      <w:r>
        <w:rPr>
          <w:rFonts w:hint="eastAsia" w:asciiTheme="minorEastAsia" w:hAnsiTheme="minorEastAsia" w:eastAsiaTheme="minorEastAsia"/>
          <w:sz w:val="24"/>
        </w:rPr>
        <w:t>评审委员会认为</w:t>
      </w:r>
      <w:r>
        <w:rPr>
          <w:rFonts w:hint="eastAsia"/>
          <w:sz w:val="24"/>
        </w:rPr>
        <w:t>供应商</w:t>
      </w:r>
      <w:r>
        <w:rPr>
          <w:rFonts w:hint="eastAsia" w:asciiTheme="minorEastAsia" w:hAnsiTheme="minorEastAsia" w:eastAsiaTheme="minorEastAsia"/>
          <w:sz w:val="24"/>
        </w:rPr>
        <w:t>的报价明显低于其他通过资格审查</w:t>
      </w:r>
      <w:r>
        <w:rPr>
          <w:rFonts w:hint="eastAsia"/>
          <w:sz w:val="24"/>
        </w:rPr>
        <w:t>供应商</w:t>
      </w:r>
      <w:r>
        <w:rPr>
          <w:rFonts w:hint="eastAsia" w:asciiTheme="minorEastAsia" w:hAnsiTheme="minorEastAsia" w:eastAsiaTheme="minorEastAsia"/>
          <w:sz w:val="24"/>
        </w:rPr>
        <w:t>的报价，有可能影响服务质量或者不能诚信履约的，应当要求其在合理的时间内提供书面说明，</w:t>
      </w:r>
      <w:r>
        <w:rPr>
          <w:rFonts w:asciiTheme="minorEastAsia" w:hAnsiTheme="minorEastAsia" w:eastAsiaTheme="minorEastAsia"/>
          <w:sz w:val="24"/>
        </w:rPr>
        <w:t>必要时提交相关证明材料；</w:t>
      </w:r>
      <w:r>
        <w:rPr>
          <w:rFonts w:hint="eastAsia"/>
          <w:sz w:val="24"/>
        </w:rPr>
        <w:t>供应商</w:t>
      </w:r>
      <w:r>
        <w:rPr>
          <w:rFonts w:asciiTheme="minorEastAsia" w:hAnsiTheme="minorEastAsia" w:eastAsiaTheme="minorEastAsia"/>
          <w:sz w:val="24"/>
        </w:rPr>
        <w:t>不能证明其报价合理性的，其将被认定为</w:t>
      </w:r>
      <w:r>
        <w:rPr>
          <w:rFonts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.6</w:t>
      </w:r>
      <w:r>
        <w:rPr>
          <w:rFonts w:hint="eastAsia" w:asciiTheme="minorEastAsia" w:hAnsiTheme="minorEastAsia" w:eastAsiaTheme="minorEastAsia"/>
          <w:sz w:val="24"/>
        </w:rPr>
        <w:t>项目单位</w:t>
      </w:r>
      <w:r>
        <w:rPr>
          <w:rFonts w:asciiTheme="minorEastAsia" w:hAnsiTheme="minorEastAsia" w:eastAsiaTheme="minorEastAsia"/>
          <w:sz w:val="24"/>
        </w:rPr>
        <w:t>不接受具有附加条件的报价。</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9.磋商保证金</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9.1</w:t>
      </w:r>
      <w:r>
        <w:rPr>
          <w:rFonts w:hint="eastAsia"/>
          <w:sz w:val="24"/>
        </w:rPr>
        <w:t>供应商</w:t>
      </w:r>
      <w:r>
        <w:rPr>
          <w:rFonts w:hint="eastAsia" w:asciiTheme="minorEastAsia" w:hAnsiTheme="minorEastAsia" w:eastAsiaTheme="minorEastAsia"/>
          <w:bCs/>
          <w:sz w:val="24"/>
        </w:rPr>
        <w:t>应提交</w:t>
      </w:r>
      <w:r>
        <w:rPr>
          <w:rFonts w:hint="eastAsia"/>
          <w:sz w:val="24"/>
        </w:rPr>
        <w:t>供应商</w:t>
      </w:r>
      <w:r>
        <w:rPr>
          <w:rFonts w:hint="eastAsia" w:asciiTheme="minorEastAsia" w:hAnsiTheme="minorEastAsia" w:eastAsiaTheme="minorEastAsia"/>
          <w:bCs/>
          <w:sz w:val="24"/>
        </w:rPr>
        <w:t>须知前附表中规定的磋商保证金，并作为其响应文件的一部分。</w:t>
      </w:r>
      <w:r>
        <w:rPr>
          <w:rFonts w:hint="eastAsia"/>
          <w:sz w:val="24"/>
        </w:rPr>
        <w:t>供应商</w:t>
      </w:r>
      <w:r>
        <w:rPr>
          <w:rFonts w:hint="eastAsia" w:asciiTheme="minorEastAsia" w:hAnsiTheme="minorEastAsia" w:eastAsiaTheme="minorEastAsia"/>
          <w:bCs/>
          <w:sz w:val="24"/>
        </w:rPr>
        <w:t>未按规定提交磋商保证金的，其响应文件将被认定为响应无效。</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9.2</w:t>
      </w:r>
      <w:r>
        <w:rPr>
          <w:rFonts w:hint="eastAsia"/>
          <w:sz w:val="24"/>
        </w:rPr>
        <w:t>供应商</w:t>
      </w:r>
      <w:r>
        <w:rPr>
          <w:rFonts w:hint="eastAsia" w:asciiTheme="minorEastAsia" w:hAnsiTheme="minorEastAsia" w:eastAsiaTheme="minorEastAsia"/>
          <w:bCs/>
          <w:sz w:val="24"/>
        </w:rPr>
        <w:t>请注意：</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（1）前次磋商失败的，代理机构将退还</w:t>
      </w:r>
      <w:r>
        <w:rPr>
          <w:rFonts w:hint="eastAsia"/>
          <w:sz w:val="24"/>
        </w:rPr>
        <w:t>供应商</w:t>
      </w:r>
      <w:r>
        <w:rPr>
          <w:rFonts w:hint="eastAsia" w:asciiTheme="minorEastAsia" w:hAnsiTheme="minorEastAsia" w:eastAsiaTheme="minorEastAsia"/>
          <w:bCs/>
          <w:sz w:val="24"/>
        </w:rPr>
        <w:t>的磋商保证金（不含工本费）。</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（2）代理机构磋商保证金缴纳账号采用动态虚拟账号（分包项目每一个包别对应一个账号），项目磋商失败后，磋商保证金缴纳账号将会发生变化，请</w:t>
      </w:r>
      <w:r>
        <w:rPr>
          <w:rFonts w:hint="eastAsia"/>
          <w:sz w:val="24"/>
        </w:rPr>
        <w:t>供应商</w:t>
      </w:r>
      <w:r>
        <w:rPr>
          <w:rFonts w:hint="eastAsia" w:asciiTheme="minorEastAsia" w:hAnsiTheme="minorEastAsia" w:eastAsiaTheme="minorEastAsia"/>
          <w:bCs/>
          <w:sz w:val="24"/>
        </w:rPr>
        <w:t>参与后续磋商时，注意勿将磋商保证金错交至其他项目虚拟账号或前次公告账号。</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（3）凡转账到其他项目虚拟账号或本项目前次公告账号的，其响应文件将被认定为响应无效。</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9.3磋商保证金缴纳人名称与</w:t>
      </w:r>
      <w:r>
        <w:rPr>
          <w:rFonts w:hint="eastAsia"/>
          <w:sz w:val="24"/>
        </w:rPr>
        <w:t>供应商</w:t>
      </w:r>
      <w:r>
        <w:rPr>
          <w:rFonts w:hint="eastAsia" w:asciiTheme="minorEastAsia" w:hAnsiTheme="minorEastAsia" w:eastAsiaTheme="minorEastAsia"/>
          <w:bCs/>
          <w:sz w:val="24"/>
        </w:rPr>
        <w:t>名称应当一致。除非磋商文件另有规定，分公司或子公司代缴磋商保证金，视同名称不一致。磋商保证金缴纳人名称与</w:t>
      </w:r>
      <w:r>
        <w:rPr>
          <w:rFonts w:hint="eastAsia"/>
          <w:sz w:val="24"/>
        </w:rPr>
        <w:t>供应商</w:t>
      </w:r>
      <w:r>
        <w:rPr>
          <w:rFonts w:hint="eastAsia" w:asciiTheme="minorEastAsia" w:hAnsiTheme="minorEastAsia" w:eastAsiaTheme="minorEastAsia"/>
          <w:bCs/>
          <w:sz w:val="24"/>
        </w:rPr>
        <w:t>名称不一致的，其响应文件将被认定为响应无效。</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9.4联合体参加磋商的，可以由联合体中的一方或者共同提交磋商保证金。以一方名义提交磋商保证金的，对联合体各方均具有约束力。</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9.5代理机构将在成交通知书发出后五个工作日内退还未成交人的磋商保证金，在合同签订后五个工作日内退还成交人的磋商保证金；</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9.6因</w:t>
      </w:r>
      <w:r>
        <w:rPr>
          <w:rFonts w:hint="eastAsia"/>
          <w:sz w:val="24"/>
        </w:rPr>
        <w:t>供应商</w:t>
      </w:r>
      <w:r>
        <w:rPr>
          <w:rFonts w:hint="eastAsia" w:asciiTheme="minorEastAsia" w:hAnsiTheme="minorEastAsia" w:eastAsiaTheme="minorEastAsia"/>
          <w:bCs/>
          <w:sz w:val="24"/>
        </w:rPr>
        <w:t>自身原因导致无法及时退还的，业主单位或代理机构将不承担相应责任。</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9.7有下列情形之一的，磋商保证金不予退还：</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w:t>
      </w:r>
      <w:r>
        <w:rPr>
          <w:rFonts w:hint="eastAsia"/>
          <w:sz w:val="24"/>
        </w:rPr>
        <w:t>供应商</w:t>
      </w:r>
      <w:r>
        <w:rPr>
          <w:rFonts w:hint="eastAsia" w:asciiTheme="minorEastAsia" w:hAnsiTheme="minorEastAsia" w:eastAsiaTheme="minorEastAsia"/>
          <w:bCs/>
          <w:sz w:val="24"/>
        </w:rPr>
        <w:t>在提交响应文件截止时间后撤回响应文件的；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（2）除因不可抗力或磋商文件认可的情形以外，成交人不与业主单位签订合同的；</w:t>
      </w:r>
    </w:p>
    <w:p>
      <w:pPr>
        <w:spacing w:line="360" w:lineRule="auto"/>
        <w:ind w:firstLine="437"/>
        <w:outlineLvl w:val="3"/>
      </w:pPr>
      <w:r>
        <w:rPr>
          <w:rFonts w:hint="eastAsia" w:asciiTheme="minorEastAsia" w:hAnsiTheme="minorEastAsia" w:eastAsiaTheme="minorEastAsia"/>
          <w:bCs/>
          <w:sz w:val="24"/>
        </w:rPr>
        <w:t>（3）</w:t>
      </w:r>
      <w:r>
        <w:rPr>
          <w:rFonts w:hint="eastAsia"/>
          <w:sz w:val="24"/>
        </w:rPr>
        <w:t>供应商</w:t>
      </w:r>
      <w:r>
        <w:rPr>
          <w:rFonts w:hint="eastAsia" w:asciiTheme="minorEastAsia" w:hAnsiTheme="minorEastAsia" w:eastAsiaTheme="minorEastAsia"/>
          <w:bCs/>
          <w:sz w:val="24"/>
        </w:rPr>
        <w:t>须知前附表中规定的其他不予退还磋商保证金的情形。</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10.磋商有效期</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10.1磋商有效期为从响应文件提交截止之日算起的日历天数，磋商有效期详见</w:t>
      </w:r>
      <w:r>
        <w:rPr>
          <w:rFonts w:hint="eastAsia"/>
          <w:sz w:val="24"/>
        </w:rPr>
        <w:t>供应商</w:t>
      </w:r>
      <w:r>
        <w:rPr>
          <w:rFonts w:hint="eastAsia" w:asciiTheme="minorEastAsia" w:hAnsiTheme="minorEastAsia" w:eastAsiaTheme="minorEastAsia"/>
          <w:bCs/>
          <w:sz w:val="24"/>
        </w:rPr>
        <w:t>须知前附表。</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10.2在磋商有效期内，</w:t>
      </w:r>
      <w:r>
        <w:rPr>
          <w:rFonts w:hint="eastAsia"/>
          <w:sz w:val="24"/>
        </w:rPr>
        <w:t>供应商</w:t>
      </w:r>
      <w:r>
        <w:rPr>
          <w:rFonts w:hint="eastAsia" w:asciiTheme="minorEastAsia" w:hAnsiTheme="minorEastAsia" w:eastAsiaTheme="minorEastAsia"/>
          <w:bCs/>
          <w:sz w:val="24"/>
        </w:rPr>
        <w:t>的磋商保持有效，</w:t>
      </w:r>
      <w:r>
        <w:rPr>
          <w:rFonts w:hint="eastAsia"/>
          <w:sz w:val="24"/>
        </w:rPr>
        <w:t>供应商</w:t>
      </w:r>
      <w:r>
        <w:rPr>
          <w:rFonts w:hint="eastAsia" w:asciiTheme="minorEastAsia" w:hAnsiTheme="minorEastAsia" w:eastAsiaTheme="minorEastAsia"/>
          <w:bCs/>
          <w:sz w:val="24"/>
        </w:rPr>
        <w:t>不得要求撤销或修改其响应文件。磋商有效期不满足要求的响应，其响应文件将被认定为响应无效。</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10.3为保证有充分时间签订合同，业主单位或代理机构可根据实际情况，在原磋商有效期截止之前，要求</w:t>
      </w:r>
      <w:r>
        <w:rPr>
          <w:rFonts w:hint="eastAsia"/>
          <w:sz w:val="24"/>
        </w:rPr>
        <w:t>供应商</w:t>
      </w:r>
      <w:r>
        <w:rPr>
          <w:rFonts w:hint="eastAsia" w:asciiTheme="minorEastAsia" w:hAnsiTheme="minorEastAsia" w:eastAsiaTheme="minorEastAsia"/>
          <w:bCs/>
          <w:sz w:val="24"/>
        </w:rPr>
        <w:t>延长磋商有效期。接受该要求的</w:t>
      </w:r>
      <w:r>
        <w:rPr>
          <w:rFonts w:hint="eastAsia"/>
          <w:sz w:val="24"/>
        </w:rPr>
        <w:t>供应商</w:t>
      </w:r>
      <w:r>
        <w:rPr>
          <w:rFonts w:hint="eastAsia" w:asciiTheme="minorEastAsia" w:hAnsiTheme="minorEastAsia" w:eastAsiaTheme="minorEastAsia"/>
          <w:bCs/>
          <w:sz w:val="24"/>
        </w:rPr>
        <w:t>将不会被要求和允许修正其响应文件。</w:t>
      </w:r>
      <w:r>
        <w:rPr>
          <w:rFonts w:hint="eastAsia"/>
          <w:sz w:val="24"/>
        </w:rPr>
        <w:t>供应商</w:t>
      </w:r>
      <w:r>
        <w:rPr>
          <w:rFonts w:hint="eastAsia" w:asciiTheme="minorEastAsia" w:hAnsiTheme="minorEastAsia" w:eastAsiaTheme="minorEastAsia"/>
          <w:bCs/>
          <w:sz w:val="24"/>
        </w:rPr>
        <w:t>可以拒绝延长磋商有效期的要求，且不承担任何责任。上述要求和答复都应以书面形式提交。</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11.响应文件的制作</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11.1.本项目采用全流程电子化方式，</w:t>
      </w:r>
      <w:r>
        <w:rPr>
          <w:rFonts w:hint="eastAsia"/>
          <w:sz w:val="24"/>
        </w:rPr>
        <w:t>供应商</w:t>
      </w:r>
      <w:r>
        <w:rPr>
          <w:rFonts w:hint="eastAsia" w:asciiTheme="minorEastAsia" w:hAnsiTheme="minorEastAsia" w:eastAsiaTheme="minorEastAsia"/>
          <w:bCs/>
          <w:sz w:val="24"/>
        </w:rPr>
        <w:t>必须递交电子响应文件，并对电子响应文件进行电子签章并使用CA锁进行加密，在磋商文件规定的响应截止时间前使用“优质采投标工具客户端”完成上传。</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11.2.全流程电磋商项目</w:t>
      </w:r>
      <w:r>
        <w:rPr>
          <w:rFonts w:hint="eastAsia"/>
          <w:sz w:val="24"/>
        </w:rPr>
        <w:t>供应商</w:t>
      </w:r>
      <w:r>
        <w:rPr>
          <w:rFonts w:hint="eastAsia" w:asciiTheme="minorEastAsia" w:hAnsiTheme="minorEastAsia" w:eastAsiaTheme="minorEastAsia"/>
          <w:bCs/>
          <w:sz w:val="24"/>
        </w:rPr>
        <w:t>必须上传CA锁加密的电子响应文件，</w:t>
      </w:r>
      <w:r>
        <w:rPr>
          <w:rFonts w:hint="eastAsia"/>
          <w:sz w:val="24"/>
        </w:rPr>
        <w:t>供应商</w:t>
      </w:r>
      <w:r>
        <w:rPr>
          <w:rFonts w:hint="eastAsia" w:asciiTheme="minorEastAsia" w:hAnsiTheme="minorEastAsia" w:eastAsiaTheme="minorEastAsia"/>
          <w:bCs/>
          <w:sz w:val="24"/>
        </w:rPr>
        <w:t>下载磋商文件后，如未在磋商文件规定的响应文件递交截止时间前上传电子响应文件，视为无效；</w:t>
      </w:r>
      <w:r>
        <w:rPr>
          <w:rFonts w:hint="eastAsia"/>
          <w:sz w:val="24"/>
        </w:rPr>
        <w:t>供应商</w:t>
      </w:r>
      <w:r>
        <w:rPr>
          <w:rFonts w:hint="eastAsia" w:asciiTheme="minorEastAsia" w:hAnsiTheme="minorEastAsia" w:eastAsiaTheme="minorEastAsia"/>
          <w:bCs/>
          <w:sz w:val="24"/>
        </w:rPr>
        <w:t>在响应文件递交截止时间前，可以对其所递交的电子响应文件进行撤回，修改后重新上传（具体操作详见教程）；</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11.3.响应文件递交截止时间以优质采云采购平台（http://www.youzhicai.com/）系统的时间为准，逾期系统将自动关闭,电子响应文件未完成上传的，视为没有递交响应文件；</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11.4.响应文件可远程解密，</w:t>
      </w:r>
      <w:r>
        <w:rPr>
          <w:rFonts w:hint="eastAsia"/>
          <w:sz w:val="24"/>
        </w:rPr>
        <w:t>供应商</w:t>
      </w:r>
      <w:r>
        <w:rPr>
          <w:rFonts w:hint="eastAsia" w:asciiTheme="minorEastAsia" w:hAnsiTheme="minorEastAsia" w:eastAsiaTheme="minorEastAsia"/>
          <w:bCs/>
          <w:sz w:val="24"/>
        </w:rPr>
        <w:t>无需到达磋商现场。磋商文件“</w:t>
      </w:r>
      <w:r>
        <w:rPr>
          <w:rFonts w:hint="eastAsia"/>
          <w:sz w:val="24"/>
        </w:rPr>
        <w:t>供应商</w:t>
      </w:r>
      <w:r>
        <w:rPr>
          <w:rFonts w:hint="eastAsia" w:asciiTheme="minorEastAsia" w:hAnsiTheme="minorEastAsia" w:eastAsiaTheme="minorEastAsia"/>
          <w:bCs/>
          <w:sz w:val="24"/>
        </w:rPr>
        <w:t>须知”中另有规定的，从其规定。</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 xml:space="preserve">11.5. </w:t>
      </w:r>
      <w:r>
        <w:rPr>
          <w:rFonts w:hint="eastAsia"/>
          <w:sz w:val="24"/>
        </w:rPr>
        <w:t>供应商</w:t>
      </w:r>
      <w:r>
        <w:rPr>
          <w:rFonts w:hint="eastAsia" w:asciiTheme="minorEastAsia" w:hAnsiTheme="minorEastAsia" w:eastAsiaTheme="minorEastAsia"/>
          <w:bCs/>
          <w:sz w:val="24"/>
        </w:rPr>
        <w:t>在制作、上传电子响应文件过程中，若存在技术操作问题，请及时联系优质采云采购平台客服人员，客服电话：400-0099-555，0551-62220164，0551-62220012。</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12.响应文件提交截止时间</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12.1</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须知前附表中规定的响应文件提交截止时间前，在网上提交加密电子响应文件。</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12.2</w:t>
      </w:r>
      <w:r>
        <w:rPr>
          <w:rFonts w:hint="eastAsia"/>
          <w:sz w:val="24"/>
        </w:rPr>
        <w:t>供应商</w:t>
      </w:r>
      <w:r>
        <w:rPr>
          <w:rFonts w:hint="eastAsia" w:asciiTheme="minorEastAsia" w:hAnsiTheme="minorEastAsia" w:eastAsiaTheme="minorEastAsia"/>
          <w:bCs/>
          <w:sz w:val="24"/>
        </w:rPr>
        <w:t>在磋商文件规定的响应文件提交截止时间前上传了网上加密电子响应文件，但未在规定时间内进行解密的，响应无效。</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12.3业主单位和代理机构延迟响应文件提交截止时间的。在此情况下，业主单位、代理机构和</w:t>
      </w:r>
      <w:r>
        <w:rPr>
          <w:rFonts w:hint="eastAsia"/>
          <w:sz w:val="24"/>
        </w:rPr>
        <w:t>供应商</w:t>
      </w:r>
      <w:r>
        <w:rPr>
          <w:rFonts w:hint="eastAsia" w:asciiTheme="minorEastAsia" w:hAnsiTheme="minorEastAsia" w:eastAsiaTheme="minorEastAsia"/>
          <w:bCs/>
          <w:sz w:val="24"/>
        </w:rPr>
        <w:t>受响应文件提交截止时间制约的所有权利和义务均应延长至新的截止时间。</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13.响应文件的提交、修改与撤回</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13.1</w:t>
      </w:r>
      <w:r>
        <w:rPr>
          <w:rFonts w:hint="eastAsia"/>
          <w:sz w:val="24"/>
        </w:rPr>
        <w:t>供应商</w:t>
      </w:r>
      <w:r>
        <w:rPr>
          <w:rFonts w:hint="eastAsia" w:asciiTheme="minorEastAsia" w:hAnsiTheme="minorEastAsia" w:eastAsiaTheme="minorEastAsia"/>
          <w:bCs/>
          <w:sz w:val="24"/>
        </w:rPr>
        <w:t>应当在第一章“磋商邀请”规定的响应文件提交截止时间前，将加密的响应文件在优质采云采购平台（http://www.youzhicai.com/）上传。</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13.2</w:t>
      </w:r>
      <w:r>
        <w:rPr>
          <w:rFonts w:hint="eastAsia"/>
          <w:sz w:val="24"/>
        </w:rPr>
        <w:t>供应商</w:t>
      </w:r>
      <w:r>
        <w:rPr>
          <w:rFonts w:hint="eastAsia" w:asciiTheme="minorEastAsia" w:hAnsiTheme="minorEastAsia" w:eastAsiaTheme="minorEastAsia"/>
          <w:bCs/>
          <w:sz w:val="24"/>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13.3</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须知前附表规定的解密时间前（以优质采云采购平台（http://www.youzhicai.com/）系统的解密倒计时为准）对本单位的响应文件进行解密，代理机构工作人员解密所有响应文件。</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13.4在响应文件提交截止时间之后，</w:t>
      </w:r>
      <w:r>
        <w:rPr>
          <w:rFonts w:hint="eastAsia"/>
          <w:sz w:val="24"/>
        </w:rPr>
        <w:t>供应商</w:t>
      </w:r>
      <w:r>
        <w:rPr>
          <w:rFonts w:hint="eastAsia" w:asciiTheme="minorEastAsia" w:hAnsiTheme="minorEastAsia" w:eastAsiaTheme="minorEastAsia"/>
          <w:bCs/>
          <w:sz w:val="24"/>
        </w:rPr>
        <w:t>不得对其响应文件做任何修改。但属于磋商小组在评审中发现的计算错误并进行核实的修改、按照磋商文件的变动情况和磋商小组的要求重新提交响应文件的，不在此列。</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14.磋商小组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14.1本项目将依法组建磋商小组，磋商小组成员由3人以上单数组成，磋商小组及其成员应当依照有关规定履行相关职责和义务。</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14.2磋商小组依法对响应文件进行评审，并根据磋商文件规定的程序、评定成交的标准等事项与实质性响应磋商文件要求的</w:t>
      </w:r>
      <w:r>
        <w:rPr>
          <w:rFonts w:hint="eastAsia"/>
          <w:sz w:val="24"/>
        </w:rPr>
        <w:t>供应商</w:t>
      </w:r>
      <w:r>
        <w:rPr>
          <w:rFonts w:hint="eastAsia" w:asciiTheme="minorEastAsia" w:hAnsiTheme="minorEastAsia" w:eastAsiaTheme="minorEastAsia"/>
          <w:bCs/>
          <w:sz w:val="24"/>
        </w:rPr>
        <w:t>进行磋商。</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14.3磋商小组应当从质量和服务均能满足磋商文件实质性响应要求的</w:t>
      </w:r>
      <w:r>
        <w:rPr>
          <w:rFonts w:hint="eastAsia"/>
          <w:sz w:val="24"/>
        </w:rPr>
        <w:t>供应商</w:t>
      </w:r>
      <w:r>
        <w:rPr>
          <w:rFonts w:hint="eastAsia" w:asciiTheme="minorEastAsia" w:hAnsiTheme="minorEastAsia" w:eastAsiaTheme="minorEastAsia"/>
          <w:bCs/>
          <w:sz w:val="24"/>
        </w:rPr>
        <w:t>中，按照评审方法和标准推荐成交候选人，并编写评审报告。</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.响应文件的评审与磋商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15.1业主单位和代理机构将在</w:t>
      </w:r>
      <w:r>
        <w:rPr>
          <w:rFonts w:hint="eastAsia"/>
          <w:sz w:val="24"/>
        </w:rPr>
        <w:t>供应商</w:t>
      </w:r>
      <w:r>
        <w:rPr>
          <w:rFonts w:hint="eastAsia" w:asciiTheme="minorEastAsia" w:hAnsiTheme="minorEastAsia" w:eastAsiaTheme="minorEastAsia"/>
          <w:sz w:val="24"/>
        </w:rPr>
        <w:t>须知前附表规定的时间和地点组织磋商。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15.2磋商活动采用综合评分法评审。</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综合评分法，是指响应文件满足磋商文件全部实质性要求且按评审因素的量化指标评审得分最高的</w:t>
      </w:r>
      <w:r>
        <w:rPr>
          <w:rFonts w:hint="eastAsia"/>
          <w:sz w:val="24"/>
        </w:rPr>
        <w:t>供应商</w:t>
      </w:r>
      <w:r>
        <w:rPr>
          <w:rFonts w:hint="eastAsia" w:asciiTheme="minorEastAsia" w:hAnsiTheme="minorEastAsia" w:eastAsiaTheme="minorEastAsia"/>
          <w:sz w:val="24"/>
        </w:rPr>
        <w:t>为成交候选人的评审方法。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15.3磋商小组将按照磋商文件规定的评审方法和标准对</w:t>
      </w:r>
      <w:r>
        <w:rPr>
          <w:rFonts w:hint="eastAsia"/>
          <w:sz w:val="24"/>
        </w:rPr>
        <w:t>供应商</w:t>
      </w:r>
      <w:r>
        <w:rPr>
          <w:rFonts w:hint="eastAsia" w:asciiTheme="minorEastAsia" w:hAnsiTheme="minorEastAsia" w:eastAsiaTheme="minorEastAsia"/>
          <w:sz w:val="24"/>
        </w:rPr>
        <w:t>独立进行评审。评审程序如下：</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15.3.1初审。磋商小组对</w:t>
      </w:r>
      <w:r>
        <w:rPr>
          <w:rFonts w:hint="eastAsia"/>
          <w:sz w:val="24"/>
        </w:rPr>
        <w:t>供应商</w:t>
      </w:r>
      <w:r>
        <w:rPr>
          <w:rFonts w:hint="eastAsia" w:asciiTheme="minorEastAsia" w:hAnsiTheme="minorEastAsia" w:eastAsiaTheme="minorEastAsia"/>
          <w:sz w:val="24"/>
        </w:rPr>
        <w:t>必须满足和实质性响应的内容进行评审，</w:t>
      </w:r>
      <w:r>
        <w:rPr>
          <w:rFonts w:hint="eastAsia"/>
          <w:sz w:val="24"/>
        </w:rPr>
        <w:t>供应商</w:t>
      </w:r>
      <w:r>
        <w:rPr>
          <w:rFonts w:hint="eastAsia" w:asciiTheme="minorEastAsia" w:hAnsiTheme="minorEastAsia" w:eastAsiaTheme="minorEastAsia"/>
          <w:sz w:val="24"/>
        </w:rPr>
        <w:t>未实质性响应磋商文件要求导致响应无效的，磋商小组将以书面询问的方式告知有关</w:t>
      </w:r>
      <w:r>
        <w:rPr>
          <w:rFonts w:hint="eastAsia"/>
          <w:sz w:val="24"/>
        </w:rPr>
        <w:t>供应商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业主单位或代理机构将在响应文件提交截止时间后至评审结束前查询</w:t>
      </w:r>
      <w:r>
        <w:rPr>
          <w:rFonts w:hint="eastAsia"/>
          <w:sz w:val="24"/>
        </w:rPr>
        <w:t>供应商</w:t>
      </w:r>
      <w:r>
        <w:rPr>
          <w:rFonts w:hint="eastAsia" w:asciiTheme="minorEastAsia" w:hAnsiTheme="minorEastAsia" w:eastAsiaTheme="minorEastAsia"/>
          <w:sz w:val="24"/>
        </w:rPr>
        <w:t>的信用记录。</w:t>
      </w:r>
      <w:r>
        <w:rPr>
          <w:rFonts w:hint="eastAsia"/>
          <w:sz w:val="24"/>
        </w:rPr>
        <w:t>供应商</w:t>
      </w:r>
      <w:r>
        <w:rPr>
          <w:rFonts w:hint="eastAsia" w:asciiTheme="minorEastAsia" w:hAnsiTheme="minorEastAsia" w:eastAsiaTheme="minorEastAsia"/>
          <w:sz w:val="24"/>
        </w:rPr>
        <w:t>存在不良信用记录的，其响应文件将被认定为响应无效。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15.3.1.1信用信息查询渠道：“信用中国”网站（www.creditchina.gov.cn）、国家企业信用信息公示系统（</w:t>
      </w:r>
      <w:r>
        <w:fldChar w:fldCharType="begin"/>
      </w:r>
      <w:r>
        <w:instrText xml:space="preserve"> HYPERLINK "http://www.gsxt.gov.cn" </w:instrText>
      </w:r>
      <w:r>
        <w:fldChar w:fldCharType="separate"/>
      </w:r>
      <w:r>
        <w:rPr>
          <w:rFonts w:hint="eastAsia" w:asciiTheme="minorEastAsia" w:hAnsiTheme="minorEastAsia" w:eastAsiaTheme="minorEastAsia"/>
          <w:sz w:val="24"/>
        </w:rPr>
        <w:t>www.gsxt.gov.cn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（1）在国家企业信用信息公示系统（http://www.gsxt.gov.cn/）中被列入严重违法失信企业名单；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（2）在“信用中国”网站（http://www.creditchina.gov.cn/）中被列入失信被执行人名单；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（3）在“信用中国”网站（http://www.creditchina.gov.cn/）中被列入重大税收违法案件当事人名单；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以联合体形式参加磋商的，联合体任何成员存在以上不良信用记录的，联合体磋商将被认定为响应无效。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15.3.1.2</w:t>
      </w:r>
      <w:r>
        <w:rPr>
          <w:rFonts w:hint="eastAsia"/>
          <w:sz w:val="24"/>
        </w:rPr>
        <w:t>供应商</w:t>
      </w:r>
      <w:r>
        <w:rPr>
          <w:rFonts w:hint="eastAsia" w:asciiTheme="minorEastAsia" w:hAnsiTheme="minorEastAsia" w:eastAsiaTheme="minorEastAsia"/>
          <w:sz w:val="24"/>
        </w:rPr>
        <w:t>不良信用记录以业主单位或代理机构查询结果为准。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在本磋商文件规定的查询时间之外，网站信息发生的任何变更均不作为初审依据。</w:t>
      </w:r>
    </w:p>
    <w:p>
      <w:pPr>
        <w:spacing w:line="360" w:lineRule="auto"/>
        <w:ind w:firstLine="435"/>
        <w:rPr>
          <w:rFonts w:asciiTheme="minorEastAsia" w:hAnsiTheme="minorEastAsia" w:eastAsiaTheme="minorEastAsia"/>
          <w:sz w:val="24"/>
        </w:rPr>
      </w:pPr>
      <w:r>
        <w:rPr>
          <w:rFonts w:hint="eastAsia"/>
          <w:sz w:val="24"/>
        </w:rPr>
        <w:t>供应商</w:t>
      </w:r>
      <w:r>
        <w:rPr>
          <w:rFonts w:hint="eastAsia" w:asciiTheme="minorEastAsia" w:hAnsiTheme="minorEastAsia" w:eastAsiaTheme="minorEastAsia"/>
          <w:sz w:val="24"/>
        </w:rPr>
        <w:t>自行提供的与网站信息不一致的其他证明材料亦不作为初审依据。</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15.3.2磋商。初审合格后，磋商小组将按网上加密电子响应文件提交顺序集中与单一</w:t>
      </w:r>
      <w:r>
        <w:rPr>
          <w:rFonts w:hint="eastAsia"/>
          <w:sz w:val="24"/>
        </w:rPr>
        <w:t>供应商</w:t>
      </w:r>
      <w:r>
        <w:rPr>
          <w:rFonts w:hint="eastAsia" w:asciiTheme="minorEastAsia" w:hAnsiTheme="minorEastAsia" w:eastAsiaTheme="minorEastAsia"/>
          <w:sz w:val="24"/>
        </w:rPr>
        <w:t>分别进行磋商，并给予所有参加磋商的</w:t>
      </w:r>
      <w:r>
        <w:rPr>
          <w:rFonts w:hint="eastAsia"/>
          <w:sz w:val="24"/>
        </w:rPr>
        <w:t>供应商</w:t>
      </w:r>
      <w:r>
        <w:rPr>
          <w:rFonts w:hint="eastAsia" w:asciiTheme="minorEastAsia" w:hAnsiTheme="minorEastAsia" w:eastAsiaTheme="minorEastAsia"/>
          <w:sz w:val="24"/>
        </w:rPr>
        <w:t>平等的磋商机会。</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15.3.3报价。磋商结束后，磋商小组应当要求所有实质性响应的</w:t>
      </w:r>
      <w:r>
        <w:rPr>
          <w:rFonts w:hint="eastAsia"/>
          <w:sz w:val="24"/>
        </w:rPr>
        <w:t>供应商</w:t>
      </w:r>
      <w:r>
        <w:rPr>
          <w:rFonts w:hint="eastAsia" w:asciiTheme="minorEastAsia" w:hAnsiTheme="minorEastAsia" w:eastAsiaTheme="minorEastAsia"/>
          <w:sz w:val="24"/>
        </w:rPr>
        <w:t>在规定时间内提交最后报价。磋商文件中另有特殊规定的除外。</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15.3.4综合评分。磋商小组只对通过初审，实质上响应磋商要求的响应文件进行综合评分。经磋商确定最终项目需求和报价的</w:t>
      </w:r>
      <w:r>
        <w:rPr>
          <w:rFonts w:hint="eastAsia"/>
          <w:sz w:val="24"/>
        </w:rPr>
        <w:t>供应商</w:t>
      </w:r>
      <w:r>
        <w:rPr>
          <w:rFonts w:hint="eastAsia" w:asciiTheme="minorEastAsia" w:hAnsiTheme="minorEastAsia" w:eastAsiaTheme="minorEastAsia"/>
          <w:sz w:val="24"/>
        </w:rPr>
        <w:t>后，由磋商小组采用综合评分法对提交报价的</w:t>
      </w:r>
      <w:r>
        <w:rPr>
          <w:rFonts w:hint="eastAsia"/>
          <w:sz w:val="24"/>
        </w:rPr>
        <w:t>供应商</w:t>
      </w:r>
      <w:r>
        <w:rPr>
          <w:rFonts w:hint="eastAsia" w:asciiTheme="minorEastAsia" w:hAnsiTheme="minorEastAsia" w:eastAsiaTheme="minorEastAsia"/>
          <w:sz w:val="24"/>
        </w:rPr>
        <w:t>的响应文件和报价进行综合评分。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15.4相关说明。</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15.4.1为保证磋商活动顺利进行，</w:t>
      </w:r>
      <w:r>
        <w:rPr>
          <w:rFonts w:hint="eastAsia"/>
          <w:sz w:val="24"/>
        </w:rPr>
        <w:t>供应商</w:t>
      </w:r>
      <w:r>
        <w:rPr>
          <w:rFonts w:hint="eastAsia" w:asciiTheme="minorEastAsia" w:hAnsiTheme="minorEastAsia" w:eastAsiaTheme="minorEastAsia"/>
          <w:sz w:val="24"/>
        </w:rPr>
        <w:t xml:space="preserve">可派相关技术人员进行网上答疑； </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15.4.2磋商小组根据与</w:t>
      </w:r>
      <w:r>
        <w:rPr>
          <w:rFonts w:hint="eastAsia"/>
          <w:sz w:val="24"/>
        </w:rPr>
        <w:t>供应商</w:t>
      </w:r>
      <w:r>
        <w:rPr>
          <w:rFonts w:hint="eastAsia" w:asciiTheme="minorEastAsia" w:hAnsiTheme="minorEastAsia" w:eastAsiaTheme="minorEastAsia"/>
          <w:sz w:val="24"/>
        </w:rPr>
        <w:t>磋商情况可能实质性变动磋商文件的内容，包括项目需求中的技术、服务要求以及合同草案条款。磋商文件有实质性变动的，经业主单位代表确认作为磋商文件的有效组成部分，磋商小组将以书面形式通知所有参加磋商的</w:t>
      </w:r>
      <w:r>
        <w:rPr>
          <w:rFonts w:hint="eastAsia"/>
          <w:sz w:val="24"/>
        </w:rPr>
        <w:t>供应商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15.4.3磋商小组发现</w:t>
      </w:r>
      <w:r>
        <w:rPr>
          <w:rFonts w:hint="eastAsia"/>
          <w:sz w:val="24"/>
        </w:rPr>
        <w:t>供应商</w:t>
      </w:r>
      <w:r>
        <w:rPr>
          <w:rFonts w:hint="eastAsia" w:asciiTheme="minorEastAsia" w:hAnsiTheme="minorEastAsia" w:eastAsiaTheme="minorEastAsia"/>
          <w:sz w:val="24"/>
        </w:rPr>
        <w:t>的报价或者某些分项报价明显低于其他通过初审的</w:t>
      </w:r>
      <w:r>
        <w:rPr>
          <w:rFonts w:hint="eastAsia"/>
          <w:sz w:val="24"/>
        </w:rPr>
        <w:t>供应商</w:t>
      </w:r>
      <w:r>
        <w:rPr>
          <w:rFonts w:hint="eastAsia" w:asciiTheme="minorEastAsia" w:hAnsiTheme="minorEastAsia" w:eastAsiaTheme="minorEastAsia"/>
          <w:sz w:val="24"/>
        </w:rPr>
        <w:t>的报价，有可能影响产品质量和不能诚信履约的，应当要求其在合理的时间内提供书面说明，必要时提交相关证明材料；</w:t>
      </w:r>
      <w:r>
        <w:rPr>
          <w:rFonts w:hint="eastAsia"/>
          <w:sz w:val="24"/>
        </w:rPr>
        <w:t>供应商</w:t>
      </w:r>
      <w:r>
        <w:rPr>
          <w:rFonts w:hint="eastAsia" w:asciiTheme="minorEastAsia" w:hAnsiTheme="minorEastAsia" w:eastAsiaTheme="minorEastAsia"/>
          <w:sz w:val="24"/>
        </w:rPr>
        <w:t>不能证明其报价合理性的，其响应文件将被认定为响应无效。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15.4.4无论何种原因，即使</w:t>
      </w:r>
      <w:r>
        <w:rPr>
          <w:rFonts w:hint="eastAsia"/>
          <w:sz w:val="24"/>
        </w:rPr>
        <w:t>供应商</w:t>
      </w:r>
      <w:r>
        <w:rPr>
          <w:rFonts w:hint="eastAsia" w:asciiTheme="minorEastAsia" w:hAnsiTheme="minorEastAsia" w:eastAsiaTheme="minorEastAsia"/>
          <w:sz w:val="24"/>
        </w:rPr>
        <w:t>磋商时携带了证书材料的原件，但响应文件中未提供与之内容完全一致的扫描件或影印件的，磋商小组可以视同其未提供。</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15.4.5磋商小组决定响应文件的响应性及符合性只根据响应文件本身的内容，而不寻求其他外部证据。</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15.5</w:t>
      </w:r>
      <w:r>
        <w:rPr>
          <w:rFonts w:hint="eastAsia"/>
          <w:sz w:val="24"/>
        </w:rPr>
        <w:t>供应商</w:t>
      </w:r>
      <w:r>
        <w:rPr>
          <w:rFonts w:hint="eastAsia" w:asciiTheme="minorEastAsia" w:hAnsiTheme="minorEastAsia" w:eastAsiaTheme="minorEastAsia"/>
          <w:sz w:val="24"/>
        </w:rPr>
        <w:t>授权代表对磋商过程有疑义，以及认为业主单位、代理机构相关工作人员有需要回避的情形的，应当场提出询问或者回避申请，并说明理由。</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16.终止磋商</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16.1出现下列情况之一时，业主单位和代理机构有权宣布终止磋商，并将理由通知所有</w:t>
      </w:r>
      <w:r>
        <w:rPr>
          <w:rFonts w:hint="eastAsia"/>
          <w:sz w:val="24"/>
        </w:rPr>
        <w:t>供应商</w:t>
      </w:r>
      <w:r>
        <w:rPr>
          <w:rFonts w:hint="eastAsia" w:asciiTheme="minorEastAsia" w:hAnsiTheme="minorEastAsia" w:eastAsiaTheme="minorEastAsia"/>
          <w:bCs/>
          <w:sz w:val="24"/>
        </w:rPr>
        <w:t>：</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（1）有效</w:t>
      </w:r>
      <w:r>
        <w:rPr>
          <w:rFonts w:hint="eastAsia"/>
          <w:sz w:val="24"/>
        </w:rPr>
        <w:t>供应商</w:t>
      </w:r>
      <w:r>
        <w:rPr>
          <w:rFonts w:hint="eastAsia" w:asciiTheme="minorEastAsia" w:hAnsiTheme="minorEastAsia" w:eastAsiaTheme="minorEastAsia"/>
          <w:bCs/>
          <w:sz w:val="24"/>
        </w:rPr>
        <w:t>数量不足，导致本次磋商缺乏竞争的；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（2）出现影响磋商公正的违法、违规行为的；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（3）因重大变故，磋商任务取消的；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（4）法律法规规定的其他情形。</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17.1磋商小组将对响应文件的有效性、完整性和响应程度进行审查，审查时可以要求</w:t>
      </w:r>
      <w:r>
        <w:rPr>
          <w:rFonts w:hint="eastAsia"/>
          <w:sz w:val="24"/>
        </w:rPr>
        <w:t>供应商</w:t>
      </w:r>
      <w:r>
        <w:rPr>
          <w:rFonts w:hint="eastAsia" w:asciiTheme="minorEastAsia" w:hAnsiTheme="minorEastAsia" w:eastAsiaTheme="minorEastAsia"/>
          <w:sz w:val="24"/>
        </w:rPr>
        <w:t>对响应文件中含义不明确、同类问题表述不一致或者有明显文字和计算错误的内容等作出必要的澄清、说明或者更正。</w:t>
      </w:r>
      <w:r>
        <w:rPr>
          <w:rFonts w:hint="eastAsia"/>
          <w:sz w:val="24"/>
        </w:rPr>
        <w:t>供应商</w:t>
      </w:r>
      <w:r>
        <w:rPr>
          <w:rFonts w:hint="eastAsia" w:asciiTheme="minorEastAsia" w:hAnsiTheme="minorEastAsia" w:eastAsiaTheme="minorEastAsia"/>
          <w:sz w:val="24"/>
        </w:rPr>
        <w:t>的澄清、说明或者更正不得超出响应文件的范围或者改变响应文件的实质性内容。对不同文字文本响应文件的解释发生异议的，以中文文本为准。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17.2磋商小组通过优质采电子工具将需要澄清、说明或补正的内容以询问函的形式发送给</w:t>
      </w:r>
      <w:r>
        <w:rPr>
          <w:rFonts w:hint="eastAsia"/>
          <w:sz w:val="24"/>
        </w:rPr>
        <w:t>供应商</w:t>
      </w:r>
      <w:r>
        <w:rPr>
          <w:rFonts w:hint="eastAsia" w:asciiTheme="minorEastAsia" w:hAnsiTheme="minorEastAsia" w:eastAsiaTheme="minorEastAsia"/>
          <w:sz w:val="24"/>
        </w:rPr>
        <w:t>，</w:t>
      </w:r>
      <w:r>
        <w:rPr>
          <w:rFonts w:hint="eastAsia"/>
          <w:sz w:val="24"/>
        </w:rPr>
        <w:t>供应商</w:t>
      </w:r>
      <w:r>
        <w:rPr>
          <w:rFonts w:hint="eastAsia" w:asciiTheme="minorEastAsia" w:hAnsiTheme="minorEastAsia" w:eastAsiaTheme="minorEastAsia"/>
          <w:sz w:val="24"/>
        </w:rPr>
        <w:t>应登录优质采客户端并保持在线状态，以便及时接收磋商小组可能发出的询问函，并在询问函载明的时间内回复，若</w:t>
      </w:r>
      <w:r>
        <w:rPr>
          <w:rFonts w:hint="eastAsia"/>
          <w:sz w:val="24"/>
        </w:rPr>
        <w:t>供应商</w:t>
      </w:r>
      <w:r>
        <w:rPr>
          <w:rFonts w:hint="eastAsia" w:asciiTheme="minorEastAsia" w:hAnsiTheme="minorEastAsia" w:eastAsiaTheme="minorEastAsia"/>
          <w:sz w:val="24"/>
        </w:rPr>
        <w:t>未及时回复，视为放弃澄清。</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如有询问，授权代表（或法定代表人）可通过远程登录的方式接受网上询问，也可凭本人有效身份证明参加询问。因授权代表联系不上、没有及时登录系统等情形而无法接受磋商小组询问的，供应商自行承担相关风险。</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18.报价</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18.1本次磋商一次性报价。</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18.3报价是</w:t>
      </w:r>
      <w:r>
        <w:rPr>
          <w:rFonts w:hint="eastAsia"/>
          <w:sz w:val="24"/>
        </w:rPr>
        <w:t>供应商</w:t>
      </w:r>
      <w:r>
        <w:rPr>
          <w:rFonts w:hint="eastAsia" w:asciiTheme="minorEastAsia" w:hAnsiTheme="minorEastAsia" w:eastAsiaTheme="minorEastAsia"/>
          <w:bCs/>
          <w:sz w:val="24"/>
        </w:rPr>
        <w:t>响应文件的有效组成部分，也是签订合同的依据。</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18.4除国家政策性文件规定以外，</w:t>
      </w:r>
      <w:r>
        <w:rPr>
          <w:rFonts w:hint="eastAsia"/>
          <w:sz w:val="24"/>
        </w:rPr>
        <w:t>供应商</w:t>
      </w:r>
      <w:r>
        <w:rPr>
          <w:rFonts w:hint="eastAsia" w:asciiTheme="minorEastAsia" w:hAnsiTheme="minorEastAsia" w:eastAsiaTheme="minorEastAsia"/>
          <w:bCs/>
          <w:sz w:val="24"/>
        </w:rPr>
        <w:t>所报价格在合同实施期间不因市场变化因素而变动。</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18.5</w:t>
      </w:r>
      <w:r>
        <w:rPr>
          <w:rFonts w:hint="eastAsia"/>
          <w:sz w:val="24"/>
        </w:rPr>
        <w:t>供应商</w:t>
      </w:r>
      <w:r>
        <w:rPr>
          <w:rFonts w:hint="eastAsia" w:asciiTheme="minorEastAsia" w:hAnsiTheme="minorEastAsia" w:eastAsiaTheme="minorEastAsia"/>
          <w:bCs/>
          <w:sz w:val="24"/>
        </w:rPr>
        <w:t>应当按照企业定额或 2018 版安徽省建设工程计价依据以及材料市场价格信息等，结合自身实力、施工经验、现场环境以及磋商文件的要求自主报价。</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pPr>
        <w:spacing w:line="360" w:lineRule="auto"/>
        <w:ind w:firstLine="435"/>
        <w:rPr>
          <w:sz w:val="24"/>
        </w:rPr>
      </w:pPr>
      <w:r>
        <w:rPr>
          <w:rFonts w:hint="eastAsia"/>
          <w:sz w:val="24"/>
        </w:rPr>
        <w:t>19.1评审将在严格保密的情况下进行。</w:t>
      </w:r>
    </w:p>
    <w:p>
      <w:pPr>
        <w:spacing w:line="360" w:lineRule="auto"/>
        <w:ind w:firstLine="437"/>
        <w:outlineLvl w:val="3"/>
        <w:rPr>
          <w:sz w:val="24"/>
        </w:rPr>
      </w:pPr>
      <w:r>
        <w:rPr>
          <w:rFonts w:hint="eastAsia"/>
          <w:sz w:val="24"/>
        </w:rPr>
        <w:t>19.2有关人员</w:t>
      </w:r>
      <w:r>
        <w:rPr>
          <w:sz w:val="24"/>
        </w:rPr>
        <w:t>应当</w:t>
      </w:r>
      <w:r>
        <w:rPr>
          <w:rFonts w:hint="eastAsia"/>
          <w:sz w:val="24"/>
        </w:rPr>
        <w:t>遵</w:t>
      </w:r>
      <w:r>
        <w:rPr>
          <w:sz w:val="24"/>
        </w:rPr>
        <w:t>守</w:t>
      </w:r>
      <w:r>
        <w:rPr>
          <w:rFonts w:hint="eastAsia"/>
          <w:sz w:val="24"/>
        </w:rPr>
        <w:t>评审</w:t>
      </w:r>
      <w:r>
        <w:rPr>
          <w:sz w:val="24"/>
        </w:rPr>
        <w:t>工作纪律，不得</w:t>
      </w:r>
      <w:r>
        <w:rPr>
          <w:rFonts w:hint="eastAsia"/>
          <w:sz w:val="24"/>
        </w:rPr>
        <w:t>泄露评审文件</w:t>
      </w:r>
      <w:r>
        <w:rPr>
          <w:sz w:val="24"/>
        </w:rPr>
        <w:t>、</w:t>
      </w:r>
      <w:r>
        <w:rPr>
          <w:rFonts w:hint="eastAsia"/>
          <w:sz w:val="24"/>
        </w:rPr>
        <w:t>评审</w:t>
      </w:r>
      <w:r>
        <w:rPr>
          <w:sz w:val="24"/>
        </w:rPr>
        <w:t>情况和</w:t>
      </w:r>
      <w:r>
        <w:rPr>
          <w:rFonts w:hint="eastAsia"/>
          <w:sz w:val="24"/>
        </w:rPr>
        <w:t>评审</w:t>
      </w:r>
      <w:r>
        <w:rPr>
          <w:sz w:val="24"/>
        </w:rPr>
        <w:t>中获悉的</w:t>
      </w:r>
      <w:r>
        <w:rPr>
          <w:rFonts w:hint="eastAsia"/>
          <w:sz w:val="24"/>
        </w:rPr>
        <w:t>国家秘密、</w:t>
      </w:r>
      <w:r>
        <w:rPr>
          <w:sz w:val="24"/>
        </w:rPr>
        <w:t>商业秘密。</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成交单位候选人的确定原则及标准</w:t>
      </w:r>
    </w:p>
    <w:p>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20.1磋商小组</w:t>
      </w:r>
      <w:r>
        <w:rPr>
          <w:rFonts w:asciiTheme="minorEastAsia" w:hAnsiTheme="minorEastAsia" w:eastAsiaTheme="minorEastAsia"/>
          <w:sz w:val="24"/>
        </w:rPr>
        <w:t>依据本项目</w:t>
      </w:r>
      <w:r>
        <w:rPr>
          <w:rFonts w:hint="eastAsia" w:asciiTheme="minorEastAsia" w:hAnsiTheme="minorEastAsia" w:eastAsiaTheme="minorEastAsia"/>
          <w:sz w:val="24"/>
        </w:rPr>
        <w:t>磋商</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w:t>
      </w:r>
      <w:r>
        <w:rPr>
          <w:rFonts w:hint="eastAsia"/>
          <w:sz w:val="24"/>
        </w:rPr>
        <w:t>供应商</w:t>
      </w:r>
      <w:r>
        <w:rPr>
          <w:rFonts w:hint="eastAsia" w:asciiTheme="minorEastAsia" w:hAnsiTheme="minorEastAsia" w:eastAsiaTheme="minorEastAsia"/>
          <w:sz w:val="24"/>
        </w:rPr>
        <w:t>综合总得分由高到低依次推荐成交候选人。综合总得分出现两家或两家以上相同者，按报价由低到高排序推荐成交候选人；综合总得分且报价均相同的，由磋商小组按照技术指标优劣顺序推荐成交候选人。</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确定成交单位候选人和成交单位</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.1</w:t>
      </w:r>
      <w:r>
        <w:rPr>
          <w:rFonts w:hint="eastAsia" w:asciiTheme="minorEastAsia" w:hAnsiTheme="minorEastAsia" w:eastAsiaTheme="minorEastAsia"/>
          <w:sz w:val="24"/>
        </w:rPr>
        <w:t>磋商小组根据综合评分的结果和</w:t>
      </w:r>
      <w:r>
        <w:rPr>
          <w:rFonts w:hint="eastAsia"/>
          <w:sz w:val="24"/>
        </w:rPr>
        <w:t>供应商</w:t>
      </w:r>
      <w:r>
        <w:rPr>
          <w:rFonts w:asciiTheme="minorEastAsia" w:hAnsiTheme="minorEastAsia" w:eastAsiaTheme="minorEastAsia"/>
          <w:sz w:val="24"/>
        </w:rPr>
        <w:t>须知前附表中规定</w:t>
      </w:r>
      <w:r>
        <w:rPr>
          <w:rFonts w:hint="eastAsia" w:asciiTheme="minorEastAsia" w:hAnsiTheme="minorEastAsia" w:eastAsiaTheme="minorEastAsia"/>
          <w:sz w:val="24"/>
        </w:rPr>
        <w:t>确定成交候选人，并标明排列顺序。排名第一的成交候选人经业主单位或业主单位授权的磋商小组确定为成交人后，由代理机构在指定媒体上予以公告。</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22.编写评审报告</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22.1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成交候选人和成交结果公示</w:t>
      </w:r>
    </w:p>
    <w:p>
      <w:pPr>
        <w:spacing w:line="360" w:lineRule="auto"/>
        <w:ind w:firstLine="435"/>
        <w:rPr>
          <w:sz w:val="24"/>
        </w:rPr>
      </w:pPr>
      <w:r>
        <w:rPr>
          <w:rFonts w:hint="eastAsia"/>
          <w:sz w:val="24"/>
        </w:rPr>
        <w:t>23.1 为体现“公开、公平、公正”的原则，磋商结束后，代理机构将在发布磋商公告的媒介上发布成交候选人公示和成交结果公示。</w:t>
      </w:r>
    </w:p>
    <w:p>
      <w:pPr>
        <w:spacing w:line="360" w:lineRule="auto"/>
        <w:ind w:firstLine="435"/>
        <w:rPr>
          <w:sz w:val="24"/>
        </w:rPr>
      </w:pPr>
      <w:r>
        <w:rPr>
          <w:rFonts w:hint="eastAsia"/>
          <w:sz w:val="24"/>
        </w:rPr>
        <w:t>23.2 业主单位在收到评审报告之日起3日内，依法公示成交候选人。业主单位在确定成交人之日起3日内，依法公示成交结果。</w:t>
      </w:r>
    </w:p>
    <w:p>
      <w:pPr>
        <w:spacing w:line="360" w:lineRule="auto"/>
        <w:ind w:firstLine="435"/>
        <w:rPr>
          <w:b/>
          <w:bCs/>
          <w:sz w:val="24"/>
        </w:rPr>
      </w:pPr>
      <w:r>
        <w:rPr>
          <w:rFonts w:hint="eastAsia"/>
          <w:b/>
          <w:bCs/>
          <w:sz w:val="24"/>
        </w:rPr>
        <w:t>24.成交通知书</w:t>
      </w:r>
    </w:p>
    <w:p>
      <w:pPr>
        <w:spacing w:line="360" w:lineRule="auto"/>
        <w:ind w:firstLine="435"/>
        <w:rPr>
          <w:sz w:val="24"/>
        </w:rPr>
      </w:pPr>
      <w:r>
        <w:rPr>
          <w:rFonts w:hint="eastAsia"/>
          <w:sz w:val="24"/>
        </w:rPr>
        <w:t>24.1代理机构发布成交结果公告的同时以供应商须知前附表规定的形式向成交人发出成交通知书。</w:t>
      </w:r>
    </w:p>
    <w:p>
      <w:pPr>
        <w:spacing w:line="360" w:lineRule="auto"/>
        <w:ind w:firstLine="435"/>
        <w:rPr>
          <w:sz w:val="24"/>
        </w:rPr>
      </w:pPr>
      <w:r>
        <w:rPr>
          <w:rFonts w:hint="eastAsia"/>
          <w:sz w:val="24"/>
        </w:rPr>
        <w:t>24.2成交通知书对业主单位和成交人具有同等法律效力。成交通知书发出以后，业主单位改变成交结果或者成交人放弃成交资格，应当承担相应的法律责任。</w:t>
      </w:r>
    </w:p>
    <w:p>
      <w:pPr>
        <w:spacing w:line="360" w:lineRule="auto"/>
        <w:ind w:firstLine="435"/>
        <w:rPr>
          <w:sz w:val="24"/>
        </w:rPr>
      </w:pPr>
      <w:r>
        <w:rPr>
          <w:rFonts w:hint="eastAsia"/>
          <w:sz w:val="24"/>
        </w:rPr>
        <w:t>24.3成交通知书是合同的组成部分。</w:t>
      </w:r>
    </w:p>
    <w:p>
      <w:pPr>
        <w:spacing w:line="360" w:lineRule="auto"/>
        <w:ind w:firstLine="435"/>
        <w:rPr>
          <w:sz w:val="24"/>
        </w:rPr>
      </w:pPr>
      <w:r>
        <w:rPr>
          <w:rFonts w:hint="eastAsia"/>
          <w:b/>
          <w:bCs/>
          <w:sz w:val="24"/>
        </w:rPr>
        <w:t>25.告知磋商结果</w:t>
      </w:r>
    </w:p>
    <w:p>
      <w:pPr>
        <w:spacing w:line="360" w:lineRule="auto"/>
        <w:ind w:firstLine="435"/>
        <w:rPr>
          <w:sz w:val="24"/>
        </w:rPr>
      </w:pPr>
      <w:r>
        <w:rPr>
          <w:rFonts w:hint="eastAsia"/>
          <w:sz w:val="24"/>
        </w:rPr>
        <w:t>25.1 代理机构对未成交的供应商不做未成交原因的解释。</w:t>
      </w:r>
    </w:p>
    <w:p>
      <w:pPr>
        <w:spacing w:line="360" w:lineRule="auto"/>
        <w:ind w:firstLine="435"/>
        <w:rPr>
          <w:b/>
          <w:bCs/>
          <w:sz w:val="24"/>
        </w:rPr>
      </w:pPr>
      <w:r>
        <w:rPr>
          <w:rFonts w:hint="eastAsia"/>
          <w:b/>
          <w:bCs/>
          <w:sz w:val="24"/>
        </w:rPr>
        <w:t>26.履约保证金</w:t>
      </w:r>
    </w:p>
    <w:p>
      <w:pPr>
        <w:spacing w:line="360" w:lineRule="auto"/>
        <w:ind w:firstLine="435"/>
        <w:rPr>
          <w:sz w:val="24"/>
        </w:rPr>
      </w:pPr>
      <w:r>
        <w:rPr>
          <w:rFonts w:hint="eastAsia"/>
          <w:sz w:val="24"/>
        </w:rPr>
        <w:t xml:space="preserve">26.1 成交人应按照供应商须知前附表规定缴纳履约保证金。 </w:t>
      </w:r>
    </w:p>
    <w:p>
      <w:pPr>
        <w:spacing w:line="360" w:lineRule="auto"/>
        <w:ind w:firstLine="435"/>
        <w:rPr>
          <w:sz w:val="24"/>
        </w:rPr>
      </w:pPr>
      <w:r>
        <w:rPr>
          <w:rFonts w:hint="eastAsia"/>
          <w:sz w:val="24"/>
        </w:rPr>
        <w:t>26.2 如果成交人没有按照上述履约保证金的规定执行，将视为放弃成交资格。在此情况下，业主单位可确定下一成交候选人为成交人，也可以重新开展磋商活动。</w:t>
      </w:r>
    </w:p>
    <w:p>
      <w:pPr>
        <w:spacing w:line="360" w:lineRule="auto"/>
        <w:ind w:firstLine="435"/>
        <w:rPr>
          <w:b/>
          <w:bCs/>
          <w:sz w:val="24"/>
        </w:rPr>
      </w:pPr>
      <w:r>
        <w:rPr>
          <w:rFonts w:hint="eastAsia"/>
          <w:b/>
          <w:bCs/>
          <w:sz w:val="24"/>
        </w:rPr>
        <w:t>27.代理费</w:t>
      </w:r>
    </w:p>
    <w:p>
      <w:pPr>
        <w:spacing w:line="360" w:lineRule="auto"/>
        <w:ind w:firstLine="435"/>
        <w:rPr>
          <w:sz w:val="24"/>
        </w:rPr>
      </w:pPr>
      <w:r>
        <w:rPr>
          <w:rFonts w:hint="eastAsia"/>
          <w:sz w:val="24"/>
        </w:rPr>
        <w:t>27.1在公告成交（成交）结果后，成交人应向</w:t>
      </w:r>
      <w:r>
        <w:rPr>
          <w:rFonts w:hint="eastAsia"/>
          <w:sz w:val="24"/>
          <w:lang w:eastAsia="zh-CN"/>
        </w:rPr>
        <w:t>肥西县派合商务服务有限公司</w:t>
      </w:r>
      <w:r>
        <w:rPr>
          <w:rFonts w:hint="eastAsia"/>
          <w:sz w:val="24"/>
        </w:rPr>
        <w:t>交纳代理费。</w:t>
      </w:r>
    </w:p>
    <w:p>
      <w:pPr>
        <w:spacing w:line="360" w:lineRule="auto"/>
        <w:ind w:firstLine="435"/>
        <w:rPr>
          <w:sz w:val="24"/>
        </w:rPr>
      </w:pPr>
      <w:r>
        <w:rPr>
          <w:rFonts w:hint="eastAsia"/>
          <w:sz w:val="24"/>
        </w:rPr>
        <w:t>代理费缴纳账户</w:t>
      </w:r>
    </w:p>
    <w:p>
      <w:pPr>
        <w:spacing w:line="360" w:lineRule="auto"/>
        <w:ind w:firstLine="435"/>
        <w:rPr>
          <w:rFonts w:hint="eastAsia" w:eastAsia="宋体"/>
          <w:b/>
          <w:bCs/>
          <w:sz w:val="24"/>
          <w:lang w:eastAsia="zh-CN"/>
        </w:rPr>
      </w:pPr>
      <w:r>
        <w:rPr>
          <w:rFonts w:hint="eastAsia"/>
          <w:b/>
          <w:bCs/>
          <w:sz w:val="24"/>
        </w:rPr>
        <w:t>户名：</w:t>
      </w:r>
      <w:r>
        <w:rPr>
          <w:rFonts w:hint="eastAsia"/>
          <w:b/>
          <w:bCs/>
          <w:sz w:val="24"/>
          <w:lang w:eastAsia="zh-CN"/>
        </w:rPr>
        <w:t>肥西县派合商务服务有限公司</w:t>
      </w:r>
    </w:p>
    <w:p>
      <w:pPr>
        <w:spacing w:line="360" w:lineRule="auto"/>
        <w:ind w:firstLine="435"/>
        <w:rPr>
          <w:b/>
          <w:bCs/>
          <w:sz w:val="24"/>
        </w:rPr>
      </w:pPr>
      <w:r>
        <w:rPr>
          <w:rFonts w:hint="eastAsia"/>
          <w:b/>
          <w:bCs/>
          <w:sz w:val="24"/>
        </w:rPr>
        <w:t>账号：179746801939</w:t>
      </w:r>
    </w:p>
    <w:p>
      <w:pPr>
        <w:spacing w:line="360" w:lineRule="auto"/>
        <w:ind w:firstLine="435"/>
        <w:rPr>
          <w:b/>
          <w:bCs/>
          <w:sz w:val="24"/>
        </w:rPr>
      </w:pPr>
      <w:r>
        <w:rPr>
          <w:rFonts w:hint="eastAsia"/>
          <w:b/>
          <w:bCs/>
          <w:sz w:val="24"/>
        </w:rPr>
        <w:t>开户行：中国银行股份有限公司肥西支行</w:t>
      </w:r>
    </w:p>
    <w:p>
      <w:pPr>
        <w:widowControl/>
        <w:jc w:val="left"/>
        <w:rPr>
          <w:rFonts w:cs="宋体"/>
          <w:kern w:val="2"/>
          <w:sz w:val="24"/>
        </w:rPr>
      </w:pPr>
      <w:r>
        <w:rPr>
          <w:rFonts w:hint="eastAsia"/>
          <w:sz w:val="24"/>
        </w:rPr>
        <w:t>代理费</w:t>
      </w:r>
      <w:r>
        <w:rPr>
          <w:sz w:val="24"/>
        </w:rPr>
        <w:t>的收取</w:t>
      </w:r>
      <w:r>
        <w:rPr>
          <w:rFonts w:hint="eastAsia" w:cs="宋体"/>
          <w:sz w:val="24"/>
        </w:rPr>
        <w:t>采用差额定率累进计费方式，</w:t>
      </w:r>
      <w:r>
        <w:rPr>
          <w:rFonts w:hint="eastAsia" w:cs="宋体"/>
          <w:kern w:val="2"/>
          <w:sz w:val="24"/>
        </w:rPr>
        <w:t>具体收费标准参照关于印发《招标（采购）代理行业服务收费指导意见》的通知（合公协〔2023</w:t>
      </w:r>
      <w:r>
        <w:rPr>
          <w:rFonts w:hint="eastAsia"/>
          <w:sz w:val="24"/>
          <w:szCs w:val="24"/>
        </w:rPr>
        <w:t>〕</w:t>
      </w:r>
      <w:r>
        <w:rPr>
          <w:rFonts w:hint="eastAsia" w:cs="宋体"/>
          <w:kern w:val="2"/>
          <w:sz w:val="24"/>
        </w:rPr>
        <w:t>03号）文件收取。</w:t>
      </w:r>
    </w:p>
    <w:p>
      <w:pPr>
        <w:pStyle w:val="8"/>
        <w:ind w:left="400"/>
      </w:pPr>
    </w:p>
    <w:p>
      <w:pPr>
        <w:jc w:val="center"/>
        <w:rPr>
          <w:rStyle w:val="25"/>
          <w:rFonts w:cs="宋体"/>
          <w:sz w:val="24"/>
        </w:rPr>
      </w:pPr>
      <w:r>
        <w:rPr>
          <w:rStyle w:val="25"/>
          <w:rFonts w:hint="eastAsia" w:cs="宋体"/>
          <w:sz w:val="24"/>
        </w:rPr>
        <w:t>收费标准</w:t>
      </w:r>
    </w:p>
    <w:tbl>
      <w:tblPr>
        <w:tblStyle w:val="23"/>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
                <w:bCs/>
                <w:sz w:val="24"/>
              </w:rPr>
            </w:pPr>
            <w:r>
              <w:rPr>
                <w:rFonts w:hint="eastAsia" w:cs="宋体"/>
                <w:b/>
                <w:bCs/>
                <w:sz w:val="24"/>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24"/>
              </w:rPr>
            </w:pPr>
            <w:r>
              <w:rPr>
                <w:rFonts w:hint="eastAsia" w:cs="宋体"/>
                <w:b/>
                <w:bCs/>
                <w:sz w:val="24"/>
              </w:rPr>
              <w:t>货物</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24"/>
              </w:rPr>
            </w:pPr>
            <w:r>
              <w:rPr>
                <w:rFonts w:hint="eastAsia" w:cs="宋体"/>
                <w:b/>
                <w:bCs/>
                <w:sz w:val="24"/>
              </w:rPr>
              <w:t>服务</w:t>
            </w:r>
          </w:p>
        </w:tc>
        <w:tc>
          <w:tcPr>
            <w:tcW w:w="1282" w:type="dxa"/>
            <w:tcBorders>
              <w:top w:val="single" w:color="auto" w:sz="4" w:space="0"/>
              <w:left w:val="single" w:color="auto" w:sz="4" w:space="0"/>
              <w:bottom w:val="single" w:color="auto" w:sz="4" w:space="0"/>
            </w:tcBorders>
            <w:vAlign w:val="center"/>
          </w:tcPr>
          <w:p>
            <w:pPr>
              <w:jc w:val="center"/>
              <w:rPr>
                <w:rFonts w:cs="宋体"/>
                <w:b/>
                <w:bCs/>
                <w:sz w:val="24"/>
              </w:rPr>
            </w:pPr>
            <w:r>
              <w:rPr>
                <w:rFonts w:hint="eastAsia" w:cs="宋体"/>
                <w:b/>
                <w:bCs/>
                <w:sz w:val="24"/>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100</w:t>
            </w:r>
            <w:r>
              <w:rPr>
                <w:rFonts w:hint="eastAsia" w:cs="宋体"/>
                <w:bCs/>
                <w:sz w:val="24"/>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1.</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1.</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hint="eastAsia" w:cs="宋体"/>
                <w:bCs/>
                <w:sz w:val="24"/>
              </w:rPr>
              <w:t>1.0</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100</w:t>
            </w:r>
            <w:r>
              <w:rPr>
                <w:rFonts w:hint="eastAsia" w:cs="宋体"/>
                <w:bCs/>
                <w:sz w:val="24"/>
              </w:rPr>
              <w:t>万元</w:t>
            </w:r>
            <w:r>
              <w:rPr>
                <w:rFonts w:cs="宋体"/>
                <w:bCs/>
                <w:sz w:val="24"/>
              </w:rPr>
              <w:t>-500</w:t>
            </w:r>
            <w:r>
              <w:rPr>
                <w:rFonts w:hint="eastAsia" w:cs="宋体"/>
                <w:bCs/>
                <w:sz w:val="24"/>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hint="eastAsia" w:cs="宋体"/>
                <w:bCs/>
                <w:sz w:val="24"/>
              </w:rPr>
              <w:t>1</w:t>
            </w:r>
            <w:r>
              <w:rPr>
                <w:rFonts w:cs="宋体"/>
                <w:bCs/>
                <w:sz w:val="24"/>
              </w:rPr>
              <w:t>.</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8</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w:t>
            </w:r>
            <w:r>
              <w:rPr>
                <w:rFonts w:hint="eastAsia" w:cs="宋体"/>
                <w:bCs/>
                <w:sz w:val="24"/>
              </w:rPr>
              <w:t>7</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500</w:t>
            </w:r>
            <w:r>
              <w:rPr>
                <w:rFonts w:hint="eastAsia" w:cs="宋体"/>
                <w:bCs/>
                <w:sz w:val="24"/>
              </w:rPr>
              <w:t>万元</w:t>
            </w:r>
            <w:r>
              <w:rPr>
                <w:rFonts w:cs="宋体"/>
                <w:bCs/>
                <w:sz w:val="24"/>
              </w:rPr>
              <w:t>-1000</w:t>
            </w:r>
            <w:r>
              <w:rPr>
                <w:rFonts w:hint="eastAsia" w:cs="宋体"/>
                <w:bCs/>
                <w:sz w:val="24"/>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8</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45</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w:t>
            </w:r>
            <w:r>
              <w:rPr>
                <w:rFonts w:hint="eastAsia" w:cs="宋体"/>
                <w:bCs/>
                <w:sz w:val="24"/>
              </w:rPr>
              <w:t>55</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1000</w:t>
            </w:r>
            <w:r>
              <w:rPr>
                <w:rFonts w:hint="eastAsia" w:cs="宋体"/>
                <w:bCs/>
                <w:sz w:val="24"/>
              </w:rPr>
              <w:t>万元</w:t>
            </w:r>
            <w:r>
              <w:rPr>
                <w:rFonts w:cs="宋体"/>
                <w:bCs/>
                <w:sz w:val="24"/>
              </w:rPr>
              <w:t>-5000</w:t>
            </w:r>
            <w:r>
              <w:rPr>
                <w:rFonts w:hint="eastAsia" w:cs="宋体"/>
                <w:bCs/>
                <w:sz w:val="24"/>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0.2</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w:t>
            </w:r>
            <w:r>
              <w:rPr>
                <w:rFonts w:hint="eastAsia" w:cs="宋体"/>
                <w:bCs/>
                <w:sz w:val="24"/>
              </w:rPr>
              <w:t>35</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5000</w:t>
            </w:r>
            <w:r>
              <w:rPr>
                <w:rFonts w:hint="eastAsia" w:cs="宋体"/>
                <w:bCs/>
                <w:sz w:val="24"/>
              </w:rPr>
              <w:t>万元</w:t>
            </w:r>
            <w:r>
              <w:rPr>
                <w:rFonts w:cs="宋体"/>
                <w:bCs/>
                <w:sz w:val="24"/>
              </w:rPr>
              <w:t>-1</w:t>
            </w:r>
            <w:r>
              <w:rPr>
                <w:rFonts w:hint="eastAsia" w:cs="宋体"/>
                <w:bCs/>
                <w:sz w:val="24"/>
              </w:rPr>
              <w:t>亿元（含</w:t>
            </w:r>
            <w:r>
              <w:rPr>
                <w:rFonts w:cs="宋体"/>
                <w:bCs/>
                <w:sz w:val="24"/>
              </w:rPr>
              <w:t>1</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0.2</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w:t>
            </w:r>
            <w:r>
              <w:rPr>
                <w:rFonts w:hint="eastAsia" w:cs="宋体"/>
                <w:bCs/>
                <w:sz w:val="24"/>
              </w:rPr>
              <w:t>2</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w:t>
            </w:r>
            <w:r>
              <w:rPr>
                <w:rFonts w:hint="eastAsia" w:cs="宋体"/>
                <w:bCs/>
                <w:sz w:val="24"/>
              </w:rPr>
              <w:t>亿元</w:t>
            </w:r>
            <w:r>
              <w:rPr>
                <w:rFonts w:cs="宋体"/>
                <w:bCs/>
                <w:sz w:val="24"/>
              </w:rPr>
              <w:t>-10</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0.0</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0.0</w:t>
            </w:r>
            <w:r>
              <w:rPr>
                <w:rFonts w:hint="eastAsia" w:cs="宋体"/>
                <w:bCs/>
                <w:sz w:val="24"/>
              </w:rPr>
              <w:t>5</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10</w:t>
            </w:r>
            <w:r>
              <w:rPr>
                <w:rFonts w:hint="eastAsia" w:cs="宋体"/>
                <w:bCs/>
                <w:sz w:val="24"/>
              </w:rPr>
              <w:t>亿以上</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0.0</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0.0</w:t>
            </w:r>
            <w:r>
              <w:rPr>
                <w:rFonts w:hint="eastAsia" w:cs="宋体"/>
                <w:bCs/>
                <w:sz w:val="24"/>
              </w:rPr>
              <w:t>1</w:t>
            </w:r>
            <w:r>
              <w:rPr>
                <w:rFonts w:cs="宋体"/>
                <w:bCs/>
                <w:sz w:val="24"/>
              </w:rPr>
              <w:t>%</w:t>
            </w:r>
          </w:p>
        </w:tc>
      </w:tr>
    </w:tbl>
    <w:p>
      <w:pPr>
        <w:pStyle w:val="6"/>
      </w:pPr>
    </w:p>
    <w:p>
      <w:pPr>
        <w:spacing w:line="360" w:lineRule="auto"/>
        <w:ind w:firstLine="435"/>
        <w:rPr>
          <w:b/>
          <w:bCs/>
          <w:sz w:val="24"/>
        </w:rPr>
      </w:pPr>
      <w:r>
        <w:rPr>
          <w:rFonts w:hint="eastAsia"/>
          <w:b/>
          <w:bCs/>
          <w:sz w:val="24"/>
        </w:rPr>
        <w:t>28.签订合同</w:t>
      </w:r>
    </w:p>
    <w:p>
      <w:pPr>
        <w:spacing w:line="360" w:lineRule="auto"/>
        <w:ind w:firstLine="435"/>
        <w:rPr>
          <w:sz w:val="24"/>
        </w:rPr>
      </w:pPr>
      <w:r>
        <w:rPr>
          <w:rFonts w:hint="eastAsia"/>
          <w:sz w:val="24"/>
        </w:rPr>
        <w:t>28.1业主单位与成交人应当自发出成交通知书之日起30日内签订合同。</w:t>
      </w:r>
    </w:p>
    <w:p>
      <w:pPr>
        <w:spacing w:line="360" w:lineRule="auto"/>
        <w:ind w:firstLine="435"/>
        <w:rPr>
          <w:sz w:val="24"/>
        </w:rPr>
      </w:pPr>
      <w:r>
        <w:rPr>
          <w:rFonts w:hint="eastAsia"/>
          <w:sz w:val="24"/>
        </w:rPr>
        <w:t>28.2磋商文件、成交人的响应文件及其澄清文件等，均为签订合同的依据。</w:t>
      </w:r>
    </w:p>
    <w:p>
      <w:pPr>
        <w:spacing w:line="360" w:lineRule="auto"/>
        <w:ind w:firstLine="435"/>
        <w:rPr>
          <w:sz w:val="24"/>
        </w:rPr>
      </w:pPr>
      <w:r>
        <w:rPr>
          <w:rFonts w:hint="eastAsia"/>
          <w:sz w:val="24"/>
        </w:rPr>
        <w:t>28.3成交人拒绝与业主单位签订合同的，业主单位可以按照评审报告推荐的成交候选人名单排序，确定下一成交候选人为成交人，也可以重新开展磋商活动。成交人拒绝签订合同的不得参加对该项目重新开展的磋商活动。</w:t>
      </w:r>
    </w:p>
    <w:p>
      <w:pPr>
        <w:spacing w:line="360" w:lineRule="auto"/>
        <w:ind w:firstLine="435"/>
        <w:rPr>
          <w:b/>
          <w:bCs/>
          <w:sz w:val="24"/>
        </w:rPr>
      </w:pPr>
      <w:r>
        <w:rPr>
          <w:rFonts w:hint="eastAsia"/>
          <w:b/>
          <w:bCs/>
          <w:sz w:val="24"/>
        </w:rPr>
        <w:t>29.廉洁自律规定</w:t>
      </w:r>
    </w:p>
    <w:p>
      <w:pPr>
        <w:spacing w:line="360" w:lineRule="auto"/>
        <w:ind w:firstLine="435"/>
        <w:rPr>
          <w:sz w:val="24"/>
        </w:rPr>
      </w:pPr>
      <w:r>
        <w:rPr>
          <w:rFonts w:hint="eastAsia"/>
          <w:sz w:val="24"/>
        </w:rPr>
        <w:t>29.1代理机构工作人员不得以不正当手段获取代理业务，不得与业主单位、供应商恶意串通。</w:t>
      </w:r>
    </w:p>
    <w:p>
      <w:pPr>
        <w:spacing w:line="360" w:lineRule="auto"/>
        <w:ind w:firstLine="435"/>
        <w:rPr>
          <w:sz w:val="24"/>
        </w:rPr>
      </w:pPr>
      <w:r>
        <w:rPr>
          <w:rFonts w:hint="eastAsia"/>
          <w:sz w:val="24"/>
        </w:rPr>
        <w:t>29.2代理机构工作人员不得接受业主单位或者供应商组织的宴请、旅游、娱乐，不得收受礼品、现金、有价证券等，不得向业主单位或者供应商报销应当由个人承担的费用。</w:t>
      </w:r>
    </w:p>
    <w:p>
      <w:pPr>
        <w:spacing w:line="360" w:lineRule="auto"/>
        <w:ind w:firstLine="435"/>
        <w:rPr>
          <w:b/>
          <w:bCs/>
          <w:sz w:val="24"/>
        </w:rPr>
      </w:pPr>
      <w:r>
        <w:rPr>
          <w:rFonts w:hint="eastAsia"/>
          <w:b/>
          <w:bCs/>
          <w:sz w:val="24"/>
        </w:rPr>
        <w:t>30.异议的提出与接收</w:t>
      </w:r>
    </w:p>
    <w:p>
      <w:pPr>
        <w:spacing w:line="360" w:lineRule="auto"/>
        <w:ind w:firstLine="435"/>
        <w:rPr>
          <w:sz w:val="24"/>
        </w:rPr>
      </w:pPr>
      <w:r>
        <w:rPr>
          <w:rFonts w:hint="eastAsia"/>
          <w:sz w:val="24"/>
        </w:rPr>
        <w:t>30.1供应商认为磋商文件、磋商过程和成交结果使自己的权益受到损害的，可以在知道或者应知其权益受到损害之日起三日内，以书面形式向业主单位或其委托的代理机构提出异议。</w:t>
      </w:r>
    </w:p>
    <w:p>
      <w:pPr>
        <w:spacing w:line="360" w:lineRule="auto"/>
        <w:ind w:firstLine="435"/>
        <w:rPr>
          <w:sz w:val="24"/>
        </w:rPr>
      </w:pPr>
      <w:r>
        <w:rPr>
          <w:rFonts w:hint="eastAsia"/>
          <w:sz w:val="24"/>
        </w:rPr>
        <w:t>30.2异议应以书面形式实名提出，书面异议材料应当包括以下内容：</w:t>
      </w:r>
    </w:p>
    <w:p>
      <w:pPr>
        <w:spacing w:line="360" w:lineRule="auto"/>
        <w:ind w:firstLine="435"/>
        <w:rPr>
          <w:sz w:val="24"/>
        </w:rPr>
      </w:pPr>
      <w:r>
        <w:rPr>
          <w:rFonts w:hint="eastAsia"/>
          <w:sz w:val="24"/>
        </w:rPr>
        <w:t>30.3异议人的名称、地址、有效联系方式；</w:t>
      </w:r>
    </w:p>
    <w:p>
      <w:pPr>
        <w:spacing w:line="360" w:lineRule="auto"/>
        <w:ind w:firstLine="435"/>
        <w:rPr>
          <w:sz w:val="24"/>
        </w:rPr>
      </w:pPr>
      <w:r>
        <w:rPr>
          <w:rFonts w:hint="eastAsia"/>
          <w:sz w:val="24"/>
        </w:rPr>
        <w:t>30.5项目名称、项目编号、标段号（如有）；</w:t>
      </w:r>
    </w:p>
    <w:p>
      <w:pPr>
        <w:spacing w:line="360" w:lineRule="auto"/>
        <w:ind w:firstLine="435"/>
        <w:rPr>
          <w:sz w:val="24"/>
        </w:rPr>
      </w:pPr>
      <w:r>
        <w:rPr>
          <w:rFonts w:hint="eastAsia"/>
          <w:sz w:val="24"/>
        </w:rPr>
        <w:t>30.6被异议人名称；</w:t>
      </w:r>
    </w:p>
    <w:p>
      <w:pPr>
        <w:spacing w:line="360" w:lineRule="auto"/>
        <w:ind w:firstLine="435"/>
        <w:rPr>
          <w:sz w:val="24"/>
        </w:rPr>
      </w:pPr>
      <w:r>
        <w:rPr>
          <w:rFonts w:hint="eastAsia"/>
          <w:sz w:val="24"/>
        </w:rPr>
        <w:t>30.7具体的异议事项、基本事实及必要的证明材料；</w:t>
      </w:r>
    </w:p>
    <w:p>
      <w:pPr>
        <w:spacing w:line="360" w:lineRule="auto"/>
        <w:ind w:firstLine="435"/>
        <w:rPr>
          <w:sz w:val="24"/>
        </w:rPr>
      </w:pPr>
      <w:r>
        <w:rPr>
          <w:rFonts w:hint="eastAsia"/>
          <w:sz w:val="24"/>
        </w:rPr>
        <w:t>30.8明确的请求及主张；</w:t>
      </w:r>
    </w:p>
    <w:p>
      <w:pPr>
        <w:spacing w:line="360" w:lineRule="auto"/>
        <w:ind w:firstLine="435"/>
        <w:rPr>
          <w:sz w:val="24"/>
        </w:rPr>
      </w:pPr>
      <w:r>
        <w:rPr>
          <w:rFonts w:hint="eastAsia"/>
          <w:sz w:val="24"/>
        </w:rPr>
        <w:t>30.9提起异议的日期。</w:t>
      </w:r>
    </w:p>
    <w:p>
      <w:pPr>
        <w:spacing w:line="360" w:lineRule="auto"/>
        <w:ind w:firstLine="435"/>
        <w:rPr>
          <w:sz w:val="24"/>
        </w:rPr>
      </w:pPr>
      <w:r>
        <w:rPr>
          <w:rFonts w:hint="eastAsia"/>
          <w:sz w:val="24"/>
        </w:rPr>
        <w:t>异议人为法人或者其他组织的，应当由法定代表人或其委托代理人（需有委托授权书）签字并加盖公章。异议人需要修改、补充异议材料的，应当在异议期内提交修改或补充材料。</w:t>
      </w:r>
    </w:p>
    <w:p>
      <w:pPr>
        <w:spacing w:line="360" w:lineRule="auto"/>
        <w:ind w:firstLine="435"/>
        <w:rPr>
          <w:sz w:val="24"/>
        </w:rPr>
      </w:pPr>
      <w:r>
        <w:rPr>
          <w:rFonts w:hint="eastAsia"/>
          <w:sz w:val="24"/>
        </w:rPr>
        <w:t>30.10代理机构异议函接收部门、联系电话和通讯地址，见供应商须知前附表。</w:t>
      </w:r>
    </w:p>
    <w:p>
      <w:pPr>
        <w:spacing w:line="360" w:lineRule="auto"/>
        <w:ind w:firstLine="435"/>
        <w:rPr>
          <w:b/>
          <w:bCs/>
          <w:sz w:val="24"/>
        </w:rPr>
      </w:pPr>
      <w:r>
        <w:rPr>
          <w:rFonts w:hint="eastAsia"/>
          <w:b/>
          <w:bCs/>
          <w:sz w:val="24"/>
        </w:rPr>
        <w:t>31.需要补充的其他内容</w:t>
      </w:r>
    </w:p>
    <w:p>
      <w:pPr>
        <w:spacing w:line="360" w:lineRule="auto"/>
        <w:ind w:firstLine="435"/>
        <w:rPr>
          <w:sz w:val="24"/>
        </w:rPr>
      </w:pPr>
      <w:r>
        <w:rPr>
          <w:rFonts w:hint="eastAsia"/>
          <w:sz w:val="24"/>
        </w:rPr>
        <w:t>需要补充的其他内容，见供应商须知前附表。</w:t>
      </w:r>
    </w:p>
    <w:p>
      <w:pPr>
        <w:spacing w:line="360" w:lineRule="auto"/>
        <w:jc w:val="center"/>
        <w:outlineLvl w:val="0"/>
        <w:rPr>
          <w:b/>
          <w:sz w:val="28"/>
        </w:rPr>
      </w:pPr>
      <w:r>
        <w:rPr>
          <w:sz w:val="24"/>
        </w:rPr>
        <w:br w:type="page"/>
      </w:r>
      <w:bookmarkStart w:id="47" w:name="_Toc1535"/>
      <w:r>
        <w:rPr>
          <w:rFonts w:hint="eastAsia"/>
          <w:b/>
          <w:sz w:val="28"/>
        </w:rPr>
        <w:t>第三章  项目需求</w:t>
      </w:r>
      <w:bookmarkEnd w:id="47"/>
    </w:p>
    <w:p>
      <w:pPr>
        <w:spacing w:line="360" w:lineRule="auto"/>
        <w:outlineLvl w:val="0"/>
        <w:rPr>
          <w:rFonts w:hint="eastAsia"/>
          <w:sz w:val="24"/>
        </w:rPr>
      </w:pPr>
      <w:r>
        <w:rPr>
          <w:rFonts w:hint="eastAsia"/>
          <w:sz w:val="24"/>
          <w:lang w:val="en-US" w:eastAsia="zh-CN"/>
        </w:rPr>
        <w:t>一</w:t>
      </w:r>
      <w:r>
        <w:rPr>
          <w:rFonts w:hint="eastAsia"/>
          <w:sz w:val="24"/>
        </w:rPr>
        <w:t>、项目概况：对高店镇高店社区</w:t>
      </w:r>
      <w:r>
        <w:rPr>
          <w:rFonts w:hint="eastAsia"/>
          <w:sz w:val="24"/>
          <w:szCs w:val="18"/>
          <w:lang w:eastAsia="zh-CN"/>
        </w:rPr>
        <w:t>陈小郢等</w:t>
      </w:r>
      <w:r>
        <w:rPr>
          <w:rFonts w:hint="eastAsia"/>
          <w:sz w:val="24"/>
        </w:rPr>
        <w:t>7个自然村开展较大人居环境整治提升项目设计，</w:t>
      </w:r>
      <w:r>
        <w:rPr>
          <w:rFonts w:hint="eastAsia"/>
          <w:sz w:val="24"/>
          <w:szCs w:val="18"/>
          <w:lang w:val="en-US" w:eastAsia="zh-CN"/>
        </w:rPr>
        <w:t>具体为</w:t>
      </w:r>
      <w:r>
        <w:rPr>
          <w:rFonts w:hint="eastAsia"/>
          <w:sz w:val="24"/>
          <w:szCs w:val="18"/>
          <w:lang w:eastAsia="zh-CN"/>
        </w:rPr>
        <w:t>开展污水、环境卫生、厕所、小微公（菜）园，照明、道路等项目设计服务，</w:t>
      </w:r>
      <w:r>
        <w:rPr>
          <w:rFonts w:hint="eastAsia"/>
          <w:sz w:val="24"/>
        </w:rPr>
        <w:t>主要实施“三大革命”“五件小事”。</w:t>
      </w:r>
    </w:p>
    <w:p>
      <w:pPr>
        <w:spacing w:line="360" w:lineRule="auto"/>
        <w:outlineLvl w:val="0"/>
        <w:rPr>
          <w:rFonts w:hint="default" w:eastAsia="宋体"/>
          <w:sz w:val="24"/>
          <w:lang w:val="en-US" w:eastAsia="zh-CN"/>
        </w:rPr>
      </w:pPr>
      <w:r>
        <w:rPr>
          <w:rFonts w:hint="eastAsia"/>
          <w:sz w:val="24"/>
          <w:lang w:val="en-US" w:eastAsia="zh-CN"/>
        </w:rPr>
        <w:t>二</w:t>
      </w:r>
      <w:r>
        <w:rPr>
          <w:rFonts w:hint="eastAsia"/>
          <w:sz w:val="24"/>
        </w:rPr>
        <w:t>、建设地点：</w:t>
      </w:r>
      <w:r>
        <w:rPr>
          <w:rFonts w:hint="eastAsia"/>
          <w:sz w:val="24"/>
          <w:lang w:val="en-US" w:eastAsia="zh-CN"/>
        </w:rPr>
        <w:t>肥西县高店镇。</w:t>
      </w:r>
    </w:p>
    <w:p>
      <w:pPr>
        <w:spacing w:line="360" w:lineRule="auto"/>
        <w:outlineLvl w:val="0"/>
        <w:rPr>
          <w:rFonts w:hint="eastAsia"/>
          <w:sz w:val="24"/>
          <w:highlight w:val="none"/>
        </w:rPr>
      </w:pPr>
      <w:r>
        <w:rPr>
          <w:rFonts w:hint="eastAsia"/>
          <w:sz w:val="24"/>
          <w:highlight w:val="none"/>
          <w:lang w:eastAsia="zh-CN"/>
        </w:rPr>
        <w:t>三</w:t>
      </w:r>
      <w:r>
        <w:rPr>
          <w:rFonts w:hint="eastAsia"/>
          <w:sz w:val="24"/>
          <w:highlight w:val="none"/>
        </w:rPr>
        <w:t>、招标范围：本次招标范围为该项目的全过程设计服务，包括（但不限于）方案设计、初步设计、概预算编制、施工图设计、必要的设计补充、设计变更及后期全过程的服务工作。</w:t>
      </w:r>
    </w:p>
    <w:p>
      <w:pPr>
        <w:spacing w:line="360" w:lineRule="auto"/>
        <w:outlineLvl w:val="0"/>
        <w:rPr>
          <w:rFonts w:hint="eastAsia"/>
          <w:sz w:val="24"/>
          <w:highlight w:val="none"/>
        </w:rPr>
      </w:pPr>
      <w:r>
        <w:rPr>
          <w:rFonts w:hint="eastAsia"/>
          <w:sz w:val="24"/>
          <w:highlight w:val="none"/>
          <w:lang w:val="en-US" w:eastAsia="zh-CN"/>
        </w:rPr>
        <w:t>四</w:t>
      </w:r>
      <w:r>
        <w:rPr>
          <w:rFonts w:hint="eastAsia"/>
          <w:sz w:val="24"/>
          <w:highlight w:val="none"/>
        </w:rPr>
        <w:t>、付款方式：</w:t>
      </w:r>
      <w:r>
        <w:rPr>
          <w:rFonts w:hint="eastAsia"/>
          <w:sz w:val="24"/>
          <w:highlight w:val="none"/>
          <w:lang w:val="en-US" w:eastAsia="zh-CN"/>
        </w:rPr>
        <w:t>项目通过上级验收后付至合同金额的100%。</w:t>
      </w:r>
    </w:p>
    <w:p>
      <w:pPr>
        <w:rPr>
          <w:rFonts w:hint="eastAsia"/>
          <w:b/>
          <w:sz w:val="28"/>
        </w:rPr>
      </w:pPr>
      <w:bookmarkStart w:id="48" w:name="_Toc1626"/>
      <w:r>
        <w:rPr>
          <w:rFonts w:hint="eastAsia"/>
          <w:b/>
          <w:sz w:val="28"/>
        </w:rPr>
        <w:br w:type="page"/>
      </w:r>
    </w:p>
    <w:p>
      <w:pPr>
        <w:spacing w:line="360" w:lineRule="auto"/>
        <w:jc w:val="center"/>
        <w:outlineLvl w:val="0"/>
        <w:rPr>
          <w:b/>
          <w:sz w:val="28"/>
        </w:rPr>
      </w:pPr>
      <w:r>
        <w:rPr>
          <w:rFonts w:hint="eastAsia"/>
          <w:b/>
          <w:sz w:val="28"/>
        </w:rPr>
        <w:t>第四章  评审方法和标准</w:t>
      </w:r>
      <w:bookmarkEnd w:id="48"/>
    </w:p>
    <w:p>
      <w:pPr>
        <w:spacing w:line="360" w:lineRule="auto"/>
        <w:ind w:firstLine="437"/>
        <w:outlineLvl w:val="1"/>
        <w:rPr>
          <w:b/>
          <w:sz w:val="24"/>
        </w:rPr>
      </w:pPr>
      <w:bookmarkStart w:id="49" w:name="_Toc19546"/>
      <w:bookmarkStart w:id="50" w:name="_Toc31242"/>
      <w:bookmarkStart w:id="51" w:name="_Toc983"/>
      <w:bookmarkStart w:id="52" w:name="_Toc19552"/>
      <w:r>
        <w:rPr>
          <w:rFonts w:hint="eastAsia"/>
          <w:b/>
          <w:sz w:val="24"/>
        </w:rPr>
        <w:t>一、总则</w:t>
      </w:r>
      <w:bookmarkEnd w:id="49"/>
      <w:bookmarkEnd w:id="50"/>
      <w:bookmarkEnd w:id="51"/>
      <w:bookmarkEnd w:id="52"/>
    </w:p>
    <w:p>
      <w:pPr>
        <w:spacing w:line="360" w:lineRule="auto"/>
        <w:ind w:firstLine="435"/>
        <w:rPr>
          <w:sz w:val="24"/>
        </w:rPr>
      </w:pPr>
      <w:r>
        <w:rPr>
          <w:rFonts w:hint="eastAsia"/>
          <w:sz w:val="24"/>
        </w:rPr>
        <w:t>本项目将按照磋商文件第二章 供应商须知的相关要求</w:t>
      </w:r>
      <w:r>
        <w:rPr>
          <w:sz w:val="24"/>
        </w:rPr>
        <w:t>及本章的规定</w:t>
      </w:r>
      <w:r>
        <w:rPr>
          <w:rFonts w:hint="eastAsia"/>
          <w:sz w:val="24"/>
        </w:rPr>
        <w:t>评审</w:t>
      </w:r>
      <w:r>
        <w:rPr>
          <w:sz w:val="24"/>
        </w:rPr>
        <w:t>。</w:t>
      </w:r>
    </w:p>
    <w:p>
      <w:pPr>
        <w:spacing w:line="360" w:lineRule="auto"/>
        <w:ind w:firstLine="437"/>
        <w:outlineLvl w:val="1"/>
        <w:rPr>
          <w:b/>
          <w:sz w:val="24"/>
        </w:rPr>
      </w:pPr>
      <w:bookmarkStart w:id="53" w:name="_Toc10619"/>
      <w:bookmarkStart w:id="54" w:name="_Toc30562"/>
      <w:bookmarkStart w:id="55" w:name="_Toc4201"/>
      <w:bookmarkStart w:id="56" w:name="_Toc20256"/>
      <w:r>
        <w:rPr>
          <w:rFonts w:hint="eastAsia"/>
          <w:b/>
          <w:sz w:val="24"/>
        </w:rPr>
        <w:t>二、评审方法</w:t>
      </w:r>
      <w:bookmarkEnd w:id="53"/>
      <w:bookmarkEnd w:id="54"/>
      <w:bookmarkEnd w:id="55"/>
      <w:bookmarkEnd w:id="56"/>
    </w:p>
    <w:p>
      <w:pPr>
        <w:spacing w:line="360" w:lineRule="auto"/>
        <w:ind w:firstLine="435"/>
        <w:outlineLvl w:val="2"/>
        <w:rPr>
          <w:sz w:val="24"/>
        </w:rPr>
      </w:pPr>
      <w:r>
        <w:rPr>
          <w:rFonts w:hint="eastAsia"/>
          <w:sz w:val="24"/>
        </w:rPr>
        <w:t>2.1初审</w:t>
      </w:r>
    </w:p>
    <w:p>
      <w:pPr>
        <w:spacing w:line="360" w:lineRule="auto"/>
        <w:ind w:firstLine="435"/>
        <w:rPr>
          <w:sz w:val="24"/>
        </w:rPr>
      </w:pPr>
      <w:r>
        <w:rPr>
          <w:rFonts w:hint="eastAsia"/>
          <w:sz w:val="24"/>
        </w:rPr>
        <w:t>磋商小组对供应商的响应文件进行初审，以确定其是否满足磋商文件的实质性要求。初审表如下：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pPr>
              <w:adjustRightInd w:val="0"/>
              <w:snapToGrid w:val="0"/>
              <w:spacing w:line="360" w:lineRule="auto"/>
              <w:ind w:right="-10"/>
              <w:jc w:val="center"/>
              <w:rPr>
                <w:b/>
                <w:sz w:val="24"/>
              </w:rPr>
            </w:pPr>
            <w:r>
              <w:rPr>
                <w:rFonts w:hint="eastAsia"/>
                <w:b/>
                <w:sz w:val="24"/>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adjustRightInd w:val="0"/>
              <w:snapToGrid w:val="0"/>
              <w:spacing w:line="360" w:lineRule="auto"/>
              <w:ind w:right="-10"/>
              <w:jc w:val="center"/>
              <w:rPr>
                <w:b/>
                <w:sz w:val="24"/>
              </w:rPr>
            </w:pPr>
            <w:r>
              <w:rPr>
                <w:rFonts w:hint="eastAsia"/>
                <w:b/>
                <w:sz w:val="24"/>
              </w:rPr>
              <w:t>序号</w:t>
            </w:r>
          </w:p>
        </w:tc>
        <w:tc>
          <w:tcPr>
            <w:tcW w:w="1657" w:type="dxa"/>
            <w:tcBorders>
              <w:bottom w:val="single" w:color="auto" w:sz="4" w:space="0"/>
            </w:tcBorders>
            <w:vAlign w:val="center"/>
          </w:tcPr>
          <w:p>
            <w:pPr>
              <w:pStyle w:val="40"/>
              <w:pBdr>
                <w:bottom w:val="none" w:color="auto" w:sz="0" w:space="0"/>
              </w:pBdr>
              <w:tabs>
                <w:tab w:val="clear" w:pos="4153"/>
                <w:tab w:val="clear" w:pos="8306"/>
              </w:tabs>
              <w:snapToGrid w:val="0"/>
              <w:spacing w:line="360" w:lineRule="auto"/>
              <w:ind w:right="-10"/>
              <w:textAlignment w:val="auto"/>
              <w:rPr>
                <w:b/>
                <w:kern w:val="2"/>
                <w:szCs w:val="24"/>
              </w:rPr>
            </w:pPr>
            <w:r>
              <w:rPr>
                <w:rFonts w:hint="eastAsia"/>
                <w:b/>
                <w:kern w:val="2"/>
                <w:szCs w:val="24"/>
              </w:rPr>
              <w:t>评审指标</w:t>
            </w:r>
          </w:p>
        </w:tc>
        <w:tc>
          <w:tcPr>
            <w:tcW w:w="6149" w:type="dxa"/>
            <w:tcBorders>
              <w:bottom w:val="single" w:color="auto" w:sz="4" w:space="0"/>
            </w:tcBorders>
            <w:vAlign w:val="center"/>
          </w:tcPr>
          <w:p>
            <w:pPr>
              <w:adjustRightInd w:val="0"/>
              <w:snapToGrid w:val="0"/>
              <w:spacing w:line="360" w:lineRule="auto"/>
              <w:ind w:right="-10"/>
              <w:jc w:val="center"/>
              <w:rPr>
                <w:b/>
                <w:sz w:val="24"/>
              </w:rPr>
            </w:pPr>
            <w:r>
              <w:rPr>
                <w:rFonts w:hint="eastAsia"/>
                <w:b/>
                <w:sz w:val="24"/>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pStyle w:val="44"/>
              <w:numPr>
                <w:ilvl w:val="0"/>
                <w:numId w:val="3"/>
              </w:numPr>
              <w:jc w:val="center"/>
            </w:pPr>
          </w:p>
        </w:tc>
        <w:tc>
          <w:tcPr>
            <w:tcW w:w="1657" w:type="dxa"/>
            <w:tcBorders>
              <w:bottom w:val="single" w:color="auto" w:sz="4" w:space="0"/>
            </w:tcBorders>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营业执照</w:t>
            </w:r>
          </w:p>
        </w:tc>
        <w:tc>
          <w:tcPr>
            <w:tcW w:w="6149" w:type="dxa"/>
            <w:tcBorders>
              <w:bottom w:val="single" w:color="auto" w:sz="4" w:space="0"/>
            </w:tcBorders>
            <w:vAlign w:val="center"/>
          </w:tcPr>
          <w:p>
            <w:pPr>
              <w:adjustRightInd w:val="0"/>
              <w:snapToGrid w:val="0"/>
              <w:spacing w:line="360" w:lineRule="auto"/>
              <w:ind w:right="-10"/>
              <w:jc w:val="left"/>
              <w:rPr>
                <w:sz w:val="24"/>
              </w:rPr>
            </w:pPr>
            <w:r>
              <w:rPr>
                <w:rFonts w:hint="eastAsia"/>
                <w:sz w:val="24"/>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资质证书</w:t>
            </w:r>
          </w:p>
        </w:tc>
        <w:tc>
          <w:tcPr>
            <w:tcW w:w="6149" w:type="dxa"/>
            <w:vAlign w:val="center"/>
          </w:tcPr>
          <w:p>
            <w:pPr>
              <w:adjustRightInd w:val="0"/>
              <w:snapToGrid w:val="0"/>
              <w:spacing w:line="360" w:lineRule="auto"/>
              <w:ind w:right="-10"/>
              <w:jc w:val="left"/>
              <w:rPr>
                <w:sz w:val="24"/>
              </w:rPr>
            </w:pPr>
            <w:r>
              <w:rPr>
                <w:rFonts w:hint="eastAsia"/>
                <w:sz w:val="24"/>
              </w:rPr>
              <w:t>提供满足供应商资格中本项目的特定资格要求的资质证书扫描件。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jc w:val="left"/>
              <w:textAlignment w:val="auto"/>
              <w:rPr>
                <w:kern w:val="2"/>
                <w:szCs w:val="24"/>
              </w:rPr>
            </w:pPr>
            <w:r>
              <w:rPr>
                <w:rFonts w:hint="eastAsia"/>
              </w:rPr>
              <w:t>项目负责人</w:t>
            </w:r>
          </w:p>
        </w:tc>
        <w:tc>
          <w:tcPr>
            <w:tcW w:w="6149" w:type="dxa"/>
            <w:vAlign w:val="center"/>
          </w:tcPr>
          <w:p>
            <w:pPr>
              <w:spacing w:line="360" w:lineRule="auto"/>
              <w:jc w:val="left"/>
              <w:rPr>
                <w:sz w:val="24"/>
              </w:rPr>
            </w:pPr>
            <w:r>
              <w:rPr>
                <w:rFonts w:hint="eastAsia"/>
                <w:sz w:val="24"/>
              </w:rPr>
              <w:t>符合磋商文件要求且须提供供应商所属社保机构出具的项目负责人自202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月1日以来任意连续三个月的社保缴费证明（或其他能够证明项目负责人参加社保的有效证明）材料，项目负责人的社保缴纳单位应当是供应商或者供应商不具备独立法人资格的分支机构。</w:t>
            </w:r>
          </w:p>
          <w:p>
            <w:pPr>
              <w:spacing w:line="360" w:lineRule="auto"/>
              <w:jc w:val="left"/>
              <w:rPr>
                <w:sz w:val="24"/>
              </w:rPr>
            </w:pPr>
            <w:r>
              <w:rPr>
                <w:rFonts w:hint="eastAsia"/>
                <w:sz w:val="24"/>
              </w:rPr>
              <w:t>（社保缴费证明或社保的有效证明材料至少含养老保险）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磋商保证金</w:t>
            </w:r>
          </w:p>
        </w:tc>
        <w:tc>
          <w:tcPr>
            <w:tcW w:w="6149" w:type="dxa"/>
            <w:vAlign w:val="center"/>
          </w:tcPr>
          <w:p>
            <w:pPr>
              <w:spacing w:line="360" w:lineRule="auto"/>
              <w:jc w:val="left"/>
              <w:rPr>
                <w:sz w:val="24"/>
              </w:rPr>
            </w:pPr>
            <w:r>
              <w:rPr>
                <w:rFonts w:hint="eastAsia"/>
                <w:sz w:val="24"/>
              </w:rPr>
              <w:t>符合磋商文件要求。</w:t>
            </w:r>
          </w:p>
          <w:p>
            <w:pPr>
              <w:spacing w:line="360" w:lineRule="auto"/>
              <w:jc w:val="left"/>
              <w:rPr>
                <w:sz w:val="24"/>
              </w:rPr>
            </w:pPr>
            <w:r>
              <w:rPr>
                <w:rFonts w:hint="eastAsia"/>
                <w:b/>
                <w:bCs/>
                <w:sz w:val="24"/>
              </w:rPr>
              <w:t>备注</w:t>
            </w:r>
            <w:r>
              <w:rPr>
                <w:b/>
                <w:bCs/>
                <w:sz w:val="24"/>
              </w:rPr>
              <w:t>：</w:t>
            </w:r>
            <w:r>
              <w:rPr>
                <w:rFonts w:hint="eastAsia"/>
                <w:b/>
                <w:bCs/>
                <w:sz w:val="24"/>
              </w:rPr>
              <w:t>提供磋商保证金转账回单截图，需从供应商银行账户转出。</w:t>
            </w:r>
            <w:r>
              <w:rPr>
                <w:rFonts w:hint="eastAsia" w:cs="宋体"/>
                <w:b/>
                <w:bCs/>
                <w:sz w:val="24"/>
                <w:szCs w:val="24"/>
              </w:rPr>
              <w:t>（以</w:t>
            </w:r>
            <w:r>
              <w:rPr>
                <w:rFonts w:hint="eastAsia" w:cs="宋体"/>
                <w:b/>
                <w:bCs/>
                <w:sz w:val="24"/>
                <w:szCs w:val="24"/>
                <w:lang w:val="en-US" w:eastAsia="zh-CN"/>
              </w:rPr>
              <w:t>代理机构</w:t>
            </w:r>
            <w:r>
              <w:rPr>
                <w:rFonts w:hint="eastAsia" w:cs="宋体"/>
                <w:b/>
                <w:bCs/>
                <w:sz w:val="24"/>
                <w:szCs w:val="24"/>
              </w:rPr>
              <w:t>财务查询为准）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授权书</w:t>
            </w:r>
          </w:p>
        </w:tc>
        <w:tc>
          <w:tcPr>
            <w:tcW w:w="6149" w:type="dxa"/>
            <w:vAlign w:val="center"/>
          </w:tcPr>
          <w:p>
            <w:pPr>
              <w:adjustRightInd w:val="0"/>
              <w:snapToGrid w:val="0"/>
              <w:spacing w:line="360" w:lineRule="auto"/>
              <w:ind w:right="-10"/>
              <w:jc w:val="left"/>
              <w:rPr>
                <w:sz w:val="24"/>
              </w:rPr>
            </w:pPr>
            <w:r>
              <w:rPr>
                <w:rFonts w:hint="eastAsia"/>
                <w:sz w:val="24"/>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磋商响应函</w:t>
            </w:r>
          </w:p>
        </w:tc>
        <w:tc>
          <w:tcPr>
            <w:tcW w:w="6149" w:type="dxa"/>
            <w:vAlign w:val="center"/>
          </w:tcPr>
          <w:p>
            <w:pPr>
              <w:adjustRightInd w:val="0"/>
              <w:snapToGrid w:val="0"/>
              <w:spacing w:line="360" w:lineRule="auto"/>
              <w:ind w:right="-10"/>
              <w:jc w:val="left"/>
              <w:rPr>
                <w:sz w:val="24"/>
              </w:rPr>
            </w:pPr>
            <w:r>
              <w:rPr>
                <w:rFonts w:hint="eastAsia"/>
                <w:sz w:val="24"/>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不良信用记录查询</w:t>
            </w:r>
          </w:p>
        </w:tc>
        <w:tc>
          <w:tcPr>
            <w:tcW w:w="6149" w:type="dxa"/>
            <w:vAlign w:val="center"/>
          </w:tcPr>
          <w:p>
            <w:pPr>
              <w:adjustRightInd w:val="0"/>
              <w:snapToGrid w:val="0"/>
              <w:spacing w:line="360" w:lineRule="auto"/>
              <w:ind w:right="-10"/>
              <w:jc w:val="left"/>
              <w:rPr>
                <w:sz w:val="24"/>
              </w:rPr>
            </w:pPr>
            <w:r>
              <w:rPr>
                <w:rFonts w:hint="eastAsia"/>
                <w:sz w:val="24"/>
              </w:rPr>
              <w:t>供应商不得存在供应商须知第</w:t>
            </w:r>
            <w:r>
              <w:rPr>
                <w:sz w:val="24"/>
              </w:rPr>
              <w:t>1</w:t>
            </w:r>
            <w:r>
              <w:rPr>
                <w:rFonts w:hint="eastAsia"/>
                <w:sz w:val="24"/>
              </w:rPr>
              <w:t>5</w:t>
            </w:r>
            <w:r>
              <w:rPr>
                <w:sz w:val="24"/>
              </w:rPr>
              <w:t>.3.1.1</w:t>
            </w:r>
            <w:r>
              <w:rPr>
                <w:rFonts w:hint="eastAsia"/>
                <w:sz w:val="24"/>
              </w:rPr>
              <w:t>条中的不良信用记录情形。</w:t>
            </w:r>
          </w:p>
          <w:p>
            <w:pPr>
              <w:pStyle w:val="21"/>
              <w:ind w:left="0" w:leftChars="0" w:firstLine="0" w:firstLineChars="0"/>
            </w:pPr>
            <w:r>
              <w:rPr>
                <w:rFonts w:hint="eastAsia"/>
                <w:b/>
                <w:bCs/>
                <w:sz w:val="24"/>
              </w:rPr>
              <w:t>备注</w:t>
            </w:r>
            <w:r>
              <w:rPr>
                <w:b/>
                <w:bCs/>
                <w:sz w:val="24"/>
              </w:rPr>
              <w:t>：</w:t>
            </w:r>
            <w:r>
              <w:rPr>
                <w:rFonts w:hint="eastAsia"/>
                <w:b/>
                <w:bCs/>
                <w:sz w:val="24"/>
              </w:rPr>
              <w:t>提供网站查询截图，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其他要求</w:t>
            </w:r>
          </w:p>
        </w:tc>
        <w:tc>
          <w:tcPr>
            <w:tcW w:w="6149" w:type="dxa"/>
            <w:vAlign w:val="center"/>
          </w:tcPr>
          <w:p>
            <w:pPr>
              <w:adjustRightInd w:val="0"/>
              <w:snapToGrid w:val="0"/>
              <w:spacing w:line="360" w:lineRule="auto"/>
              <w:ind w:right="-10"/>
              <w:jc w:val="left"/>
              <w:rPr>
                <w:sz w:val="24"/>
              </w:rPr>
            </w:pPr>
            <w:r>
              <w:rPr>
                <w:rFonts w:hint="eastAsia"/>
                <w:sz w:val="24"/>
                <w:szCs w:val="28"/>
              </w:rPr>
              <w:t>符合法律、行政法规规定的其他条件或磋商文件列明的其他要求</w:t>
            </w:r>
          </w:p>
        </w:tc>
      </w:tr>
    </w:tbl>
    <w:p>
      <w:pPr>
        <w:spacing w:line="360" w:lineRule="auto"/>
        <w:ind w:firstLine="435"/>
        <w:rPr>
          <w:sz w:val="24"/>
        </w:rPr>
      </w:pPr>
      <w:r>
        <w:rPr>
          <w:rFonts w:hint="eastAsia"/>
          <w:b/>
          <w:bCs/>
          <w:sz w:val="24"/>
        </w:rPr>
        <w:t>初审指标通过标准：</w:t>
      </w:r>
      <w:r>
        <w:rPr>
          <w:rFonts w:hint="eastAsia"/>
          <w:sz w:val="24"/>
        </w:rPr>
        <w:t>供应商必须通过初审表中的全部评审指标。</w:t>
      </w:r>
    </w:p>
    <w:p>
      <w:pPr>
        <w:spacing w:line="360" w:lineRule="auto"/>
        <w:ind w:firstLine="435"/>
        <w:outlineLvl w:val="2"/>
        <w:rPr>
          <w:b/>
          <w:sz w:val="24"/>
        </w:rPr>
      </w:pPr>
      <w:r>
        <w:rPr>
          <w:rFonts w:hint="eastAsia"/>
          <w:b/>
          <w:sz w:val="24"/>
        </w:rPr>
        <w:t>2.2综合评分</w:t>
      </w:r>
    </w:p>
    <w:p>
      <w:pPr>
        <w:spacing w:line="360" w:lineRule="auto"/>
        <w:ind w:firstLine="435"/>
        <w:rPr>
          <w:sz w:val="24"/>
        </w:rPr>
      </w:pPr>
      <w:r>
        <w:rPr>
          <w:rFonts w:hint="eastAsia"/>
          <w:sz w:val="24"/>
        </w:rPr>
        <w:t>2</w:t>
      </w:r>
      <w:r>
        <w:rPr>
          <w:sz w:val="24"/>
        </w:rPr>
        <w:t>.</w:t>
      </w:r>
      <w:r>
        <w:rPr>
          <w:rFonts w:hint="eastAsia"/>
          <w:sz w:val="24"/>
        </w:rPr>
        <w:t>2</w:t>
      </w:r>
      <w:r>
        <w:rPr>
          <w:sz w:val="24"/>
        </w:rPr>
        <w:t>.1</w:t>
      </w:r>
      <w:r>
        <w:rPr>
          <w:rFonts w:hint="eastAsia"/>
          <w:sz w:val="24"/>
        </w:rPr>
        <w:t>磋商小组按照下表对进入综合评分的所有供应商的响应文件进行综合评分。</w:t>
      </w:r>
    </w:p>
    <w:p>
      <w:pPr>
        <w:spacing w:line="360" w:lineRule="auto"/>
        <w:ind w:firstLine="435"/>
        <w:rPr>
          <w:sz w:val="24"/>
        </w:rPr>
      </w:pPr>
      <w:r>
        <w:rPr>
          <w:rFonts w:hint="eastAsia"/>
          <w:sz w:val="24"/>
        </w:rPr>
        <w:t>2</w:t>
      </w:r>
      <w:r>
        <w:rPr>
          <w:sz w:val="24"/>
        </w:rPr>
        <w:t>.</w:t>
      </w:r>
      <w:r>
        <w:rPr>
          <w:rFonts w:hint="eastAsia"/>
          <w:sz w:val="24"/>
        </w:rPr>
        <w:t>2</w:t>
      </w:r>
      <w:r>
        <w:rPr>
          <w:sz w:val="24"/>
        </w:rPr>
        <w:t>.2</w:t>
      </w:r>
      <w:r>
        <w:rPr>
          <w:rFonts w:hint="eastAsia"/>
          <w:b/>
          <w:bCs/>
          <w:sz w:val="24"/>
        </w:rPr>
        <w:t>本项目综合评分满分为1</w:t>
      </w:r>
      <w:r>
        <w:rPr>
          <w:b/>
          <w:bCs/>
          <w:sz w:val="24"/>
        </w:rPr>
        <w:t>00</w:t>
      </w:r>
      <w:r>
        <w:rPr>
          <w:rFonts w:hint="eastAsia"/>
          <w:b/>
          <w:bCs/>
          <w:sz w:val="24"/>
        </w:rPr>
        <w:t>分，其中：技术资信分值占总分值的权重为</w:t>
      </w:r>
      <w:r>
        <w:rPr>
          <w:rFonts w:hint="eastAsia"/>
          <w:b/>
          <w:bCs/>
          <w:sz w:val="24"/>
          <w:u w:val="single"/>
          <w:lang w:val="en-US" w:eastAsia="zh-CN"/>
        </w:rPr>
        <w:t>9</w:t>
      </w:r>
      <w:r>
        <w:rPr>
          <w:rFonts w:hint="eastAsia"/>
          <w:b/>
          <w:bCs/>
          <w:sz w:val="24"/>
          <w:u w:val="single"/>
        </w:rPr>
        <w:t>0</w:t>
      </w:r>
      <w:r>
        <w:rPr>
          <w:b/>
          <w:bCs/>
          <w:sz w:val="24"/>
        </w:rPr>
        <w:t>%，价格分值占总分值的权重为</w:t>
      </w:r>
      <w:r>
        <w:rPr>
          <w:rFonts w:hint="eastAsia"/>
          <w:b/>
          <w:bCs/>
          <w:sz w:val="24"/>
          <w:u w:val="single"/>
          <w:lang w:val="en-US" w:eastAsia="zh-CN"/>
        </w:rPr>
        <w:t>1</w:t>
      </w:r>
      <w:r>
        <w:rPr>
          <w:rFonts w:hint="eastAsia"/>
          <w:b/>
          <w:bCs/>
          <w:sz w:val="24"/>
          <w:u w:val="single"/>
        </w:rPr>
        <w:t>0</w:t>
      </w:r>
      <w:r>
        <w:rPr>
          <w:b/>
          <w:bCs/>
          <w:sz w:val="24"/>
        </w:rPr>
        <w:t>%。具体评分细则如下：</w:t>
      </w:r>
    </w:p>
    <w:tbl>
      <w:tblPr>
        <w:tblStyle w:val="23"/>
        <w:tblW w:w="57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287"/>
        <w:gridCol w:w="591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类别</w:t>
            </w: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评分内容</w:t>
            </w:r>
          </w:p>
        </w:tc>
        <w:tc>
          <w:tcPr>
            <w:tcW w:w="30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评分标准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restart"/>
            <w:tcBorders>
              <w:top w:val="single" w:color="auto" w:sz="4" w:space="0"/>
              <w:left w:val="single" w:color="auto" w:sz="4" w:space="0"/>
              <w:right w:val="single" w:color="auto" w:sz="4" w:space="0"/>
            </w:tcBorders>
            <w:vAlign w:val="center"/>
          </w:tcPr>
          <w:p>
            <w:pPr>
              <w:spacing w:line="360" w:lineRule="auto"/>
              <w:jc w:val="center"/>
              <w:rPr>
                <w:rFonts w:cs="宋体"/>
                <w:b/>
                <w:bCs/>
                <w:sz w:val="24"/>
              </w:rPr>
            </w:pPr>
            <w:r>
              <w:rPr>
                <w:rFonts w:hint="eastAsia" w:cs="宋体"/>
                <w:sz w:val="24"/>
              </w:rPr>
              <w:t>技术资信分（</w:t>
            </w:r>
            <w:r>
              <w:rPr>
                <w:rFonts w:hint="eastAsia" w:cs="宋体"/>
                <w:sz w:val="24"/>
                <w:lang w:val="en-US" w:eastAsia="zh-CN"/>
              </w:rPr>
              <w:t>9</w:t>
            </w:r>
            <w:r>
              <w:rPr>
                <w:rFonts w:hint="eastAsia" w:cs="宋体"/>
                <w:sz w:val="24"/>
              </w:rPr>
              <w:t>0分）</w:t>
            </w: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b/>
                <w:bCs/>
                <w:kern w:val="2"/>
                <w:sz w:val="24"/>
                <w:szCs w:val="24"/>
              </w:rPr>
            </w:pPr>
            <w:r>
              <w:rPr>
                <w:rFonts w:hint="eastAsia" w:cs="宋体"/>
                <w:sz w:val="24"/>
                <w:szCs w:val="24"/>
              </w:rPr>
              <w:t>项目理解</w:t>
            </w:r>
          </w:p>
        </w:tc>
        <w:tc>
          <w:tcPr>
            <w:tcW w:w="3003" w:type="pct"/>
            <w:tcBorders>
              <w:top w:val="single" w:color="auto" w:sz="4" w:space="0"/>
              <w:left w:val="single" w:color="auto" w:sz="4" w:space="0"/>
              <w:bottom w:val="single" w:color="auto" w:sz="4" w:space="0"/>
              <w:right w:val="single" w:color="auto" w:sz="4" w:space="0"/>
            </w:tcBorders>
          </w:tcPr>
          <w:p>
            <w:pPr>
              <w:widowControl/>
              <w:spacing w:line="400" w:lineRule="exact"/>
              <w:jc w:val="left"/>
              <w:rPr>
                <w:rFonts w:cs="宋体"/>
                <w:kern w:val="2"/>
                <w:sz w:val="24"/>
                <w:szCs w:val="24"/>
              </w:rPr>
            </w:pPr>
            <w:r>
              <w:rPr>
                <w:rStyle w:val="50"/>
                <w:rFonts w:hint="eastAsia" w:ascii="宋体" w:hAnsi="宋体" w:cs="宋体"/>
                <w:sz w:val="24"/>
                <w:szCs w:val="24"/>
              </w:rPr>
              <w:t>对项目的背景分析、现状情况、发展研判的准确性、完整程度进行全面性分析，针对性强，评委根据方案中提供的内容酌情打分，</w:t>
            </w:r>
            <w:r>
              <w:rPr>
                <w:rFonts w:hint="eastAsia" w:cs="宋体"/>
                <w:color w:val="000000"/>
                <w:sz w:val="24"/>
                <w:szCs w:val="24"/>
              </w:rPr>
              <w:t>未提供的，不得分。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2"/>
                <w:sz w:val="24"/>
                <w:szCs w:val="24"/>
              </w:rPr>
            </w:pPr>
            <w:r>
              <w:rPr>
                <w:rFonts w:hint="eastAsia" w:cs="宋体"/>
                <w:sz w:val="24"/>
                <w:szCs w:val="24"/>
              </w:rPr>
              <w:t>0-</w:t>
            </w:r>
            <w:r>
              <w:rPr>
                <w:rFonts w:hint="eastAsia" w:cs="宋体"/>
                <w:sz w:val="24"/>
                <w:szCs w:val="24"/>
                <w:u w:val="single"/>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spacing w:line="360" w:lineRule="auto"/>
              <w:jc w:val="center"/>
              <w:rPr>
                <w:rFonts w:cs="宋体"/>
                <w:sz w:val="24"/>
                <w:szCs w:val="24"/>
              </w:rPr>
            </w:pPr>
            <w:r>
              <w:rPr>
                <w:rFonts w:hint="eastAsia"/>
                <w:sz w:val="24"/>
                <w:szCs w:val="24"/>
              </w:rPr>
              <w:t>便利化</w:t>
            </w:r>
            <w:r>
              <w:rPr>
                <w:sz w:val="24"/>
                <w:szCs w:val="24"/>
              </w:rPr>
              <w:t>服务方案</w:t>
            </w:r>
          </w:p>
        </w:tc>
        <w:tc>
          <w:tcPr>
            <w:tcW w:w="3003" w:type="pct"/>
            <w:tcBorders>
              <w:top w:val="single" w:color="auto" w:sz="4" w:space="0"/>
              <w:left w:val="single" w:color="auto" w:sz="4" w:space="0"/>
              <w:bottom w:val="single" w:color="auto" w:sz="4" w:space="0"/>
              <w:right w:val="single" w:color="auto" w:sz="4" w:space="0"/>
            </w:tcBorders>
          </w:tcPr>
          <w:p>
            <w:pPr>
              <w:widowControl/>
              <w:spacing w:line="400" w:lineRule="exact"/>
              <w:jc w:val="left"/>
              <w:rPr>
                <w:sz w:val="24"/>
                <w:szCs w:val="24"/>
              </w:rPr>
            </w:pPr>
            <w:r>
              <w:rPr>
                <w:sz w:val="24"/>
                <w:szCs w:val="24"/>
              </w:rPr>
              <w:t>提供的</w:t>
            </w:r>
            <w:r>
              <w:rPr>
                <w:rFonts w:hint="eastAsia"/>
                <w:sz w:val="24"/>
                <w:szCs w:val="24"/>
              </w:rPr>
              <w:t>便利化</w:t>
            </w:r>
            <w:r>
              <w:rPr>
                <w:sz w:val="24"/>
                <w:szCs w:val="24"/>
              </w:rPr>
              <w:t>服务方案的完善性、可操作性、响应及时性以及</w:t>
            </w:r>
            <w:r>
              <w:rPr>
                <w:rFonts w:hint="eastAsia"/>
                <w:sz w:val="24"/>
                <w:szCs w:val="24"/>
              </w:rPr>
              <w:t>便利化</w:t>
            </w:r>
            <w:r>
              <w:rPr>
                <w:sz w:val="24"/>
                <w:szCs w:val="24"/>
              </w:rPr>
              <w:t>服务人员的技术能力。</w:t>
            </w:r>
            <w:r>
              <w:rPr>
                <w:rFonts w:hint="eastAsia"/>
                <w:sz w:val="24"/>
                <w:szCs w:val="24"/>
              </w:rPr>
              <w:t>未提供的不得分。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cs="宋体"/>
                <w:sz w:val="24"/>
                <w:szCs w:val="24"/>
                <w:u w:val="single"/>
              </w:rPr>
              <w:t>1</w:t>
            </w:r>
            <w:r>
              <w:rPr>
                <w:rFonts w:hint="eastAsia" w:cs="宋体"/>
                <w:sz w:val="24"/>
                <w:szCs w:val="24"/>
                <w:u w:val="single"/>
              </w:rPr>
              <w:t>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spacing w:line="360" w:lineRule="auto"/>
              <w:rPr>
                <w:rFonts w:cs="宋体"/>
                <w:sz w:val="24"/>
              </w:rPr>
            </w:pPr>
            <w:r>
              <w:rPr>
                <w:rFonts w:hint="eastAsia" w:cs="宋体"/>
                <w:sz w:val="24"/>
              </w:rPr>
              <w:t>设计亮点</w:t>
            </w:r>
          </w:p>
        </w:tc>
        <w:tc>
          <w:tcPr>
            <w:tcW w:w="3003" w:type="pct"/>
            <w:tcBorders>
              <w:top w:val="single" w:color="auto" w:sz="4" w:space="0"/>
              <w:left w:val="single" w:color="auto" w:sz="4" w:space="0"/>
              <w:bottom w:val="single" w:color="auto" w:sz="4" w:space="0"/>
              <w:right w:val="single" w:color="auto" w:sz="4" w:space="0"/>
            </w:tcBorders>
          </w:tcPr>
          <w:p>
            <w:pPr>
              <w:spacing w:line="360" w:lineRule="auto"/>
              <w:rPr>
                <w:rFonts w:cs="宋体"/>
                <w:sz w:val="24"/>
              </w:rPr>
            </w:pPr>
            <w:r>
              <w:rPr>
                <w:rFonts w:hint="eastAsia" w:cs="宋体"/>
                <w:sz w:val="24"/>
              </w:rPr>
              <w:t>通过对设计亮点进行提炼、阐述，进行综合评分，未提供的不得分。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2"/>
                <w:sz w:val="24"/>
                <w:szCs w:val="24"/>
              </w:rPr>
            </w:pPr>
            <w:r>
              <w:rPr>
                <w:rFonts w:hint="eastAsia" w:cs="宋体"/>
                <w:sz w:val="24"/>
                <w:szCs w:val="24"/>
              </w:rPr>
              <w:t>0-</w:t>
            </w:r>
            <w:r>
              <w:rPr>
                <w:rFonts w:cs="宋体"/>
                <w:sz w:val="24"/>
                <w:szCs w:val="24"/>
                <w:u w:val="single"/>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服务质量保证措施及控制措施</w:t>
            </w:r>
          </w:p>
        </w:tc>
        <w:tc>
          <w:tcPr>
            <w:tcW w:w="3003" w:type="pct"/>
            <w:tcBorders>
              <w:top w:val="single" w:color="auto" w:sz="4" w:space="0"/>
              <w:left w:val="single" w:color="auto" w:sz="4" w:space="0"/>
              <w:bottom w:val="single" w:color="auto" w:sz="4" w:space="0"/>
              <w:right w:val="single" w:color="auto" w:sz="4" w:space="0"/>
            </w:tcBorders>
          </w:tcPr>
          <w:p>
            <w:pPr>
              <w:spacing w:line="360" w:lineRule="auto"/>
              <w:rPr>
                <w:rFonts w:cs="宋体"/>
                <w:sz w:val="24"/>
              </w:rPr>
            </w:pPr>
            <w:r>
              <w:rPr>
                <w:rFonts w:hint="eastAsia" w:cs="宋体"/>
                <w:sz w:val="24"/>
                <w:szCs w:val="24"/>
              </w:rPr>
              <w:t>评标委员会对</w:t>
            </w:r>
            <w:r>
              <w:rPr>
                <w:rFonts w:hint="eastAsia" w:cs="宋体"/>
                <w:sz w:val="24"/>
              </w:rPr>
              <w:t>供应商提供的</w:t>
            </w:r>
            <w:r>
              <w:rPr>
                <w:rStyle w:val="50"/>
                <w:rFonts w:hint="eastAsia" w:ascii="宋体" w:hAnsi="宋体" w:cs="宋体"/>
                <w:sz w:val="24"/>
                <w:szCs w:val="24"/>
              </w:rPr>
              <w:t>本项目规划、设计的监控管理措施、设计质量保障措施，就技术支持、确保设计时限、施工时配合、控制设计失误及其他有利于业主的服务等措施进行综合平分，未提供的不得分</w:t>
            </w:r>
            <w:r>
              <w:rPr>
                <w:rFonts w:hint="eastAsia" w:cs="宋体"/>
                <w:sz w:val="24"/>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rPr>
              <w:t>1</w:t>
            </w:r>
            <w:r>
              <w:rPr>
                <w:rFonts w:cs="宋体"/>
                <w:sz w:val="24"/>
                <w:szCs w:val="24"/>
                <w:u w:val="single"/>
              </w:rPr>
              <w:t>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设计理念</w:t>
            </w:r>
          </w:p>
        </w:tc>
        <w:tc>
          <w:tcPr>
            <w:tcW w:w="3003" w:type="pct"/>
            <w:tcBorders>
              <w:top w:val="single" w:color="auto" w:sz="4" w:space="0"/>
              <w:left w:val="single" w:color="auto" w:sz="4" w:space="0"/>
              <w:bottom w:val="single" w:color="auto" w:sz="4" w:space="0"/>
              <w:right w:val="single" w:color="auto" w:sz="4" w:space="0"/>
            </w:tcBorders>
          </w:tcPr>
          <w:p>
            <w:pPr>
              <w:spacing w:line="360" w:lineRule="auto"/>
              <w:rPr>
                <w:rFonts w:cs="宋体"/>
                <w:sz w:val="24"/>
              </w:rPr>
            </w:pPr>
            <w:r>
              <w:rPr>
                <w:rFonts w:hint="eastAsia" w:cs="宋体"/>
                <w:sz w:val="24"/>
                <w:szCs w:val="24"/>
              </w:rPr>
              <w:t>方案构思新颖独到，以先进的规划理念指导设计，并符合项目定位，体现地域特色。</w:t>
            </w:r>
            <w:r>
              <w:rPr>
                <w:rFonts w:hint="eastAsia" w:cs="宋体"/>
                <w:color w:val="000000"/>
                <w:sz w:val="24"/>
                <w:szCs w:val="24"/>
              </w:rPr>
              <w:t>评委根据方案中提供的内容进行综合打分</w:t>
            </w:r>
            <w:r>
              <w:rPr>
                <w:rFonts w:hint="eastAsia" w:cs="宋体"/>
                <w:sz w:val="24"/>
              </w:rPr>
              <w:t>，未提供的不得分。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lang w:val="en-US" w:eastAsia="zh-CN"/>
              </w:rPr>
              <w:t>30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widowControl/>
              <w:spacing w:line="360" w:lineRule="auto"/>
              <w:jc w:val="center"/>
              <w:rPr>
                <w:rFonts w:cs="宋体"/>
                <w:kern w:val="2"/>
                <w:sz w:val="24"/>
                <w:szCs w:val="24"/>
              </w:rPr>
            </w:pPr>
            <w:r>
              <w:rPr>
                <w:rFonts w:hint="eastAsia" w:cs="宋体"/>
                <w:kern w:val="2"/>
                <w:sz w:val="24"/>
                <w:szCs w:val="24"/>
              </w:rPr>
              <w:t>委任人员资格</w:t>
            </w:r>
          </w:p>
        </w:tc>
        <w:tc>
          <w:tcPr>
            <w:tcW w:w="3003" w:type="pct"/>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rPr>
                <w:highlight w:val="none"/>
              </w:rPr>
            </w:pPr>
            <w:r>
              <w:rPr>
                <w:rFonts w:hint="eastAsia" w:cs="宋体"/>
                <w:sz w:val="24"/>
                <w:highlight w:val="none"/>
              </w:rPr>
              <w:t>拟配备的项目负责人具有</w:t>
            </w:r>
            <w:r>
              <w:rPr>
                <w:rFonts w:hint="eastAsia" w:cs="宋体"/>
                <w:sz w:val="24"/>
                <w:highlight w:val="none"/>
                <w:lang w:val="en-US" w:eastAsia="zh-CN"/>
              </w:rPr>
              <w:t>高</w:t>
            </w:r>
            <w:r>
              <w:rPr>
                <w:rFonts w:hint="eastAsia" w:cs="宋体"/>
                <w:sz w:val="24"/>
                <w:highlight w:val="none"/>
              </w:rPr>
              <w:t>级及以上技术职称</w:t>
            </w:r>
            <w:r>
              <w:rPr>
                <w:rFonts w:hint="eastAsia" w:cs="宋体"/>
                <w:sz w:val="24"/>
                <w:highlight w:val="none"/>
                <w:lang w:val="en-US" w:eastAsia="zh-CN"/>
              </w:rPr>
              <w:t>或注册公用设备工程师（给排水）</w:t>
            </w:r>
            <w:r>
              <w:rPr>
                <w:rFonts w:hint="eastAsia" w:cs="宋体"/>
                <w:sz w:val="24"/>
                <w:highlight w:val="none"/>
              </w:rPr>
              <w:t>的，得5分；</w:t>
            </w:r>
          </w:p>
          <w:p>
            <w:pPr>
              <w:spacing w:line="360" w:lineRule="auto"/>
              <w:rPr>
                <w:rFonts w:hint="eastAsia" w:eastAsia="宋体" w:cs="宋体"/>
                <w:sz w:val="24"/>
                <w:highlight w:val="none"/>
                <w:lang w:val="en-US" w:eastAsia="zh-CN"/>
              </w:rPr>
            </w:pPr>
            <w:r>
              <w:rPr>
                <w:rFonts w:hint="eastAsia" w:cs="宋体"/>
                <w:sz w:val="24"/>
                <w:highlight w:val="none"/>
              </w:rPr>
              <w:t>注：</w:t>
            </w:r>
            <w:r>
              <w:rPr>
                <w:rFonts w:hint="eastAsia" w:cs="宋体"/>
                <w:b/>
                <w:bCs/>
                <w:sz w:val="24"/>
                <w:highlight w:val="none"/>
              </w:rPr>
              <w:t>响应文件中须提供上述人员证书</w:t>
            </w:r>
            <w:r>
              <w:rPr>
                <w:rFonts w:hint="eastAsia" w:cs="宋体"/>
                <w:b/>
                <w:bCs/>
                <w:sz w:val="24"/>
                <w:highlight w:val="none"/>
                <w:lang w:eastAsia="zh-CN"/>
              </w:rPr>
              <w:t>。</w:t>
            </w:r>
          </w:p>
          <w:p>
            <w:pPr>
              <w:pStyle w:val="44"/>
              <w:rPr>
                <w:highlight w:val="none"/>
              </w:rPr>
            </w:pPr>
            <w:r>
              <w:rPr>
                <w:rFonts w:hint="eastAsia"/>
                <w:sz w:val="24"/>
                <w:szCs w:val="24"/>
                <w:highlight w:val="none"/>
              </w:rPr>
              <w:t>拟配备的项目负责人</w:t>
            </w:r>
            <w:r>
              <w:rPr>
                <w:rFonts w:hint="eastAsia"/>
                <w:sz w:val="24"/>
                <w:szCs w:val="24"/>
                <w:highlight w:val="none"/>
                <w:lang w:val="en-US" w:eastAsia="zh-CN"/>
              </w:rPr>
              <w:t>具有</w:t>
            </w:r>
            <w:r>
              <w:rPr>
                <w:rFonts w:hint="eastAsia"/>
                <w:color w:val="auto"/>
                <w:sz w:val="24"/>
                <w:szCs w:val="24"/>
                <w:highlight w:val="none"/>
                <w:lang w:val="en-US" w:eastAsia="zh-CN"/>
              </w:rPr>
              <w:t>和美乡村建设</w:t>
            </w:r>
            <w:r>
              <w:rPr>
                <w:rFonts w:hint="eastAsia"/>
                <w:color w:val="auto"/>
                <w:sz w:val="24"/>
                <w:szCs w:val="24"/>
                <w:highlight w:val="none"/>
              </w:rPr>
              <w:t>设计</w:t>
            </w:r>
            <w:r>
              <w:rPr>
                <w:rFonts w:hint="eastAsia"/>
                <w:sz w:val="24"/>
                <w:szCs w:val="24"/>
                <w:highlight w:val="none"/>
              </w:rPr>
              <w:t>业绩</w:t>
            </w:r>
            <w:r>
              <w:rPr>
                <w:rFonts w:hint="eastAsia"/>
                <w:sz w:val="24"/>
                <w:szCs w:val="24"/>
                <w:highlight w:val="none"/>
                <w:lang w:eastAsia="zh-CN"/>
              </w:rPr>
              <w:t>（</w:t>
            </w:r>
            <w:r>
              <w:rPr>
                <w:rFonts w:hint="eastAsia"/>
                <w:sz w:val="24"/>
                <w:szCs w:val="24"/>
                <w:highlight w:val="none"/>
                <w:lang w:val="en-US" w:eastAsia="zh-CN"/>
              </w:rPr>
              <w:t>须在业绩中担任项目负责人</w:t>
            </w:r>
            <w:r>
              <w:rPr>
                <w:rFonts w:hint="eastAsia"/>
                <w:sz w:val="24"/>
                <w:szCs w:val="24"/>
                <w:highlight w:val="none"/>
                <w:lang w:eastAsia="zh-CN"/>
              </w:rPr>
              <w:t>）</w:t>
            </w:r>
            <w:r>
              <w:rPr>
                <w:rFonts w:hint="eastAsia"/>
                <w:sz w:val="24"/>
                <w:szCs w:val="24"/>
                <w:highlight w:val="none"/>
              </w:rPr>
              <w:t>，每个得5分，满分5分。</w:t>
            </w:r>
          </w:p>
          <w:p>
            <w:pPr>
              <w:pStyle w:val="6"/>
              <w:spacing w:after="0" w:line="360" w:lineRule="auto"/>
              <w:rPr>
                <w:rFonts w:hint="eastAsia"/>
                <w:highlight w:val="none"/>
                <w:lang w:val="en-US"/>
              </w:rPr>
            </w:pPr>
            <w:r>
              <w:rPr>
                <w:rFonts w:hint="eastAsia"/>
                <w:highlight w:val="none"/>
                <w:lang w:val="en-US"/>
              </w:rPr>
              <w:t>注：人员</w:t>
            </w:r>
            <w:r>
              <w:rPr>
                <w:rFonts w:hint="eastAsia"/>
                <w:highlight w:val="none"/>
                <w:lang w:bidi="ar"/>
              </w:rPr>
              <w:t>最多提供1个业绩，响应文件</w:t>
            </w:r>
            <w:r>
              <w:rPr>
                <w:highlight w:val="none"/>
                <w:lang w:val="en-US"/>
              </w:rPr>
              <w:t>须提供</w:t>
            </w:r>
            <w:r>
              <w:rPr>
                <w:rFonts w:hint="eastAsia"/>
                <w:highlight w:val="none"/>
                <w:lang w:val="en-US"/>
              </w:rPr>
              <w:t>业绩</w:t>
            </w:r>
            <w:r>
              <w:rPr>
                <w:highlight w:val="none"/>
                <w:lang w:val="en-US"/>
              </w:rPr>
              <w:t>合同</w:t>
            </w:r>
            <w:r>
              <w:rPr>
                <w:rFonts w:hint="eastAsia"/>
                <w:highlight w:val="none"/>
                <w:lang w:val="en-US" w:eastAsia="zh-CN"/>
              </w:rPr>
              <w:t>（须体现项目负责人姓名）</w:t>
            </w:r>
            <w:r>
              <w:rPr>
                <w:rFonts w:hint="eastAsia"/>
                <w:highlight w:val="none"/>
                <w:lang w:val="en-US"/>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ind w:firstLine="435"/>
              <w:jc w:val="center"/>
              <w:rPr>
                <w:rFonts w:cs="宋体"/>
                <w:b/>
                <w:bCs/>
                <w:sz w:val="24"/>
              </w:rPr>
            </w:pP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szCs w:val="24"/>
              </w:rPr>
            </w:pPr>
            <w:r>
              <w:rPr>
                <w:rFonts w:hint="eastAsia" w:cs="宋体"/>
                <w:sz w:val="24"/>
              </w:rPr>
              <w:t>供应商业绩</w:t>
            </w:r>
          </w:p>
        </w:tc>
        <w:tc>
          <w:tcPr>
            <w:tcW w:w="3003" w:type="pct"/>
            <w:tcBorders>
              <w:top w:val="single" w:color="auto" w:sz="4" w:space="0"/>
              <w:left w:val="single" w:color="auto" w:sz="4" w:space="0"/>
              <w:bottom w:val="single" w:color="auto" w:sz="4" w:space="0"/>
              <w:right w:val="single" w:color="auto" w:sz="4" w:space="0"/>
            </w:tcBorders>
          </w:tcPr>
          <w:p>
            <w:pPr>
              <w:widowControl/>
              <w:spacing w:line="360" w:lineRule="auto"/>
              <w:jc w:val="left"/>
              <w:rPr>
                <w:rFonts w:cs="宋体"/>
                <w:kern w:val="2"/>
                <w:sz w:val="24"/>
                <w:szCs w:val="24"/>
              </w:rPr>
            </w:pPr>
            <w:r>
              <w:rPr>
                <w:rFonts w:hint="eastAsia" w:cs="宋体"/>
                <w:kern w:val="2"/>
                <w:sz w:val="24"/>
                <w:szCs w:val="24"/>
              </w:rPr>
              <w:t>自20</w:t>
            </w:r>
            <w:r>
              <w:rPr>
                <w:rFonts w:hint="eastAsia" w:cs="宋体"/>
                <w:kern w:val="2"/>
                <w:sz w:val="24"/>
                <w:szCs w:val="24"/>
                <w:lang w:val="en-US" w:eastAsia="zh-CN"/>
              </w:rPr>
              <w:t>20</w:t>
            </w:r>
            <w:r>
              <w:rPr>
                <w:rFonts w:hint="eastAsia" w:cs="宋体"/>
                <w:kern w:val="2"/>
                <w:sz w:val="24"/>
                <w:szCs w:val="24"/>
              </w:rPr>
              <w:t>年1月1日以来（</w:t>
            </w:r>
            <w:r>
              <w:rPr>
                <w:rFonts w:hint="eastAsia" w:cs="宋体"/>
                <w:sz w:val="24"/>
                <w:szCs w:val="24"/>
              </w:rPr>
              <w:t>以合同签订时间为准</w:t>
            </w:r>
            <w:r>
              <w:rPr>
                <w:rFonts w:hint="eastAsia" w:cs="宋体"/>
                <w:kern w:val="2"/>
                <w:sz w:val="24"/>
                <w:szCs w:val="24"/>
              </w:rPr>
              <w:t>），供应商</w:t>
            </w:r>
            <w:r>
              <w:rPr>
                <w:rFonts w:hint="eastAsia" w:cs="宋体"/>
                <w:sz w:val="24"/>
              </w:rPr>
              <w:t>具有</w:t>
            </w:r>
            <w:r>
              <w:rPr>
                <w:rFonts w:hint="eastAsia" w:cs="宋体"/>
                <w:sz w:val="24"/>
                <w:lang w:val="en-US" w:eastAsia="zh-CN"/>
              </w:rPr>
              <w:t>市政公用工程</w:t>
            </w:r>
            <w:r>
              <w:rPr>
                <w:rFonts w:hint="eastAsia" w:cs="宋体"/>
                <w:sz w:val="24"/>
              </w:rPr>
              <w:t>设计业绩，</w:t>
            </w:r>
            <w:r>
              <w:rPr>
                <w:rFonts w:hint="eastAsia" w:cs="宋体"/>
                <w:kern w:val="2"/>
                <w:sz w:val="24"/>
                <w:szCs w:val="24"/>
              </w:rPr>
              <w:t>每提供一个得5分，满分10分。</w:t>
            </w:r>
          </w:p>
          <w:p>
            <w:pPr>
              <w:widowControl/>
              <w:spacing w:line="360" w:lineRule="auto"/>
              <w:jc w:val="left"/>
              <w:rPr>
                <w:lang w:bidi="ar"/>
              </w:rPr>
            </w:pPr>
            <w:r>
              <w:rPr>
                <w:rFonts w:hint="eastAsia" w:cs="宋体"/>
                <w:b/>
                <w:bCs/>
                <w:sz w:val="24"/>
                <w:szCs w:val="24"/>
                <w:lang w:bidi="ar"/>
              </w:rPr>
              <w:t>注：供应商最多提供2个业绩，响应文件须提供业绩合同</w:t>
            </w:r>
            <w:r>
              <w:rPr>
                <w:rFonts w:hint="eastAsia"/>
                <w:lang w:bidi="ar"/>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2"/>
                <w:sz w:val="24"/>
                <w:szCs w:val="24"/>
              </w:rPr>
            </w:pPr>
            <w:r>
              <w:rPr>
                <w:rFonts w:hint="eastAsia" w:cs="宋体"/>
                <w:sz w:val="24"/>
                <w:szCs w:val="24"/>
              </w:rPr>
              <w:t>0-</w:t>
            </w:r>
            <w:r>
              <w:rPr>
                <w:rFonts w:hint="eastAsia" w:cs="宋体"/>
                <w:sz w:val="24"/>
                <w:szCs w:val="24"/>
                <w:u w:val="single"/>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tcBorders>
              <w:left w:val="single" w:color="auto" w:sz="4" w:space="0"/>
              <w:right w:val="single" w:color="auto" w:sz="4" w:space="0"/>
            </w:tcBorders>
            <w:vAlign w:val="center"/>
          </w:tcPr>
          <w:p>
            <w:pPr>
              <w:spacing w:line="360" w:lineRule="auto"/>
              <w:jc w:val="center"/>
              <w:rPr>
                <w:sz w:val="24"/>
              </w:rPr>
            </w:pPr>
            <w:r>
              <w:rPr>
                <w:rFonts w:hint="eastAsia"/>
                <w:sz w:val="24"/>
              </w:rPr>
              <w:t>价格分</w:t>
            </w:r>
          </w:p>
          <w:p>
            <w:pPr>
              <w:spacing w:line="360" w:lineRule="auto"/>
              <w:rPr>
                <w:rFonts w:cs="宋体"/>
                <w:b/>
                <w:bCs/>
                <w:sz w:val="24"/>
              </w:rPr>
            </w:pPr>
            <w:r>
              <w:rPr>
                <w:rFonts w:hint="eastAsia"/>
                <w:sz w:val="24"/>
              </w:rPr>
              <w:t>（</w:t>
            </w:r>
            <w:r>
              <w:rPr>
                <w:rFonts w:hint="eastAsia"/>
                <w:sz w:val="24"/>
                <w:u w:val="single"/>
                <w:lang w:val="en-US" w:eastAsia="zh-CN"/>
              </w:rPr>
              <w:t>10</w:t>
            </w:r>
            <w:r>
              <w:rPr>
                <w:rFonts w:hint="eastAsia"/>
                <w:sz w:val="24"/>
              </w:rPr>
              <w:t>分）</w:t>
            </w: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价格分</w:t>
            </w:r>
          </w:p>
          <w:p>
            <w:pPr>
              <w:spacing w:line="360" w:lineRule="auto"/>
              <w:rPr>
                <w:rFonts w:cs="宋体"/>
                <w:sz w:val="24"/>
              </w:rPr>
            </w:pPr>
            <w:r>
              <w:rPr>
                <w:rFonts w:hint="eastAsia"/>
                <w:sz w:val="24"/>
              </w:rPr>
              <w:t>（</w:t>
            </w:r>
            <w:r>
              <w:rPr>
                <w:rFonts w:hint="eastAsia"/>
                <w:sz w:val="24"/>
                <w:lang w:val="en-US" w:eastAsia="zh-CN"/>
              </w:rPr>
              <w:t>10</w:t>
            </w:r>
            <w:r>
              <w:rPr>
                <w:rFonts w:hint="eastAsia"/>
                <w:sz w:val="24"/>
              </w:rPr>
              <w:t>分）</w:t>
            </w:r>
          </w:p>
        </w:tc>
        <w:tc>
          <w:tcPr>
            <w:tcW w:w="3003" w:type="pct"/>
            <w:tcBorders>
              <w:top w:val="single" w:color="auto" w:sz="4" w:space="0"/>
              <w:left w:val="single" w:color="auto" w:sz="4" w:space="0"/>
              <w:bottom w:val="single" w:color="auto" w:sz="4" w:space="0"/>
              <w:right w:val="single" w:color="auto" w:sz="4" w:space="0"/>
            </w:tcBorders>
          </w:tcPr>
          <w:p>
            <w:pPr>
              <w:spacing w:line="360" w:lineRule="auto"/>
              <w:jc w:val="left"/>
              <w:rPr>
                <w:rFonts w:cs="宋体"/>
                <w:kern w:val="2"/>
                <w:sz w:val="22"/>
                <w:szCs w:val="22"/>
              </w:rPr>
            </w:pPr>
            <w:r>
              <w:rPr>
                <w:rFonts w:cs="宋体"/>
                <w:kern w:val="2"/>
                <w:sz w:val="22"/>
                <w:szCs w:val="22"/>
              </w:rPr>
              <w:t>1）确定评审价</w:t>
            </w:r>
          </w:p>
          <w:p>
            <w:pPr>
              <w:spacing w:line="360" w:lineRule="auto"/>
              <w:jc w:val="left"/>
              <w:rPr>
                <w:rFonts w:cs="宋体"/>
                <w:kern w:val="2"/>
                <w:sz w:val="22"/>
                <w:szCs w:val="22"/>
              </w:rPr>
            </w:pPr>
            <w:r>
              <w:rPr>
                <w:rFonts w:hint="eastAsia" w:cs="宋体"/>
                <w:kern w:val="2"/>
                <w:sz w:val="22"/>
                <w:szCs w:val="22"/>
              </w:rPr>
              <w:t>评审价</w:t>
            </w:r>
            <w:r>
              <w:rPr>
                <w:rFonts w:cs="宋体"/>
                <w:kern w:val="2"/>
                <w:sz w:val="22"/>
                <w:szCs w:val="22"/>
              </w:rPr>
              <w:t>=响应文件文字报价；</w:t>
            </w:r>
          </w:p>
          <w:p>
            <w:pPr>
              <w:spacing w:line="360" w:lineRule="auto"/>
              <w:jc w:val="left"/>
              <w:rPr>
                <w:rFonts w:cs="宋体"/>
                <w:kern w:val="2"/>
                <w:sz w:val="22"/>
                <w:szCs w:val="22"/>
              </w:rPr>
            </w:pPr>
            <w:r>
              <w:rPr>
                <w:rFonts w:cs="宋体"/>
                <w:kern w:val="2"/>
                <w:sz w:val="22"/>
                <w:szCs w:val="22"/>
              </w:rPr>
              <w:t>2）评审价平均值计算</w:t>
            </w:r>
          </w:p>
          <w:p>
            <w:pPr>
              <w:spacing w:line="360" w:lineRule="auto"/>
              <w:jc w:val="left"/>
              <w:rPr>
                <w:rFonts w:cs="宋体"/>
                <w:kern w:val="2"/>
                <w:sz w:val="22"/>
                <w:szCs w:val="22"/>
              </w:rPr>
            </w:pPr>
            <w:r>
              <w:rPr>
                <w:rFonts w:hint="eastAsia" w:cs="宋体"/>
                <w:kern w:val="2"/>
                <w:sz w:val="22"/>
                <w:szCs w:val="22"/>
              </w:rPr>
              <w:t>①当通过响应文件初步评审的供应商数量≤</w:t>
            </w:r>
            <w:r>
              <w:rPr>
                <w:rFonts w:cs="宋体"/>
                <w:kern w:val="2"/>
                <w:sz w:val="22"/>
                <w:szCs w:val="22"/>
              </w:rPr>
              <w:t>5 家时，取通过响应文件初审且技术资信分得分大于等于技术资信分总分*60%的</w:t>
            </w:r>
            <w:r>
              <w:rPr>
                <w:rFonts w:hint="eastAsia" w:cs="宋体"/>
                <w:kern w:val="2"/>
                <w:sz w:val="22"/>
                <w:szCs w:val="22"/>
              </w:rPr>
              <w:t>供应商</w:t>
            </w:r>
            <w:r>
              <w:rPr>
                <w:rFonts w:cs="宋体"/>
                <w:kern w:val="2"/>
                <w:sz w:val="22"/>
                <w:szCs w:val="22"/>
              </w:rPr>
              <w:t>评审价进行算术平均得出评审价平均值。（如通过响应文件初审且技术资信分得分大于等于技术资信分总分*60%的</w:t>
            </w:r>
            <w:r>
              <w:rPr>
                <w:rFonts w:hint="eastAsia" w:cs="宋体"/>
                <w:kern w:val="2"/>
                <w:sz w:val="22"/>
                <w:szCs w:val="22"/>
              </w:rPr>
              <w:t>供应商</w:t>
            </w:r>
            <w:r>
              <w:rPr>
                <w:rFonts w:cs="宋体"/>
                <w:kern w:val="2"/>
                <w:sz w:val="22"/>
                <w:szCs w:val="22"/>
              </w:rPr>
              <w:t>为1家时，则该</w:t>
            </w:r>
            <w:r>
              <w:rPr>
                <w:rFonts w:hint="eastAsia" w:cs="宋体"/>
                <w:kern w:val="2"/>
                <w:sz w:val="22"/>
                <w:szCs w:val="22"/>
              </w:rPr>
              <w:t>供应商</w:t>
            </w:r>
            <w:r>
              <w:rPr>
                <w:rFonts w:cs="宋体"/>
                <w:kern w:val="2"/>
                <w:sz w:val="22"/>
                <w:szCs w:val="22"/>
              </w:rPr>
              <w:t>评审价即为评审价平均值）</w:t>
            </w:r>
          </w:p>
          <w:p>
            <w:pPr>
              <w:spacing w:line="360" w:lineRule="auto"/>
              <w:jc w:val="left"/>
              <w:rPr>
                <w:rFonts w:cs="宋体"/>
                <w:kern w:val="2"/>
                <w:sz w:val="22"/>
                <w:szCs w:val="22"/>
              </w:rPr>
            </w:pPr>
            <w:r>
              <w:rPr>
                <w:rFonts w:hint="eastAsia" w:cs="宋体"/>
                <w:kern w:val="2"/>
                <w:sz w:val="22"/>
                <w:szCs w:val="22"/>
              </w:rPr>
              <w:t>②当通过响应文件初审的供应商数量＞</w:t>
            </w:r>
            <w:r>
              <w:rPr>
                <w:rFonts w:cs="宋体"/>
                <w:kern w:val="2"/>
                <w:sz w:val="22"/>
                <w:szCs w:val="22"/>
              </w:rPr>
              <w:t>5 家时：</w:t>
            </w:r>
          </w:p>
          <w:p>
            <w:pPr>
              <w:spacing w:line="360" w:lineRule="auto"/>
              <w:jc w:val="left"/>
              <w:rPr>
                <w:rFonts w:cs="宋体"/>
                <w:kern w:val="2"/>
                <w:sz w:val="22"/>
                <w:szCs w:val="22"/>
              </w:rPr>
            </w:pPr>
            <w:r>
              <w:rPr>
                <w:rFonts w:cs="宋体"/>
                <w:kern w:val="2"/>
                <w:sz w:val="22"/>
                <w:szCs w:val="22"/>
              </w:rPr>
              <w:t>a.其中通过响应文件初审且技术资信分得分大于等于技术资信分总分*70%的</w:t>
            </w:r>
            <w:r>
              <w:rPr>
                <w:rFonts w:hint="eastAsia" w:cs="宋体"/>
                <w:kern w:val="2"/>
                <w:sz w:val="22"/>
                <w:szCs w:val="22"/>
              </w:rPr>
              <w:t>供应商</w:t>
            </w:r>
            <w:r>
              <w:rPr>
                <w:rFonts w:cs="宋体"/>
                <w:kern w:val="2"/>
                <w:sz w:val="22"/>
                <w:szCs w:val="22"/>
              </w:rPr>
              <w:t>数量＞5 家，取通过响应文件初审且技术资信分得分大于等于磋商技术资信分总分*70%的</w:t>
            </w:r>
            <w:r>
              <w:rPr>
                <w:rFonts w:hint="eastAsia" w:cs="宋体"/>
                <w:kern w:val="2"/>
                <w:sz w:val="22"/>
                <w:szCs w:val="22"/>
              </w:rPr>
              <w:t>供应商</w:t>
            </w:r>
            <w:r>
              <w:rPr>
                <w:rFonts w:cs="宋体"/>
                <w:kern w:val="2"/>
                <w:sz w:val="22"/>
                <w:szCs w:val="22"/>
              </w:rPr>
              <w:t>评审价进行算术平均得出评审价平均值。</w:t>
            </w:r>
          </w:p>
          <w:p>
            <w:pPr>
              <w:spacing w:line="360" w:lineRule="auto"/>
              <w:jc w:val="left"/>
              <w:rPr>
                <w:rFonts w:cs="宋体"/>
                <w:kern w:val="2"/>
                <w:sz w:val="22"/>
                <w:szCs w:val="22"/>
              </w:rPr>
            </w:pPr>
            <w:r>
              <w:rPr>
                <w:rFonts w:cs="宋体"/>
                <w:kern w:val="2"/>
                <w:sz w:val="22"/>
                <w:szCs w:val="22"/>
              </w:rPr>
              <w:t>b.其中通过响应文件初审且技术资信分得分大于等于技术资信分总分*70%的</w:t>
            </w:r>
            <w:r>
              <w:rPr>
                <w:rFonts w:hint="eastAsia" w:cs="宋体"/>
                <w:kern w:val="2"/>
                <w:sz w:val="22"/>
                <w:szCs w:val="22"/>
              </w:rPr>
              <w:t>供应商</w:t>
            </w:r>
            <w:r>
              <w:rPr>
                <w:rFonts w:cs="宋体"/>
                <w:kern w:val="2"/>
                <w:sz w:val="22"/>
                <w:szCs w:val="22"/>
              </w:rPr>
              <w:t>数量≤5 家时，取通过响应文件初审且技术资信分得分大于等于技术资信分总分*60%的</w:t>
            </w:r>
            <w:r>
              <w:rPr>
                <w:rFonts w:hint="eastAsia" w:cs="宋体"/>
                <w:kern w:val="2"/>
                <w:sz w:val="22"/>
                <w:szCs w:val="22"/>
              </w:rPr>
              <w:t>供应商</w:t>
            </w:r>
            <w:r>
              <w:rPr>
                <w:rFonts w:cs="宋体"/>
                <w:kern w:val="2"/>
                <w:sz w:val="22"/>
                <w:szCs w:val="22"/>
              </w:rPr>
              <w:t>评审价进行算术平均得出评审价平</w:t>
            </w:r>
            <w:r>
              <w:rPr>
                <w:rFonts w:hint="eastAsia" w:cs="宋体"/>
                <w:kern w:val="2"/>
                <w:sz w:val="22"/>
                <w:szCs w:val="22"/>
              </w:rPr>
              <w:t>均值。（如通过响应文件初审且技术资信分得分大于等于技术资信分总分</w:t>
            </w:r>
            <w:r>
              <w:rPr>
                <w:rFonts w:cs="宋体"/>
                <w:kern w:val="2"/>
                <w:sz w:val="22"/>
                <w:szCs w:val="22"/>
              </w:rPr>
              <w:t>*60%的</w:t>
            </w:r>
            <w:r>
              <w:rPr>
                <w:rFonts w:hint="eastAsia" w:cs="宋体"/>
                <w:kern w:val="2"/>
                <w:sz w:val="22"/>
                <w:szCs w:val="22"/>
              </w:rPr>
              <w:t>供应商</w:t>
            </w:r>
            <w:r>
              <w:rPr>
                <w:rFonts w:cs="宋体"/>
                <w:kern w:val="2"/>
                <w:sz w:val="22"/>
                <w:szCs w:val="22"/>
              </w:rPr>
              <w:t>为 1 家时，则该</w:t>
            </w:r>
            <w:r>
              <w:rPr>
                <w:rFonts w:hint="eastAsia" w:cs="宋体"/>
                <w:kern w:val="2"/>
                <w:sz w:val="22"/>
                <w:szCs w:val="22"/>
              </w:rPr>
              <w:t>供应商</w:t>
            </w:r>
            <w:r>
              <w:rPr>
                <w:rFonts w:cs="宋体"/>
                <w:kern w:val="2"/>
                <w:sz w:val="22"/>
                <w:szCs w:val="22"/>
              </w:rPr>
              <w:t>评审价即为评审价平均值）</w:t>
            </w:r>
          </w:p>
          <w:p>
            <w:pPr>
              <w:spacing w:line="360" w:lineRule="auto"/>
              <w:jc w:val="left"/>
              <w:rPr>
                <w:rFonts w:cs="宋体"/>
                <w:kern w:val="2"/>
                <w:sz w:val="22"/>
                <w:szCs w:val="22"/>
              </w:rPr>
            </w:pPr>
            <w:r>
              <w:rPr>
                <w:rFonts w:hint="eastAsia" w:cs="宋体"/>
                <w:kern w:val="2"/>
                <w:sz w:val="22"/>
                <w:szCs w:val="22"/>
              </w:rPr>
              <w:t>注：如出现无法计算评审价平均值的情况，磋商小组将否决所有响应文件。</w:t>
            </w:r>
          </w:p>
          <w:p>
            <w:pPr>
              <w:spacing w:line="360" w:lineRule="auto"/>
              <w:jc w:val="left"/>
              <w:rPr>
                <w:rFonts w:cs="宋体"/>
                <w:kern w:val="2"/>
                <w:sz w:val="22"/>
                <w:szCs w:val="22"/>
              </w:rPr>
            </w:pPr>
            <w:r>
              <w:rPr>
                <w:rFonts w:cs="宋体"/>
                <w:kern w:val="2"/>
                <w:sz w:val="22"/>
                <w:szCs w:val="22"/>
              </w:rPr>
              <w:t>3）确定评审基准价</w:t>
            </w:r>
          </w:p>
          <w:p>
            <w:pPr>
              <w:spacing w:line="360" w:lineRule="auto"/>
              <w:jc w:val="left"/>
              <w:rPr>
                <w:rFonts w:cs="宋体"/>
                <w:kern w:val="2"/>
                <w:sz w:val="22"/>
                <w:szCs w:val="22"/>
              </w:rPr>
            </w:pPr>
            <w:r>
              <w:rPr>
                <w:rFonts w:hint="eastAsia" w:cs="宋体"/>
                <w:kern w:val="2"/>
                <w:sz w:val="22"/>
                <w:szCs w:val="22"/>
              </w:rPr>
              <w:t>评审基准价</w:t>
            </w:r>
            <w:r>
              <w:rPr>
                <w:rFonts w:cs="宋体"/>
                <w:kern w:val="2"/>
                <w:sz w:val="22"/>
                <w:szCs w:val="22"/>
              </w:rPr>
              <w:t>=评审价平均值</w:t>
            </w:r>
          </w:p>
          <w:p>
            <w:pPr>
              <w:pStyle w:val="20"/>
              <w:spacing w:after="0" w:line="360" w:lineRule="auto"/>
              <w:ind w:firstLine="220"/>
              <w:rPr>
                <w:rFonts w:ascii="宋体" w:hAnsi="宋体" w:eastAsia="宋体"/>
                <w:b w:val="0"/>
                <w:bCs w:val="0"/>
                <w:kern w:val="2"/>
                <w:sz w:val="22"/>
                <w:szCs w:val="22"/>
              </w:rPr>
            </w:pPr>
            <w:r>
              <w:rPr>
                <w:rFonts w:hint="eastAsia" w:ascii="宋体" w:hAnsi="宋体" w:eastAsia="宋体"/>
                <w:b w:val="0"/>
                <w:bCs w:val="0"/>
                <w:kern w:val="2"/>
                <w:sz w:val="22"/>
                <w:szCs w:val="22"/>
              </w:rPr>
              <w:t>评标价的偏差率计算</w:t>
            </w:r>
          </w:p>
          <w:p>
            <w:pPr>
              <w:pStyle w:val="20"/>
              <w:spacing w:after="0" w:line="360" w:lineRule="auto"/>
              <w:ind w:firstLine="220"/>
              <w:rPr>
                <w:rFonts w:ascii="宋体" w:hAnsi="宋体" w:eastAsia="宋体"/>
                <w:b w:val="0"/>
                <w:bCs w:val="0"/>
                <w:kern w:val="2"/>
                <w:sz w:val="22"/>
                <w:szCs w:val="22"/>
              </w:rPr>
            </w:pPr>
            <w:r>
              <w:rPr>
                <w:rFonts w:hint="eastAsia" w:ascii="宋体" w:hAnsi="宋体" w:eastAsia="宋体"/>
                <w:b w:val="0"/>
                <w:bCs w:val="0"/>
                <w:kern w:val="2"/>
                <w:sz w:val="22"/>
                <w:szCs w:val="22"/>
              </w:rPr>
              <w:t>偏差率</w:t>
            </w:r>
            <w:r>
              <w:rPr>
                <w:rFonts w:ascii="宋体" w:hAnsi="宋体" w:eastAsia="宋体"/>
                <w:b w:val="0"/>
                <w:bCs w:val="0"/>
                <w:kern w:val="2"/>
                <w:sz w:val="22"/>
                <w:szCs w:val="22"/>
              </w:rPr>
              <w:t>=100%×（</w:t>
            </w:r>
            <w:r>
              <w:rPr>
                <w:rFonts w:hint="eastAsia"/>
                <w:b w:val="0"/>
                <w:bCs w:val="0"/>
                <w:kern w:val="2"/>
                <w:sz w:val="22"/>
                <w:szCs w:val="22"/>
              </w:rPr>
              <w:t>供应商</w:t>
            </w:r>
            <w:r>
              <w:rPr>
                <w:rFonts w:hint="eastAsia" w:ascii="宋体" w:hAnsi="宋体" w:eastAsia="宋体"/>
                <w:b w:val="0"/>
                <w:bCs w:val="0"/>
                <w:kern w:val="2"/>
                <w:sz w:val="22"/>
                <w:szCs w:val="22"/>
              </w:rPr>
              <w:t>评审价</w:t>
            </w:r>
            <w:r>
              <w:rPr>
                <w:rFonts w:ascii="宋体" w:hAnsi="宋体" w:eastAsia="宋体"/>
                <w:b w:val="0"/>
                <w:bCs w:val="0"/>
                <w:kern w:val="2"/>
                <w:sz w:val="22"/>
                <w:szCs w:val="22"/>
              </w:rPr>
              <w:t>-评</w:t>
            </w:r>
            <w:r>
              <w:rPr>
                <w:rFonts w:hint="eastAsia" w:ascii="宋体" w:hAnsi="宋体" w:eastAsia="宋体"/>
                <w:b w:val="0"/>
                <w:bCs w:val="0"/>
                <w:kern w:val="2"/>
                <w:sz w:val="22"/>
                <w:szCs w:val="22"/>
              </w:rPr>
              <w:t>审</w:t>
            </w:r>
            <w:r>
              <w:rPr>
                <w:rFonts w:ascii="宋体" w:hAnsi="宋体" w:eastAsia="宋体"/>
                <w:b w:val="0"/>
                <w:bCs w:val="0"/>
                <w:kern w:val="2"/>
                <w:sz w:val="22"/>
                <w:szCs w:val="22"/>
              </w:rPr>
              <w:t>基准价） /</w:t>
            </w:r>
            <w:r>
              <w:rPr>
                <w:rFonts w:hint="eastAsia" w:ascii="宋体" w:hAnsi="宋体" w:eastAsia="宋体"/>
                <w:b w:val="0"/>
                <w:bCs w:val="0"/>
                <w:kern w:val="2"/>
                <w:sz w:val="22"/>
                <w:szCs w:val="22"/>
              </w:rPr>
              <w:t>评审基准价</w:t>
            </w:r>
          </w:p>
          <w:p>
            <w:pPr>
              <w:pStyle w:val="20"/>
              <w:spacing w:after="0" w:line="360" w:lineRule="auto"/>
              <w:ind w:firstLine="220"/>
              <w:rPr>
                <w:rFonts w:ascii="宋体" w:hAnsi="宋体" w:eastAsia="宋体"/>
                <w:b w:val="0"/>
                <w:bCs w:val="0"/>
                <w:kern w:val="2"/>
                <w:sz w:val="22"/>
                <w:szCs w:val="22"/>
              </w:rPr>
            </w:pPr>
            <w:r>
              <w:rPr>
                <w:rFonts w:hint="eastAsia" w:ascii="宋体" w:hAnsi="宋体" w:eastAsia="宋体"/>
                <w:b w:val="0"/>
                <w:bCs w:val="0"/>
                <w:kern w:val="2"/>
                <w:sz w:val="22"/>
                <w:szCs w:val="22"/>
              </w:rPr>
              <w:t>偏差率保留两位小数（小数点后第三位“四舍五</w:t>
            </w:r>
            <w:r>
              <w:rPr>
                <w:rFonts w:ascii="宋体" w:hAnsi="宋体" w:eastAsia="宋体"/>
                <w:b w:val="0"/>
                <w:bCs w:val="0"/>
                <w:kern w:val="2"/>
                <w:sz w:val="22"/>
                <w:szCs w:val="22"/>
              </w:rPr>
              <w:t>入” ） ， 即为*.**%。</w:t>
            </w:r>
          </w:p>
          <w:p>
            <w:pPr>
              <w:pStyle w:val="20"/>
              <w:spacing w:after="0" w:line="360" w:lineRule="auto"/>
              <w:ind w:firstLine="0" w:firstLineChars="0"/>
              <w:rPr>
                <w:rFonts w:ascii="宋体" w:hAnsi="宋体" w:eastAsia="宋体"/>
                <w:b w:val="0"/>
                <w:bCs w:val="0"/>
                <w:kern w:val="2"/>
                <w:sz w:val="22"/>
                <w:szCs w:val="22"/>
              </w:rPr>
            </w:pPr>
            <w:r>
              <w:rPr>
                <w:rFonts w:hint="eastAsia" w:ascii="宋体" w:hAnsi="宋体" w:eastAsia="宋体"/>
                <w:b w:val="0"/>
                <w:bCs w:val="0"/>
                <w:kern w:val="2"/>
                <w:sz w:val="22"/>
                <w:szCs w:val="22"/>
              </w:rPr>
              <w:t>4</w:t>
            </w:r>
            <w:r>
              <w:rPr>
                <w:rFonts w:ascii="宋体" w:hAnsi="宋体" w:eastAsia="宋体"/>
                <w:b w:val="0"/>
                <w:bCs w:val="0"/>
                <w:kern w:val="2"/>
                <w:sz w:val="22"/>
                <w:szCs w:val="22"/>
              </w:rPr>
              <w:t xml:space="preserve">） </w:t>
            </w:r>
            <w:r>
              <w:rPr>
                <w:rFonts w:hint="eastAsia" w:ascii="宋体" w:hAnsi="宋体" w:eastAsia="宋体"/>
                <w:b w:val="0"/>
                <w:bCs w:val="0"/>
                <w:kern w:val="2"/>
                <w:sz w:val="22"/>
                <w:szCs w:val="22"/>
              </w:rPr>
              <w:t>价格分</w:t>
            </w:r>
            <w:r>
              <w:rPr>
                <w:rFonts w:ascii="宋体" w:hAnsi="宋体" w:eastAsia="宋体"/>
                <w:b w:val="0"/>
                <w:bCs w:val="0"/>
                <w:kern w:val="2"/>
                <w:sz w:val="22"/>
                <w:szCs w:val="22"/>
              </w:rPr>
              <w:t>得分计算</w:t>
            </w:r>
          </w:p>
          <w:p>
            <w:pPr>
              <w:pStyle w:val="20"/>
              <w:spacing w:after="0" w:line="360" w:lineRule="auto"/>
              <w:ind w:firstLine="220"/>
              <w:rPr>
                <w:rFonts w:ascii="宋体" w:hAnsi="宋体" w:eastAsia="宋体"/>
                <w:b w:val="0"/>
                <w:bCs w:val="0"/>
                <w:kern w:val="2"/>
                <w:sz w:val="22"/>
                <w:szCs w:val="22"/>
              </w:rPr>
            </w:pPr>
            <w:r>
              <w:rPr>
                <w:rFonts w:ascii="宋体" w:hAnsi="宋体" w:eastAsia="宋体"/>
                <w:b w:val="0"/>
                <w:bCs w:val="0"/>
                <w:kern w:val="2"/>
                <w:sz w:val="22"/>
                <w:szCs w:val="22"/>
              </w:rPr>
              <w:t>①当</w:t>
            </w:r>
            <w:r>
              <w:rPr>
                <w:rFonts w:hint="eastAsia"/>
                <w:b w:val="0"/>
                <w:bCs w:val="0"/>
                <w:kern w:val="2"/>
                <w:sz w:val="22"/>
                <w:szCs w:val="22"/>
              </w:rPr>
              <w:t>供应商</w:t>
            </w:r>
            <w:r>
              <w:rPr>
                <w:rFonts w:ascii="宋体" w:hAnsi="宋体" w:eastAsia="宋体"/>
                <w:b w:val="0"/>
                <w:bCs w:val="0"/>
                <w:kern w:val="2"/>
                <w:sz w:val="22"/>
                <w:szCs w:val="22"/>
              </w:rPr>
              <w:t>评</w:t>
            </w:r>
            <w:r>
              <w:rPr>
                <w:rFonts w:hint="eastAsia" w:ascii="宋体" w:hAnsi="宋体" w:eastAsia="宋体"/>
                <w:b w:val="0"/>
                <w:bCs w:val="0"/>
                <w:kern w:val="2"/>
                <w:sz w:val="22"/>
                <w:szCs w:val="22"/>
              </w:rPr>
              <w:t>审</w:t>
            </w:r>
            <w:r>
              <w:rPr>
                <w:rFonts w:ascii="宋体" w:hAnsi="宋体" w:eastAsia="宋体"/>
                <w:b w:val="0"/>
                <w:bCs w:val="0"/>
                <w:kern w:val="2"/>
                <w:sz w:val="22"/>
                <w:szCs w:val="22"/>
              </w:rPr>
              <w:t>价＞</w:t>
            </w:r>
            <w:r>
              <w:rPr>
                <w:rFonts w:hint="eastAsia" w:ascii="宋体" w:hAnsi="宋体" w:eastAsia="宋体"/>
                <w:b w:val="0"/>
                <w:bCs w:val="0"/>
                <w:kern w:val="2"/>
                <w:sz w:val="22"/>
                <w:szCs w:val="22"/>
              </w:rPr>
              <w:t>评审基准价</w:t>
            </w:r>
            <w:r>
              <w:rPr>
                <w:rFonts w:ascii="宋体" w:hAnsi="宋体" w:eastAsia="宋体"/>
                <w:b w:val="0"/>
                <w:bCs w:val="0"/>
                <w:kern w:val="2"/>
                <w:sz w:val="22"/>
                <w:szCs w:val="22"/>
              </w:rPr>
              <w:t>，</w:t>
            </w:r>
            <w:r>
              <w:rPr>
                <w:rFonts w:hint="eastAsia" w:ascii="宋体" w:hAnsi="宋体" w:eastAsia="宋体"/>
                <w:b w:val="0"/>
                <w:bCs w:val="0"/>
                <w:kern w:val="2"/>
                <w:sz w:val="22"/>
                <w:szCs w:val="22"/>
              </w:rPr>
              <w:t>价格分</w:t>
            </w:r>
            <w:r>
              <w:rPr>
                <w:rFonts w:ascii="宋体" w:hAnsi="宋体" w:eastAsia="宋体"/>
                <w:b w:val="0"/>
                <w:bCs w:val="0"/>
                <w:kern w:val="2"/>
                <w:sz w:val="22"/>
                <w:szCs w:val="22"/>
              </w:rPr>
              <w:t>得分=F-</w:t>
            </w:r>
          </w:p>
          <w:p>
            <w:pPr>
              <w:pStyle w:val="20"/>
              <w:spacing w:after="0" w:line="360" w:lineRule="auto"/>
              <w:ind w:firstLine="220"/>
              <w:rPr>
                <w:rFonts w:ascii="宋体" w:hAnsi="宋体" w:eastAsia="宋体"/>
                <w:b w:val="0"/>
                <w:bCs w:val="0"/>
                <w:kern w:val="2"/>
                <w:sz w:val="22"/>
                <w:szCs w:val="22"/>
              </w:rPr>
            </w:pPr>
            <w:r>
              <w:rPr>
                <w:rFonts w:ascii="宋体" w:hAnsi="宋体" w:eastAsia="宋体"/>
                <w:b w:val="0"/>
                <w:bCs w:val="0"/>
                <w:kern w:val="2"/>
                <w:sz w:val="22"/>
                <w:szCs w:val="22"/>
              </w:rPr>
              <w:t>偏差率*100*E1</w:t>
            </w:r>
          </w:p>
          <w:p>
            <w:pPr>
              <w:pStyle w:val="20"/>
              <w:spacing w:after="0" w:line="360" w:lineRule="auto"/>
              <w:ind w:firstLine="220"/>
              <w:rPr>
                <w:rFonts w:ascii="宋体" w:hAnsi="宋体" w:eastAsia="宋体"/>
                <w:b w:val="0"/>
                <w:bCs w:val="0"/>
                <w:kern w:val="2"/>
                <w:sz w:val="22"/>
                <w:szCs w:val="22"/>
              </w:rPr>
            </w:pPr>
            <w:r>
              <w:rPr>
                <w:rFonts w:ascii="宋体" w:hAnsi="宋体" w:eastAsia="宋体"/>
                <w:b w:val="0"/>
                <w:bCs w:val="0"/>
                <w:kern w:val="2"/>
                <w:sz w:val="22"/>
                <w:szCs w:val="22"/>
              </w:rPr>
              <w:t>②当</w:t>
            </w:r>
            <w:r>
              <w:rPr>
                <w:rFonts w:hint="eastAsia"/>
                <w:b w:val="0"/>
                <w:bCs w:val="0"/>
                <w:kern w:val="2"/>
                <w:sz w:val="22"/>
                <w:szCs w:val="22"/>
              </w:rPr>
              <w:t>供应商</w:t>
            </w:r>
            <w:r>
              <w:rPr>
                <w:rFonts w:ascii="宋体" w:hAnsi="宋体" w:eastAsia="宋体"/>
                <w:b w:val="0"/>
                <w:bCs w:val="0"/>
                <w:kern w:val="2"/>
                <w:sz w:val="22"/>
                <w:szCs w:val="22"/>
              </w:rPr>
              <w:t>评</w:t>
            </w:r>
            <w:r>
              <w:rPr>
                <w:rFonts w:hint="eastAsia" w:ascii="宋体" w:hAnsi="宋体" w:eastAsia="宋体"/>
                <w:b w:val="0"/>
                <w:bCs w:val="0"/>
                <w:kern w:val="2"/>
                <w:sz w:val="22"/>
                <w:szCs w:val="22"/>
              </w:rPr>
              <w:t>审</w:t>
            </w:r>
            <w:r>
              <w:rPr>
                <w:rFonts w:ascii="宋体" w:hAnsi="宋体" w:eastAsia="宋体"/>
                <w:b w:val="0"/>
                <w:bCs w:val="0"/>
                <w:kern w:val="2"/>
                <w:sz w:val="22"/>
                <w:szCs w:val="22"/>
              </w:rPr>
              <w:t>价≤</w:t>
            </w:r>
            <w:r>
              <w:rPr>
                <w:rFonts w:hint="eastAsia" w:ascii="宋体" w:hAnsi="宋体" w:eastAsia="宋体"/>
                <w:b w:val="0"/>
                <w:bCs w:val="0"/>
                <w:kern w:val="2"/>
                <w:sz w:val="22"/>
                <w:szCs w:val="22"/>
              </w:rPr>
              <w:t>评审基准价</w:t>
            </w:r>
            <w:r>
              <w:rPr>
                <w:rFonts w:ascii="宋体" w:hAnsi="宋体" w:eastAsia="宋体"/>
                <w:b w:val="0"/>
                <w:bCs w:val="0"/>
                <w:kern w:val="2"/>
                <w:sz w:val="22"/>
                <w:szCs w:val="22"/>
              </w:rPr>
              <w:t>，</w:t>
            </w:r>
            <w:r>
              <w:rPr>
                <w:rFonts w:hint="eastAsia" w:ascii="宋体" w:hAnsi="宋体" w:eastAsia="宋体"/>
                <w:b w:val="0"/>
                <w:bCs w:val="0"/>
                <w:kern w:val="2"/>
                <w:sz w:val="22"/>
                <w:szCs w:val="22"/>
              </w:rPr>
              <w:t>价格分</w:t>
            </w:r>
            <w:r>
              <w:rPr>
                <w:rFonts w:ascii="宋体" w:hAnsi="宋体" w:eastAsia="宋体"/>
                <w:b w:val="0"/>
                <w:bCs w:val="0"/>
                <w:kern w:val="2"/>
                <w:sz w:val="22"/>
                <w:szCs w:val="22"/>
              </w:rPr>
              <w:t>得分=F+</w:t>
            </w:r>
          </w:p>
          <w:p>
            <w:pPr>
              <w:pStyle w:val="20"/>
              <w:spacing w:after="0" w:line="360" w:lineRule="auto"/>
              <w:ind w:firstLine="220"/>
              <w:rPr>
                <w:rFonts w:ascii="宋体" w:hAnsi="宋体" w:eastAsia="宋体"/>
                <w:b w:val="0"/>
                <w:bCs w:val="0"/>
                <w:kern w:val="2"/>
                <w:sz w:val="22"/>
                <w:szCs w:val="22"/>
              </w:rPr>
            </w:pPr>
            <w:r>
              <w:rPr>
                <w:rFonts w:ascii="宋体" w:hAnsi="宋体" w:eastAsia="宋体"/>
                <w:b w:val="0"/>
                <w:bCs w:val="0"/>
                <w:kern w:val="2"/>
                <w:sz w:val="22"/>
                <w:szCs w:val="22"/>
              </w:rPr>
              <w:t>偏差率*100*E2</w:t>
            </w:r>
          </w:p>
          <w:p>
            <w:pPr>
              <w:pStyle w:val="20"/>
              <w:kinsoku w:val="0"/>
              <w:overflowPunct w:val="0"/>
              <w:autoSpaceDE w:val="0"/>
              <w:autoSpaceDN w:val="0"/>
              <w:spacing w:after="0" w:line="360" w:lineRule="auto"/>
              <w:ind w:firstLine="0" w:firstLineChars="0"/>
              <w:jc w:val="left"/>
              <w:rPr>
                <w:b w:val="0"/>
                <w:bCs w:val="0"/>
                <w:kern w:val="2"/>
                <w:sz w:val="22"/>
                <w:szCs w:val="22"/>
              </w:rPr>
            </w:pPr>
            <w:r>
              <w:rPr>
                <w:rFonts w:hint="eastAsia"/>
                <w:b w:val="0"/>
                <w:bCs w:val="0"/>
                <w:kern w:val="2"/>
                <w:sz w:val="22"/>
                <w:szCs w:val="22"/>
              </w:rPr>
              <w:t>其</w:t>
            </w:r>
            <w:r>
              <w:rPr>
                <w:b w:val="0"/>
                <w:bCs w:val="0"/>
                <w:kern w:val="2"/>
                <w:sz w:val="22"/>
                <w:szCs w:val="22"/>
              </w:rPr>
              <w:t>中:F是</w:t>
            </w:r>
            <w:r>
              <w:rPr>
                <w:rFonts w:hint="eastAsia"/>
                <w:b w:val="0"/>
                <w:bCs w:val="0"/>
                <w:kern w:val="2"/>
                <w:sz w:val="22"/>
                <w:szCs w:val="22"/>
              </w:rPr>
              <w:t>价格分</w:t>
            </w:r>
            <w:r>
              <w:rPr>
                <w:b w:val="0"/>
                <w:bCs w:val="0"/>
                <w:kern w:val="2"/>
                <w:sz w:val="22"/>
                <w:szCs w:val="22"/>
              </w:rPr>
              <w:t>所占的权重分值</w:t>
            </w:r>
            <w:r>
              <w:rPr>
                <w:rFonts w:hint="eastAsia"/>
                <w:b w:val="0"/>
                <w:bCs w:val="0"/>
                <w:kern w:val="2"/>
                <w:sz w:val="22"/>
                <w:szCs w:val="22"/>
              </w:rPr>
              <w:t>，其中</w:t>
            </w:r>
          </w:p>
          <w:p>
            <w:pPr>
              <w:pStyle w:val="20"/>
              <w:kinsoku w:val="0"/>
              <w:overflowPunct w:val="0"/>
              <w:autoSpaceDE w:val="0"/>
              <w:autoSpaceDN w:val="0"/>
              <w:spacing w:after="0" w:line="360" w:lineRule="auto"/>
              <w:ind w:firstLine="220"/>
              <w:jc w:val="left"/>
              <w:rPr>
                <w:rFonts w:ascii="宋体" w:hAnsi="宋体" w:eastAsia="宋体"/>
                <w:b w:val="0"/>
                <w:bCs w:val="0"/>
                <w:kern w:val="2"/>
                <w:sz w:val="22"/>
                <w:szCs w:val="22"/>
              </w:rPr>
            </w:pPr>
            <w:r>
              <w:rPr>
                <w:rFonts w:ascii="宋体" w:hAnsi="宋体" w:eastAsia="宋体"/>
                <w:b w:val="0"/>
                <w:bCs w:val="0"/>
                <w:kern w:val="2"/>
                <w:sz w:val="22"/>
                <w:szCs w:val="22"/>
              </w:rPr>
              <w:t>E1=0.5</w:t>
            </w:r>
            <w:r>
              <w:rPr>
                <w:rFonts w:hint="eastAsia" w:ascii="宋体" w:hAnsi="宋体" w:eastAsia="宋体"/>
                <w:b w:val="0"/>
                <w:bCs w:val="0"/>
                <w:kern w:val="2"/>
                <w:sz w:val="22"/>
                <w:szCs w:val="22"/>
              </w:rPr>
              <w:t>，</w:t>
            </w:r>
            <w:r>
              <w:rPr>
                <w:rFonts w:ascii="宋体" w:hAnsi="宋体" w:eastAsia="宋体"/>
                <w:b w:val="0"/>
                <w:bCs w:val="0"/>
                <w:kern w:val="2"/>
                <w:sz w:val="22"/>
                <w:szCs w:val="22"/>
              </w:rPr>
              <w:t>E2=0.3。</w:t>
            </w:r>
          </w:p>
          <w:p>
            <w:pPr>
              <w:pStyle w:val="20"/>
              <w:spacing w:after="0" w:line="360" w:lineRule="auto"/>
              <w:ind w:firstLine="221"/>
              <w:rPr>
                <w:rFonts w:ascii="宋体" w:hAnsi="宋体" w:eastAsia="宋体"/>
                <w:b w:val="0"/>
                <w:bCs w:val="0"/>
                <w:kern w:val="2"/>
                <w:sz w:val="22"/>
                <w:szCs w:val="22"/>
              </w:rPr>
            </w:pPr>
            <w:r>
              <w:rPr>
                <w:rFonts w:hint="eastAsia"/>
                <w:kern w:val="2"/>
                <w:sz w:val="22"/>
                <w:szCs w:val="22"/>
              </w:rPr>
              <w:t>其中：F是评标价所占的权重分值，当价格分得分为负时，</w:t>
            </w:r>
            <w:r>
              <w:rPr>
                <w:kern w:val="2"/>
                <w:sz w:val="22"/>
                <w:szCs w:val="22"/>
              </w:rPr>
              <w:t>均按0分计算。</w:t>
            </w:r>
            <w:r>
              <w:rPr>
                <w:rFonts w:hint="eastAsia"/>
                <w:kern w:val="2"/>
                <w:sz w:val="22"/>
                <w:szCs w:val="22"/>
              </w:rPr>
              <w:t>价格分得分保留小数点后两位，小数点后三位“四舍五入”。</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lang w:val="en-US" w:eastAsia="zh-CN"/>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tcBorders>
              <w:left w:val="single" w:color="auto" w:sz="4" w:space="0"/>
              <w:right w:val="single" w:color="auto" w:sz="4" w:space="0"/>
            </w:tcBorders>
            <w:vAlign w:val="center"/>
          </w:tcPr>
          <w:p>
            <w:pPr>
              <w:spacing w:line="360" w:lineRule="auto"/>
              <w:jc w:val="center"/>
              <w:rPr>
                <w:sz w:val="24"/>
              </w:rPr>
            </w:pPr>
            <w:r>
              <w:rPr>
                <w:rFonts w:hint="eastAsia"/>
                <w:sz w:val="24"/>
              </w:rPr>
              <w:t>备注</w:t>
            </w:r>
          </w:p>
        </w:tc>
        <w:tc>
          <w:tcPr>
            <w:tcW w:w="3657"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eastAsia="宋体" w:cs="宋体"/>
                <w:b/>
                <w:bCs/>
                <w:sz w:val="24"/>
                <w:szCs w:val="24"/>
                <w:lang w:eastAsia="zh-CN"/>
              </w:rPr>
            </w:pPr>
            <w:r>
              <w:rPr>
                <w:rFonts w:hint="eastAsia" w:cs="宋体"/>
                <w:b/>
                <w:bCs/>
                <w:sz w:val="24"/>
                <w:szCs w:val="24"/>
              </w:rPr>
              <w:t>技术资信部分总篇幅不超过200页</w:t>
            </w:r>
            <w:r>
              <w:rPr>
                <w:rFonts w:hint="eastAsia" w:cs="宋体"/>
                <w:b/>
                <w:bCs/>
                <w:sz w:val="24"/>
                <w:szCs w:val="24"/>
                <w:lang w:eastAsia="zh-CN"/>
              </w:rPr>
              <w:t>。</w:t>
            </w:r>
          </w:p>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p>
        </w:tc>
      </w:tr>
    </w:tbl>
    <w:p>
      <w:pPr>
        <w:spacing w:line="360" w:lineRule="auto"/>
        <w:ind w:firstLine="435"/>
        <w:rPr>
          <w:sz w:val="24"/>
        </w:rPr>
      </w:pPr>
      <w:r>
        <w:rPr>
          <w:rFonts w:hint="eastAsia"/>
          <w:sz w:val="24"/>
        </w:rPr>
        <w:t>2</w:t>
      </w:r>
      <w:r>
        <w:rPr>
          <w:sz w:val="24"/>
        </w:rPr>
        <w:t>.</w:t>
      </w:r>
      <w:r>
        <w:rPr>
          <w:rFonts w:hint="eastAsia"/>
          <w:sz w:val="24"/>
        </w:rPr>
        <w:t>2</w:t>
      </w:r>
      <w:r>
        <w:rPr>
          <w:sz w:val="24"/>
        </w:rPr>
        <w:t>.3</w:t>
      </w:r>
      <w:r>
        <w:rPr>
          <w:rFonts w:hint="eastAsia"/>
          <w:sz w:val="24"/>
        </w:rPr>
        <w:t>分值汇总</w:t>
      </w:r>
    </w:p>
    <w:p>
      <w:pPr>
        <w:spacing w:line="360" w:lineRule="auto"/>
        <w:ind w:firstLine="435"/>
        <w:rPr>
          <w:sz w:val="24"/>
        </w:rPr>
      </w:pPr>
      <w:r>
        <w:rPr>
          <w:rFonts w:hint="eastAsia"/>
          <w:sz w:val="24"/>
        </w:rPr>
        <w:t>（1）磋商小组各成员应当独立对每个有效响应的文件进行评价、打分，然后汇总每个供应商每项评分因素的得分，再取各位磋商小组成员评分之平均值，四舍五入保留至小数点后两位数，得到该供应商的技术资信分。</w:t>
      </w:r>
    </w:p>
    <w:p>
      <w:pPr>
        <w:spacing w:line="360" w:lineRule="auto"/>
        <w:ind w:firstLine="435"/>
        <w:rPr>
          <w:sz w:val="24"/>
        </w:rPr>
      </w:pPr>
      <w:r>
        <w:rPr>
          <w:rFonts w:hint="eastAsia"/>
          <w:sz w:val="24"/>
        </w:rPr>
        <w:t>（2）将每个供应商的技术资信分加上根据上述标准计算出的价格分，即为该供应商的综合总得分。</w:t>
      </w:r>
    </w:p>
    <w:p>
      <w:pPr>
        <w:spacing w:line="360" w:lineRule="auto"/>
        <w:jc w:val="center"/>
        <w:outlineLvl w:val="0"/>
        <w:rPr>
          <w:b/>
          <w:sz w:val="28"/>
        </w:rPr>
      </w:pPr>
      <w:r>
        <w:rPr>
          <w:sz w:val="24"/>
        </w:rPr>
        <w:br w:type="page"/>
      </w:r>
      <w:bookmarkStart w:id="57" w:name="_Toc14165"/>
      <w:r>
        <w:rPr>
          <w:rFonts w:hint="eastAsia"/>
          <w:b/>
          <w:sz w:val="28"/>
        </w:rPr>
        <w:t>第五章  合同条款及格式</w:t>
      </w:r>
      <w:bookmarkEnd w:id="57"/>
    </w:p>
    <w:p>
      <w:pPr>
        <w:pStyle w:val="21"/>
        <w:ind w:left="0" w:leftChars="0" w:firstLine="0" w:firstLineChars="0"/>
        <w:jc w:val="center"/>
        <w:rPr>
          <w:rFonts w:ascii="Times New Roman" w:hAnsi="Times New Roman"/>
          <w:b/>
          <w:sz w:val="24"/>
          <w:szCs w:val="24"/>
        </w:rPr>
      </w:pPr>
      <w:r>
        <w:rPr>
          <w:rFonts w:hint="eastAsia"/>
          <w:b/>
          <w:bCs/>
        </w:rPr>
        <w:t>双方依法签订</w:t>
      </w:r>
    </w:p>
    <w:p>
      <w:pPr>
        <w:widowControl/>
        <w:jc w:val="center"/>
        <w:outlineLvl w:val="0"/>
        <w:rPr>
          <w:b/>
          <w:sz w:val="28"/>
        </w:rPr>
      </w:pPr>
      <w:r>
        <w:rPr>
          <w:rFonts w:ascii="Times New Roman" w:hAnsi="Times New Roman"/>
          <w:b/>
          <w:kern w:val="2"/>
          <w:sz w:val="21"/>
          <w:szCs w:val="24"/>
        </w:rPr>
        <w:br w:type="page"/>
      </w:r>
      <w:bookmarkStart w:id="58" w:name="_Toc17979"/>
      <w:r>
        <w:rPr>
          <w:rFonts w:hint="eastAsia"/>
          <w:b/>
          <w:sz w:val="28"/>
        </w:rPr>
        <w:t>第六章  响应文件格式</w:t>
      </w:r>
      <w:bookmarkEnd w:id="58"/>
    </w:p>
    <w:p>
      <w:pPr>
        <w:spacing w:line="900" w:lineRule="exact"/>
        <w:jc w:val="center"/>
        <w:rPr>
          <w:rFonts w:hint="eastAsia" w:eastAsia="宋体"/>
          <w:b/>
          <w:sz w:val="72"/>
          <w:lang w:eastAsia="zh-CN"/>
        </w:rPr>
      </w:pPr>
      <w:r>
        <w:rPr>
          <w:rFonts w:hint="eastAsia"/>
          <w:b/>
          <w:sz w:val="32"/>
        </w:rPr>
        <w:t xml:space="preserve"> </w:t>
      </w:r>
      <w:r>
        <w:rPr>
          <w:rFonts w:hint="eastAsia"/>
          <w:b/>
          <w:sz w:val="32"/>
          <w:lang w:eastAsia="zh-CN"/>
        </w:rPr>
        <w:t>2025年高店镇7个美丽宜居村庄建设设计</w:t>
      </w:r>
    </w:p>
    <w:p>
      <w:pPr>
        <w:spacing w:line="900" w:lineRule="exact"/>
        <w:jc w:val="center"/>
        <w:outlineLvl w:val="2"/>
        <w:rPr>
          <w:b/>
          <w:sz w:val="72"/>
        </w:rPr>
      </w:pPr>
      <w:r>
        <w:rPr>
          <w:rFonts w:hint="eastAsia"/>
          <w:b/>
          <w:sz w:val="72"/>
        </w:rPr>
        <w:t>响</w:t>
      </w:r>
    </w:p>
    <w:p>
      <w:pPr>
        <w:spacing w:line="900" w:lineRule="exact"/>
        <w:jc w:val="center"/>
        <w:rPr>
          <w:b/>
          <w:sz w:val="72"/>
        </w:rPr>
      </w:pPr>
    </w:p>
    <w:p>
      <w:pPr>
        <w:spacing w:line="900" w:lineRule="exact"/>
        <w:jc w:val="center"/>
        <w:outlineLvl w:val="2"/>
        <w:rPr>
          <w:b/>
          <w:sz w:val="72"/>
        </w:rPr>
      </w:pPr>
      <w:r>
        <w:rPr>
          <w:rFonts w:hint="eastAsia"/>
          <w:b/>
          <w:sz w:val="72"/>
        </w:rPr>
        <w:t>应</w:t>
      </w:r>
    </w:p>
    <w:p>
      <w:pPr>
        <w:spacing w:line="900" w:lineRule="exact"/>
        <w:jc w:val="center"/>
        <w:rPr>
          <w:b/>
          <w:sz w:val="72"/>
        </w:rPr>
      </w:pPr>
    </w:p>
    <w:p>
      <w:pPr>
        <w:spacing w:line="900" w:lineRule="exact"/>
        <w:jc w:val="center"/>
        <w:outlineLvl w:val="2"/>
        <w:rPr>
          <w:b/>
          <w:sz w:val="72"/>
        </w:rPr>
      </w:pPr>
      <w:r>
        <w:rPr>
          <w:rFonts w:hint="eastAsia"/>
          <w:b/>
          <w:sz w:val="72"/>
        </w:rPr>
        <w:t>文</w:t>
      </w:r>
    </w:p>
    <w:p>
      <w:pPr>
        <w:spacing w:line="900" w:lineRule="exact"/>
        <w:jc w:val="center"/>
        <w:rPr>
          <w:b/>
          <w:sz w:val="72"/>
        </w:rPr>
      </w:pPr>
    </w:p>
    <w:p>
      <w:pPr>
        <w:jc w:val="center"/>
        <w:outlineLvl w:val="2"/>
        <w:rPr>
          <w:b/>
          <w:sz w:val="72"/>
        </w:rPr>
      </w:pPr>
      <w:r>
        <w:rPr>
          <w:rFonts w:hint="eastAsia"/>
          <w:b/>
          <w:sz w:val="72"/>
        </w:rPr>
        <w:t>件</w:t>
      </w:r>
    </w:p>
    <w:p>
      <w:pPr>
        <w:spacing w:after="156" w:afterLines="50"/>
        <w:jc w:val="center"/>
        <w:rPr>
          <w:b/>
          <w:sz w:val="72"/>
        </w:rPr>
      </w:pPr>
    </w:p>
    <w:p>
      <w:pPr>
        <w:spacing w:after="156" w:afterLines="50" w:line="500" w:lineRule="exact"/>
        <w:jc w:val="center"/>
        <w:rPr>
          <w:b/>
          <w:sz w:val="28"/>
          <w:szCs w:val="28"/>
        </w:rPr>
      </w:pPr>
    </w:p>
    <w:p>
      <w:pPr>
        <w:spacing w:after="156" w:afterLines="50" w:line="500" w:lineRule="exact"/>
        <w:jc w:val="center"/>
        <w:rPr>
          <w:b/>
          <w:sz w:val="72"/>
        </w:rPr>
      </w:pPr>
    </w:p>
    <w:p>
      <w:pPr>
        <w:spacing w:after="156" w:afterLines="50" w:line="500" w:lineRule="exact"/>
        <w:ind w:firstLine="2522" w:firstLineChars="785"/>
        <w:rPr>
          <w:b/>
          <w:sz w:val="32"/>
          <w:u w:val="single"/>
        </w:rPr>
      </w:pPr>
      <w:r>
        <w:rPr>
          <w:rFonts w:hint="eastAsia"/>
          <w:b/>
          <w:sz w:val="32"/>
        </w:rPr>
        <w:t>供应商：</w:t>
      </w:r>
      <w:r>
        <w:rPr>
          <w:rFonts w:hint="eastAsia"/>
          <w:b/>
          <w:sz w:val="32"/>
          <w:u w:val="single"/>
        </w:rPr>
        <w:t xml:space="preserve">               </w:t>
      </w:r>
    </w:p>
    <w:p>
      <w:pPr>
        <w:spacing w:after="156" w:afterLines="50" w:line="500" w:lineRule="exact"/>
        <w:jc w:val="center"/>
        <w:rPr>
          <w:b/>
          <w:sz w:val="32"/>
        </w:rPr>
      </w:pPr>
      <w:r>
        <w:rPr>
          <w:rFonts w:hint="eastAsia"/>
          <w:b/>
          <w:sz w:val="32"/>
          <w:u w:val="single"/>
        </w:rPr>
        <w:t xml:space="preserve">    </w:t>
      </w:r>
      <w:bookmarkStart w:id="59" w:name="_Toc14428"/>
      <w:bookmarkStart w:id="60" w:name="_Toc9980"/>
      <w:bookmarkStart w:id="61" w:name="_Toc4607"/>
      <w:bookmarkStart w:id="62" w:name="_Toc328"/>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bookmarkEnd w:id="59"/>
      <w:bookmarkEnd w:id="60"/>
      <w:bookmarkEnd w:id="61"/>
      <w:bookmarkEnd w:id="62"/>
    </w:p>
    <w:p>
      <w:pPr>
        <w:widowControl/>
        <w:jc w:val="center"/>
        <w:rPr>
          <w:b/>
          <w:sz w:val="24"/>
        </w:rPr>
      </w:pPr>
      <w:r>
        <w:rPr>
          <w:b/>
          <w:sz w:val="28"/>
        </w:rPr>
        <w:br w:type="page"/>
      </w:r>
      <w:bookmarkStart w:id="63" w:name="_Toc461053086"/>
      <w:bookmarkStart w:id="64" w:name="_Toc461056631"/>
      <w:bookmarkStart w:id="65" w:name="_Toc520983587"/>
      <w:r>
        <w:rPr>
          <w:rFonts w:hint="eastAsia"/>
          <w:b/>
          <w:sz w:val="24"/>
        </w:rPr>
        <w:t>一</w:t>
      </w:r>
      <w:bookmarkEnd w:id="63"/>
      <w:bookmarkEnd w:id="64"/>
      <w:r>
        <w:rPr>
          <w:rFonts w:hint="eastAsia"/>
          <w:b/>
          <w:sz w:val="24"/>
        </w:rPr>
        <w:t>、报价表格式</w:t>
      </w:r>
      <w:bookmarkEnd w:id="65"/>
    </w:p>
    <w:p>
      <w:pPr>
        <w:spacing w:before="156" w:beforeLines="50" w:after="156" w:afterLines="50" w:line="360" w:lineRule="auto"/>
        <w:jc w:val="center"/>
        <w:outlineLvl w:val="2"/>
        <w:rPr>
          <w:rFonts w:cs="@仿宋_GB2312"/>
          <w:b/>
          <w:kern w:val="2"/>
          <w:sz w:val="24"/>
          <w:szCs w:val="24"/>
        </w:rPr>
      </w:pPr>
      <w:r>
        <w:rPr>
          <w:rFonts w:hint="eastAsia" w:cs="@仿宋_GB2312"/>
          <w:b/>
          <w:kern w:val="2"/>
          <w:sz w:val="24"/>
          <w:szCs w:val="24"/>
        </w:rPr>
        <w:t>1-1 报价表</w:t>
      </w:r>
    </w:p>
    <w:p>
      <w:pPr>
        <w:snapToGrid w:val="0"/>
        <w:spacing w:line="360" w:lineRule="auto"/>
        <w:jc w:val="left"/>
        <w:rPr>
          <w:rFonts w:cs="宋体"/>
          <w:b/>
          <w:kern w:val="2"/>
          <w:sz w:val="24"/>
          <w:szCs w:val="24"/>
        </w:rPr>
      </w:pPr>
      <w:r>
        <w:rPr>
          <w:rFonts w:hint="eastAsia" w:cs="宋体"/>
          <w:b/>
          <w:kern w:val="2"/>
          <w:sz w:val="24"/>
          <w:szCs w:val="24"/>
        </w:rPr>
        <w:t>项目名称：</w:t>
      </w:r>
      <w:r>
        <w:rPr>
          <w:rFonts w:hint="eastAsia" w:cs="宋体"/>
          <w:b/>
          <w:kern w:val="2"/>
          <w:sz w:val="24"/>
          <w:szCs w:val="24"/>
          <w:u w:val="single"/>
        </w:rPr>
        <w:t xml:space="preserve"> </w:t>
      </w:r>
      <w:r>
        <w:rPr>
          <w:rFonts w:hint="eastAsia" w:cs="宋体"/>
          <w:b/>
          <w:kern w:val="2"/>
          <w:sz w:val="24"/>
          <w:szCs w:val="24"/>
          <w:u w:val="single"/>
          <w:lang w:eastAsia="zh-CN"/>
        </w:rPr>
        <w:t>2025年高店镇7个美丽宜居村庄建设设计</w:t>
      </w:r>
      <w:r>
        <w:rPr>
          <w:rFonts w:hint="eastAsia" w:cs="宋体"/>
          <w:b/>
          <w:kern w:val="2"/>
          <w:sz w:val="24"/>
          <w:szCs w:val="24"/>
          <w:u w:val="single"/>
        </w:rPr>
        <w:t xml:space="preserve"> </w:t>
      </w:r>
    </w:p>
    <w:p>
      <w:pPr>
        <w:snapToGrid w:val="0"/>
        <w:spacing w:after="156" w:afterLines="50" w:line="360" w:lineRule="auto"/>
        <w:jc w:val="left"/>
        <w:rPr>
          <w:rFonts w:cs="宋体"/>
          <w:b/>
          <w:bCs/>
          <w:kern w:val="2"/>
          <w:sz w:val="24"/>
          <w:szCs w:val="24"/>
          <w:u w:val="single"/>
        </w:rPr>
      </w:pPr>
      <w:r>
        <w:rPr>
          <w:rFonts w:hint="eastAsia" w:cs="宋体"/>
          <w:b/>
          <w:kern w:val="2"/>
          <w:sz w:val="24"/>
          <w:szCs w:val="24"/>
        </w:rPr>
        <w:t>项目编号：</w:t>
      </w:r>
      <w:r>
        <w:rPr>
          <w:rFonts w:hint="eastAsia" w:cs="宋体"/>
          <w:b/>
          <w:kern w:val="2"/>
          <w:sz w:val="24"/>
          <w:szCs w:val="24"/>
          <w:u w:val="single"/>
          <w:lang w:eastAsia="zh-CN"/>
        </w:rPr>
        <w:t>2025PHBN021</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2"/>
                <w:sz w:val="24"/>
                <w:szCs w:val="24"/>
              </w:rPr>
            </w:pPr>
            <w:r>
              <w:rPr>
                <w:rFonts w:hint="eastAsia" w:cs="宋体"/>
                <w:b/>
                <w:kern w:val="2"/>
                <w:sz w:val="24"/>
                <w:szCs w:val="24"/>
              </w:rPr>
              <w:t>供应商名称</w:t>
            </w:r>
          </w:p>
        </w:tc>
        <w:tc>
          <w:tcPr>
            <w:tcW w:w="6063" w:type="dxa"/>
            <w:tcBorders>
              <w:left w:val="single" w:color="auto" w:sz="4" w:space="0"/>
            </w:tcBorders>
          </w:tcPr>
          <w:p>
            <w:pPr>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2"/>
                <w:sz w:val="24"/>
                <w:szCs w:val="24"/>
              </w:rPr>
            </w:pPr>
            <w:r>
              <w:rPr>
                <w:rFonts w:hint="eastAsia" w:cs="宋体"/>
                <w:b/>
                <w:bCs/>
                <w:kern w:val="2"/>
                <w:sz w:val="24"/>
                <w:szCs w:val="24"/>
              </w:rPr>
              <w:t>磋商</w:t>
            </w:r>
            <w:r>
              <w:rPr>
                <w:rFonts w:hint="eastAsia" w:cs="宋体"/>
                <w:b/>
                <w:kern w:val="2"/>
                <w:sz w:val="24"/>
                <w:szCs w:val="24"/>
              </w:rPr>
              <w:t>范围</w:t>
            </w:r>
          </w:p>
        </w:tc>
        <w:tc>
          <w:tcPr>
            <w:tcW w:w="6063" w:type="dxa"/>
            <w:tcBorders>
              <w:left w:val="single" w:color="auto" w:sz="4" w:space="0"/>
            </w:tcBorders>
            <w:vAlign w:val="center"/>
          </w:tcPr>
          <w:p>
            <w:pPr>
              <w:widowControl/>
              <w:rPr>
                <w:rFonts w:cs="宋体"/>
                <w:b/>
                <w:kern w:val="2"/>
                <w:sz w:val="24"/>
                <w:szCs w:val="24"/>
              </w:rPr>
            </w:pPr>
            <w:r>
              <w:rPr>
                <w:rFonts w:hint="eastAsia" w:cs="@仿宋_GB2312"/>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b/>
                <w:kern w:val="2"/>
                <w:sz w:val="24"/>
                <w:szCs w:val="24"/>
              </w:rPr>
            </w:pPr>
            <w:r>
              <w:rPr>
                <w:rFonts w:hint="eastAsia" w:cs="宋体"/>
                <w:b/>
                <w:kern w:val="2"/>
                <w:sz w:val="24"/>
                <w:szCs w:val="24"/>
              </w:rPr>
              <w:t>（详见备注说明）</w:t>
            </w:r>
          </w:p>
        </w:tc>
        <w:tc>
          <w:tcPr>
            <w:tcW w:w="6063" w:type="dxa"/>
            <w:vAlign w:val="center"/>
          </w:tcPr>
          <w:p>
            <w:pPr>
              <w:snapToGrid w:val="0"/>
              <w:rPr>
                <w:rFonts w:cs="宋体"/>
                <w:kern w:val="2"/>
                <w:sz w:val="24"/>
                <w:szCs w:val="24"/>
              </w:rPr>
            </w:pPr>
          </w:p>
          <w:p>
            <w:pPr>
              <w:snapToGrid w:val="0"/>
              <w:rPr>
                <w:rFonts w:cs="宋体"/>
                <w:bCs/>
                <w:kern w:val="2"/>
                <w:sz w:val="24"/>
                <w:szCs w:val="24"/>
                <w:u w:val="single"/>
              </w:rPr>
            </w:pPr>
            <w:r>
              <w:rPr>
                <w:rFonts w:hint="eastAsia" w:cs="宋体"/>
                <w:bCs/>
                <w:kern w:val="2"/>
                <w:sz w:val="24"/>
                <w:szCs w:val="24"/>
              </w:rPr>
              <w:t>大写：</w:t>
            </w:r>
            <w:r>
              <w:rPr>
                <w:rFonts w:hint="eastAsia" w:cs="宋体"/>
                <w:bCs/>
                <w:kern w:val="2"/>
                <w:sz w:val="24"/>
                <w:szCs w:val="24"/>
                <w:u w:val="single"/>
              </w:rPr>
              <w:t xml:space="preserve">                        </w:t>
            </w:r>
          </w:p>
          <w:p>
            <w:pPr>
              <w:pStyle w:val="21"/>
              <w:ind w:left="0" w:leftChars="0" w:firstLine="0" w:firstLineChars="0"/>
            </w:pPr>
            <w:r>
              <w:rPr>
                <w:rFonts w:hint="eastAsia" w:cs="宋体"/>
                <w:bCs/>
                <w:sz w:val="24"/>
                <w:szCs w:val="24"/>
              </w:rPr>
              <w:t>小写：</w:t>
            </w:r>
            <w:r>
              <w:rPr>
                <w:rFonts w:hint="eastAsia" w:cs="宋体"/>
                <w:bCs/>
                <w:sz w:val="24"/>
                <w:szCs w:val="24"/>
                <w:u w:val="single"/>
              </w:rPr>
              <w:t xml:space="preserve">                        </w:t>
            </w:r>
          </w:p>
          <w:p>
            <w:pPr>
              <w:snapToGrid w:val="0"/>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kern w:val="2"/>
                <w:sz w:val="24"/>
                <w:szCs w:val="24"/>
              </w:rPr>
            </w:pPr>
            <w:r>
              <w:rPr>
                <w:rFonts w:hint="eastAsia" w:cs="宋体"/>
                <w:b/>
                <w:bCs/>
                <w:kern w:val="2"/>
                <w:sz w:val="24"/>
                <w:szCs w:val="24"/>
              </w:rPr>
              <w:t>质量标准</w:t>
            </w:r>
          </w:p>
        </w:tc>
        <w:tc>
          <w:tcPr>
            <w:tcW w:w="6063" w:type="dxa"/>
            <w:vAlign w:val="center"/>
          </w:tcPr>
          <w:p>
            <w:pPr>
              <w:snapToGrid w:val="0"/>
              <w:rPr>
                <w:rFonts w:cs="宋体"/>
                <w:b/>
                <w:kern w:val="2"/>
                <w:sz w:val="24"/>
                <w:szCs w:val="24"/>
              </w:rPr>
            </w:pPr>
            <w:r>
              <w:rPr>
                <w:rFonts w:hint="eastAsia" w:cs="宋体"/>
                <w:b/>
                <w:kern w:val="2"/>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59" w:type="dxa"/>
            <w:tcBorders>
              <w:top w:val="single" w:color="auto" w:sz="4" w:space="0"/>
            </w:tcBorders>
            <w:vAlign w:val="center"/>
          </w:tcPr>
          <w:p>
            <w:pPr>
              <w:snapToGrid w:val="0"/>
              <w:jc w:val="center"/>
              <w:rPr>
                <w:rFonts w:cs="宋体"/>
                <w:b/>
                <w:kern w:val="2"/>
                <w:sz w:val="24"/>
                <w:szCs w:val="24"/>
              </w:rPr>
            </w:pPr>
            <w:r>
              <w:rPr>
                <w:rFonts w:hint="eastAsia" w:cs="宋体"/>
                <w:b/>
                <w:bCs/>
                <w:kern w:val="2"/>
                <w:sz w:val="24"/>
                <w:szCs w:val="24"/>
              </w:rPr>
              <w:t>工    期</w:t>
            </w:r>
          </w:p>
        </w:tc>
        <w:tc>
          <w:tcPr>
            <w:tcW w:w="6063" w:type="dxa"/>
            <w:vAlign w:val="center"/>
          </w:tcPr>
          <w:p>
            <w:pPr>
              <w:snapToGrid w:val="0"/>
              <w:rPr>
                <w:rFonts w:hint="eastAsia" w:cs="宋体"/>
                <w:b w:val="0"/>
                <w:bCs/>
                <w:kern w:val="2"/>
                <w:sz w:val="24"/>
                <w:szCs w:val="24"/>
                <w:u w:val="none"/>
              </w:rPr>
            </w:pPr>
            <w:r>
              <w:rPr>
                <w:rFonts w:hint="eastAsia" w:cs="宋体"/>
                <w:b w:val="0"/>
                <w:bCs/>
                <w:kern w:val="2"/>
                <w:sz w:val="24"/>
                <w:szCs w:val="24"/>
                <w:u w:val="none"/>
              </w:rPr>
              <w:t>设计工期时间：成交公示无异议发放成交确认书，下发成交确认书后60日内设计完毕，交付设计图纸。</w:t>
            </w:r>
          </w:p>
          <w:p>
            <w:pPr>
              <w:snapToGrid w:val="0"/>
              <w:rPr>
                <w:rFonts w:cs="宋体"/>
                <w:b/>
                <w:kern w:val="2"/>
                <w:sz w:val="24"/>
                <w:szCs w:val="24"/>
              </w:rPr>
            </w:pPr>
            <w:r>
              <w:rPr>
                <w:rFonts w:hint="eastAsia" w:cs="宋体"/>
                <w:b w:val="0"/>
                <w:bCs/>
                <w:kern w:val="2"/>
                <w:sz w:val="24"/>
                <w:szCs w:val="24"/>
                <w:u w:val="none"/>
              </w:rPr>
              <w:t>服务期限：项目开工至实施完成全过程。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pPr>
              <w:jc w:val="center"/>
              <w:rPr>
                <w:rFonts w:cs="宋体"/>
                <w:b/>
                <w:kern w:val="2"/>
                <w:sz w:val="24"/>
                <w:szCs w:val="24"/>
              </w:rPr>
            </w:pPr>
            <w:r>
              <w:rPr>
                <w:rFonts w:hint="eastAsia" w:cs="宋体"/>
                <w:b/>
                <w:kern w:val="2"/>
                <w:sz w:val="24"/>
                <w:szCs w:val="24"/>
              </w:rPr>
              <w:t>备注说明</w:t>
            </w:r>
          </w:p>
        </w:tc>
        <w:tc>
          <w:tcPr>
            <w:tcW w:w="6063" w:type="dxa"/>
            <w:vAlign w:val="center"/>
          </w:tcPr>
          <w:p>
            <w:pPr>
              <w:rPr>
                <w:sz w:val="24"/>
                <w:szCs w:val="18"/>
              </w:rPr>
            </w:pPr>
          </w:p>
        </w:tc>
      </w:tr>
    </w:tbl>
    <w:p>
      <w:pPr>
        <w:spacing w:line="440" w:lineRule="exact"/>
        <w:ind w:firstLine="4800" w:firstLineChars="2000"/>
        <w:rPr>
          <w:rFonts w:cs="@仿宋_GB2312"/>
          <w:kern w:val="2"/>
          <w:sz w:val="24"/>
          <w:szCs w:val="24"/>
          <w:u w:val="single"/>
        </w:rPr>
      </w:pPr>
      <w:r>
        <w:rPr>
          <w:rFonts w:hint="eastAsia"/>
          <w:sz w:val="24"/>
        </w:rPr>
        <w:t>供应商</w:t>
      </w:r>
      <w:r>
        <w:rPr>
          <w:rFonts w:hint="eastAsia" w:cs="@仿宋_GB2312"/>
          <w:kern w:val="2"/>
          <w:sz w:val="24"/>
          <w:szCs w:val="24"/>
        </w:rPr>
        <w:t>电子签章：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pPr>
        <w:adjustRightInd w:val="0"/>
        <w:snapToGrid w:val="0"/>
        <w:spacing w:line="360" w:lineRule="auto"/>
        <w:rPr>
          <w:rFonts w:cs="宋体"/>
          <w:b/>
          <w:bCs/>
          <w:kern w:val="2"/>
          <w:sz w:val="24"/>
          <w:szCs w:val="24"/>
        </w:rPr>
      </w:pPr>
      <w:r>
        <w:rPr>
          <w:rFonts w:hint="eastAsia" w:cs="宋体"/>
          <w:b/>
          <w:bCs/>
          <w:kern w:val="2"/>
          <w:sz w:val="24"/>
          <w:szCs w:val="24"/>
        </w:rPr>
        <w:t>注：</w:t>
      </w:r>
    </w:p>
    <w:p>
      <w:pPr>
        <w:adjustRightInd w:val="0"/>
        <w:snapToGrid w:val="0"/>
        <w:spacing w:line="360" w:lineRule="auto"/>
        <w:ind w:firstLine="482" w:firstLineChars="200"/>
        <w:rPr>
          <w:rFonts w:cs="宋体"/>
          <w:kern w:val="2"/>
          <w:sz w:val="24"/>
          <w:szCs w:val="24"/>
        </w:rPr>
      </w:pPr>
      <w:r>
        <w:rPr>
          <w:rFonts w:hint="eastAsia" w:cs="宋体"/>
          <w:b/>
          <w:bCs/>
          <w:kern w:val="2"/>
          <w:sz w:val="24"/>
          <w:szCs w:val="24"/>
        </w:rPr>
        <w:t>1.本表内容根据磋商文件要求包括了磋商文件要求提供的全部内容的所有费用。</w:t>
      </w:r>
    </w:p>
    <w:p>
      <w:pPr>
        <w:adjustRightInd w:val="0"/>
        <w:snapToGrid w:val="0"/>
        <w:spacing w:line="360" w:lineRule="auto"/>
        <w:ind w:firstLine="482" w:firstLineChars="200"/>
        <w:rPr>
          <w:rFonts w:cs="宋体"/>
          <w:b/>
          <w:bCs/>
          <w:kern w:val="2"/>
          <w:sz w:val="24"/>
          <w:szCs w:val="24"/>
        </w:rPr>
      </w:pPr>
      <w:r>
        <w:rPr>
          <w:rFonts w:hint="eastAsia" w:cs="宋体"/>
          <w:b/>
          <w:bCs/>
          <w:kern w:val="2"/>
          <w:sz w:val="24"/>
          <w:szCs w:val="24"/>
        </w:rPr>
        <w:t>2.特殊事项在备注中注明。</w:t>
      </w:r>
    </w:p>
    <w:p>
      <w:pPr>
        <w:adjustRightInd w:val="0"/>
        <w:snapToGrid w:val="0"/>
        <w:spacing w:line="360" w:lineRule="auto"/>
        <w:ind w:firstLine="482" w:firstLineChars="200"/>
        <w:rPr>
          <w:rFonts w:cs="宋体"/>
          <w:b/>
          <w:bCs/>
          <w:kern w:val="2"/>
          <w:sz w:val="24"/>
          <w:szCs w:val="24"/>
        </w:rPr>
      </w:pPr>
      <w:r>
        <w:rPr>
          <w:rFonts w:hint="eastAsia" w:cs="@仿宋_GB2312"/>
          <w:b/>
          <w:bCs/>
          <w:kern w:val="2"/>
          <w:sz w:val="24"/>
          <w:szCs w:val="24"/>
        </w:rPr>
        <w:t>3.</w:t>
      </w:r>
      <w:r>
        <w:rPr>
          <w:rFonts w:hint="eastAsia"/>
          <w:b/>
          <w:sz w:val="24"/>
          <w:szCs w:val="18"/>
        </w:rPr>
        <w:t>供应商</w:t>
      </w:r>
      <w:r>
        <w:rPr>
          <w:rFonts w:hint="eastAsia"/>
          <w:b/>
          <w:bCs/>
          <w:sz w:val="24"/>
          <w:szCs w:val="24"/>
        </w:rPr>
        <w:t>填写的唱标信息不作为评审依据。</w:t>
      </w:r>
    </w:p>
    <w:p>
      <w:pPr>
        <w:widowControl/>
        <w:spacing w:line="360" w:lineRule="auto"/>
        <w:ind w:firstLine="482" w:firstLineChars="200"/>
        <w:jc w:val="center"/>
        <w:rPr>
          <w:rFonts w:cs="@仿宋_GB2312"/>
          <w:b/>
          <w:bCs/>
          <w:kern w:val="2"/>
          <w:sz w:val="24"/>
          <w:szCs w:val="24"/>
        </w:rPr>
      </w:pPr>
      <w:r>
        <w:rPr>
          <w:rFonts w:cs="宋体"/>
          <w:b/>
          <w:bCs/>
          <w:kern w:val="2"/>
          <w:sz w:val="24"/>
          <w:szCs w:val="24"/>
        </w:rPr>
        <w:br w:type="page"/>
      </w:r>
      <w:bookmarkStart w:id="66" w:name="_Toc520983591"/>
      <w:r>
        <w:rPr>
          <w:rFonts w:hint="eastAsia"/>
          <w:b/>
          <w:sz w:val="24"/>
        </w:rPr>
        <w:t>二、</w:t>
      </w:r>
      <w:r>
        <w:rPr>
          <w:rFonts w:hint="eastAsia"/>
          <w:b/>
          <w:sz w:val="24"/>
          <w:szCs w:val="18"/>
        </w:rPr>
        <w:t>供应商</w:t>
      </w:r>
      <w:r>
        <w:rPr>
          <w:rFonts w:hint="eastAsia"/>
          <w:b/>
          <w:sz w:val="24"/>
        </w:rPr>
        <w:t>综合情况简介</w:t>
      </w:r>
    </w:p>
    <w:p>
      <w:pPr>
        <w:spacing w:before="156" w:beforeLines="50" w:after="156" w:afterLines="50" w:line="360" w:lineRule="auto"/>
        <w:ind w:firstLine="235" w:firstLineChars="98"/>
        <w:jc w:val="center"/>
        <w:rPr>
          <w:sz w:val="24"/>
          <w:szCs w:val="28"/>
        </w:rPr>
      </w:pPr>
      <w:r>
        <w:rPr>
          <w:rFonts w:hint="eastAsia"/>
          <w:sz w:val="24"/>
          <w:szCs w:val="28"/>
        </w:rPr>
        <w:t>（</w:t>
      </w:r>
      <w:r>
        <w:rPr>
          <w:rFonts w:hint="eastAsia"/>
          <w:sz w:val="24"/>
        </w:rPr>
        <w:t>供应商</w:t>
      </w:r>
      <w:r>
        <w:rPr>
          <w:rFonts w:hint="eastAsia"/>
          <w:sz w:val="24"/>
          <w:szCs w:val="28"/>
        </w:rPr>
        <w:t>可自行制作格式）</w:t>
      </w:r>
    </w:p>
    <w:p>
      <w:pPr>
        <w:widowControl/>
        <w:jc w:val="center"/>
        <w:rPr>
          <w:b/>
          <w:sz w:val="24"/>
        </w:rPr>
      </w:pPr>
      <w:r>
        <w:rPr>
          <w:b/>
          <w:sz w:val="24"/>
        </w:rPr>
        <w:br w:type="page"/>
      </w:r>
      <w:r>
        <w:rPr>
          <w:rFonts w:hint="eastAsia"/>
          <w:b/>
          <w:sz w:val="24"/>
        </w:rPr>
        <w:t>三、磋商响应函</w:t>
      </w:r>
      <w:bookmarkEnd w:id="66"/>
    </w:p>
    <w:p>
      <w:pPr>
        <w:spacing w:line="360" w:lineRule="auto"/>
        <w:rPr>
          <w:rFonts w:hint="eastAsia" w:eastAsia="宋体" w:cs="宋体"/>
          <w:b/>
          <w:kern w:val="2"/>
          <w:sz w:val="24"/>
          <w:szCs w:val="24"/>
          <w:u w:val="single"/>
          <w:lang w:eastAsia="zh-CN"/>
        </w:rPr>
      </w:pPr>
      <w:r>
        <w:rPr>
          <w:rFonts w:hint="eastAsia" w:cs="宋体"/>
          <w:b/>
          <w:kern w:val="2"/>
          <w:sz w:val="24"/>
          <w:szCs w:val="24"/>
        </w:rPr>
        <w:t>致：</w:t>
      </w:r>
      <w:r>
        <w:rPr>
          <w:rFonts w:hint="eastAsia" w:cs="宋体"/>
          <w:b/>
          <w:kern w:val="2"/>
          <w:sz w:val="24"/>
          <w:szCs w:val="24"/>
          <w:u w:val="single"/>
          <w:lang w:eastAsia="zh-CN"/>
        </w:rPr>
        <w:t>肥西县高店镇人民政府</w:t>
      </w:r>
    </w:p>
    <w:p>
      <w:pPr>
        <w:spacing w:line="360" w:lineRule="auto"/>
        <w:ind w:firstLine="482" w:firstLineChars="200"/>
        <w:rPr>
          <w:rFonts w:hint="eastAsia" w:eastAsia="宋体" w:cs="宋体"/>
          <w:b/>
          <w:kern w:val="2"/>
          <w:sz w:val="24"/>
          <w:szCs w:val="24"/>
          <w:lang w:eastAsia="zh-CN"/>
        </w:rPr>
      </w:pPr>
      <w:r>
        <w:rPr>
          <w:rFonts w:hint="eastAsia" w:cs="宋体"/>
          <w:b/>
          <w:sz w:val="24"/>
          <w:szCs w:val="24"/>
          <w:u w:val="single"/>
          <w:lang w:eastAsia="zh-CN"/>
        </w:rPr>
        <w:t>肥西县派合商务服务有限公司</w:t>
      </w:r>
    </w:p>
    <w:p>
      <w:pPr>
        <w:spacing w:line="360" w:lineRule="auto"/>
        <w:ind w:firstLine="480" w:firstLineChars="200"/>
        <w:rPr>
          <w:rFonts w:cs="宋体"/>
          <w:kern w:val="2"/>
          <w:sz w:val="24"/>
          <w:szCs w:val="24"/>
        </w:rPr>
      </w:pPr>
      <w:r>
        <w:rPr>
          <w:rFonts w:hint="eastAsia" w:cs="宋体"/>
          <w:kern w:val="2"/>
          <w:sz w:val="24"/>
          <w:szCs w:val="24"/>
        </w:rPr>
        <w:t>根据贵方的磋商公告和磋商邀请，我方兹宣布同意如下：</w:t>
      </w:r>
    </w:p>
    <w:p>
      <w:pPr>
        <w:spacing w:line="360" w:lineRule="auto"/>
        <w:ind w:firstLine="480" w:firstLineChars="200"/>
        <w:rPr>
          <w:rFonts w:cs="@仿宋_GB2312"/>
          <w:kern w:val="2"/>
          <w:sz w:val="24"/>
          <w:szCs w:val="24"/>
        </w:rPr>
      </w:pPr>
      <w:r>
        <w:rPr>
          <w:rFonts w:hint="eastAsia" w:cs="@仿宋_GB2312"/>
          <w:kern w:val="2"/>
          <w:sz w:val="24"/>
          <w:szCs w:val="24"/>
        </w:rPr>
        <w:t>1.按项目磋商文件规定提供服务的报价见报价表，如确定我方为成交人，我方承诺愿意按项目磋商文件规定缴纳代理代理服务费，如不交纳代理服务费，我公司愿意承担违约责任。</w:t>
      </w:r>
    </w:p>
    <w:p>
      <w:pPr>
        <w:spacing w:line="360" w:lineRule="auto"/>
        <w:ind w:firstLine="480" w:firstLineChars="200"/>
        <w:rPr>
          <w:rFonts w:cs="@仿宋_GB2312"/>
          <w:kern w:val="2"/>
          <w:sz w:val="24"/>
          <w:szCs w:val="24"/>
        </w:rPr>
      </w:pPr>
      <w:r>
        <w:rPr>
          <w:rFonts w:hint="eastAsia" w:cs="@仿宋_GB2312"/>
          <w:kern w:val="2"/>
          <w:sz w:val="24"/>
          <w:szCs w:val="24"/>
        </w:rPr>
        <w:t>2.我方根据项目磋商文件的规定，严格履行合同的责任和义务,并保证于项目单位要求的日期内完成服务工作，并通过项目单位验收。</w:t>
      </w:r>
    </w:p>
    <w:p>
      <w:pPr>
        <w:spacing w:line="360" w:lineRule="auto"/>
        <w:ind w:firstLine="480" w:firstLineChars="200"/>
        <w:rPr>
          <w:rFonts w:cs="@仿宋_GB2312"/>
          <w:kern w:val="2"/>
          <w:sz w:val="24"/>
          <w:szCs w:val="24"/>
        </w:rPr>
      </w:pPr>
      <w:r>
        <w:rPr>
          <w:rFonts w:hint="eastAsia" w:cs="@仿宋_GB2312"/>
          <w:kern w:val="2"/>
          <w:sz w:val="24"/>
          <w:szCs w:val="24"/>
        </w:rPr>
        <w:t>3.我方已详细审核全部项目磋商文件，包括项目磋商文件的澄清或修改（如有），参考资料及有关附件，我方正式认可并遵守本次项目磋商文件，并对项目磋商文件各项条款、规定及要求均无异议。</w:t>
      </w:r>
    </w:p>
    <w:p>
      <w:pPr>
        <w:spacing w:line="360" w:lineRule="auto"/>
        <w:ind w:firstLine="480" w:firstLineChars="200"/>
        <w:rPr>
          <w:rFonts w:cs="@仿宋_GB2312"/>
          <w:kern w:val="2"/>
          <w:sz w:val="24"/>
          <w:szCs w:val="24"/>
        </w:rPr>
      </w:pPr>
      <w:r>
        <w:rPr>
          <w:rFonts w:hint="eastAsia" w:cs="@仿宋_GB2312"/>
          <w:kern w:val="2"/>
          <w:sz w:val="24"/>
          <w:szCs w:val="24"/>
        </w:rPr>
        <w:t>4.我方同意从项目磋商文件规定的评审日期起遵循本项目磋商文件，并在项目磋商文件规定的合同签订前均具有约束力。</w:t>
      </w:r>
    </w:p>
    <w:p>
      <w:pPr>
        <w:spacing w:line="360" w:lineRule="auto"/>
        <w:ind w:firstLine="480" w:firstLineChars="200"/>
        <w:rPr>
          <w:rFonts w:cs="@仿宋_GB2312"/>
          <w:kern w:val="2"/>
          <w:sz w:val="24"/>
          <w:szCs w:val="24"/>
        </w:rPr>
      </w:pPr>
      <w:r>
        <w:rPr>
          <w:rFonts w:hint="eastAsia" w:cs="@仿宋_GB2312"/>
          <w:kern w:val="2"/>
          <w:sz w:val="24"/>
          <w:szCs w:val="24"/>
        </w:rPr>
        <w:t>5.我方声明文件所提供的一切资料均真实无误、及时、有效，企业运营正常。由于我方提供资料不实而造成的责任和后果由我方承担。我方同意按照贵方提出的要求，提供与有关的任何证据、数据或资料。</w:t>
      </w:r>
    </w:p>
    <w:p>
      <w:pPr>
        <w:spacing w:line="360" w:lineRule="auto"/>
        <w:ind w:firstLine="480" w:firstLineChars="200"/>
        <w:rPr>
          <w:rFonts w:cs="宋体"/>
          <w:kern w:val="2"/>
          <w:sz w:val="24"/>
          <w:szCs w:val="24"/>
        </w:rPr>
      </w:pPr>
      <w:r>
        <w:rPr>
          <w:rFonts w:hint="eastAsia" w:cs="@仿宋_GB2312"/>
          <w:kern w:val="2"/>
          <w:sz w:val="24"/>
          <w:szCs w:val="24"/>
        </w:rPr>
        <w:t>6.我方完全理解贵方不一定接受最低的报价。</w:t>
      </w:r>
    </w:p>
    <w:p>
      <w:pPr>
        <w:spacing w:line="360" w:lineRule="auto"/>
        <w:ind w:firstLine="480" w:firstLineChars="200"/>
        <w:rPr>
          <w:rFonts w:cs="宋体"/>
          <w:kern w:val="2"/>
          <w:sz w:val="24"/>
          <w:szCs w:val="24"/>
          <w:u w:val="single"/>
        </w:rPr>
      </w:pPr>
      <w:r>
        <w:rPr>
          <w:rFonts w:cs="宋体"/>
          <w:kern w:val="2"/>
          <w:sz w:val="24"/>
          <w:szCs w:val="24"/>
        </w:rPr>
        <w:t>12</w:t>
      </w:r>
      <w:r>
        <w:rPr>
          <w:rFonts w:hint="eastAsia" w:cs="宋体"/>
          <w:kern w:val="2"/>
          <w:sz w:val="24"/>
          <w:szCs w:val="24"/>
        </w:rPr>
        <w:t>.其他补充说明：</w:t>
      </w:r>
      <w:r>
        <w:rPr>
          <w:rFonts w:hint="eastAsia" w:cs="宋体"/>
          <w:kern w:val="2"/>
          <w:sz w:val="24"/>
          <w:szCs w:val="24"/>
          <w:u w:val="single"/>
        </w:rPr>
        <w:t>补充说明事项（如有）</w:t>
      </w:r>
    </w:p>
    <w:p>
      <w:pPr>
        <w:spacing w:line="360" w:lineRule="auto"/>
        <w:ind w:right="480" w:firstLine="3120" w:firstLineChars="1300"/>
        <w:rPr>
          <w:rFonts w:cs="宋体"/>
          <w:kern w:val="2"/>
          <w:sz w:val="24"/>
          <w:szCs w:val="24"/>
        </w:rPr>
      </w:pPr>
      <w:r>
        <w:rPr>
          <w:rFonts w:hint="eastAsia"/>
          <w:sz w:val="24"/>
        </w:rPr>
        <w:t>供应商</w:t>
      </w:r>
      <w:r>
        <w:rPr>
          <w:rFonts w:hint="eastAsia" w:cs="宋体"/>
          <w:kern w:val="2"/>
          <w:sz w:val="24"/>
          <w:szCs w:val="24"/>
        </w:rPr>
        <w:t>电子签章：</w:t>
      </w:r>
      <w:r>
        <w:rPr>
          <w:rFonts w:hint="eastAsia" w:cs="宋体"/>
          <w:kern w:val="2"/>
          <w:sz w:val="24"/>
          <w:szCs w:val="24"/>
          <w:u w:val="single"/>
        </w:rPr>
        <w:t xml:space="preserve">                   </w:t>
      </w:r>
    </w:p>
    <w:p>
      <w:pPr>
        <w:spacing w:line="360" w:lineRule="auto"/>
        <w:ind w:right="480" w:firstLine="3120" w:firstLineChars="1300"/>
        <w:rPr>
          <w:rFonts w:cs="宋体"/>
          <w:kern w:val="2"/>
          <w:sz w:val="24"/>
          <w:szCs w:val="24"/>
          <w:u w:val="single"/>
        </w:rPr>
      </w:pPr>
      <w:r>
        <w:rPr>
          <w:rFonts w:hint="eastAsia" w:cs="宋体"/>
          <w:kern w:val="2"/>
          <w:sz w:val="24"/>
          <w:szCs w:val="24"/>
        </w:rPr>
        <w:t>日          期：</w:t>
      </w:r>
      <w:r>
        <w:rPr>
          <w:rFonts w:hint="eastAsia" w:cs="宋体"/>
          <w:kern w:val="2"/>
          <w:sz w:val="24"/>
          <w:szCs w:val="24"/>
          <w:u w:val="single"/>
        </w:rPr>
        <w:t xml:space="preserve">                   </w:t>
      </w:r>
    </w:p>
    <w:p>
      <w:pPr>
        <w:widowControl/>
        <w:jc w:val="center"/>
        <w:rPr>
          <w:sz w:val="24"/>
          <w:szCs w:val="24"/>
        </w:rPr>
      </w:pPr>
      <w:r>
        <w:rPr>
          <w:sz w:val="24"/>
        </w:rPr>
        <w:br w:type="page"/>
      </w:r>
      <w:bookmarkStart w:id="67" w:name="_Toc520983592"/>
      <w:r>
        <w:rPr>
          <w:rFonts w:hint="eastAsia"/>
          <w:b/>
          <w:sz w:val="24"/>
        </w:rPr>
        <w:t>四、不良信用记录</w:t>
      </w:r>
      <w:bookmarkEnd w:id="67"/>
    </w:p>
    <w:p>
      <w:pPr>
        <w:spacing w:line="360" w:lineRule="auto"/>
        <w:ind w:firstLine="3840" w:firstLineChars="1600"/>
        <w:rPr>
          <w:rFonts w:cs="宋体"/>
          <w:sz w:val="24"/>
          <w:szCs w:val="24"/>
        </w:rPr>
      </w:pPr>
    </w:p>
    <w:p>
      <w:pPr>
        <w:spacing w:line="440" w:lineRule="exact"/>
        <w:ind w:firstLine="4800" w:firstLineChars="2000"/>
        <w:rPr>
          <w:sz w:val="24"/>
          <w:szCs w:val="24"/>
          <w:u w:val="single"/>
        </w:rPr>
      </w:pPr>
    </w:p>
    <w:p>
      <w:pPr>
        <w:spacing w:line="440" w:lineRule="exact"/>
        <w:ind w:firstLine="4800" w:firstLineChars="2000"/>
        <w:rPr>
          <w:sz w:val="24"/>
          <w:szCs w:val="24"/>
          <w:u w:val="single"/>
        </w:rPr>
      </w:pPr>
    </w:p>
    <w:p>
      <w:pPr>
        <w:widowControl/>
        <w:jc w:val="center"/>
        <w:rPr>
          <w:b/>
          <w:sz w:val="24"/>
        </w:rPr>
      </w:pPr>
      <w:r>
        <w:rPr>
          <w:sz w:val="24"/>
        </w:rPr>
        <w:br w:type="page"/>
      </w:r>
      <w:bookmarkStart w:id="68" w:name="_Toc121626298"/>
      <w:bookmarkStart w:id="69" w:name="_Toc204594911"/>
      <w:bookmarkStart w:id="70" w:name="_Toc520983594"/>
      <w:bookmarkStart w:id="71" w:name="_Toc516969106"/>
      <w:r>
        <w:rPr>
          <w:rFonts w:hint="eastAsia"/>
          <w:b/>
          <w:sz w:val="24"/>
        </w:rPr>
        <w:t>五、授权书</w:t>
      </w:r>
      <w:bookmarkEnd w:id="68"/>
      <w:bookmarkEnd w:id="69"/>
      <w:bookmarkEnd w:id="70"/>
      <w:bookmarkEnd w:id="71"/>
    </w:p>
    <w:p>
      <w:pPr>
        <w:spacing w:line="360" w:lineRule="auto"/>
        <w:jc w:val="center"/>
        <w:rPr>
          <w:b/>
          <w:sz w:val="24"/>
        </w:rPr>
      </w:pPr>
    </w:p>
    <w:p>
      <w:pPr>
        <w:pStyle w:val="10"/>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名称）授权</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授权代表姓名）代表我方参加本项目磋商</w:t>
      </w:r>
      <w:r>
        <w:rPr>
          <w:rFonts w:hint="eastAsia" w:hAnsi="宋体"/>
          <w:bCs/>
          <w:sz w:val="24"/>
          <w:szCs w:val="28"/>
        </w:rPr>
        <w:t>活动</w:t>
      </w:r>
      <w:r>
        <w:rPr>
          <w:rFonts w:hint="eastAsia" w:hAnsi="宋体"/>
          <w:sz w:val="24"/>
          <w:szCs w:val="28"/>
        </w:rPr>
        <w:t>，全权代表我方处理磋商过程的一切事宜，包括但不限于：提交响应文件、参与磋商、签约等。</w:t>
      </w:r>
      <w:r>
        <w:rPr>
          <w:rFonts w:hint="eastAsia"/>
          <w:sz w:val="24"/>
        </w:rPr>
        <w:t>供应商</w:t>
      </w:r>
      <w:r>
        <w:rPr>
          <w:rFonts w:hint="eastAsia" w:hAnsi="宋体"/>
          <w:sz w:val="24"/>
          <w:szCs w:val="28"/>
        </w:rPr>
        <w:t>授权代表在磋商活动过程中所签署的一切文件和处理与之有关的一切事务，本公司均予以认可并对此承担责任。</w:t>
      </w:r>
      <w:r>
        <w:rPr>
          <w:rFonts w:hint="eastAsia"/>
          <w:sz w:val="24"/>
        </w:rPr>
        <w:t>供应商</w:t>
      </w:r>
      <w:r>
        <w:rPr>
          <w:rFonts w:hint="eastAsia" w:hAnsi="宋体"/>
          <w:sz w:val="24"/>
          <w:szCs w:val="28"/>
        </w:rPr>
        <w:t>授权代表无转委托权。特此授权。</w:t>
      </w:r>
    </w:p>
    <w:p>
      <w:pPr>
        <w:pStyle w:val="10"/>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10"/>
        <w:snapToGrid w:val="0"/>
        <w:spacing w:line="360" w:lineRule="auto"/>
        <w:ind w:firstLine="480" w:firstLineChars="200"/>
        <w:jc w:val="left"/>
        <w:rPr>
          <w:rFonts w:hAnsi="宋体"/>
          <w:sz w:val="24"/>
        </w:rPr>
      </w:pPr>
      <w:r>
        <w:rPr>
          <w:rFonts w:hint="eastAsia" w:hAnsi="宋体"/>
          <w:sz w:val="24"/>
          <w:szCs w:val="28"/>
        </w:rPr>
        <w:t>附：授权代表</w:t>
      </w:r>
      <w:r>
        <w:rPr>
          <w:rFonts w:hint="eastAsia" w:hAnsi="宋体"/>
          <w:sz w:val="24"/>
        </w:rPr>
        <w:t>身份证明扫描件或影印件。</w:t>
      </w:r>
    </w:p>
    <w:p>
      <w:pPr>
        <w:pStyle w:val="10"/>
        <w:snapToGrid w:val="0"/>
        <w:spacing w:line="360" w:lineRule="auto"/>
        <w:ind w:firstLine="480" w:firstLineChars="200"/>
        <w:jc w:val="left"/>
        <w:rPr>
          <w:rFonts w:hAnsi="宋体"/>
          <w:sz w:val="24"/>
        </w:rPr>
      </w:pPr>
    </w:p>
    <w:p>
      <w:pPr>
        <w:pStyle w:val="10"/>
        <w:snapToGrid w:val="0"/>
        <w:spacing w:line="360" w:lineRule="auto"/>
        <w:ind w:firstLine="480" w:firstLineChars="200"/>
        <w:jc w:val="left"/>
        <w:rPr>
          <w:rFonts w:hAnsi="宋体"/>
          <w:sz w:val="24"/>
        </w:rPr>
      </w:pPr>
    </w:p>
    <w:p>
      <w:pPr>
        <w:pStyle w:val="10"/>
        <w:snapToGrid w:val="0"/>
        <w:spacing w:line="360" w:lineRule="auto"/>
        <w:ind w:firstLine="480" w:firstLineChars="200"/>
        <w:jc w:val="left"/>
        <w:rPr>
          <w:rFonts w:hAnsi="宋体"/>
          <w:sz w:val="24"/>
        </w:rPr>
      </w:pPr>
    </w:p>
    <w:p>
      <w:pPr>
        <w:pStyle w:val="10"/>
        <w:snapToGrid w:val="0"/>
        <w:spacing w:line="360" w:lineRule="auto"/>
        <w:ind w:firstLine="480" w:firstLineChars="200"/>
        <w:jc w:val="left"/>
        <w:rPr>
          <w:rFonts w:hAnsi="宋体"/>
          <w:sz w:val="24"/>
        </w:rPr>
      </w:pPr>
    </w:p>
    <w:p>
      <w:pPr>
        <w:pStyle w:val="10"/>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pPr>
        <w:pStyle w:val="10"/>
        <w:snapToGrid w:val="0"/>
        <w:spacing w:line="360" w:lineRule="auto"/>
        <w:ind w:firstLine="480" w:firstLineChars="200"/>
        <w:jc w:val="left"/>
        <w:rPr>
          <w:rFonts w:hAnsi="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sz w:val="24"/>
        </w:rPr>
        <w:t>供应商</w:t>
      </w:r>
      <w:r>
        <w:rPr>
          <w:rFonts w:hint="eastAsia"/>
          <w:bCs/>
          <w:sz w:val="24"/>
          <w:szCs w:val="28"/>
        </w:rPr>
        <w:t>电子签章：</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10"/>
        <w:snapToGrid w:val="0"/>
        <w:spacing w:line="360" w:lineRule="auto"/>
        <w:jc w:val="left"/>
        <w:rPr>
          <w:rFonts w:hAnsi="宋体"/>
          <w:sz w:val="24"/>
          <w:szCs w:val="28"/>
        </w:rPr>
      </w:pPr>
      <w:r>
        <w:rPr>
          <w:rFonts w:hint="eastAsia" w:hAnsi="宋体"/>
          <w:sz w:val="24"/>
          <w:szCs w:val="28"/>
        </w:rPr>
        <w:t>注：</w:t>
      </w:r>
    </w:p>
    <w:p>
      <w:pPr>
        <w:pStyle w:val="10"/>
        <w:snapToGrid w:val="0"/>
        <w:spacing w:line="360" w:lineRule="auto"/>
        <w:jc w:val="left"/>
        <w:rPr>
          <w:rFonts w:hAnsi="宋体"/>
          <w:sz w:val="24"/>
          <w:szCs w:val="28"/>
        </w:rPr>
      </w:pPr>
      <w:r>
        <w:rPr>
          <w:rFonts w:hint="eastAsia" w:hAnsi="宋体"/>
          <w:sz w:val="24"/>
          <w:szCs w:val="28"/>
        </w:rPr>
        <w:t>1.本项目只允许有唯一的</w:t>
      </w:r>
      <w:r>
        <w:rPr>
          <w:rFonts w:hint="eastAsia"/>
          <w:sz w:val="24"/>
        </w:rPr>
        <w:t>供应商</w:t>
      </w:r>
      <w:r>
        <w:rPr>
          <w:rFonts w:hint="eastAsia" w:hAnsi="宋体"/>
          <w:sz w:val="24"/>
          <w:szCs w:val="28"/>
        </w:rPr>
        <w:t>授权代表，提供身份证明扫描件；</w:t>
      </w:r>
    </w:p>
    <w:p>
      <w:pPr>
        <w:spacing w:line="360" w:lineRule="auto"/>
        <w:jc w:val="left"/>
        <w:rPr>
          <w:sz w:val="24"/>
        </w:rPr>
      </w:pPr>
      <w:r>
        <w:rPr>
          <w:rFonts w:hint="eastAsia"/>
          <w:sz w:val="24"/>
        </w:rPr>
        <w:t>2.法定代表人参加磋商的无需提供授权书，仅提供身份证明扫描件。</w:t>
      </w:r>
    </w:p>
    <w:p>
      <w:pPr>
        <w:widowControl/>
        <w:jc w:val="center"/>
        <w:rPr>
          <w:rFonts w:cs="@仿宋_GB2312"/>
          <w:b/>
          <w:bCs/>
          <w:kern w:val="2"/>
          <w:sz w:val="24"/>
          <w:szCs w:val="24"/>
        </w:rPr>
      </w:pPr>
      <w:r>
        <w:rPr>
          <w:sz w:val="24"/>
        </w:rPr>
        <w:br w:type="page"/>
      </w:r>
      <w:r>
        <w:rPr>
          <w:rFonts w:hint="eastAsia"/>
          <w:sz w:val="24"/>
        </w:rPr>
        <w:t>六</w:t>
      </w:r>
      <w:r>
        <w:rPr>
          <w:rFonts w:hint="eastAsia" w:cs="@仿宋_GB2312"/>
          <w:b/>
          <w:bCs/>
          <w:kern w:val="2"/>
          <w:sz w:val="24"/>
          <w:szCs w:val="24"/>
        </w:rPr>
        <w:t>、项目负责人</w:t>
      </w:r>
      <w:r>
        <w:rPr>
          <w:rFonts w:cs="@仿宋_GB2312"/>
          <w:b/>
          <w:bCs/>
          <w:kern w:val="2"/>
          <w:sz w:val="24"/>
          <w:szCs w:val="24"/>
        </w:rPr>
        <w:br w:type="page"/>
      </w: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r>
        <w:rPr>
          <w:rFonts w:hint="eastAsia" w:cs="@仿宋_GB2312"/>
          <w:b/>
          <w:bCs/>
          <w:kern w:val="2"/>
          <w:sz w:val="24"/>
          <w:szCs w:val="24"/>
        </w:rPr>
        <w:t>七、磋商保证金</w:t>
      </w:r>
    </w:p>
    <w:p>
      <w:pPr>
        <w:snapToGrid w:val="0"/>
        <w:spacing w:line="360" w:lineRule="auto"/>
        <w:jc w:val="center"/>
        <w:rPr>
          <w:sz w:val="24"/>
          <w:szCs w:val="28"/>
        </w:rPr>
      </w:pPr>
    </w:p>
    <w:p>
      <w:pPr>
        <w:snapToGrid w:val="0"/>
        <w:spacing w:line="360" w:lineRule="auto"/>
        <w:jc w:val="center"/>
        <w:rPr>
          <w:sz w:val="24"/>
          <w:szCs w:val="28"/>
        </w:rPr>
      </w:pPr>
      <w:r>
        <w:rPr>
          <w:rFonts w:hint="eastAsia"/>
          <w:sz w:val="24"/>
          <w:szCs w:val="28"/>
        </w:rPr>
        <w:t>参审单位应在此提供银行回单的扫描件。</w:t>
      </w: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spacing w:after="120" w:line="480" w:lineRule="auto"/>
        <w:ind w:firstLine="482" w:firstLineChars="200"/>
        <w:rPr>
          <w:rFonts w:cs="宋体"/>
          <w:b/>
          <w:bCs/>
          <w:kern w:val="2"/>
          <w:sz w:val="24"/>
          <w:szCs w:val="24"/>
        </w:rPr>
      </w:pPr>
      <w:r>
        <w:rPr>
          <w:rFonts w:hint="eastAsia" w:cs="宋体"/>
          <w:b/>
          <w:bCs/>
          <w:kern w:val="2"/>
          <w:sz w:val="24"/>
          <w:szCs w:val="24"/>
        </w:rPr>
        <w:t>如需开具工本费发票请在本页附上开票信息，开票信息按照下列格式填写，发票开具后可在单位税务数字账户中查收，如未填写或填写不完整后期自行带转账回单至肥西县公共资源交易有限公司2楼大厅3号窗口开具。</w:t>
      </w:r>
    </w:p>
    <w:p>
      <w:pPr>
        <w:spacing w:line="360" w:lineRule="auto"/>
        <w:rPr>
          <w:rFonts w:cs="宋体"/>
          <w:b/>
          <w:kern w:val="2"/>
          <w:sz w:val="24"/>
          <w:szCs w:val="24"/>
        </w:rPr>
      </w:pPr>
      <w:r>
        <w:rPr>
          <w:rFonts w:hint="eastAsia" w:cs="宋体"/>
          <w:b/>
          <w:kern w:val="2"/>
          <w:sz w:val="24"/>
          <w:szCs w:val="24"/>
        </w:rPr>
        <w:t>开票信息：</w:t>
      </w:r>
    </w:p>
    <w:p>
      <w:pPr>
        <w:spacing w:after="120" w:line="360" w:lineRule="auto"/>
        <w:rPr>
          <w:rFonts w:cs="宋体"/>
          <w:b/>
          <w:kern w:val="2"/>
          <w:sz w:val="24"/>
          <w:szCs w:val="24"/>
        </w:rPr>
      </w:pPr>
      <w:r>
        <w:rPr>
          <w:rFonts w:hint="eastAsia" w:cs="宋体"/>
          <w:b/>
          <w:kern w:val="2"/>
          <w:sz w:val="24"/>
          <w:szCs w:val="24"/>
        </w:rPr>
        <w:t>发票类型：</w:t>
      </w:r>
      <w:r>
        <w:rPr>
          <w:rFonts w:hint="eastAsia" w:cs="宋体"/>
          <w:b/>
          <w:kern w:val="2"/>
          <w:sz w:val="24"/>
          <w:szCs w:val="24"/>
          <w:u w:val="single"/>
        </w:rPr>
        <w:t xml:space="preserve">               </w:t>
      </w:r>
      <w:r>
        <w:rPr>
          <w:rFonts w:hint="eastAsia" w:cs="宋体"/>
          <w:b/>
          <w:kern w:val="2"/>
          <w:sz w:val="24"/>
          <w:szCs w:val="24"/>
        </w:rPr>
        <w:t>（专票或普票）</w:t>
      </w:r>
    </w:p>
    <w:p>
      <w:pPr>
        <w:spacing w:line="360" w:lineRule="auto"/>
        <w:rPr>
          <w:rFonts w:cs="宋体"/>
          <w:b/>
          <w:kern w:val="2"/>
          <w:sz w:val="24"/>
          <w:szCs w:val="24"/>
        </w:rPr>
      </w:pPr>
      <w:r>
        <w:rPr>
          <w:rFonts w:hint="eastAsia" w:cs="宋体"/>
          <w:b/>
          <w:kern w:val="2"/>
          <w:sz w:val="24"/>
          <w:szCs w:val="24"/>
        </w:rPr>
        <w:t>公司名称：</w:t>
      </w:r>
      <w:r>
        <w:rPr>
          <w:rFonts w:hint="eastAsia" w:cs="宋体"/>
          <w:kern w:val="1"/>
          <w:sz w:val="24"/>
          <w:szCs w:val="24"/>
        </w:rPr>
        <w:t xml:space="preserve"> </w:t>
      </w:r>
      <w:r>
        <w:rPr>
          <w:rFonts w:hint="eastAsia" w:cs="宋体"/>
          <w:kern w:val="1"/>
          <w:sz w:val="24"/>
          <w:szCs w:val="24"/>
          <w:u w:val="single"/>
        </w:rPr>
        <w:t xml:space="preserve">                           </w:t>
      </w:r>
      <w:r>
        <w:rPr>
          <w:rFonts w:hint="eastAsia" w:cs="宋体"/>
          <w:kern w:val="1"/>
          <w:sz w:val="24"/>
          <w:szCs w:val="24"/>
        </w:rPr>
        <w:t xml:space="preserve">     </w:t>
      </w:r>
    </w:p>
    <w:p>
      <w:pPr>
        <w:widowControl/>
        <w:spacing w:line="360" w:lineRule="auto"/>
        <w:jc w:val="left"/>
        <w:rPr>
          <w:rFonts w:cs="宋体"/>
          <w:b/>
          <w:kern w:val="2"/>
          <w:sz w:val="24"/>
          <w:szCs w:val="24"/>
          <w:u w:val="single"/>
        </w:rPr>
      </w:pPr>
      <w:r>
        <w:rPr>
          <w:rFonts w:hint="eastAsia" w:cs="宋体"/>
          <w:b/>
          <w:kern w:val="2"/>
          <w:sz w:val="24"/>
          <w:szCs w:val="24"/>
        </w:rPr>
        <w:t>纳税识别号：</w:t>
      </w:r>
      <w:r>
        <w:rPr>
          <w:rFonts w:hint="eastAsia" w:cs="宋体"/>
          <w:b/>
          <w:kern w:val="2"/>
          <w:sz w:val="24"/>
          <w:szCs w:val="24"/>
          <w:u w:val="single"/>
        </w:rPr>
        <w:t xml:space="preserve">                          </w:t>
      </w:r>
    </w:p>
    <w:p>
      <w:pPr>
        <w:widowControl/>
        <w:spacing w:line="360" w:lineRule="auto"/>
        <w:jc w:val="left"/>
        <w:rPr>
          <w:rFonts w:cs="宋体"/>
          <w:b/>
          <w:kern w:val="2"/>
          <w:sz w:val="24"/>
          <w:szCs w:val="24"/>
          <w:u w:val="single"/>
        </w:rPr>
      </w:pPr>
      <w:r>
        <w:rPr>
          <w:rFonts w:hint="eastAsia" w:cs="宋体"/>
          <w:b/>
          <w:kern w:val="2"/>
          <w:sz w:val="24"/>
          <w:szCs w:val="24"/>
        </w:rPr>
        <w:t>开户行名称：</w:t>
      </w:r>
      <w:r>
        <w:rPr>
          <w:rFonts w:hint="eastAsia" w:cs="宋体"/>
          <w:b/>
          <w:kern w:val="2"/>
          <w:sz w:val="24"/>
          <w:szCs w:val="24"/>
          <w:u w:val="single"/>
        </w:rPr>
        <w:t xml:space="preserve">                          </w:t>
      </w:r>
    </w:p>
    <w:p>
      <w:pPr>
        <w:widowControl/>
        <w:jc w:val="left"/>
        <w:rPr>
          <w:rFonts w:cs="宋体"/>
          <w:b/>
          <w:bCs/>
          <w:kern w:val="2"/>
          <w:sz w:val="24"/>
          <w:szCs w:val="24"/>
        </w:rPr>
      </w:pPr>
      <w:r>
        <w:rPr>
          <w:rFonts w:hint="eastAsia" w:cs="宋体"/>
          <w:b/>
          <w:kern w:val="2"/>
          <w:sz w:val="24"/>
          <w:szCs w:val="24"/>
        </w:rPr>
        <w:t>开户行账号：</w:t>
      </w:r>
      <w:r>
        <w:rPr>
          <w:rFonts w:hint="eastAsia" w:cs="宋体"/>
          <w:b/>
          <w:kern w:val="2"/>
          <w:sz w:val="24"/>
          <w:szCs w:val="24"/>
          <w:u w:val="single"/>
        </w:rPr>
        <w:t xml:space="preserve">                          </w:t>
      </w:r>
    </w:p>
    <w:p>
      <w:pPr>
        <w:widowControl/>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r>
        <w:rPr>
          <w:rFonts w:hint="eastAsia" w:cs="@仿宋_GB2312"/>
          <w:b/>
          <w:bCs/>
          <w:kern w:val="2"/>
          <w:sz w:val="24"/>
          <w:szCs w:val="24"/>
        </w:rPr>
        <w:t>八、法定代表人身份证明书</w:t>
      </w:r>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kern w:val="2"/>
          <w:sz w:val="24"/>
          <w:szCs w:val="28"/>
        </w:rPr>
      </w:pPr>
      <w:r>
        <w:rPr>
          <w:rFonts w:hint="eastAsia"/>
          <w:kern w:val="2"/>
          <w:sz w:val="24"/>
          <w:szCs w:val="28"/>
        </w:rPr>
        <w:t>单位名称：</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单位性质：</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地    址：</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成立时间：</w:t>
      </w:r>
      <w:r>
        <w:rPr>
          <w:rFonts w:hint="eastAsia"/>
          <w:kern w:val="2"/>
          <w:sz w:val="24"/>
          <w:szCs w:val="28"/>
          <w:u w:val="single"/>
        </w:rPr>
        <w:t xml:space="preserve">              </w:t>
      </w:r>
      <w:r>
        <w:rPr>
          <w:rFonts w:hint="eastAsia"/>
          <w:kern w:val="2"/>
          <w:sz w:val="24"/>
          <w:szCs w:val="28"/>
        </w:rPr>
        <w:t>年</w:t>
      </w:r>
      <w:r>
        <w:rPr>
          <w:rFonts w:hint="eastAsia"/>
          <w:kern w:val="2"/>
          <w:sz w:val="24"/>
          <w:szCs w:val="28"/>
          <w:u w:val="single"/>
        </w:rPr>
        <w:t xml:space="preserve">         </w:t>
      </w:r>
      <w:r>
        <w:rPr>
          <w:rFonts w:hint="eastAsia"/>
          <w:kern w:val="2"/>
          <w:sz w:val="24"/>
          <w:szCs w:val="28"/>
        </w:rPr>
        <w:t>月</w:t>
      </w:r>
      <w:r>
        <w:rPr>
          <w:rFonts w:hint="eastAsia"/>
          <w:kern w:val="2"/>
          <w:sz w:val="24"/>
          <w:szCs w:val="28"/>
          <w:u w:val="single"/>
        </w:rPr>
        <w:t xml:space="preserve">        </w:t>
      </w:r>
      <w:r>
        <w:rPr>
          <w:rFonts w:hint="eastAsia"/>
          <w:kern w:val="2"/>
          <w:sz w:val="24"/>
          <w:szCs w:val="28"/>
        </w:rPr>
        <w:t>日</w:t>
      </w:r>
    </w:p>
    <w:p>
      <w:pPr>
        <w:snapToGrid w:val="0"/>
        <w:spacing w:line="360" w:lineRule="auto"/>
        <w:ind w:firstLine="480" w:firstLineChars="200"/>
        <w:jc w:val="left"/>
        <w:rPr>
          <w:kern w:val="2"/>
          <w:sz w:val="24"/>
          <w:szCs w:val="28"/>
        </w:rPr>
      </w:pPr>
      <w:r>
        <w:rPr>
          <w:rFonts w:hint="eastAsia"/>
          <w:kern w:val="2"/>
          <w:sz w:val="24"/>
          <w:szCs w:val="28"/>
        </w:rPr>
        <w:t>经营期限：</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姓    名：</w:t>
      </w:r>
      <w:r>
        <w:rPr>
          <w:rFonts w:hint="eastAsia"/>
          <w:kern w:val="2"/>
          <w:sz w:val="24"/>
          <w:szCs w:val="28"/>
          <w:u w:val="single"/>
        </w:rPr>
        <w:t xml:space="preserve">                  </w:t>
      </w:r>
      <w:r>
        <w:rPr>
          <w:rFonts w:hint="eastAsia"/>
          <w:kern w:val="2"/>
          <w:sz w:val="24"/>
          <w:szCs w:val="28"/>
        </w:rPr>
        <w:t xml:space="preserve"> 性 </w:t>
      </w:r>
      <w:r>
        <w:rPr>
          <w:kern w:val="2"/>
          <w:sz w:val="24"/>
          <w:szCs w:val="28"/>
        </w:rPr>
        <w:t xml:space="preserve">  </w:t>
      </w:r>
      <w:r>
        <w:rPr>
          <w:rFonts w:hint="eastAsia"/>
          <w:kern w:val="2"/>
          <w:sz w:val="24"/>
          <w:szCs w:val="28"/>
        </w:rPr>
        <w:t xml:space="preserve"> 别：</w:t>
      </w:r>
      <w:r>
        <w:rPr>
          <w:rFonts w:hint="eastAsia"/>
          <w:kern w:val="2"/>
          <w:sz w:val="24"/>
          <w:szCs w:val="28"/>
          <w:u w:val="single"/>
        </w:rPr>
        <w:t xml:space="preserve">             </w:t>
      </w:r>
    </w:p>
    <w:p>
      <w:pPr>
        <w:snapToGrid w:val="0"/>
        <w:spacing w:line="360" w:lineRule="auto"/>
        <w:ind w:firstLine="480" w:firstLineChars="200"/>
        <w:jc w:val="left"/>
        <w:rPr>
          <w:kern w:val="2"/>
          <w:sz w:val="24"/>
          <w:szCs w:val="28"/>
          <w:u w:val="single"/>
        </w:rPr>
      </w:pPr>
      <w:r>
        <w:rPr>
          <w:rFonts w:hint="eastAsia"/>
          <w:kern w:val="2"/>
          <w:sz w:val="24"/>
          <w:szCs w:val="28"/>
        </w:rPr>
        <w:t>年    龄：</w:t>
      </w:r>
      <w:r>
        <w:rPr>
          <w:rFonts w:hint="eastAsia"/>
          <w:kern w:val="2"/>
          <w:sz w:val="24"/>
          <w:szCs w:val="28"/>
          <w:u w:val="single"/>
        </w:rPr>
        <w:t xml:space="preserve">                  </w:t>
      </w:r>
      <w:r>
        <w:rPr>
          <w:rFonts w:hint="eastAsia"/>
          <w:kern w:val="2"/>
          <w:sz w:val="24"/>
          <w:szCs w:val="28"/>
        </w:rPr>
        <w:t xml:space="preserve"> 职    务：</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联系</w:t>
      </w:r>
      <w:r>
        <w:rPr>
          <w:kern w:val="2"/>
          <w:sz w:val="24"/>
          <w:szCs w:val="28"/>
        </w:rPr>
        <w:t>电话</w:t>
      </w:r>
      <w:r>
        <w:rPr>
          <w:rFonts w:hint="eastAsia"/>
          <w:kern w:val="2"/>
          <w:sz w:val="24"/>
          <w:szCs w:val="28"/>
        </w:rPr>
        <w:t>：</w:t>
      </w:r>
      <w:r>
        <w:rPr>
          <w:rFonts w:hint="eastAsia"/>
          <w:kern w:val="2"/>
          <w:sz w:val="24"/>
          <w:szCs w:val="28"/>
          <w:u w:val="single"/>
        </w:rPr>
        <w:t xml:space="preserve">                  </w:t>
      </w:r>
      <w:r>
        <w:rPr>
          <w:rFonts w:hint="eastAsia"/>
          <w:kern w:val="2"/>
          <w:sz w:val="24"/>
          <w:szCs w:val="28"/>
        </w:rPr>
        <w:t xml:space="preserve"> 手机号码：</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u w:val="single"/>
        </w:rPr>
        <w:t xml:space="preserve">        </w:t>
      </w:r>
      <w:r>
        <w:rPr>
          <w:rFonts w:hint="eastAsia"/>
          <w:kern w:val="2"/>
          <w:sz w:val="24"/>
          <w:szCs w:val="28"/>
        </w:rPr>
        <w:t xml:space="preserve">系  </w:t>
      </w:r>
      <w:r>
        <w:rPr>
          <w:rFonts w:hint="eastAsia"/>
          <w:kern w:val="2"/>
          <w:sz w:val="24"/>
          <w:szCs w:val="28"/>
          <w:u w:val="single"/>
        </w:rPr>
        <w:t xml:space="preserve">   （</w:t>
      </w:r>
      <w:r>
        <w:rPr>
          <w:rFonts w:hint="eastAsia"/>
          <w:sz w:val="24"/>
          <w:u w:val="single"/>
        </w:rPr>
        <w:t>供应商</w:t>
      </w:r>
      <w:r>
        <w:rPr>
          <w:rFonts w:hint="eastAsia"/>
          <w:kern w:val="2"/>
          <w:sz w:val="24"/>
          <w:szCs w:val="28"/>
          <w:u w:val="single"/>
        </w:rPr>
        <w:t xml:space="preserve">单位名称）       </w:t>
      </w:r>
      <w:r>
        <w:rPr>
          <w:rFonts w:hint="eastAsia"/>
          <w:kern w:val="2"/>
          <w:sz w:val="24"/>
          <w:szCs w:val="28"/>
        </w:rPr>
        <w:t>的法定代表人。</w:t>
      </w:r>
    </w:p>
    <w:p>
      <w:pPr>
        <w:spacing w:before="62" w:beforeLines="20" w:after="62" w:afterLines="20" w:line="540" w:lineRule="exact"/>
        <w:ind w:firstLine="610"/>
        <w:rPr>
          <w:rFonts w:ascii="@仿宋_GB2312" w:eastAsia="@仿宋_GB2312" w:cs="宋体"/>
          <w:kern w:val="2"/>
          <w:sz w:val="24"/>
          <w:szCs w:val="24"/>
        </w:rPr>
      </w:pPr>
    </w:p>
    <w:p>
      <w:pPr>
        <w:spacing w:before="62" w:beforeLines="20" w:after="62" w:afterLines="20" w:line="540" w:lineRule="exact"/>
        <w:ind w:left="400" w:leftChars="200" w:firstLine="240" w:firstLineChars="100"/>
        <w:rPr>
          <w:rFonts w:cs="宋体"/>
          <w:kern w:val="2"/>
          <w:sz w:val="24"/>
          <w:szCs w:val="24"/>
        </w:rPr>
      </w:pPr>
      <w:r>
        <w:rPr>
          <w:rFonts w:hint="eastAsia" w:cs="宋体"/>
          <w:kern w:val="2"/>
          <w:sz w:val="24"/>
          <w:szCs w:val="24"/>
        </w:rPr>
        <w:t>特此证明。</w:t>
      </w:r>
    </w:p>
    <w:p>
      <w:pPr>
        <w:tabs>
          <w:tab w:val="left" w:pos="720"/>
          <w:tab w:val="left" w:pos="900"/>
        </w:tabs>
        <w:spacing w:before="62" w:beforeLines="20" w:after="62" w:afterLines="20" w:line="540" w:lineRule="exact"/>
        <w:ind w:firstLine="480" w:firstLineChars="200"/>
        <w:rPr>
          <w:rFonts w:cs="宋体"/>
          <w:kern w:val="2"/>
          <w:sz w:val="24"/>
          <w:szCs w:val="24"/>
        </w:rPr>
      </w:pPr>
      <w:r>
        <w:rPr>
          <w:rFonts w:hint="eastAsia"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eastAsia="@仿宋_GB2312" w:cs="宋体"/>
          <w:kern w:val="2"/>
          <w:sz w:val="24"/>
          <w:szCs w:val="24"/>
        </w:rPr>
      </w:pPr>
    </w:p>
    <w:p>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jc w:val="center"/>
        <w:rPr>
          <w:rFonts w:cs="@仿宋_GB2312"/>
          <w:b/>
          <w:bCs/>
          <w:kern w:val="2"/>
          <w:sz w:val="24"/>
          <w:szCs w:val="24"/>
        </w:rPr>
      </w:pPr>
      <w:r>
        <w:rPr>
          <w:rFonts w:cs="@仿宋_GB2312"/>
          <w:kern w:val="2"/>
          <w:sz w:val="24"/>
          <w:szCs w:val="24"/>
        </w:rPr>
        <w:br w:type="page"/>
      </w:r>
      <w:r>
        <w:rPr>
          <w:rFonts w:hint="eastAsia" w:cs="@仿宋_GB2312"/>
          <w:b/>
          <w:bCs/>
          <w:kern w:val="2"/>
          <w:sz w:val="24"/>
          <w:szCs w:val="24"/>
        </w:rPr>
        <w:t>九、磋商业绩承诺函</w:t>
      </w:r>
    </w:p>
    <w:p>
      <w:pPr>
        <w:rPr>
          <w:rFonts w:eastAsia="@仿宋_GB2312" w:cs="@仿宋_GB2312"/>
          <w:kern w:val="2"/>
          <w:sz w:val="21"/>
        </w:rPr>
      </w:pPr>
    </w:p>
    <w:p>
      <w:pPr>
        <w:spacing w:line="360" w:lineRule="auto"/>
        <w:ind w:firstLine="480" w:firstLineChars="200"/>
        <w:rPr>
          <w:rFonts w:cs="宋体"/>
          <w:kern w:val="2"/>
          <w:sz w:val="24"/>
          <w:szCs w:val="24"/>
        </w:rPr>
      </w:pPr>
      <w:r>
        <w:rPr>
          <w:rFonts w:hint="eastAsia" w:cs="宋体"/>
          <w:kern w:val="2"/>
          <w:sz w:val="24"/>
          <w:szCs w:val="24"/>
        </w:rPr>
        <w:t>我公司同意成交结果公告中公示以下业绩并承诺：响应文件中所提供的业绩均真实有效，若被发现存在任何虚假、隐瞒情况，我公司承担由此产生的一切后果。</w:t>
      </w:r>
    </w:p>
    <w:p>
      <w:pPr>
        <w:spacing w:line="360" w:lineRule="auto"/>
        <w:ind w:firstLine="480" w:firstLineChars="200"/>
        <w:rPr>
          <w:rFonts w:cs="宋体"/>
          <w:kern w:val="2"/>
          <w:sz w:val="24"/>
          <w:szCs w:val="24"/>
        </w:rPr>
      </w:pPr>
    </w:p>
    <w:p>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rPr>
          <w:rFonts w:eastAsia="@仿宋_GB2312" w:cs="@仿宋_GB2312"/>
          <w:kern w:val="2"/>
          <w:sz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pPr>
              <w:spacing w:line="360" w:lineRule="auto"/>
              <w:jc w:val="center"/>
              <w:rPr>
                <w:rFonts w:cs="宋体"/>
                <w:b/>
                <w:kern w:val="2"/>
                <w:sz w:val="24"/>
                <w:szCs w:val="24"/>
              </w:rPr>
            </w:pPr>
            <w:r>
              <w:rPr>
                <w:rFonts w:hint="eastAsia" w:cs="宋体"/>
                <w:b/>
                <w:kern w:val="2"/>
                <w:sz w:val="24"/>
                <w:szCs w:val="24"/>
              </w:rPr>
              <w:t>序号</w:t>
            </w:r>
          </w:p>
        </w:tc>
        <w:tc>
          <w:tcPr>
            <w:tcW w:w="4174" w:type="dxa"/>
            <w:vAlign w:val="center"/>
          </w:tcPr>
          <w:p>
            <w:pPr>
              <w:spacing w:line="360" w:lineRule="auto"/>
              <w:jc w:val="center"/>
              <w:rPr>
                <w:rFonts w:cs="宋体"/>
                <w:b/>
                <w:kern w:val="2"/>
                <w:sz w:val="24"/>
                <w:szCs w:val="24"/>
              </w:rPr>
            </w:pPr>
            <w:r>
              <w:rPr>
                <w:rFonts w:hint="eastAsia" w:cs="宋体"/>
                <w:b/>
                <w:kern w:val="2"/>
                <w:sz w:val="24"/>
                <w:szCs w:val="24"/>
              </w:rPr>
              <w:t>项目名称</w:t>
            </w:r>
          </w:p>
        </w:tc>
        <w:tc>
          <w:tcPr>
            <w:tcW w:w="2320" w:type="dxa"/>
            <w:vAlign w:val="center"/>
          </w:tcPr>
          <w:p>
            <w:pPr>
              <w:widowControl/>
              <w:spacing w:line="360" w:lineRule="auto"/>
              <w:jc w:val="center"/>
              <w:rPr>
                <w:rFonts w:cs="宋体"/>
                <w:b/>
                <w:kern w:val="2"/>
                <w:sz w:val="24"/>
                <w:szCs w:val="24"/>
              </w:rPr>
            </w:pPr>
            <w:r>
              <w:rPr>
                <w:rFonts w:hint="eastAsia" w:cs="宋体"/>
                <w:b/>
                <w:kern w:val="2"/>
                <w:sz w:val="24"/>
                <w:szCs w:val="24"/>
              </w:rPr>
              <w:t>工程内容</w:t>
            </w:r>
          </w:p>
        </w:tc>
        <w:tc>
          <w:tcPr>
            <w:tcW w:w="1069" w:type="dxa"/>
            <w:vAlign w:val="center"/>
          </w:tcPr>
          <w:p>
            <w:pPr>
              <w:spacing w:line="360" w:lineRule="auto"/>
              <w:jc w:val="center"/>
              <w:rPr>
                <w:rFonts w:cs="宋体"/>
                <w:b/>
                <w:kern w:val="2"/>
                <w:sz w:val="24"/>
                <w:szCs w:val="24"/>
              </w:rPr>
            </w:pPr>
            <w:r>
              <w:rPr>
                <w:rFonts w:hint="eastAsia" w:cs="宋体"/>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1</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2</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3</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4</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5</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
                <w:kern w:val="2"/>
                <w:sz w:val="24"/>
                <w:szCs w:val="24"/>
              </w:rPr>
            </w:pPr>
            <w:r>
              <w:rPr>
                <w:rFonts w:hint="eastAsia" w:cs="宋体"/>
                <w:b/>
                <w:kern w:val="2"/>
                <w:sz w:val="24"/>
                <w:szCs w:val="24"/>
              </w:rPr>
              <w:t>……</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bl>
    <w:p>
      <w:pPr>
        <w:spacing w:line="360" w:lineRule="auto"/>
        <w:ind w:firstLine="480" w:firstLineChars="200"/>
        <w:rPr>
          <w:rFonts w:cs="宋体"/>
          <w:kern w:val="2"/>
          <w:sz w:val="24"/>
          <w:szCs w:val="24"/>
        </w:rPr>
      </w:pPr>
      <w:r>
        <w:rPr>
          <w:rFonts w:hint="eastAsia" w:cs="宋体"/>
          <w:kern w:val="2"/>
          <w:sz w:val="24"/>
          <w:szCs w:val="24"/>
        </w:rPr>
        <w:t>备注：</w:t>
      </w:r>
    </w:p>
    <w:p>
      <w:pPr>
        <w:spacing w:line="360" w:lineRule="auto"/>
        <w:ind w:firstLine="480" w:firstLineChars="200"/>
        <w:rPr>
          <w:rFonts w:cs="宋体"/>
          <w:kern w:val="2"/>
          <w:sz w:val="24"/>
          <w:szCs w:val="24"/>
        </w:rPr>
      </w:pPr>
      <w:r>
        <w:rPr>
          <w:rFonts w:hint="eastAsia" w:cs="宋体"/>
          <w:kern w:val="2"/>
          <w:sz w:val="24"/>
          <w:szCs w:val="24"/>
        </w:rPr>
        <w:t>1.表中所列业绩应为</w:t>
      </w:r>
      <w:r>
        <w:rPr>
          <w:rFonts w:hint="eastAsia"/>
          <w:sz w:val="24"/>
        </w:rPr>
        <w:t>供应商</w:t>
      </w:r>
      <w:r>
        <w:rPr>
          <w:rFonts w:hint="eastAsia" w:cs="宋体"/>
          <w:kern w:val="2"/>
          <w:sz w:val="24"/>
          <w:szCs w:val="24"/>
        </w:rPr>
        <w:t xml:space="preserve">满足本磋商文件要求的业绩； </w:t>
      </w:r>
    </w:p>
    <w:p>
      <w:pPr>
        <w:spacing w:line="360" w:lineRule="auto"/>
        <w:ind w:firstLine="480" w:firstLineChars="200"/>
        <w:rPr>
          <w:rFonts w:cs="宋体"/>
          <w:kern w:val="2"/>
          <w:sz w:val="24"/>
          <w:szCs w:val="24"/>
        </w:rPr>
      </w:pPr>
      <w:r>
        <w:rPr>
          <w:rFonts w:hint="eastAsia" w:cs="宋体"/>
          <w:kern w:val="2"/>
          <w:sz w:val="24"/>
          <w:szCs w:val="24"/>
        </w:rPr>
        <w:t>2.成交人提供的以上业绩情况，如磋商文件《</w:t>
      </w:r>
      <w:r>
        <w:rPr>
          <w:rFonts w:hint="eastAsia"/>
          <w:sz w:val="24"/>
        </w:rPr>
        <w:t>供应商</w:t>
      </w:r>
      <w:r>
        <w:rPr>
          <w:rFonts w:hint="eastAsia" w:cs="宋体"/>
          <w:kern w:val="2"/>
          <w:sz w:val="24"/>
          <w:szCs w:val="24"/>
        </w:rPr>
        <w:t>须知前附表》有约定的，将按约定随成交结果公告同时公告。</w:t>
      </w:r>
    </w:p>
    <w:p>
      <w:pPr>
        <w:spacing w:line="360" w:lineRule="auto"/>
        <w:jc w:val="center"/>
        <w:rPr>
          <w:b/>
          <w:sz w:val="24"/>
        </w:rPr>
      </w:pPr>
      <w:r>
        <w:rPr>
          <w:sz w:val="24"/>
        </w:rPr>
        <w:br w:type="page"/>
      </w:r>
      <w:bookmarkStart w:id="72" w:name="_Hlk44283088"/>
      <w:r>
        <w:rPr>
          <w:rFonts w:hint="eastAsia"/>
          <w:b/>
          <w:sz w:val="24"/>
        </w:rPr>
        <w:t>十、磋商保证金退还声明</w:t>
      </w:r>
    </w:p>
    <w:p>
      <w:pPr>
        <w:spacing w:before="156" w:beforeLines="50" w:after="156" w:afterLines="50" w:line="360" w:lineRule="auto"/>
        <w:ind w:firstLine="480" w:firstLineChars="200"/>
        <w:rPr>
          <w:rFonts w:hint="eastAsia" w:eastAsia="宋体"/>
          <w:sz w:val="24"/>
          <w:u w:val="single"/>
          <w:lang w:eastAsia="zh-CN"/>
        </w:rPr>
      </w:pPr>
      <w:r>
        <w:rPr>
          <w:rFonts w:hint="eastAsia"/>
          <w:sz w:val="24"/>
        </w:rPr>
        <w:t>项目名称：</w:t>
      </w:r>
      <w:r>
        <w:rPr>
          <w:rFonts w:hint="eastAsia"/>
          <w:sz w:val="24"/>
          <w:u w:val="single"/>
        </w:rPr>
        <w:t xml:space="preserve"> </w:t>
      </w:r>
      <w:r>
        <w:rPr>
          <w:rFonts w:hint="eastAsia"/>
          <w:sz w:val="24"/>
          <w:u w:val="single"/>
          <w:lang w:eastAsia="zh-CN"/>
        </w:rPr>
        <w:t>2025年高店镇7个美丽宜居村庄建设设计</w:t>
      </w:r>
    </w:p>
    <w:p>
      <w:pPr>
        <w:spacing w:before="156" w:beforeLines="50" w:after="156" w:afterLines="50" w:line="360" w:lineRule="auto"/>
        <w:ind w:firstLine="480" w:firstLineChars="200"/>
        <w:rPr>
          <w:sz w:val="24"/>
        </w:rPr>
      </w:pPr>
      <w:r>
        <w:rPr>
          <w:rFonts w:hint="eastAsia"/>
          <w:bCs/>
          <w:sz w:val="24"/>
        </w:rPr>
        <w:t>项目编号：</w:t>
      </w:r>
      <w:r>
        <w:rPr>
          <w:rFonts w:hint="eastAsia"/>
          <w:sz w:val="24"/>
          <w:u w:val="single"/>
          <w:lang w:eastAsia="zh-CN"/>
        </w:rPr>
        <w:t>2025PHBN021</w:t>
      </w:r>
    </w:p>
    <w:p>
      <w:pPr>
        <w:spacing w:before="156" w:beforeLines="50" w:after="156" w:afterLines="50" w:line="360" w:lineRule="auto"/>
        <w:ind w:firstLine="480" w:firstLineChars="200"/>
        <w:rPr>
          <w:bCs/>
          <w:sz w:val="24"/>
          <w:szCs w:val="28"/>
          <w:u w:val="single"/>
        </w:rPr>
      </w:pPr>
      <w:r>
        <w:rPr>
          <w:rFonts w:hint="eastAsia"/>
          <w:bCs/>
          <w:sz w:val="24"/>
        </w:rPr>
        <w:t>磋商</w:t>
      </w:r>
      <w:r>
        <w:rPr>
          <w:rFonts w:hint="eastAsia"/>
          <w:sz w:val="24"/>
        </w:rPr>
        <w:t>保证金金额：</w:t>
      </w:r>
      <w:r>
        <w:rPr>
          <w:rFonts w:hint="eastAsia"/>
          <w:b/>
          <w:bCs/>
          <w:sz w:val="24"/>
          <w:szCs w:val="28"/>
          <w:u w:val="single"/>
        </w:rPr>
        <w:t xml:space="preserve">                   </w:t>
      </w:r>
      <w:r>
        <w:rPr>
          <w:bCs/>
          <w:sz w:val="24"/>
          <w:szCs w:val="28"/>
          <w:u w:val="single"/>
        </w:rPr>
        <w:t xml:space="preserve"> </w:t>
      </w:r>
    </w:p>
    <w:p>
      <w:pPr>
        <w:spacing w:line="360" w:lineRule="auto"/>
        <w:ind w:firstLine="480" w:firstLineChars="200"/>
        <w:rPr>
          <w:sz w:val="24"/>
        </w:rPr>
      </w:pPr>
      <w:r>
        <w:rPr>
          <w:rFonts w:hint="eastAsia"/>
          <w:sz w:val="24"/>
        </w:rPr>
        <w:t>我单位</w:t>
      </w:r>
      <w:r>
        <w:rPr>
          <w:rFonts w:hint="eastAsia"/>
          <w:bCs/>
          <w:sz w:val="24"/>
        </w:rPr>
        <w:t>磋商</w:t>
      </w:r>
      <w:r>
        <w:rPr>
          <w:rFonts w:hint="eastAsia"/>
          <w:sz w:val="24"/>
        </w:rPr>
        <w:t>保证金到期后请汇至如下账号（与供应商名称一致）：</w:t>
      </w:r>
    </w:p>
    <w:p>
      <w:pPr>
        <w:spacing w:line="360" w:lineRule="auto"/>
        <w:ind w:firstLine="808" w:firstLineChars="337"/>
        <w:rPr>
          <w:sz w:val="24"/>
          <w:u w:val="single"/>
        </w:rPr>
      </w:pPr>
      <w:r>
        <w:rPr>
          <w:rFonts w:hint="eastAsia"/>
          <w:sz w:val="24"/>
        </w:rPr>
        <w:t>收款单位：</w:t>
      </w:r>
      <w:r>
        <w:rPr>
          <w:rFonts w:hint="eastAsia"/>
          <w:sz w:val="24"/>
          <w:u w:val="single"/>
        </w:rPr>
        <w:t xml:space="preserve">                       </w:t>
      </w:r>
    </w:p>
    <w:p>
      <w:pPr>
        <w:spacing w:line="360" w:lineRule="auto"/>
        <w:ind w:firstLine="808" w:firstLineChars="337"/>
        <w:rPr>
          <w:sz w:val="24"/>
          <w:u w:val="single"/>
        </w:rPr>
      </w:pPr>
      <w:r>
        <w:rPr>
          <w:rFonts w:hint="eastAsia"/>
          <w:sz w:val="24"/>
        </w:rPr>
        <w:t>开 户 行：</w:t>
      </w:r>
      <w:r>
        <w:rPr>
          <w:rFonts w:hint="eastAsia"/>
          <w:sz w:val="24"/>
          <w:u w:val="single"/>
        </w:rPr>
        <w:t xml:space="preserve">                       </w:t>
      </w:r>
    </w:p>
    <w:p>
      <w:pPr>
        <w:spacing w:line="360" w:lineRule="auto"/>
        <w:ind w:firstLine="808" w:firstLineChars="337"/>
        <w:rPr>
          <w:sz w:val="24"/>
          <w:u w:val="single"/>
        </w:rPr>
      </w:pPr>
      <w:r>
        <w:rPr>
          <w:rFonts w:hint="eastAsia"/>
          <w:sz w:val="24"/>
        </w:rPr>
        <w:t>银行账号：</w:t>
      </w:r>
      <w:r>
        <w:rPr>
          <w:rFonts w:hint="eastAsia"/>
          <w:sz w:val="24"/>
          <w:u w:val="single"/>
        </w:rPr>
        <w:t xml:space="preserve">                       </w:t>
      </w:r>
    </w:p>
    <w:p>
      <w:pPr>
        <w:spacing w:line="360" w:lineRule="auto"/>
        <w:ind w:firstLine="808" w:firstLineChars="337"/>
        <w:rPr>
          <w:sz w:val="24"/>
          <w:u w:val="single"/>
        </w:rPr>
      </w:pPr>
      <w:r>
        <w:rPr>
          <w:rFonts w:hint="eastAsia"/>
          <w:sz w:val="24"/>
        </w:rPr>
        <w:t>电    话：</w:t>
      </w:r>
      <w:r>
        <w:rPr>
          <w:rFonts w:hint="eastAsia"/>
          <w:sz w:val="24"/>
          <w:u w:val="single"/>
        </w:rPr>
        <w:t xml:space="preserve">                       </w:t>
      </w:r>
    </w:p>
    <w:p>
      <w:pPr>
        <w:spacing w:line="360" w:lineRule="auto"/>
        <w:ind w:firstLine="808" w:firstLineChars="337"/>
        <w:rPr>
          <w:sz w:val="24"/>
          <w:u w:val="single"/>
        </w:rPr>
      </w:pPr>
      <w:r>
        <w:rPr>
          <w:rFonts w:hint="eastAsia"/>
          <w:sz w:val="24"/>
        </w:rPr>
        <w:t>地    址：</w:t>
      </w:r>
      <w:r>
        <w:rPr>
          <w:rFonts w:hint="eastAsia"/>
          <w:sz w:val="24"/>
          <w:u w:val="single"/>
        </w:rPr>
        <w:t xml:space="preserve">                       </w:t>
      </w:r>
      <w:r>
        <w:rPr>
          <w:rFonts w:hint="eastAsia"/>
          <w:sz w:val="24"/>
        </w:rPr>
        <w:t xml:space="preserve">  </w:t>
      </w:r>
    </w:p>
    <w:p>
      <w:pPr>
        <w:spacing w:line="360" w:lineRule="auto"/>
        <w:ind w:firstLine="630"/>
        <w:rPr>
          <w:sz w:val="24"/>
        </w:rPr>
      </w:pPr>
    </w:p>
    <w:p>
      <w:pPr>
        <w:spacing w:line="360" w:lineRule="auto"/>
        <w:ind w:firstLine="630"/>
        <w:rPr>
          <w:sz w:val="24"/>
        </w:rPr>
      </w:pPr>
    </w:p>
    <w:p>
      <w:pPr>
        <w:spacing w:line="360" w:lineRule="auto"/>
        <w:ind w:firstLine="4228" w:firstLineChars="1762"/>
        <w:rPr>
          <w:sz w:val="24"/>
          <w:szCs w:val="24"/>
          <w:u w:val="single"/>
        </w:rPr>
      </w:pPr>
      <w:r>
        <w:rPr>
          <w:rFonts w:hint="eastAsia"/>
          <w:sz w:val="24"/>
        </w:rPr>
        <w:t xml:space="preserve">    供应商</w:t>
      </w:r>
      <w:r>
        <w:rPr>
          <w:sz w:val="24"/>
          <w:szCs w:val="24"/>
        </w:rPr>
        <w:t>电子签章</w:t>
      </w:r>
      <w:r>
        <w:rPr>
          <w:rFonts w:hint="eastAsia"/>
          <w:sz w:val="24"/>
          <w:szCs w:val="24"/>
        </w:rPr>
        <w:t>：</w:t>
      </w:r>
      <w:r>
        <w:rPr>
          <w:sz w:val="24"/>
          <w:szCs w:val="24"/>
          <w:u w:val="single"/>
        </w:rPr>
        <w:t xml:space="preserve">             </w:t>
      </w:r>
    </w:p>
    <w:p>
      <w:pPr>
        <w:spacing w:line="360" w:lineRule="auto"/>
        <w:ind w:firstLine="630"/>
        <w:rPr>
          <w:sz w:val="24"/>
        </w:rPr>
      </w:pPr>
    </w:p>
    <w:p>
      <w:pPr>
        <w:spacing w:line="360" w:lineRule="auto"/>
        <w:ind w:firstLine="630"/>
        <w:rPr>
          <w:sz w:val="24"/>
        </w:rPr>
      </w:pPr>
    </w:p>
    <w:p>
      <w:pPr>
        <w:spacing w:before="156" w:beforeLines="50" w:after="156" w:afterLines="50" w:line="360" w:lineRule="auto"/>
        <w:rPr>
          <w:sz w:val="24"/>
        </w:rPr>
      </w:pPr>
      <w:r>
        <w:rPr>
          <w:rFonts w:hint="eastAsia"/>
          <w:sz w:val="24"/>
        </w:rPr>
        <w:t>备注：</w:t>
      </w:r>
    </w:p>
    <w:p>
      <w:pPr>
        <w:spacing w:before="156" w:beforeLines="50" w:after="156" w:afterLines="50" w:line="360" w:lineRule="auto"/>
        <w:rPr>
          <w:sz w:val="24"/>
        </w:rPr>
      </w:pPr>
      <w:r>
        <w:rPr>
          <w:rFonts w:hint="eastAsia"/>
          <w:sz w:val="24"/>
        </w:rPr>
        <w:t>1.成交人</w:t>
      </w:r>
      <w:r>
        <w:rPr>
          <w:sz w:val="24"/>
        </w:rPr>
        <w:t>办理</w:t>
      </w:r>
      <w:r>
        <w:rPr>
          <w:rFonts w:hint="eastAsia"/>
          <w:sz w:val="24"/>
        </w:rPr>
        <w:t>合同</w:t>
      </w:r>
      <w:r>
        <w:rPr>
          <w:sz w:val="24"/>
        </w:rPr>
        <w:t>备案时</w:t>
      </w:r>
      <w:r>
        <w:rPr>
          <w:rFonts w:hint="eastAsia"/>
          <w:sz w:val="24"/>
        </w:rPr>
        <w:t>须</w:t>
      </w:r>
      <w:r>
        <w:rPr>
          <w:sz w:val="24"/>
        </w:rPr>
        <w:t>携带此表提交至</w:t>
      </w:r>
      <w:r>
        <w:rPr>
          <w:rFonts w:hint="eastAsia"/>
          <w:sz w:val="24"/>
          <w:u w:val="single"/>
          <w:lang w:eastAsia="zh-CN"/>
        </w:rPr>
        <w:t>肥西县派合商务服务有限公司</w:t>
      </w:r>
      <w:r>
        <w:rPr>
          <w:sz w:val="24"/>
        </w:rPr>
        <w:t>项目负责人</w:t>
      </w:r>
      <w:r>
        <w:rPr>
          <w:rFonts w:hint="eastAsia"/>
          <w:sz w:val="24"/>
        </w:rPr>
        <w:t>。</w:t>
      </w:r>
    </w:p>
    <w:p>
      <w:pPr>
        <w:spacing w:before="156" w:beforeLines="50" w:after="156" w:afterLines="50" w:line="360" w:lineRule="auto"/>
        <w:rPr>
          <w:bCs/>
          <w:sz w:val="24"/>
        </w:rPr>
      </w:pPr>
      <w:r>
        <w:rPr>
          <w:rFonts w:hint="eastAsia"/>
          <w:bCs/>
          <w:sz w:val="24"/>
        </w:rPr>
        <w:t>2.磋商保证金只退还至</w:t>
      </w:r>
      <w:r>
        <w:rPr>
          <w:rFonts w:hint="eastAsia"/>
          <w:sz w:val="24"/>
        </w:rPr>
        <w:t>供应商</w:t>
      </w:r>
      <w:r>
        <w:rPr>
          <w:rFonts w:hint="eastAsia"/>
          <w:sz w:val="24"/>
          <w:szCs w:val="18"/>
        </w:rPr>
        <w:t>基本</w:t>
      </w:r>
      <w:r>
        <w:rPr>
          <w:rFonts w:hint="eastAsia"/>
          <w:bCs/>
          <w:sz w:val="24"/>
        </w:rPr>
        <w:t>账户。因收款单位与</w:t>
      </w:r>
      <w:r>
        <w:rPr>
          <w:rFonts w:hint="eastAsia"/>
          <w:sz w:val="24"/>
        </w:rPr>
        <w:t>供应商</w:t>
      </w:r>
      <w:r>
        <w:rPr>
          <w:rFonts w:hint="eastAsia"/>
          <w:bCs/>
          <w:sz w:val="24"/>
        </w:rPr>
        <w:t>名称不一致（分公司或子公司代收磋商保证金，视同名称不一致）造成的磋商保证金无法退还或迟延退还，</w:t>
      </w:r>
      <w:r>
        <w:rPr>
          <w:rFonts w:hint="eastAsia"/>
          <w:sz w:val="24"/>
          <w:u w:val="single"/>
          <w:lang w:eastAsia="zh-CN"/>
        </w:rPr>
        <w:t>肥西县派合商务服务有限公司</w:t>
      </w:r>
      <w:r>
        <w:rPr>
          <w:rFonts w:hint="eastAsia"/>
          <w:bCs/>
          <w:sz w:val="24"/>
        </w:rPr>
        <w:t>概不负责。</w:t>
      </w:r>
    </w:p>
    <w:p>
      <w:pPr>
        <w:adjustRightInd w:val="0"/>
        <w:snapToGrid w:val="0"/>
        <w:spacing w:line="360" w:lineRule="auto"/>
        <w:jc w:val="left"/>
        <w:rPr>
          <w:rFonts w:cs="Arial"/>
          <w:bCs/>
          <w:sz w:val="24"/>
          <w:szCs w:val="28"/>
        </w:rPr>
      </w:pPr>
      <w:r>
        <w:rPr>
          <w:rFonts w:hint="eastAsia"/>
          <w:bCs/>
          <w:sz w:val="24"/>
        </w:rPr>
        <w:t>3.</w:t>
      </w:r>
      <w:r>
        <w:rPr>
          <w:rFonts w:hint="eastAsia"/>
          <w:sz w:val="24"/>
          <w:u w:val="single"/>
          <w:lang w:eastAsia="zh-CN"/>
        </w:rPr>
        <w:t>肥西县派合商务服务有限公司</w:t>
      </w:r>
      <w:r>
        <w:rPr>
          <w:rFonts w:hint="eastAsia"/>
          <w:bCs/>
          <w:sz w:val="24"/>
        </w:rPr>
        <w:t>将在成交通知书发出后五个工作日内退还未成交人的磋商保证金，在合同签订后五个工作日内退还成交人的磋商保证金。</w:t>
      </w:r>
    </w:p>
    <w:p>
      <w:pPr>
        <w:widowControl/>
        <w:jc w:val="center"/>
        <w:rPr>
          <w:b/>
          <w:sz w:val="24"/>
        </w:rPr>
      </w:pPr>
      <w:r>
        <w:rPr>
          <w:b/>
          <w:sz w:val="24"/>
        </w:rPr>
        <w:br w:type="page"/>
      </w:r>
      <w:bookmarkEnd w:id="72"/>
      <w:r>
        <w:rPr>
          <w:rFonts w:hint="eastAsia"/>
          <w:b/>
          <w:sz w:val="24"/>
        </w:rPr>
        <w:t>十一、其他材料</w:t>
      </w:r>
    </w:p>
    <w:p>
      <w:pPr>
        <w:spacing w:line="360" w:lineRule="auto"/>
        <w:rPr>
          <w:rFonts w:cs="宋体"/>
          <w:sz w:val="24"/>
          <w:szCs w:val="24"/>
        </w:rPr>
      </w:pPr>
    </w:p>
    <w:p>
      <w:pPr>
        <w:spacing w:line="360" w:lineRule="auto"/>
        <w:ind w:firstLine="435"/>
        <w:rPr>
          <w:rFonts w:cs="宋体"/>
          <w:b/>
          <w:bCs/>
          <w:sz w:val="44"/>
          <w:szCs w:val="44"/>
        </w:rPr>
      </w:pPr>
      <w:r>
        <w:rPr>
          <w:rFonts w:hint="eastAsia"/>
          <w:sz w:val="24"/>
        </w:rPr>
        <w:t>供应商根据磋商文件要求自行提供。</w:t>
      </w:r>
      <w:r>
        <w:rPr>
          <w:sz w:val="24"/>
        </w:rPr>
        <w:br w:type="page"/>
      </w:r>
      <w:r>
        <w:rPr>
          <w:rFonts w:hint="eastAsia" w:cs="宋体"/>
          <w:b/>
          <w:bCs/>
          <w:sz w:val="44"/>
          <w:szCs w:val="44"/>
        </w:rPr>
        <w:t>附件：全流程电子招标采购具体要求</w:t>
      </w:r>
      <w:r>
        <w:rPr>
          <w:rStyle w:val="36"/>
          <w:rFonts w:hint="eastAsia" w:cs="宋体"/>
          <w:b/>
          <w:bCs/>
          <w:sz w:val="44"/>
          <w:szCs w:val="44"/>
        </w:rPr>
        <w:footnoteReference w:id="0"/>
      </w:r>
    </w:p>
    <w:p>
      <w:pPr>
        <w:spacing w:line="400" w:lineRule="exact"/>
        <w:ind w:firstLine="480" w:firstLineChars="200"/>
        <w:rPr>
          <w:rFonts w:cs="宋体"/>
          <w:sz w:val="24"/>
          <w:szCs w:val="24"/>
        </w:rPr>
      </w:pPr>
      <w:r>
        <w:rPr>
          <w:rFonts w:hint="eastAsia" w:cs="宋体"/>
          <w:sz w:val="24"/>
          <w:szCs w:val="24"/>
        </w:rPr>
        <w:t>说明：当采用非招标方式进行全流程电子采购活动时，按照本规定执行，其中本要求“供应商”按“</w:t>
      </w:r>
      <w:r>
        <w:rPr>
          <w:rFonts w:hint="eastAsia"/>
          <w:sz w:val="24"/>
          <w:szCs w:val="24"/>
        </w:rPr>
        <w:t>投标人</w:t>
      </w:r>
      <w:r>
        <w:rPr>
          <w:rFonts w:hint="eastAsia" w:cs="宋体"/>
          <w:sz w:val="24"/>
          <w:szCs w:val="24"/>
        </w:rPr>
        <w:t>”理解，“投标文件”按“响应文件”理解，“招标文件”按“采购文件”理解，“投标文件递交截止时间”按“首次递交响应文件截止时间”理解，“开标”按“开启响应文件”理解，“评标委员会”按“评审小组”理解，“投标无效”按“响应文件无效”理解。</w:t>
      </w:r>
    </w:p>
    <w:p>
      <w:pPr>
        <w:spacing w:line="400" w:lineRule="exact"/>
        <w:ind w:firstLine="480" w:firstLineChars="200"/>
        <w:rPr>
          <w:rFonts w:cs="宋体"/>
          <w:sz w:val="24"/>
          <w:szCs w:val="24"/>
        </w:rPr>
      </w:pPr>
    </w:p>
    <w:p>
      <w:pPr>
        <w:spacing w:line="400" w:lineRule="exact"/>
        <w:ind w:firstLine="480" w:firstLineChars="200"/>
        <w:rPr>
          <w:rFonts w:cs="宋体"/>
          <w:sz w:val="24"/>
          <w:szCs w:val="24"/>
        </w:rPr>
      </w:pPr>
      <w:r>
        <w:rPr>
          <w:rFonts w:hint="eastAsia" w:cs="宋体"/>
          <w:sz w:val="24"/>
          <w:szCs w:val="24"/>
        </w:rPr>
        <w:t>一、CA证书办理和注意事项</w:t>
      </w:r>
    </w:p>
    <w:p>
      <w:pPr>
        <w:spacing w:line="400" w:lineRule="exact"/>
        <w:ind w:firstLine="480" w:firstLineChars="200"/>
        <w:rPr>
          <w:rFonts w:cs="宋体"/>
          <w:sz w:val="24"/>
          <w:szCs w:val="24"/>
        </w:rPr>
      </w:pPr>
      <w:r>
        <w:rPr>
          <w:rFonts w:hint="eastAsia" w:cs="宋体"/>
          <w:sz w:val="24"/>
          <w:szCs w:val="24"/>
        </w:rPr>
        <w:t>1.本项目采用全流程电子招标采购方式，潜在供应商应及时办理CA证书，用于对投标文件进行电子签章及加、解密。</w:t>
      </w:r>
    </w:p>
    <w:p>
      <w:pPr>
        <w:spacing w:line="400" w:lineRule="exact"/>
        <w:ind w:firstLine="480" w:firstLineChars="200"/>
        <w:rPr>
          <w:rFonts w:cs="宋体"/>
          <w:bCs/>
          <w:sz w:val="24"/>
          <w:szCs w:val="24"/>
        </w:rPr>
      </w:pPr>
      <w:r>
        <w:rPr>
          <w:rFonts w:hint="eastAsia" w:cs="宋体"/>
          <w:sz w:val="24"/>
          <w:szCs w:val="24"/>
        </w:rPr>
        <w:t>2.CA证书办理详见</w:t>
      </w:r>
      <w:r>
        <w:rPr>
          <w:rFonts w:hint="eastAsia" w:cs="宋体"/>
          <w:bCs/>
          <w:sz w:val="24"/>
          <w:szCs w:val="24"/>
        </w:rPr>
        <w:t>《优质采平台CA数字证书办理说明》：</w:t>
      </w:r>
    </w:p>
    <w:p>
      <w:pPr>
        <w:spacing w:line="400" w:lineRule="exact"/>
        <w:rPr>
          <w:rFonts w:cs="宋体"/>
          <w:b/>
          <w:bCs/>
          <w:sz w:val="24"/>
          <w:szCs w:val="24"/>
        </w:rPr>
      </w:pPr>
      <w:r>
        <w:fldChar w:fldCharType="begin"/>
      </w:r>
      <w:r>
        <w:instrText xml:space="preserve"> HYPERLINK "http://www.youzhicai.com/ActivityTopic/AdviceDetail/8f80a7ec-911f-4c4d-a123-f8849880f045" </w:instrText>
      </w:r>
      <w:r>
        <w:fldChar w:fldCharType="separate"/>
      </w:r>
      <w:r>
        <w:rPr>
          <w:rStyle w:val="32"/>
          <w:rFonts w:hint="eastAsia" w:cs="宋体"/>
          <w:bCs/>
          <w:color w:val="auto"/>
          <w:sz w:val="24"/>
          <w:szCs w:val="24"/>
        </w:rPr>
        <w:t>http://www.youzhicai.com/ActivityTopic/AdviceDetail/8f80a7ec-911f-4c4d-a123-f</w:t>
      </w:r>
      <w:bookmarkStart w:id="73" w:name="_Hlt105085548"/>
      <w:bookmarkStart w:id="74" w:name="_Hlt105085547"/>
      <w:r>
        <w:rPr>
          <w:rStyle w:val="32"/>
          <w:rFonts w:hint="eastAsia" w:cs="宋体"/>
          <w:bCs/>
          <w:color w:val="auto"/>
          <w:sz w:val="24"/>
          <w:szCs w:val="24"/>
        </w:rPr>
        <w:t>8</w:t>
      </w:r>
      <w:bookmarkEnd w:id="73"/>
      <w:bookmarkEnd w:id="74"/>
      <w:r>
        <w:rPr>
          <w:rStyle w:val="32"/>
          <w:rFonts w:hint="eastAsia" w:cs="宋体"/>
          <w:bCs/>
          <w:color w:val="auto"/>
          <w:sz w:val="24"/>
          <w:szCs w:val="24"/>
        </w:rPr>
        <w:t>849880f045</w:t>
      </w:r>
      <w:r>
        <w:rPr>
          <w:rStyle w:val="32"/>
          <w:rFonts w:hint="eastAsia" w:cs="宋体"/>
          <w:bCs/>
          <w:color w:val="auto"/>
          <w:sz w:val="24"/>
          <w:szCs w:val="24"/>
        </w:rPr>
        <w:fldChar w:fldCharType="end"/>
      </w:r>
      <w:r>
        <w:rPr>
          <w:rFonts w:hint="eastAsia" w:cs="宋体"/>
          <w:bCs/>
          <w:sz w:val="24"/>
          <w:szCs w:val="24"/>
        </w:rPr>
        <w:t>。</w:t>
      </w:r>
    </w:p>
    <w:p>
      <w:pPr>
        <w:spacing w:line="400" w:lineRule="exact"/>
        <w:ind w:firstLine="480" w:firstLineChars="200"/>
        <w:rPr>
          <w:rFonts w:cs="宋体"/>
          <w:sz w:val="24"/>
          <w:szCs w:val="24"/>
        </w:rPr>
      </w:pPr>
      <w:r>
        <w:rPr>
          <w:rFonts w:hint="eastAsia" w:cs="宋体"/>
          <w:sz w:val="24"/>
          <w:szCs w:val="24"/>
        </w:rPr>
        <w:t>3.CA证书到期或即将到期，须在递交投标文件前办理续期。</w:t>
      </w:r>
    </w:p>
    <w:p>
      <w:pPr>
        <w:spacing w:line="400" w:lineRule="exact"/>
        <w:ind w:firstLine="420"/>
        <w:rPr>
          <w:rFonts w:cs="宋体"/>
          <w:sz w:val="24"/>
          <w:szCs w:val="24"/>
        </w:rPr>
      </w:pPr>
      <w:r>
        <w:rPr>
          <w:rFonts w:hint="eastAsia" w:cs="宋体"/>
          <w:sz w:val="24"/>
          <w:szCs w:val="24"/>
        </w:rPr>
        <w:t>4.CA锁遗失、损坏等无法使用，须在递交投标文件前补办CA锁。</w:t>
      </w:r>
    </w:p>
    <w:p>
      <w:pPr>
        <w:spacing w:line="400" w:lineRule="exact"/>
        <w:ind w:firstLine="420"/>
        <w:rPr>
          <w:rFonts w:cs="宋体"/>
          <w:sz w:val="24"/>
          <w:szCs w:val="24"/>
        </w:rPr>
      </w:pPr>
      <w:r>
        <w:rPr>
          <w:rFonts w:hint="eastAsia" w:cs="宋体"/>
          <w:sz w:val="24"/>
          <w:szCs w:val="24"/>
        </w:rPr>
        <w:t>5.企业信息（包括但不限于企业名称和法定代表人信息）发生变更的，须在递交投标文件前变更CA证书。</w:t>
      </w:r>
    </w:p>
    <w:p>
      <w:pPr>
        <w:spacing w:line="400" w:lineRule="exact"/>
        <w:rPr>
          <w:rFonts w:cs="宋体"/>
          <w:sz w:val="24"/>
          <w:szCs w:val="24"/>
        </w:rPr>
      </w:pPr>
      <w:r>
        <w:rPr>
          <w:rFonts w:hint="eastAsia" w:cs="宋体"/>
          <w:sz w:val="24"/>
          <w:szCs w:val="24"/>
        </w:rPr>
        <w:tab/>
      </w:r>
      <w:r>
        <w:rPr>
          <w:rFonts w:hint="eastAsia" w:cs="宋体"/>
          <w:sz w:val="24"/>
          <w:szCs w:val="24"/>
        </w:rPr>
        <w:t>6.</w:t>
      </w:r>
      <w:r>
        <w:rPr>
          <w:rFonts w:hint="eastAsia"/>
          <w:sz w:val="24"/>
          <w:szCs w:val="24"/>
        </w:rPr>
        <w:t xml:space="preserve"> 供应商</w:t>
      </w:r>
      <w:r>
        <w:rPr>
          <w:rFonts w:hint="eastAsia" w:cs="宋体"/>
          <w:sz w:val="24"/>
          <w:szCs w:val="24"/>
        </w:rPr>
        <w:t>由于CA证书遗失、损坏、更换、续期、企业信息变更等情况导致投标文件无法解密的，由供应商自行承担责任；</w:t>
      </w:r>
    </w:p>
    <w:p>
      <w:pPr>
        <w:spacing w:line="400" w:lineRule="exact"/>
        <w:ind w:firstLine="480" w:firstLineChars="200"/>
        <w:rPr>
          <w:rFonts w:cs="宋体"/>
          <w:sz w:val="24"/>
          <w:szCs w:val="24"/>
        </w:rPr>
      </w:pPr>
      <w:r>
        <w:rPr>
          <w:rFonts w:hint="eastAsia" w:cs="宋体"/>
          <w:sz w:val="24"/>
          <w:szCs w:val="24"/>
        </w:rPr>
        <w:t>7.加密和解密投标文件必须使用同一个CA证书。</w:t>
      </w:r>
    </w:p>
    <w:p>
      <w:pPr>
        <w:spacing w:line="400" w:lineRule="exact"/>
        <w:ind w:firstLine="480" w:firstLineChars="200"/>
        <w:rPr>
          <w:rFonts w:cs="宋体"/>
          <w:sz w:val="24"/>
          <w:szCs w:val="24"/>
        </w:rPr>
      </w:pPr>
      <w:r>
        <w:rPr>
          <w:rFonts w:hint="eastAsia" w:cs="宋体"/>
          <w:sz w:val="24"/>
          <w:szCs w:val="24"/>
        </w:rPr>
        <w:t>二、制作、签章、加密、上传电子投标文件</w:t>
      </w:r>
    </w:p>
    <w:p>
      <w:pPr>
        <w:spacing w:line="400" w:lineRule="exact"/>
        <w:ind w:firstLine="480" w:firstLineChars="200"/>
        <w:rPr>
          <w:rStyle w:val="32"/>
          <w:rFonts w:cs="宋体"/>
          <w:color w:val="auto"/>
          <w:sz w:val="24"/>
          <w:szCs w:val="24"/>
        </w:rPr>
      </w:pPr>
      <w:r>
        <w:rPr>
          <w:rFonts w:hint="eastAsia" w:cs="宋体"/>
          <w:sz w:val="24"/>
          <w:szCs w:val="24"/>
        </w:rPr>
        <w:t>8.本项目采用全流程电子化招标采购方式，潜在供应商需使用“优质采投标工具客户端”（以下简称“投标工具”）制作电子投标文件，投标工具及操作说明下载地址：</w:t>
      </w:r>
      <w:r>
        <w:fldChar w:fldCharType="begin"/>
      </w:r>
      <w:r>
        <w:instrText xml:space="preserve"> HYPERLINK "https://toolcdn.youzhicai.com/tools/BidderTools.zip" </w:instrText>
      </w:r>
      <w:r>
        <w:fldChar w:fldCharType="separate"/>
      </w:r>
      <w:r>
        <w:rPr>
          <w:rStyle w:val="32"/>
          <w:rFonts w:hint="eastAsia" w:cs="宋体"/>
          <w:color w:val="auto"/>
          <w:sz w:val="24"/>
          <w:szCs w:val="24"/>
        </w:rPr>
        <w:t>https://toolcdn.youzhicai.com/tools/BidderTools.zip</w:t>
      </w:r>
      <w:r>
        <w:rPr>
          <w:rStyle w:val="32"/>
          <w:rFonts w:hint="eastAsia" w:cs="宋体"/>
          <w:color w:val="auto"/>
          <w:sz w:val="24"/>
          <w:szCs w:val="24"/>
        </w:rPr>
        <w:fldChar w:fldCharType="end"/>
      </w:r>
      <w:r>
        <w:rPr>
          <w:rStyle w:val="32"/>
          <w:rFonts w:hint="eastAsia" w:cs="宋体"/>
          <w:color w:val="auto"/>
          <w:sz w:val="24"/>
          <w:szCs w:val="24"/>
        </w:rPr>
        <w:t>。</w:t>
      </w:r>
    </w:p>
    <w:p>
      <w:pPr>
        <w:spacing w:line="400" w:lineRule="exact"/>
        <w:ind w:firstLine="480" w:firstLineChars="200"/>
        <w:rPr>
          <w:rStyle w:val="32"/>
          <w:rFonts w:cs="宋体"/>
          <w:color w:val="auto"/>
          <w:sz w:val="24"/>
          <w:szCs w:val="24"/>
          <w:u w:val="none"/>
        </w:rPr>
      </w:pPr>
      <w:r>
        <w:rPr>
          <w:rStyle w:val="32"/>
          <w:rFonts w:hint="eastAsia" w:cs="宋体"/>
          <w:color w:val="auto"/>
          <w:sz w:val="24"/>
          <w:szCs w:val="24"/>
          <w:u w:val="none"/>
        </w:rPr>
        <w:tab/>
      </w:r>
      <w:r>
        <w:rPr>
          <w:rStyle w:val="32"/>
          <w:rFonts w:hint="eastAsia" w:cs="宋体"/>
          <w:color w:val="auto"/>
          <w:sz w:val="24"/>
          <w:szCs w:val="24"/>
          <w:u w:val="none"/>
        </w:rPr>
        <w:t>8.1.投标工具建议在window7或windows10操作系统下使用；</w:t>
      </w:r>
    </w:p>
    <w:p>
      <w:pPr>
        <w:spacing w:line="400" w:lineRule="exact"/>
        <w:ind w:firstLine="480" w:firstLineChars="200"/>
        <w:rPr>
          <w:rFonts w:cs="宋体"/>
          <w:bCs/>
          <w:sz w:val="24"/>
          <w:szCs w:val="24"/>
        </w:rPr>
      </w:pPr>
      <w:r>
        <w:rPr>
          <w:rStyle w:val="32"/>
          <w:rFonts w:hint="eastAsia" w:cs="宋体"/>
          <w:color w:val="auto"/>
          <w:sz w:val="24"/>
          <w:szCs w:val="24"/>
          <w:u w:val="none"/>
        </w:rPr>
        <w:tab/>
      </w:r>
      <w:r>
        <w:rPr>
          <w:rStyle w:val="32"/>
          <w:rFonts w:hint="eastAsia" w:cs="宋体"/>
          <w:color w:val="auto"/>
          <w:sz w:val="24"/>
          <w:szCs w:val="24"/>
          <w:u w:val="none"/>
        </w:rPr>
        <w:t>8.2.电子投标文件编制建议使用</w:t>
      </w:r>
      <w:r>
        <w:rPr>
          <w:rFonts w:hint="eastAsia" w:cs="宋体"/>
          <w:sz w:val="24"/>
          <w:szCs w:val="24"/>
        </w:rPr>
        <w:t>office2010版本。</w:t>
      </w:r>
    </w:p>
    <w:p>
      <w:pPr>
        <w:wordWrap w:val="0"/>
        <w:spacing w:line="400" w:lineRule="exact"/>
        <w:rPr>
          <w:rFonts w:cs="宋体"/>
          <w:bCs/>
          <w:sz w:val="24"/>
          <w:szCs w:val="24"/>
          <w:u w:val="single"/>
        </w:rPr>
      </w:pPr>
      <w:r>
        <w:rPr>
          <w:rFonts w:hint="eastAsia" w:cs="宋体"/>
          <w:sz w:val="24"/>
          <w:szCs w:val="24"/>
        </w:rPr>
        <w:tab/>
      </w:r>
      <w:r>
        <w:rPr>
          <w:rFonts w:hint="eastAsia" w:cs="宋体"/>
          <w:sz w:val="24"/>
          <w:szCs w:val="24"/>
        </w:rPr>
        <w:t>9.潜在供应商制作电子投标文件后，需在投标工具对电子投标文件进行电子签章（项目有特殊说明的除外），并使用CA证书进行加密。在投标工具使用CA证书时需安装“优质采数字证书助手” （即数字证书驱动），下载地址：</w:t>
      </w:r>
      <w:r>
        <w:fldChar w:fldCharType="begin"/>
      </w:r>
      <w:r>
        <w:instrText xml:space="preserve"> HYPERLINK "https://toolcdn.youzhicai.com/ca.zip" </w:instrText>
      </w:r>
      <w:r>
        <w:fldChar w:fldCharType="separate"/>
      </w:r>
      <w:r>
        <w:rPr>
          <w:rStyle w:val="32"/>
          <w:rFonts w:hint="eastAsia" w:cs="宋体"/>
          <w:color w:val="auto"/>
          <w:sz w:val="24"/>
          <w:szCs w:val="24"/>
        </w:rPr>
        <w:t>https://toolcdn.youzhicai.com/ca.zip</w:t>
      </w:r>
      <w:r>
        <w:rPr>
          <w:rStyle w:val="32"/>
          <w:rFonts w:hint="eastAsia" w:cs="宋体"/>
          <w:color w:val="auto"/>
          <w:sz w:val="24"/>
          <w:szCs w:val="24"/>
        </w:rPr>
        <w:fldChar w:fldCharType="end"/>
      </w:r>
      <w:r>
        <w:rPr>
          <w:rStyle w:val="32"/>
          <w:rFonts w:hint="eastAsia" w:cs="宋体"/>
          <w:color w:val="auto"/>
          <w:sz w:val="24"/>
          <w:szCs w:val="24"/>
        </w:rPr>
        <w:t>。</w:t>
      </w:r>
    </w:p>
    <w:p>
      <w:pPr>
        <w:wordWrap w:val="0"/>
        <w:spacing w:line="400" w:lineRule="exact"/>
        <w:rPr>
          <w:rFonts w:cs="宋体"/>
          <w:sz w:val="24"/>
          <w:szCs w:val="24"/>
        </w:rPr>
      </w:pPr>
      <w:r>
        <w:rPr>
          <w:rFonts w:hint="eastAsia" w:cs="宋体"/>
          <w:sz w:val="24"/>
          <w:szCs w:val="24"/>
        </w:rPr>
        <w:tab/>
      </w:r>
      <w:r>
        <w:rPr>
          <w:rFonts w:hint="eastAsia" w:cs="宋体"/>
          <w:sz w:val="24"/>
          <w:szCs w:val="24"/>
        </w:rPr>
        <w:t>10.潜在供应商完成制作、签章、加密投标文件后，需在招标文件规定的投标截止时间前在投标工具完成上传。投标截止时间以优质采云采购平台（</w:t>
      </w:r>
      <w:r>
        <w:rPr>
          <w:rFonts w:cs="宋体"/>
          <w:sz w:val="24"/>
          <w:szCs w:val="24"/>
        </w:rPr>
        <w:t>http://www.youzhicai.com/</w:t>
      </w:r>
      <w:r>
        <w:rPr>
          <w:rFonts w:hint="eastAsia" w:cs="宋体"/>
          <w:sz w:val="24"/>
          <w:szCs w:val="24"/>
        </w:rPr>
        <w:t>）系统的时间为准，如未在投标截止时间前完成电子投标文件上传，系统将自动关闭上传通道。潜在供应商未完成电子投标文件上传的，视为没有递交投标文件。</w:t>
      </w:r>
    </w:p>
    <w:p>
      <w:pPr>
        <w:wordWrap w:val="0"/>
        <w:spacing w:line="400" w:lineRule="exact"/>
        <w:ind w:firstLine="420"/>
        <w:rPr>
          <w:rFonts w:cs="宋体"/>
          <w:sz w:val="24"/>
          <w:szCs w:val="24"/>
        </w:rPr>
      </w:pPr>
      <w:r>
        <w:rPr>
          <w:rFonts w:hint="eastAsia" w:cs="宋体"/>
          <w:sz w:val="24"/>
          <w:szCs w:val="24"/>
        </w:rPr>
        <w:t>11.潜在供应商在投标文件递交截止时间前，可以对其所递交的电子投标文件进行撤回，修改后重新上传。</w:t>
      </w:r>
    </w:p>
    <w:p>
      <w:pPr>
        <w:spacing w:line="400" w:lineRule="exact"/>
        <w:ind w:firstLine="480" w:firstLineChars="200"/>
        <w:rPr>
          <w:rFonts w:cs="宋体"/>
          <w:sz w:val="24"/>
          <w:szCs w:val="24"/>
        </w:rPr>
      </w:pPr>
      <w:r>
        <w:rPr>
          <w:rFonts w:hint="eastAsia" w:cs="宋体"/>
          <w:sz w:val="24"/>
          <w:szCs w:val="24"/>
        </w:rPr>
        <w:t>12.潜在供应商在制作、签章、加密、上传电子投标文件过程中，若存在技术操作问题，请及时联系优质采云采购平台客服人员，客服电话：400-0099-555，0551-62220164。</w:t>
      </w:r>
    </w:p>
    <w:p>
      <w:pPr>
        <w:spacing w:line="400" w:lineRule="exact"/>
        <w:ind w:firstLine="480" w:firstLineChars="200"/>
        <w:rPr>
          <w:rFonts w:cs="宋体"/>
          <w:sz w:val="24"/>
          <w:szCs w:val="24"/>
        </w:rPr>
      </w:pPr>
      <w:r>
        <w:rPr>
          <w:rFonts w:hint="eastAsia" w:cs="宋体"/>
          <w:sz w:val="24"/>
          <w:szCs w:val="24"/>
        </w:rPr>
        <w:t>三、开标和解密</w:t>
      </w:r>
    </w:p>
    <w:p>
      <w:pPr>
        <w:spacing w:line="400" w:lineRule="exact"/>
        <w:ind w:firstLine="480" w:firstLineChars="200"/>
        <w:rPr>
          <w:rFonts w:cs="宋体"/>
          <w:sz w:val="24"/>
          <w:szCs w:val="24"/>
        </w:rPr>
      </w:pPr>
      <w:r>
        <w:rPr>
          <w:rFonts w:hint="eastAsia" w:cs="宋体"/>
          <w:sz w:val="24"/>
          <w:szCs w:val="24"/>
        </w:rPr>
        <w:t>13.</w:t>
      </w:r>
      <w:r>
        <w:rPr>
          <w:rFonts w:hint="eastAsia"/>
          <w:sz w:val="24"/>
          <w:szCs w:val="24"/>
        </w:rPr>
        <w:t>招标人</w:t>
      </w:r>
      <w:r>
        <w:rPr>
          <w:rFonts w:hint="eastAsia" w:cs="宋体"/>
          <w:sz w:val="24"/>
          <w:szCs w:val="24"/>
        </w:rPr>
        <w:t>或代理机构工作人员（以下简称工作人员）根据有关规定登录系统组织开标。投标文件递交截止时间后由供应商使用CA证书解密投标文件，工作人员导入已解密投标文件并公布开标结果。</w:t>
      </w:r>
    </w:p>
    <w:p>
      <w:pPr>
        <w:spacing w:line="400" w:lineRule="exact"/>
        <w:ind w:firstLine="480" w:firstLineChars="200"/>
        <w:rPr>
          <w:rFonts w:cs="宋体"/>
          <w:sz w:val="24"/>
          <w:szCs w:val="24"/>
        </w:rPr>
      </w:pPr>
      <w:r>
        <w:rPr>
          <w:rFonts w:hint="eastAsia" w:cs="宋体"/>
          <w:sz w:val="24"/>
          <w:szCs w:val="24"/>
        </w:rPr>
        <w:t>14.投标文件可远程解密，供应商无需到达开标现场。招标文件“供应商须知”中另有规定的，从其规定。</w:t>
      </w:r>
    </w:p>
    <w:p>
      <w:pPr>
        <w:spacing w:line="400" w:lineRule="exact"/>
        <w:ind w:firstLine="480" w:firstLineChars="200"/>
        <w:rPr>
          <w:rFonts w:cs="宋体"/>
          <w:sz w:val="24"/>
          <w:szCs w:val="24"/>
        </w:rPr>
      </w:pPr>
      <w:r>
        <w:rPr>
          <w:rFonts w:hint="eastAsia" w:cs="宋体"/>
          <w:sz w:val="24"/>
          <w:szCs w:val="24"/>
        </w:rPr>
        <w:t>15.潜在供应商须按照招标文件的要求在投标文件递交截止时间前登录投标工具并保持在线，关注开标互动大厅消息直至项目评审结束。</w:t>
      </w:r>
    </w:p>
    <w:p>
      <w:pPr>
        <w:spacing w:line="400" w:lineRule="exact"/>
        <w:ind w:firstLine="480" w:firstLineChars="200"/>
        <w:rPr>
          <w:rFonts w:cs="宋体"/>
          <w:sz w:val="24"/>
          <w:szCs w:val="24"/>
        </w:rPr>
      </w:pPr>
      <w:r>
        <w:rPr>
          <w:rFonts w:hint="eastAsia" w:cs="宋体"/>
          <w:sz w:val="24"/>
          <w:szCs w:val="24"/>
        </w:rPr>
        <w:t>16.投标文件解密时限为投标文件递交截止时间后30分钟（招标文件“供应商须知”中另有规定的，从其规定）。潜在供应商须在投标文件解密时限内完成投标文件解密，未能成功解密的视为放弃投标。招标文件“供应商须知”中对投标文件解密设有线下补救方案的，执行该补救方案。</w:t>
      </w:r>
    </w:p>
    <w:p>
      <w:pPr>
        <w:spacing w:line="400" w:lineRule="exact"/>
        <w:ind w:firstLine="480" w:firstLineChars="200"/>
        <w:rPr>
          <w:rFonts w:cs="宋体"/>
          <w:sz w:val="24"/>
          <w:szCs w:val="24"/>
        </w:rPr>
      </w:pPr>
      <w:r>
        <w:rPr>
          <w:rFonts w:hint="eastAsia" w:cs="宋体"/>
          <w:sz w:val="24"/>
          <w:szCs w:val="24"/>
        </w:rPr>
        <w:t>四、评标和询标</w:t>
      </w:r>
    </w:p>
    <w:p>
      <w:pPr>
        <w:spacing w:line="400" w:lineRule="exact"/>
        <w:ind w:firstLine="480" w:firstLineChars="200"/>
        <w:rPr>
          <w:rFonts w:cs="宋体"/>
          <w:sz w:val="24"/>
          <w:szCs w:val="24"/>
        </w:rPr>
      </w:pPr>
      <w:r>
        <w:rPr>
          <w:rFonts w:hint="eastAsia" w:cs="宋体"/>
          <w:sz w:val="24"/>
          <w:szCs w:val="24"/>
        </w:rPr>
        <w:t>17.评标委员会通过优质采电子评标工具将需要澄清、说明或补正的内容以询标函的形式发送给供应商，供应商应登录投标工具并保持在线状态，以便及时接收评标委员会可能发出的询标函，并在询标函载明的时间内回复，若供应商未及时回复，视为放弃澄清。</w:t>
      </w:r>
    </w:p>
    <w:p>
      <w:pPr>
        <w:spacing w:line="400" w:lineRule="exact"/>
        <w:ind w:firstLine="480" w:firstLineChars="200"/>
        <w:rPr>
          <w:rFonts w:cs="宋体"/>
          <w:sz w:val="24"/>
          <w:szCs w:val="24"/>
        </w:rPr>
      </w:pPr>
      <w:r>
        <w:rPr>
          <w:rFonts w:hint="eastAsia" w:cs="宋体"/>
          <w:sz w:val="24"/>
          <w:szCs w:val="24"/>
        </w:rPr>
        <w:t>五、异常情形</w:t>
      </w:r>
    </w:p>
    <w:p>
      <w:pPr>
        <w:spacing w:line="400" w:lineRule="exact"/>
        <w:ind w:firstLine="480" w:firstLineChars="200"/>
        <w:rPr>
          <w:rFonts w:cs="宋体"/>
          <w:sz w:val="24"/>
          <w:szCs w:val="24"/>
        </w:rPr>
      </w:pPr>
      <w:r>
        <w:rPr>
          <w:rFonts w:hint="eastAsia" w:cs="宋体"/>
          <w:sz w:val="24"/>
          <w:szCs w:val="24"/>
        </w:rPr>
        <w:t>18.出现下列情形导致电子交易系统无法正常运行，影响招投标过程的公平、公正和信息安全，经第三方机构认定后，各方当事人免责：</w:t>
      </w:r>
    </w:p>
    <w:p>
      <w:pPr>
        <w:spacing w:line="400" w:lineRule="exact"/>
        <w:ind w:firstLine="480" w:firstLineChars="200"/>
        <w:rPr>
          <w:rFonts w:cs="宋体"/>
          <w:sz w:val="24"/>
          <w:szCs w:val="24"/>
        </w:rPr>
      </w:pPr>
      <w:r>
        <w:rPr>
          <w:rFonts w:hint="eastAsia" w:cs="宋体"/>
          <w:sz w:val="24"/>
          <w:szCs w:val="24"/>
        </w:rPr>
        <w:t>(1)网络、服务器、数据库发生故障造成无法访问或使用的；</w:t>
      </w:r>
    </w:p>
    <w:p>
      <w:pPr>
        <w:spacing w:line="400" w:lineRule="exact"/>
        <w:ind w:firstLine="480" w:firstLineChars="200"/>
        <w:rPr>
          <w:rFonts w:cs="宋体"/>
          <w:sz w:val="24"/>
          <w:szCs w:val="24"/>
        </w:rPr>
      </w:pPr>
      <w:r>
        <w:rPr>
          <w:rFonts w:hint="eastAsia" w:cs="宋体"/>
          <w:sz w:val="24"/>
          <w:szCs w:val="24"/>
        </w:rPr>
        <w:t>(2)电力系统发生故障导致电子服务系统或电子交易系统无法运行；</w:t>
      </w:r>
    </w:p>
    <w:p>
      <w:pPr>
        <w:spacing w:line="400" w:lineRule="exact"/>
        <w:ind w:firstLine="480" w:firstLineChars="200"/>
        <w:rPr>
          <w:rFonts w:cs="宋体"/>
          <w:sz w:val="24"/>
          <w:szCs w:val="24"/>
        </w:rPr>
      </w:pPr>
      <w:r>
        <w:rPr>
          <w:rFonts w:hint="eastAsia" w:cs="宋体"/>
          <w:sz w:val="24"/>
          <w:szCs w:val="24"/>
        </w:rPr>
        <w:t>(3)出现网络攻击、病毒入侵以及电子服务系统或电子交易系统安全漏洞导致无法正常提供服务的；</w:t>
      </w:r>
    </w:p>
    <w:p>
      <w:pPr>
        <w:spacing w:line="400" w:lineRule="exact"/>
        <w:ind w:firstLine="480" w:firstLineChars="200"/>
        <w:rPr>
          <w:rFonts w:cs="宋体"/>
          <w:sz w:val="24"/>
          <w:szCs w:val="24"/>
        </w:rPr>
      </w:pPr>
      <w:r>
        <w:rPr>
          <w:rFonts w:hint="eastAsia" w:cs="宋体"/>
          <w:sz w:val="24"/>
          <w:szCs w:val="24"/>
        </w:rPr>
        <w:t>(4)其他无法保证招投标过程公平、公正和信息安全的情形。</w:t>
      </w:r>
    </w:p>
    <w:p>
      <w:pPr>
        <w:spacing w:line="400" w:lineRule="exact"/>
        <w:ind w:firstLine="480" w:firstLineChars="200"/>
        <w:rPr>
          <w:rFonts w:cs="宋体"/>
          <w:sz w:val="24"/>
          <w:szCs w:val="24"/>
        </w:rPr>
      </w:pPr>
      <w:r>
        <w:rPr>
          <w:rFonts w:hint="eastAsia" w:cs="宋体"/>
          <w:sz w:val="24"/>
          <w:szCs w:val="24"/>
        </w:rPr>
        <w:t>六、异常情形处理</w:t>
      </w:r>
    </w:p>
    <w:p>
      <w:pPr>
        <w:spacing w:line="400" w:lineRule="exact"/>
        <w:ind w:firstLine="480" w:firstLineChars="200"/>
        <w:rPr>
          <w:rFonts w:cs="宋体"/>
          <w:sz w:val="24"/>
          <w:szCs w:val="24"/>
        </w:rPr>
      </w:pPr>
      <w:r>
        <w:rPr>
          <w:rFonts w:hint="eastAsia" w:cs="宋体"/>
          <w:sz w:val="24"/>
          <w:szCs w:val="24"/>
        </w:rPr>
        <w:t>19.出现上述情形，优质采平台及时组织相关方查明原因，排除故障。若能保证在开标前恢复系统运行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pPr>
        <w:spacing w:line="400" w:lineRule="exact"/>
        <w:ind w:firstLine="480" w:firstLineChars="200"/>
        <w:rPr>
          <w:rFonts w:cs="宋体"/>
          <w:sz w:val="24"/>
          <w:szCs w:val="24"/>
        </w:rPr>
      </w:pPr>
      <w:r>
        <w:rPr>
          <w:rFonts w:hint="eastAsia" w:cs="宋体"/>
          <w:sz w:val="24"/>
          <w:szCs w:val="24"/>
        </w:rPr>
        <w:t>（1）项目中止，中止期限由</w:t>
      </w:r>
      <w:r>
        <w:rPr>
          <w:rFonts w:hint="eastAsia"/>
          <w:sz w:val="24"/>
          <w:szCs w:val="24"/>
        </w:rPr>
        <w:t>招标人</w:t>
      </w:r>
      <w:r>
        <w:rPr>
          <w:rFonts w:hint="eastAsia" w:cs="宋体"/>
          <w:sz w:val="24"/>
          <w:szCs w:val="24"/>
        </w:rPr>
        <w:t>或代理机构根据项目具体情况确定。中止期限届满后中止情形尚未消除的，</w:t>
      </w:r>
      <w:r>
        <w:rPr>
          <w:rFonts w:hint="eastAsia"/>
          <w:sz w:val="24"/>
          <w:szCs w:val="24"/>
        </w:rPr>
        <w:t>招标人</w:t>
      </w:r>
      <w:r>
        <w:rPr>
          <w:rFonts w:hint="eastAsia" w:cs="宋体"/>
          <w:sz w:val="24"/>
          <w:szCs w:val="24"/>
        </w:rPr>
        <w:t>或代理机构可以根据实际情况决定延长中止期限。决定延长中止期限的，应向供应商发出延长中止期限通知，并发布公布。</w:t>
      </w:r>
    </w:p>
    <w:p>
      <w:pPr>
        <w:spacing w:line="400" w:lineRule="exact"/>
        <w:ind w:firstLine="480" w:firstLineChars="200"/>
        <w:rPr>
          <w:rFonts w:cs="宋体"/>
        </w:rPr>
      </w:pPr>
      <w:r>
        <w:rPr>
          <w:rFonts w:hint="eastAsia" w:cs="宋体"/>
          <w:sz w:val="24"/>
          <w:szCs w:val="24"/>
        </w:rPr>
        <w:t>（2）项目恢复，导致项目中止的情形消除后，</w:t>
      </w:r>
      <w:r>
        <w:rPr>
          <w:rFonts w:hint="eastAsia"/>
          <w:sz w:val="24"/>
          <w:szCs w:val="24"/>
        </w:rPr>
        <w:t>招标人</w:t>
      </w:r>
      <w:r>
        <w:rPr>
          <w:rFonts w:hint="eastAsia" w:cs="宋体"/>
          <w:sz w:val="24"/>
          <w:szCs w:val="24"/>
        </w:rPr>
        <w:t>或代理机构应当尽快恢复招投标程序，向供应商发出恢复交易通知，并发布公布；已发出延长中止期限通知的，按通知执行。</w:t>
      </w:r>
    </w:p>
    <w:p/>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42</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40</w:t>
    </w:r>
    <w:r>
      <w:rPr>
        <w:b/>
        <w:bCs/>
        <w:sz w:val="21"/>
        <w:szCs w:val="21"/>
      </w:rPr>
      <w:fldChar w:fldCharType="end"/>
    </w:r>
    <w:r>
      <w:rPr>
        <w:rFonts w:hint="eastAsia"/>
        <w:bCs/>
        <w:sz w:val="21"/>
        <w:szCs w:val="21"/>
      </w:rPr>
      <w:t xml:space="preserve"> 页</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6"/>
      </w:pPr>
      <w:r>
        <w:rPr>
          <w:rStyle w:val="36"/>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磋商文件——工程</w:t>
    </w:r>
    <w:r>
      <w:rPr>
        <w:rFonts w:hint="eastAsia"/>
        <w:lang w:val="en-US" w:eastAsia="zh-CN"/>
      </w:rPr>
      <w:t>服务</w:t>
    </w:r>
    <w:r>
      <w:rPr>
        <w:rFonts w:hint="eastAsia"/>
      </w:rPr>
      <w:t>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磋商文件——工程类</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BF2FE"/>
    <w:multiLevelType w:val="singleLevel"/>
    <w:tmpl w:val="8FCBF2FE"/>
    <w:lvl w:ilvl="0" w:tentative="0">
      <w:start w:val="1"/>
      <w:numFmt w:val="decimal"/>
      <w:pStyle w:val="44"/>
      <w:suff w:val="nothing"/>
      <w:lvlText w:val="%1、"/>
      <w:lvlJc w:val="left"/>
    </w:lvl>
  </w:abstractNum>
  <w:abstractNum w:abstractNumId="1">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53C62B"/>
    <w:multiLevelType w:val="singleLevel"/>
    <w:tmpl w:val="4C53C62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 w:name="KSO_WPS_MARK_KEY" w:val="b4a657c8-bdcf-4def-bdd7-0ff22f270f94"/>
  </w:docVars>
  <w:rsids>
    <w:rsidRoot w:val="70E60A99"/>
    <w:rsid w:val="0000355A"/>
    <w:rsid w:val="00005ACA"/>
    <w:rsid w:val="00011CCC"/>
    <w:rsid w:val="0003360B"/>
    <w:rsid w:val="00034619"/>
    <w:rsid w:val="00043DE5"/>
    <w:rsid w:val="000553E9"/>
    <w:rsid w:val="00067793"/>
    <w:rsid w:val="000B0FA0"/>
    <w:rsid w:val="000B5A54"/>
    <w:rsid w:val="000C13FB"/>
    <w:rsid w:val="000C2310"/>
    <w:rsid w:val="000C30C1"/>
    <w:rsid w:val="000C3231"/>
    <w:rsid w:val="000E0735"/>
    <w:rsid w:val="000E69E5"/>
    <w:rsid w:val="000F4116"/>
    <w:rsid w:val="00103445"/>
    <w:rsid w:val="00107AF1"/>
    <w:rsid w:val="00123CD9"/>
    <w:rsid w:val="00132C8A"/>
    <w:rsid w:val="00134BCE"/>
    <w:rsid w:val="001439C0"/>
    <w:rsid w:val="00147031"/>
    <w:rsid w:val="00160DD4"/>
    <w:rsid w:val="00185390"/>
    <w:rsid w:val="00194335"/>
    <w:rsid w:val="001975A1"/>
    <w:rsid w:val="001A077F"/>
    <w:rsid w:val="001D23B3"/>
    <w:rsid w:val="001D7725"/>
    <w:rsid w:val="001E50FD"/>
    <w:rsid w:val="001F5E52"/>
    <w:rsid w:val="00213E43"/>
    <w:rsid w:val="002352E9"/>
    <w:rsid w:val="00242C1C"/>
    <w:rsid w:val="00256C19"/>
    <w:rsid w:val="00271981"/>
    <w:rsid w:val="00284EF9"/>
    <w:rsid w:val="0029265E"/>
    <w:rsid w:val="002A6132"/>
    <w:rsid w:val="002D3324"/>
    <w:rsid w:val="002E04DA"/>
    <w:rsid w:val="002E4E3F"/>
    <w:rsid w:val="002E4F6E"/>
    <w:rsid w:val="002F25B6"/>
    <w:rsid w:val="00302672"/>
    <w:rsid w:val="00306263"/>
    <w:rsid w:val="003079FF"/>
    <w:rsid w:val="003105B5"/>
    <w:rsid w:val="00310755"/>
    <w:rsid w:val="0033260B"/>
    <w:rsid w:val="003436B9"/>
    <w:rsid w:val="0038159C"/>
    <w:rsid w:val="00382AA4"/>
    <w:rsid w:val="0039117E"/>
    <w:rsid w:val="00394A96"/>
    <w:rsid w:val="003B14C2"/>
    <w:rsid w:val="003B53F8"/>
    <w:rsid w:val="003B76F9"/>
    <w:rsid w:val="003C1394"/>
    <w:rsid w:val="003D1029"/>
    <w:rsid w:val="00405C03"/>
    <w:rsid w:val="00413969"/>
    <w:rsid w:val="00416A78"/>
    <w:rsid w:val="00422E4C"/>
    <w:rsid w:val="004244B0"/>
    <w:rsid w:val="00427866"/>
    <w:rsid w:val="004303DA"/>
    <w:rsid w:val="0043750F"/>
    <w:rsid w:val="00447412"/>
    <w:rsid w:val="00475010"/>
    <w:rsid w:val="00476F6C"/>
    <w:rsid w:val="004823AE"/>
    <w:rsid w:val="00494ACF"/>
    <w:rsid w:val="004C57C0"/>
    <w:rsid w:val="004E14CB"/>
    <w:rsid w:val="004E54C6"/>
    <w:rsid w:val="00504EB4"/>
    <w:rsid w:val="0051358D"/>
    <w:rsid w:val="00521BBB"/>
    <w:rsid w:val="00523BB3"/>
    <w:rsid w:val="0052780B"/>
    <w:rsid w:val="00530ED6"/>
    <w:rsid w:val="00541038"/>
    <w:rsid w:val="005573A2"/>
    <w:rsid w:val="0056615D"/>
    <w:rsid w:val="00572645"/>
    <w:rsid w:val="0057350A"/>
    <w:rsid w:val="0059650B"/>
    <w:rsid w:val="005A78AC"/>
    <w:rsid w:val="005A7B38"/>
    <w:rsid w:val="005B1712"/>
    <w:rsid w:val="005C1BEC"/>
    <w:rsid w:val="005D35F4"/>
    <w:rsid w:val="005D6100"/>
    <w:rsid w:val="005D765B"/>
    <w:rsid w:val="005F783B"/>
    <w:rsid w:val="00612C14"/>
    <w:rsid w:val="00614983"/>
    <w:rsid w:val="00653B44"/>
    <w:rsid w:val="00672A1F"/>
    <w:rsid w:val="0068491A"/>
    <w:rsid w:val="00695CE3"/>
    <w:rsid w:val="006A2CB4"/>
    <w:rsid w:val="006C65FE"/>
    <w:rsid w:val="006D0B01"/>
    <w:rsid w:val="006D183D"/>
    <w:rsid w:val="006E4936"/>
    <w:rsid w:val="006F4561"/>
    <w:rsid w:val="007079DF"/>
    <w:rsid w:val="00711347"/>
    <w:rsid w:val="007231FB"/>
    <w:rsid w:val="0072567C"/>
    <w:rsid w:val="00726757"/>
    <w:rsid w:val="00741811"/>
    <w:rsid w:val="00741E31"/>
    <w:rsid w:val="00782D0C"/>
    <w:rsid w:val="007B61AD"/>
    <w:rsid w:val="007B7F2B"/>
    <w:rsid w:val="007C0D85"/>
    <w:rsid w:val="007C1ABC"/>
    <w:rsid w:val="007C540B"/>
    <w:rsid w:val="007C617C"/>
    <w:rsid w:val="007D1048"/>
    <w:rsid w:val="007D1FB9"/>
    <w:rsid w:val="007F1892"/>
    <w:rsid w:val="00804D2A"/>
    <w:rsid w:val="008061D2"/>
    <w:rsid w:val="00836B67"/>
    <w:rsid w:val="008410BF"/>
    <w:rsid w:val="00841B42"/>
    <w:rsid w:val="00847766"/>
    <w:rsid w:val="00852B8C"/>
    <w:rsid w:val="00872539"/>
    <w:rsid w:val="008731A7"/>
    <w:rsid w:val="00886FE7"/>
    <w:rsid w:val="008931B3"/>
    <w:rsid w:val="00894977"/>
    <w:rsid w:val="008A04DA"/>
    <w:rsid w:val="008B2CA4"/>
    <w:rsid w:val="008B2DBA"/>
    <w:rsid w:val="008B5F70"/>
    <w:rsid w:val="008E7BCD"/>
    <w:rsid w:val="00934A4B"/>
    <w:rsid w:val="00936165"/>
    <w:rsid w:val="0094331C"/>
    <w:rsid w:val="0094695A"/>
    <w:rsid w:val="00963E20"/>
    <w:rsid w:val="009777F3"/>
    <w:rsid w:val="00982272"/>
    <w:rsid w:val="00986D5D"/>
    <w:rsid w:val="00995A21"/>
    <w:rsid w:val="009B5907"/>
    <w:rsid w:val="009E5B2C"/>
    <w:rsid w:val="00A05590"/>
    <w:rsid w:val="00A16576"/>
    <w:rsid w:val="00A20271"/>
    <w:rsid w:val="00A240C2"/>
    <w:rsid w:val="00A265AA"/>
    <w:rsid w:val="00A37C96"/>
    <w:rsid w:val="00A41C24"/>
    <w:rsid w:val="00A45A07"/>
    <w:rsid w:val="00A4799F"/>
    <w:rsid w:val="00A67D85"/>
    <w:rsid w:val="00A90FCB"/>
    <w:rsid w:val="00A93D66"/>
    <w:rsid w:val="00A9431C"/>
    <w:rsid w:val="00AB0098"/>
    <w:rsid w:val="00AC0374"/>
    <w:rsid w:val="00AE3126"/>
    <w:rsid w:val="00AF4B79"/>
    <w:rsid w:val="00B07913"/>
    <w:rsid w:val="00B11A6D"/>
    <w:rsid w:val="00B13F4E"/>
    <w:rsid w:val="00B23297"/>
    <w:rsid w:val="00B250BE"/>
    <w:rsid w:val="00B275F0"/>
    <w:rsid w:val="00B27B0B"/>
    <w:rsid w:val="00B3555D"/>
    <w:rsid w:val="00B369AE"/>
    <w:rsid w:val="00B42320"/>
    <w:rsid w:val="00B46418"/>
    <w:rsid w:val="00B4726C"/>
    <w:rsid w:val="00B53E94"/>
    <w:rsid w:val="00B62964"/>
    <w:rsid w:val="00B71DED"/>
    <w:rsid w:val="00B865F2"/>
    <w:rsid w:val="00BA115F"/>
    <w:rsid w:val="00BA1496"/>
    <w:rsid w:val="00BA5C0B"/>
    <w:rsid w:val="00BB7824"/>
    <w:rsid w:val="00BC4AD6"/>
    <w:rsid w:val="00BD267B"/>
    <w:rsid w:val="00BE30E5"/>
    <w:rsid w:val="00BE43EF"/>
    <w:rsid w:val="00BF0F00"/>
    <w:rsid w:val="00BF6F66"/>
    <w:rsid w:val="00C02C88"/>
    <w:rsid w:val="00C06FC3"/>
    <w:rsid w:val="00C10097"/>
    <w:rsid w:val="00C2686B"/>
    <w:rsid w:val="00C30586"/>
    <w:rsid w:val="00C314B5"/>
    <w:rsid w:val="00C50064"/>
    <w:rsid w:val="00C71EF8"/>
    <w:rsid w:val="00C725D8"/>
    <w:rsid w:val="00C732D4"/>
    <w:rsid w:val="00C83A3B"/>
    <w:rsid w:val="00C8422A"/>
    <w:rsid w:val="00CB06F1"/>
    <w:rsid w:val="00CB07A4"/>
    <w:rsid w:val="00CB57C4"/>
    <w:rsid w:val="00CC2A97"/>
    <w:rsid w:val="00CC455D"/>
    <w:rsid w:val="00CD1984"/>
    <w:rsid w:val="00CE3184"/>
    <w:rsid w:val="00D0211A"/>
    <w:rsid w:val="00D15C98"/>
    <w:rsid w:val="00D2731B"/>
    <w:rsid w:val="00D416B9"/>
    <w:rsid w:val="00D41B80"/>
    <w:rsid w:val="00D52FA9"/>
    <w:rsid w:val="00D5614A"/>
    <w:rsid w:val="00D60CB3"/>
    <w:rsid w:val="00D728F3"/>
    <w:rsid w:val="00D733B8"/>
    <w:rsid w:val="00D75DDF"/>
    <w:rsid w:val="00D7626D"/>
    <w:rsid w:val="00D762CA"/>
    <w:rsid w:val="00D919BD"/>
    <w:rsid w:val="00D944DF"/>
    <w:rsid w:val="00DA206E"/>
    <w:rsid w:val="00DA5DFE"/>
    <w:rsid w:val="00DB3EEE"/>
    <w:rsid w:val="00DC247D"/>
    <w:rsid w:val="00DC6726"/>
    <w:rsid w:val="00DD03AA"/>
    <w:rsid w:val="00DD331F"/>
    <w:rsid w:val="00E05EDE"/>
    <w:rsid w:val="00E15B53"/>
    <w:rsid w:val="00E251DE"/>
    <w:rsid w:val="00E32305"/>
    <w:rsid w:val="00E42075"/>
    <w:rsid w:val="00E44AB1"/>
    <w:rsid w:val="00E5272C"/>
    <w:rsid w:val="00E74F2E"/>
    <w:rsid w:val="00E759E7"/>
    <w:rsid w:val="00E83B28"/>
    <w:rsid w:val="00E94C11"/>
    <w:rsid w:val="00ED5986"/>
    <w:rsid w:val="00ED6AF0"/>
    <w:rsid w:val="00EE1560"/>
    <w:rsid w:val="00EE28EE"/>
    <w:rsid w:val="00EF374B"/>
    <w:rsid w:val="00F05CF7"/>
    <w:rsid w:val="00F0676D"/>
    <w:rsid w:val="00F33CD9"/>
    <w:rsid w:val="00F466C3"/>
    <w:rsid w:val="00F52A8D"/>
    <w:rsid w:val="00F52D42"/>
    <w:rsid w:val="00F60E55"/>
    <w:rsid w:val="00F641BA"/>
    <w:rsid w:val="00F74A17"/>
    <w:rsid w:val="00F87853"/>
    <w:rsid w:val="00F917CC"/>
    <w:rsid w:val="00F96B5B"/>
    <w:rsid w:val="00F96C3C"/>
    <w:rsid w:val="00FB72ED"/>
    <w:rsid w:val="00FE215E"/>
    <w:rsid w:val="00FE6F81"/>
    <w:rsid w:val="00FF235E"/>
    <w:rsid w:val="00FF71AB"/>
    <w:rsid w:val="00FF7C78"/>
    <w:rsid w:val="01374E54"/>
    <w:rsid w:val="01B85F94"/>
    <w:rsid w:val="020157DF"/>
    <w:rsid w:val="033836AB"/>
    <w:rsid w:val="0343163D"/>
    <w:rsid w:val="03510AA7"/>
    <w:rsid w:val="035C5045"/>
    <w:rsid w:val="036436F5"/>
    <w:rsid w:val="03C20CFD"/>
    <w:rsid w:val="045B6878"/>
    <w:rsid w:val="049C23C0"/>
    <w:rsid w:val="052554E5"/>
    <w:rsid w:val="053973EC"/>
    <w:rsid w:val="0599432F"/>
    <w:rsid w:val="05EF0B06"/>
    <w:rsid w:val="071E7A6D"/>
    <w:rsid w:val="079C3C62"/>
    <w:rsid w:val="084E6C60"/>
    <w:rsid w:val="08EB1C1E"/>
    <w:rsid w:val="08EB5B62"/>
    <w:rsid w:val="08F6103E"/>
    <w:rsid w:val="09092DE7"/>
    <w:rsid w:val="0969226A"/>
    <w:rsid w:val="0AFC15E8"/>
    <w:rsid w:val="0B444D3D"/>
    <w:rsid w:val="0B491765"/>
    <w:rsid w:val="0B62234B"/>
    <w:rsid w:val="0B921521"/>
    <w:rsid w:val="0C41302A"/>
    <w:rsid w:val="0CB521B0"/>
    <w:rsid w:val="0D2564A8"/>
    <w:rsid w:val="0D305579"/>
    <w:rsid w:val="0D324DE0"/>
    <w:rsid w:val="0D6671EC"/>
    <w:rsid w:val="0DF4332B"/>
    <w:rsid w:val="0DFD7860"/>
    <w:rsid w:val="0E25296B"/>
    <w:rsid w:val="0E807E3A"/>
    <w:rsid w:val="0E912047"/>
    <w:rsid w:val="0EC35F79"/>
    <w:rsid w:val="0F026AA1"/>
    <w:rsid w:val="0F3C1D55"/>
    <w:rsid w:val="0F5C08A7"/>
    <w:rsid w:val="0FF00FEF"/>
    <w:rsid w:val="10297193"/>
    <w:rsid w:val="10573ABB"/>
    <w:rsid w:val="10961B97"/>
    <w:rsid w:val="10967DE9"/>
    <w:rsid w:val="109C2F25"/>
    <w:rsid w:val="11557B43"/>
    <w:rsid w:val="116C28F7"/>
    <w:rsid w:val="118A06F5"/>
    <w:rsid w:val="11F72B09"/>
    <w:rsid w:val="1235718D"/>
    <w:rsid w:val="12CB18A0"/>
    <w:rsid w:val="136D5BDE"/>
    <w:rsid w:val="1384217A"/>
    <w:rsid w:val="138A52B7"/>
    <w:rsid w:val="13B81E24"/>
    <w:rsid w:val="13C127E6"/>
    <w:rsid w:val="144D563B"/>
    <w:rsid w:val="14A30D26"/>
    <w:rsid w:val="14EC1D7D"/>
    <w:rsid w:val="14FC66CF"/>
    <w:rsid w:val="14FE1928"/>
    <w:rsid w:val="152B05E3"/>
    <w:rsid w:val="1548367B"/>
    <w:rsid w:val="158521DA"/>
    <w:rsid w:val="15A9236C"/>
    <w:rsid w:val="161376D2"/>
    <w:rsid w:val="16824B5F"/>
    <w:rsid w:val="16D026BB"/>
    <w:rsid w:val="16E21AAF"/>
    <w:rsid w:val="175E2CE2"/>
    <w:rsid w:val="178D4607"/>
    <w:rsid w:val="17B968B1"/>
    <w:rsid w:val="17D11706"/>
    <w:rsid w:val="19B80DD0"/>
    <w:rsid w:val="1A50725A"/>
    <w:rsid w:val="1ACF521A"/>
    <w:rsid w:val="1B131667"/>
    <w:rsid w:val="1B3C158C"/>
    <w:rsid w:val="1B4030F3"/>
    <w:rsid w:val="1C153A84"/>
    <w:rsid w:val="1C2B7608"/>
    <w:rsid w:val="1C76287C"/>
    <w:rsid w:val="1C9A0C60"/>
    <w:rsid w:val="1CA2751E"/>
    <w:rsid w:val="1CBC0BD7"/>
    <w:rsid w:val="1D4C65FE"/>
    <w:rsid w:val="1D7414B2"/>
    <w:rsid w:val="1DB51D77"/>
    <w:rsid w:val="1E194312"/>
    <w:rsid w:val="1EEE6140"/>
    <w:rsid w:val="1FBA6F24"/>
    <w:rsid w:val="1FE30229"/>
    <w:rsid w:val="2002256D"/>
    <w:rsid w:val="20112FE8"/>
    <w:rsid w:val="201D5FF2"/>
    <w:rsid w:val="20501535"/>
    <w:rsid w:val="21215E8E"/>
    <w:rsid w:val="21D71BEE"/>
    <w:rsid w:val="2237485C"/>
    <w:rsid w:val="2245341D"/>
    <w:rsid w:val="22D60519"/>
    <w:rsid w:val="24397395"/>
    <w:rsid w:val="243C084F"/>
    <w:rsid w:val="247258FF"/>
    <w:rsid w:val="252D6896"/>
    <w:rsid w:val="25B032A3"/>
    <w:rsid w:val="262A1114"/>
    <w:rsid w:val="264718BC"/>
    <w:rsid w:val="26565FDF"/>
    <w:rsid w:val="26B6639A"/>
    <w:rsid w:val="26C05AFB"/>
    <w:rsid w:val="26EF7EEE"/>
    <w:rsid w:val="27091ADD"/>
    <w:rsid w:val="27220ADA"/>
    <w:rsid w:val="27435A51"/>
    <w:rsid w:val="274F161E"/>
    <w:rsid w:val="28370592"/>
    <w:rsid w:val="286D547B"/>
    <w:rsid w:val="28F811E9"/>
    <w:rsid w:val="28FC4939"/>
    <w:rsid w:val="2A7E1E12"/>
    <w:rsid w:val="2AB147B5"/>
    <w:rsid w:val="2BB62C95"/>
    <w:rsid w:val="2BCB4750"/>
    <w:rsid w:val="2BD01C8D"/>
    <w:rsid w:val="2BD733B6"/>
    <w:rsid w:val="2BE74CB8"/>
    <w:rsid w:val="2BE75544"/>
    <w:rsid w:val="2C5B7DFA"/>
    <w:rsid w:val="2C654CAC"/>
    <w:rsid w:val="2CD30D30"/>
    <w:rsid w:val="2D030961"/>
    <w:rsid w:val="2D4F4069"/>
    <w:rsid w:val="2D6211CC"/>
    <w:rsid w:val="2D79041E"/>
    <w:rsid w:val="2D856DC3"/>
    <w:rsid w:val="2DA76D39"/>
    <w:rsid w:val="2DE24215"/>
    <w:rsid w:val="2DF6381D"/>
    <w:rsid w:val="2E04057D"/>
    <w:rsid w:val="2F041F69"/>
    <w:rsid w:val="2F141F6C"/>
    <w:rsid w:val="307B1892"/>
    <w:rsid w:val="30AE03DF"/>
    <w:rsid w:val="30B7783B"/>
    <w:rsid w:val="30CD2133"/>
    <w:rsid w:val="30D2231F"/>
    <w:rsid w:val="310A4E78"/>
    <w:rsid w:val="318F4BB5"/>
    <w:rsid w:val="319960E3"/>
    <w:rsid w:val="31AF7BD2"/>
    <w:rsid w:val="31EA7C43"/>
    <w:rsid w:val="31F93956"/>
    <w:rsid w:val="32700042"/>
    <w:rsid w:val="329219D2"/>
    <w:rsid w:val="329830F5"/>
    <w:rsid w:val="32AB5D6C"/>
    <w:rsid w:val="32D707E6"/>
    <w:rsid w:val="32EC5979"/>
    <w:rsid w:val="32ED7F9D"/>
    <w:rsid w:val="331165AB"/>
    <w:rsid w:val="33512760"/>
    <w:rsid w:val="345614B9"/>
    <w:rsid w:val="34684D49"/>
    <w:rsid w:val="346B00EF"/>
    <w:rsid w:val="348222AE"/>
    <w:rsid w:val="35170C48"/>
    <w:rsid w:val="35337105"/>
    <w:rsid w:val="353D29CA"/>
    <w:rsid w:val="3575771D"/>
    <w:rsid w:val="35E52AF5"/>
    <w:rsid w:val="36835E6A"/>
    <w:rsid w:val="375A1DC0"/>
    <w:rsid w:val="37C36E66"/>
    <w:rsid w:val="382471D8"/>
    <w:rsid w:val="385076D4"/>
    <w:rsid w:val="38514471"/>
    <w:rsid w:val="38B632C3"/>
    <w:rsid w:val="39290F4A"/>
    <w:rsid w:val="3939522E"/>
    <w:rsid w:val="397A3554"/>
    <w:rsid w:val="3A313DDF"/>
    <w:rsid w:val="3B6C3D52"/>
    <w:rsid w:val="3BD93BFC"/>
    <w:rsid w:val="3BFB45B8"/>
    <w:rsid w:val="3C24596A"/>
    <w:rsid w:val="3C991F43"/>
    <w:rsid w:val="3CD53E49"/>
    <w:rsid w:val="3D2A6F55"/>
    <w:rsid w:val="3D430101"/>
    <w:rsid w:val="3D5D5666"/>
    <w:rsid w:val="3D8449A1"/>
    <w:rsid w:val="3EA07AC6"/>
    <w:rsid w:val="3EE14075"/>
    <w:rsid w:val="3F2F6B8F"/>
    <w:rsid w:val="3F6B5F18"/>
    <w:rsid w:val="3F9F5CB2"/>
    <w:rsid w:val="3FD140EA"/>
    <w:rsid w:val="3FF46F41"/>
    <w:rsid w:val="402266F3"/>
    <w:rsid w:val="405368AD"/>
    <w:rsid w:val="40550877"/>
    <w:rsid w:val="4086667F"/>
    <w:rsid w:val="40A75A1F"/>
    <w:rsid w:val="40A8087E"/>
    <w:rsid w:val="413B60C1"/>
    <w:rsid w:val="41523008"/>
    <w:rsid w:val="41967399"/>
    <w:rsid w:val="423654AA"/>
    <w:rsid w:val="42605F57"/>
    <w:rsid w:val="42ED123B"/>
    <w:rsid w:val="43790D20"/>
    <w:rsid w:val="44203BFE"/>
    <w:rsid w:val="4427569D"/>
    <w:rsid w:val="44305F71"/>
    <w:rsid w:val="446C318F"/>
    <w:rsid w:val="44A8366B"/>
    <w:rsid w:val="44AE6C6F"/>
    <w:rsid w:val="45006282"/>
    <w:rsid w:val="45392515"/>
    <w:rsid w:val="453D2A10"/>
    <w:rsid w:val="454E38DB"/>
    <w:rsid w:val="456D0411"/>
    <w:rsid w:val="4614170F"/>
    <w:rsid w:val="4638045A"/>
    <w:rsid w:val="467557CF"/>
    <w:rsid w:val="46DC0189"/>
    <w:rsid w:val="4734721D"/>
    <w:rsid w:val="47FD39BB"/>
    <w:rsid w:val="48286871"/>
    <w:rsid w:val="4832149E"/>
    <w:rsid w:val="48657AC5"/>
    <w:rsid w:val="48771282"/>
    <w:rsid w:val="48C33D24"/>
    <w:rsid w:val="49311755"/>
    <w:rsid w:val="49843F7B"/>
    <w:rsid w:val="498F32C4"/>
    <w:rsid w:val="49F17862"/>
    <w:rsid w:val="4A0950D1"/>
    <w:rsid w:val="4AC676BD"/>
    <w:rsid w:val="4AFF0728"/>
    <w:rsid w:val="4BB079CC"/>
    <w:rsid w:val="4BC13264"/>
    <w:rsid w:val="4C0F30D2"/>
    <w:rsid w:val="4C3E2B07"/>
    <w:rsid w:val="4C722558"/>
    <w:rsid w:val="4CF07121"/>
    <w:rsid w:val="4CF8716C"/>
    <w:rsid w:val="4CFD720C"/>
    <w:rsid w:val="4D185106"/>
    <w:rsid w:val="4D4E6C0C"/>
    <w:rsid w:val="4D8F0D67"/>
    <w:rsid w:val="4DAE7818"/>
    <w:rsid w:val="4DD61C67"/>
    <w:rsid w:val="4E796078"/>
    <w:rsid w:val="4EF676C9"/>
    <w:rsid w:val="4F2C7426"/>
    <w:rsid w:val="4F9071D6"/>
    <w:rsid w:val="4FCB6A8D"/>
    <w:rsid w:val="507A1C34"/>
    <w:rsid w:val="50CB3616"/>
    <w:rsid w:val="51B073AF"/>
    <w:rsid w:val="5294522F"/>
    <w:rsid w:val="52C84F41"/>
    <w:rsid w:val="54065446"/>
    <w:rsid w:val="54BF4D86"/>
    <w:rsid w:val="55F67FAE"/>
    <w:rsid w:val="56355422"/>
    <w:rsid w:val="56544380"/>
    <w:rsid w:val="567F0DC1"/>
    <w:rsid w:val="56A04385"/>
    <w:rsid w:val="56B37C4E"/>
    <w:rsid w:val="56F97D56"/>
    <w:rsid w:val="57016C0B"/>
    <w:rsid w:val="587352FF"/>
    <w:rsid w:val="58752BA8"/>
    <w:rsid w:val="58832FBF"/>
    <w:rsid w:val="589A55C2"/>
    <w:rsid w:val="58BC103B"/>
    <w:rsid w:val="58F8015D"/>
    <w:rsid w:val="58FF6231"/>
    <w:rsid w:val="590A2A62"/>
    <w:rsid w:val="590F1AB3"/>
    <w:rsid w:val="5928638B"/>
    <w:rsid w:val="598A0864"/>
    <w:rsid w:val="5B160B43"/>
    <w:rsid w:val="5B44580E"/>
    <w:rsid w:val="5B9529C6"/>
    <w:rsid w:val="5D645228"/>
    <w:rsid w:val="5D704AEA"/>
    <w:rsid w:val="5D953CF6"/>
    <w:rsid w:val="5DB5658E"/>
    <w:rsid w:val="5E10464A"/>
    <w:rsid w:val="5E3A43C8"/>
    <w:rsid w:val="5E781EA8"/>
    <w:rsid w:val="5EA87092"/>
    <w:rsid w:val="5EAE16FC"/>
    <w:rsid w:val="5F5A15AE"/>
    <w:rsid w:val="5F751F44"/>
    <w:rsid w:val="5F7A5030"/>
    <w:rsid w:val="5FAE4FCE"/>
    <w:rsid w:val="5FD521C7"/>
    <w:rsid w:val="607518FD"/>
    <w:rsid w:val="609D1752"/>
    <w:rsid w:val="60CB63CB"/>
    <w:rsid w:val="60F65306"/>
    <w:rsid w:val="6109503A"/>
    <w:rsid w:val="617355D6"/>
    <w:rsid w:val="61FD6FAC"/>
    <w:rsid w:val="62783014"/>
    <w:rsid w:val="62894EFE"/>
    <w:rsid w:val="62EC69C1"/>
    <w:rsid w:val="639A5952"/>
    <w:rsid w:val="639C02C3"/>
    <w:rsid w:val="63AD5A6D"/>
    <w:rsid w:val="63C15A99"/>
    <w:rsid w:val="63F03D89"/>
    <w:rsid w:val="643428F5"/>
    <w:rsid w:val="64C33752"/>
    <w:rsid w:val="657A02B4"/>
    <w:rsid w:val="65D043B5"/>
    <w:rsid w:val="660D514E"/>
    <w:rsid w:val="66617326"/>
    <w:rsid w:val="66F67E0E"/>
    <w:rsid w:val="6759214B"/>
    <w:rsid w:val="67AE693B"/>
    <w:rsid w:val="67E4410B"/>
    <w:rsid w:val="68214E2B"/>
    <w:rsid w:val="682B7F8C"/>
    <w:rsid w:val="68324D3D"/>
    <w:rsid w:val="688A17C5"/>
    <w:rsid w:val="68986859"/>
    <w:rsid w:val="68AE2529"/>
    <w:rsid w:val="69055B11"/>
    <w:rsid w:val="69284CD5"/>
    <w:rsid w:val="693037C0"/>
    <w:rsid w:val="693C622B"/>
    <w:rsid w:val="695452C0"/>
    <w:rsid w:val="69690D6B"/>
    <w:rsid w:val="697D4817"/>
    <w:rsid w:val="69C33E4E"/>
    <w:rsid w:val="69EA1A6A"/>
    <w:rsid w:val="69EA4C26"/>
    <w:rsid w:val="69EB21BA"/>
    <w:rsid w:val="69F525FF"/>
    <w:rsid w:val="6A274783"/>
    <w:rsid w:val="6A4737E3"/>
    <w:rsid w:val="6A4F6090"/>
    <w:rsid w:val="6AB415EC"/>
    <w:rsid w:val="6AD466B8"/>
    <w:rsid w:val="6B2F3686"/>
    <w:rsid w:val="6B4355EC"/>
    <w:rsid w:val="6BB362CE"/>
    <w:rsid w:val="6BC524A5"/>
    <w:rsid w:val="6BDE7164"/>
    <w:rsid w:val="6C256AA0"/>
    <w:rsid w:val="6C3B2FFD"/>
    <w:rsid w:val="6CBA1C42"/>
    <w:rsid w:val="6D033285"/>
    <w:rsid w:val="6E040A57"/>
    <w:rsid w:val="6E2F54CF"/>
    <w:rsid w:val="6E380D0C"/>
    <w:rsid w:val="6E617962"/>
    <w:rsid w:val="6E7136A2"/>
    <w:rsid w:val="6F02382D"/>
    <w:rsid w:val="704464CC"/>
    <w:rsid w:val="70560B6F"/>
    <w:rsid w:val="70B312C0"/>
    <w:rsid w:val="70E60A99"/>
    <w:rsid w:val="71A53F34"/>
    <w:rsid w:val="71BA40BB"/>
    <w:rsid w:val="726E11A1"/>
    <w:rsid w:val="72BA1E81"/>
    <w:rsid w:val="72CD7B92"/>
    <w:rsid w:val="730328DA"/>
    <w:rsid w:val="734463A5"/>
    <w:rsid w:val="737A5937"/>
    <w:rsid w:val="73823836"/>
    <w:rsid w:val="73A304EE"/>
    <w:rsid w:val="73BB1B13"/>
    <w:rsid w:val="73ED07EB"/>
    <w:rsid w:val="74291FC8"/>
    <w:rsid w:val="74A23383"/>
    <w:rsid w:val="74B66E2F"/>
    <w:rsid w:val="75163850"/>
    <w:rsid w:val="754F4BB4"/>
    <w:rsid w:val="758962F1"/>
    <w:rsid w:val="758B02BC"/>
    <w:rsid w:val="75A44ED9"/>
    <w:rsid w:val="75F23E97"/>
    <w:rsid w:val="75F8211B"/>
    <w:rsid w:val="76022303"/>
    <w:rsid w:val="76653C30"/>
    <w:rsid w:val="76681767"/>
    <w:rsid w:val="76DD5312"/>
    <w:rsid w:val="76FA0F8A"/>
    <w:rsid w:val="77502B36"/>
    <w:rsid w:val="775B37B3"/>
    <w:rsid w:val="776112D4"/>
    <w:rsid w:val="776D472E"/>
    <w:rsid w:val="77BB7764"/>
    <w:rsid w:val="77CB0C8F"/>
    <w:rsid w:val="78B55D26"/>
    <w:rsid w:val="78C31B1A"/>
    <w:rsid w:val="78C935D5"/>
    <w:rsid w:val="79A00862"/>
    <w:rsid w:val="79C761EA"/>
    <w:rsid w:val="79CC49FF"/>
    <w:rsid w:val="79EE2C15"/>
    <w:rsid w:val="79FF2E57"/>
    <w:rsid w:val="7A4E3666"/>
    <w:rsid w:val="7A85177D"/>
    <w:rsid w:val="7A8F43AA"/>
    <w:rsid w:val="7B2166B9"/>
    <w:rsid w:val="7B4818B6"/>
    <w:rsid w:val="7B8B4B71"/>
    <w:rsid w:val="7BAD42E7"/>
    <w:rsid w:val="7C2A30B3"/>
    <w:rsid w:val="7C67749B"/>
    <w:rsid w:val="7D366C7B"/>
    <w:rsid w:val="7D87352C"/>
    <w:rsid w:val="7E1C7116"/>
    <w:rsid w:val="7E6076A9"/>
    <w:rsid w:val="7E7044F2"/>
    <w:rsid w:val="7E926217"/>
    <w:rsid w:val="7EA87AEB"/>
    <w:rsid w:val="7EED5B43"/>
    <w:rsid w:val="7F5B0C1E"/>
    <w:rsid w:val="7FAE08F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ind w:left="2520" w:leftChars="1200"/>
    </w:pPr>
  </w:style>
  <w:style w:type="paragraph" w:styleId="4">
    <w:name w:val="Normal Indent"/>
    <w:basedOn w:val="1"/>
    <w:autoRedefine/>
    <w:qFormat/>
    <w:uiPriority w:val="0"/>
    <w:pPr>
      <w:ind w:firstLine="420" w:firstLineChars="200"/>
    </w:pPr>
  </w:style>
  <w:style w:type="paragraph" w:styleId="5">
    <w:name w:val="annotation text"/>
    <w:basedOn w:val="1"/>
    <w:link w:val="46"/>
    <w:autoRedefine/>
    <w:qFormat/>
    <w:uiPriority w:val="0"/>
    <w:pPr>
      <w:jc w:val="left"/>
    </w:pPr>
  </w:style>
  <w:style w:type="paragraph" w:styleId="6">
    <w:name w:val="Body Text"/>
    <w:basedOn w:val="1"/>
    <w:next w:val="7"/>
    <w:autoRedefine/>
    <w:qFormat/>
    <w:uiPriority w:val="0"/>
    <w:pPr>
      <w:spacing w:after="120"/>
    </w:pPr>
    <w:rPr>
      <w:rFonts w:cs="宋体" w:asciiTheme="minorEastAsia" w:hAnsiTheme="minorEastAsia" w:eastAsiaTheme="minorEastAsia"/>
      <w:b/>
      <w:bCs/>
      <w:sz w:val="24"/>
      <w:szCs w:val="24"/>
      <w:lang w:val="zh-CN"/>
    </w:rPr>
  </w:style>
  <w:style w:type="paragraph" w:styleId="7">
    <w:name w:val="Date"/>
    <w:basedOn w:val="1"/>
    <w:next w:val="1"/>
    <w:autoRedefine/>
    <w:qFormat/>
    <w:uiPriority w:val="0"/>
    <w:pPr>
      <w:ind w:left="2500" w:leftChars="2500"/>
    </w:pPr>
    <w:rPr>
      <w:rFonts w:ascii="Times New Roman" w:hAnsi="Times New Roman"/>
    </w:rPr>
  </w:style>
  <w:style w:type="paragraph" w:styleId="8">
    <w:name w:val="Body Text Indent"/>
    <w:basedOn w:val="1"/>
    <w:next w:val="9"/>
    <w:link w:val="49"/>
    <w:autoRedefine/>
    <w:unhideWhenUsed/>
    <w:qFormat/>
    <w:uiPriority w:val="99"/>
    <w:pPr>
      <w:spacing w:after="120"/>
      <w:ind w:left="420" w:leftChars="200"/>
    </w:pPr>
    <w:rPr>
      <w:rFonts w:ascii="Calibri" w:hAnsi="Calibri"/>
      <w:kern w:val="2"/>
      <w:sz w:val="21"/>
      <w:szCs w:val="22"/>
    </w:rPr>
  </w:style>
  <w:style w:type="paragraph" w:styleId="9">
    <w:name w:val="envelope return"/>
    <w:basedOn w:val="1"/>
    <w:autoRedefine/>
    <w:qFormat/>
    <w:uiPriority w:val="99"/>
    <w:rPr>
      <w:rFonts w:ascii="Arial" w:hAnsi="Arial" w:cs="Arial"/>
      <w:kern w:val="1"/>
    </w:rPr>
  </w:style>
  <w:style w:type="paragraph" w:styleId="10">
    <w:name w:val="Plain Text"/>
    <w:basedOn w:val="1"/>
    <w:autoRedefine/>
    <w:qFormat/>
    <w:uiPriority w:val="0"/>
    <w:rPr>
      <w:rFonts w:hAnsi="Courier New"/>
      <w:szCs w:val="22"/>
    </w:rPr>
  </w:style>
  <w:style w:type="paragraph" w:styleId="11">
    <w:name w:val="Balloon Text"/>
    <w:basedOn w:val="1"/>
    <w:link w:val="45"/>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ind w:left="420" w:hanging="420"/>
    </w:pPr>
    <w:rPr>
      <w:rFonts w:ascii="Arial" w:hAnsi="Arial" w:eastAsia="楷体_GB2312"/>
      <w:sz w:val="28"/>
    </w:rPr>
  </w:style>
  <w:style w:type="paragraph" w:styleId="16">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7">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8">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9">
    <w:name w:val="annotation subject"/>
    <w:basedOn w:val="5"/>
    <w:next w:val="5"/>
    <w:link w:val="47"/>
    <w:autoRedefine/>
    <w:qFormat/>
    <w:uiPriority w:val="0"/>
    <w:rPr>
      <w:b/>
      <w:bCs/>
    </w:rPr>
  </w:style>
  <w:style w:type="paragraph" w:styleId="20">
    <w:name w:val="Body Text First Indent"/>
    <w:basedOn w:val="6"/>
    <w:next w:val="1"/>
    <w:autoRedefine/>
    <w:unhideWhenUsed/>
    <w:qFormat/>
    <w:uiPriority w:val="99"/>
    <w:pPr>
      <w:ind w:firstLine="420" w:firstLineChars="100"/>
    </w:pPr>
  </w:style>
  <w:style w:type="paragraph" w:styleId="21">
    <w:name w:val="Body Text First Indent 2"/>
    <w:basedOn w:val="8"/>
    <w:next w:val="22"/>
    <w:autoRedefine/>
    <w:unhideWhenUsed/>
    <w:qFormat/>
    <w:uiPriority w:val="0"/>
    <w:pPr>
      <w:ind w:firstLine="420" w:firstLineChars="200"/>
    </w:pPr>
  </w:style>
  <w:style w:type="paragraph" w:customStyle="1" w:styleId="22">
    <w:name w:val="正文格式"/>
    <w:basedOn w:val="1"/>
    <w:autoRedefine/>
    <w:qFormat/>
    <w:uiPriority w:val="0"/>
    <w:rPr>
      <w:sz w:val="28"/>
      <w:szCs w:val="24"/>
    </w:rPr>
  </w:style>
  <w:style w:type="character" w:styleId="25">
    <w:name w:val="Strong"/>
    <w:autoRedefine/>
    <w:qFormat/>
    <w:uiPriority w:val="0"/>
    <w:rPr>
      <w:b/>
      <w:bCs/>
    </w:rPr>
  </w:style>
  <w:style w:type="character" w:styleId="26">
    <w:name w:val="FollowedHyperlink"/>
    <w:basedOn w:val="24"/>
    <w:autoRedefine/>
    <w:qFormat/>
    <w:uiPriority w:val="0"/>
    <w:rPr>
      <w:color w:val="333333"/>
      <w:u w:val="none"/>
    </w:rPr>
  </w:style>
  <w:style w:type="character" w:styleId="27">
    <w:name w:val="Emphasis"/>
    <w:basedOn w:val="24"/>
    <w:autoRedefine/>
    <w:qFormat/>
    <w:uiPriority w:val="0"/>
  </w:style>
  <w:style w:type="character" w:styleId="28">
    <w:name w:val="HTML Definition"/>
    <w:basedOn w:val="24"/>
    <w:autoRedefine/>
    <w:qFormat/>
    <w:uiPriority w:val="0"/>
  </w:style>
  <w:style w:type="character" w:styleId="29">
    <w:name w:val="HTML Typewriter"/>
    <w:basedOn w:val="24"/>
    <w:autoRedefine/>
    <w:qFormat/>
    <w:uiPriority w:val="0"/>
    <w:rPr>
      <w:rFonts w:ascii="monospace" w:hAnsi="monospace" w:eastAsia="monospace" w:cs="monospace"/>
      <w:sz w:val="20"/>
    </w:rPr>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basedOn w:val="24"/>
    <w:autoRedefine/>
    <w:unhideWhenUsed/>
    <w:qFormat/>
    <w:uiPriority w:val="99"/>
    <w:rPr>
      <w:color w:val="0563C1"/>
      <w:u w:val="single"/>
    </w:rPr>
  </w:style>
  <w:style w:type="character" w:styleId="33">
    <w:name w:val="HTML Code"/>
    <w:basedOn w:val="24"/>
    <w:autoRedefine/>
    <w:qFormat/>
    <w:uiPriority w:val="0"/>
    <w:rPr>
      <w:rFonts w:hint="default" w:ascii="monospace" w:hAnsi="monospace" w:eastAsia="monospace" w:cs="monospace"/>
      <w:sz w:val="20"/>
    </w:rPr>
  </w:style>
  <w:style w:type="character" w:styleId="34">
    <w:name w:val="annotation reference"/>
    <w:basedOn w:val="24"/>
    <w:autoRedefine/>
    <w:unhideWhenUsed/>
    <w:qFormat/>
    <w:uiPriority w:val="0"/>
    <w:rPr>
      <w:sz w:val="21"/>
      <w:szCs w:val="21"/>
    </w:rPr>
  </w:style>
  <w:style w:type="character" w:styleId="35">
    <w:name w:val="HTML Cite"/>
    <w:basedOn w:val="24"/>
    <w:autoRedefine/>
    <w:qFormat/>
    <w:uiPriority w:val="0"/>
  </w:style>
  <w:style w:type="character" w:styleId="36">
    <w:name w:val="footnote reference"/>
    <w:autoRedefine/>
    <w:unhideWhenUsed/>
    <w:qFormat/>
    <w:uiPriority w:val="0"/>
    <w:rPr>
      <w:vertAlign w:val="superscript"/>
    </w:rPr>
  </w:style>
  <w:style w:type="character" w:styleId="37">
    <w:name w:val="HTML Keyboard"/>
    <w:basedOn w:val="24"/>
    <w:autoRedefine/>
    <w:qFormat/>
    <w:uiPriority w:val="0"/>
    <w:rPr>
      <w:rFonts w:hint="default" w:ascii="monospace" w:hAnsi="monospace" w:eastAsia="monospace" w:cs="monospace"/>
      <w:sz w:val="20"/>
    </w:rPr>
  </w:style>
  <w:style w:type="character" w:styleId="38">
    <w:name w:val="HTML Sample"/>
    <w:basedOn w:val="24"/>
    <w:autoRedefine/>
    <w:qFormat/>
    <w:uiPriority w:val="0"/>
    <w:rPr>
      <w:rFonts w:hint="default" w:ascii="monospace" w:hAnsi="monospace" w:eastAsia="monospace" w:cs="monospace"/>
    </w:rPr>
  </w:style>
  <w:style w:type="paragraph" w:customStyle="1" w:styleId="39">
    <w:name w:val="xl31"/>
    <w:basedOn w:val="1"/>
    <w:autoRedefine/>
    <w:qFormat/>
    <w:uiPriority w:val="0"/>
    <w:pPr>
      <w:widowControl/>
      <w:spacing w:before="100" w:beforeAutospacing="1" w:after="100" w:afterAutospacing="1"/>
      <w:jc w:val="center"/>
    </w:pPr>
    <w:rPr>
      <w:b/>
      <w:bCs/>
      <w:sz w:val="28"/>
      <w:szCs w:val="28"/>
    </w:rPr>
  </w:style>
  <w:style w:type="paragraph" w:customStyle="1" w:styleId="40">
    <w:name w:val="D&amp;L"/>
    <w:basedOn w:val="1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1">
    <w:name w:val="普通 (Web)"/>
    <w:basedOn w:val="1"/>
    <w:autoRedefine/>
    <w:qFormat/>
    <w:uiPriority w:val="0"/>
    <w:pPr>
      <w:widowControl/>
      <w:spacing w:before="100" w:beforeAutospacing="1" w:after="100" w:afterAutospacing="1"/>
      <w:jc w:val="left"/>
    </w:pPr>
    <w:rPr>
      <w:sz w:val="24"/>
      <w:szCs w:val="24"/>
    </w:rPr>
  </w:style>
  <w:style w:type="paragraph" w:customStyle="1" w:styleId="42">
    <w:name w:val="Table Paragraph"/>
    <w:basedOn w:val="1"/>
    <w:next w:val="1"/>
    <w:autoRedefine/>
    <w:qFormat/>
    <w:uiPriority w:val="1"/>
    <w:rPr>
      <w:rFonts w:cs="宋体"/>
      <w:lang w:val="zh-CN" w:bidi="zh-CN"/>
    </w:rPr>
  </w:style>
  <w:style w:type="table" w:customStyle="1" w:styleId="43">
    <w:name w:val="网格型2"/>
    <w:basedOn w:val="23"/>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List Paragraph"/>
    <w:basedOn w:val="1"/>
    <w:autoRedefine/>
    <w:qFormat/>
    <w:uiPriority w:val="34"/>
    <w:pPr>
      <w:numPr>
        <w:ilvl w:val="0"/>
        <w:numId w:val="1"/>
      </w:numPr>
      <w:spacing w:line="360" w:lineRule="auto"/>
    </w:pPr>
  </w:style>
  <w:style w:type="character" w:customStyle="1" w:styleId="45">
    <w:name w:val="批注框文本 字符"/>
    <w:basedOn w:val="24"/>
    <w:link w:val="11"/>
    <w:autoRedefine/>
    <w:qFormat/>
    <w:uiPriority w:val="0"/>
    <w:rPr>
      <w:rFonts w:ascii="宋体" w:hAnsi="宋体"/>
      <w:sz w:val="18"/>
      <w:szCs w:val="18"/>
    </w:rPr>
  </w:style>
  <w:style w:type="character" w:customStyle="1" w:styleId="46">
    <w:name w:val="批注文字 字符"/>
    <w:basedOn w:val="24"/>
    <w:link w:val="5"/>
    <w:autoRedefine/>
    <w:qFormat/>
    <w:uiPriority w:val="0"/>
    <w:rPr>
      <w:rFonts w:ascii="宋体" w:hAnsi="宋体"/>
    </w:rPr>
  </w:style>
  <w:style w:type="character" w:customStyle="1" w:styleId="47">
    <w:name w:val="批注主题 字符"/>
    <w:basedOn w:val="46"/>
    <w:link w:val="19"/>
    <w:autoRedefine/>
    <w:qFormat/>
    <w:uiPriority w:val="0"/>
    <w:rPr>
      <w:rFonts w:ascii="宋体" w:hAnsi="宋体"/>
      <w:b/>
      <w:bCs/>
    </w:rPr>
  </w:style>
  <w:style w:type="paragraph" w:customStyle="1" w:styleId="48">
    <w:name w:val="修订1"/>
    <w:autoRedefine/>
    <w:hidden/>
    <w:semiHidden/>
    <w:qFormat/>
    <w:uiPriority w:val="99"/>
    <w:rPr>
      <w:rFonts w:ascii="宋体" w:hAnsi="宋体" w:eastAsia="宋体" w:cs="Times New Roman"/>
      <w:lang w:val="en-US" w:eastAsia="zh-CN" w:bidi="ar-SA"/>
    </w:rPr>
  </w:style>
  <w:style w:type="character" w:customStyle="1" w:styleId="49">
    <w:name w:val="正文文本缩进 字符"/>
    <w:basedOn w:val="24"/>
    <w:link w:val="8"/>
    <w:autoRedefine/>
    <w:qFormat/>
    <w:uiPriority w:val="99"/>
    <w:rPr>
      <w:rFonts w:ascii="Calibri" w:hAnsi="Calibri"/>
      <w:kern w:val="2"/>
      <w:sz w:val="21"/>
      <w:szCs w:val="22"/>
    </w:rPr>
  </w:style>
  <w:style w:type="character" w:customStyle="1" w:styleId="50">
    <w:name w:val="NormalCharacter"/>
    <w:autoRedefine/>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16135</Words>
  <Characters>17812</Characters>
  <Lines>144</Lines>
  <Paragraphs>40</Paragraphs>
  <TotalTime>24</TotalTime>
  <ScaleCrop>false</ScaleCrop>
  <LinksUpToDate>false</LinksUpToDate>
  <CharactersWithSpaces>18924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徐梦</cp:lastModifiedBy>
  <cp:lastPrinted>2025-01-16T01:22:00Z</cp:lastPrinted>
  <dcterms:modified xsi:type="dcterms:W3CDTF">2025-01-22T01:49:28Z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5BCDD9B70755402A9726F73F54ED1C8F_13</vt:lpwstr>
  </property>
  <property fmtid="{D5CDD505-2E9C-101B-9397-08002B2CF9AE}" pid="4" name="KSOTemplateDocerSaveRecord">
    <vt:lpwstr>eyJoZGlkIjoiNzRhODZhOGQ3OTJmN2EwYjRiYzZlMzhiODEyOGNmNDEiLCJ1c2VySWQiOiI5NTExNTI0OTkifQ==</vt:lpwstr>
  </property>
</Properties>
</file>