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FA39">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521F7483">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42EAA1C6">
      <w:pPr>
        <w:tabs>
          <w:tab w:val="left" w:pos="315"/>
          <w:tab w:val="left" w:pos="8820"/>
        </w:tabs>
        <w:ind w:firstLine="0" w:firstLineChars="0"/>
        <w:jc w:val="center"/>
        <w:rPr>
          <w:sz w:val="44"/>
          <w:szCs w:val="44"/>
          <w:highlight w:val="none"/>
        </w:rPr>
      </w:pPr>
      <w:r>
        <w:rPr>
          <w:rFonts w:hint="eastAsia"/>
          <w:b/>
          <w:bCs/>
          <w:sz w:val="52"/>
          <w:szCs w:val="52"/>
          <w:highlight w:val="none"/>
        </w:rPr>
        <w:t>磋商文件</w:t>
      </w: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66D60C5C">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631FA066">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4BACA0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7C34A02">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7FC0BF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1069274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8C67DF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307AF84">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C5DE246">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lang w:eastAsia="zh-CN"/>
        </w:rPr>
        <w:t>肥西县花岗镇中心卫生院物业服务采购</w:t>
      </w:r>
    </w:p>
    <w:p w14:paraId="280CB1FF">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lang w:eastAsia="zh-CN"/>
        </w:rPr>
        <w:t>2026PHBN237</w:t>
      </w:r>
    </w:p>
    <w:p w14:paraId="51F9B238">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业主单位：</w:t>
      </w:r>
      <w:r>
        <w:rPr>
          <w:rFonts w:hint="eastAsia"/>
          <w:b/>
          <w:spacing w:val="20"/>
          <w:sz w:val="32"/>
          <w:szCs w:val="32"/>
          <w:highlight w:val="none"/>
          <w:lang w:eastAsia="zh-CN"/>
        </w:rPr>
        <w:t>肥西县花岗镇中心卫生院</w:t>
      </w:r>
    </w:p>
    <w:p w14:paraId="54C2F8F9">
      <w:pPr>
        <w:tabs>
          <w:tab w:val="left" w:pos="2410"/>
        </w:tabs>
        <w:autoSpaceDE w:val="0"/>
        <w:autoSpaceDN w:val="0"/>
        <w:adjustRightInd w:val="0"/>
        <w:snapToGrid w:val="0"/>
        <w:ind w:firstLine="723"/>
        <w:rPr>
          <w:b/>
          <w:spacing w:val="20"/>
          <w:sz w:val="32"/>
          <w:szCs w:val="32"/>
          <w:highlight w:val="none"/>
        </w:rPr>
      </w:pPr>
      <w:r>
        <w:rPr>
          <w:rFonts w:hint="eastAsia"/>
          <w:b/>
          <w:spacing w:val="20"/>
          <w:sz w:val="32"/>
          <w:szCs w:val="32"/>
          <w:highlight w:val="none"/>
        </w:rPr>
        <w:t>代理机构：肥西县公共资源交易有限责任公司</w:t>
      </w:r>
    </w:p>
    <w:p w14:paraId="4358908C">
      <w:pPr>
        <w:tabs>
          <w:tab w:val="left" w:pos="2410"/>
        </w:tabs>
        <w:autoSpaceDE w:val="0"/>
        <w:autoSpaceDN w:val="0"/>
        <w:adjustRightInd w:val="0"/>
        <w:snapToGrid w:val="0"/>
        <w:ind w:firstLine="723"/>
        <w:jc w:val="center"/>
        <w:rPr>
          <w:b/>
          <w:sz w:val="36"/>
          <w:highlight w:val="none"/>
        </w:rPr>
      </w:pPr>
    </w:p>
    <w:p w14:paraId="4AFAD8B6">
      <w:pPr>
        <w:tabs>
          <w:tab w:val="left" w:pos="2410"/>
        </w:tabs>
        <w:autoSpaceDE w:val="0"/>
        <w:autoSpaceDN w:val="0"/>
        <w:adjustRightInd w:val="0"/>
        <w:snapToGrid w:val="0"/>
        <w:ind w:firstLine="3253" w:firstLineChars="900"/>
        <w:rPr>
          <w:b/>
          <w:sz w:val="36"/>
          <w:highlight w:val="none"/>
        </w:rPr>
      </w:pPr>
      <w:r>
        <w:rPr>
          <w:rFonts w:hint="eastAsia"/>
          <w:b/>
          <w:sz w:val="36"/>
          <w:highlight w:val="none"/>
        </w:rPr>
        <w:t>202</w:t>
      </w:r>
      <w:r>
        <w:rPr>
          <w:rFonts w:hint="eastAsia"/>
          <w:b/>
          <w:sz w:val="36"/>
          <w:highlight w:val="none"/>
          <w:lang w:val="en-US" w:eastAsia="zh-CN"/>
        </w:rPr>
        <w:t>6</w:t>
      </w:r>
      <w:r>
        <w:rPr>
          <w:rFonts w:hint="eastAsia"/>
          <w:b/>
          <w:sz w:val="36"/>
          <w:highlight w:val="none"/>
        </w:rPr>
        <w:t>年</w:t>
      </w:r>
      <w:r>
        <w:rPr>
          <w:rFonts w:hint="eastAsia"/>
          <w:b/>
          <w:sz w:val="36"/>
          <w:highlight w:val="none"/>
          <w:lang w:val="en-US" w:eastAsia="zh-CN"/>
        </w:rPr>
        <w:t>5</w:t>
      </w:r>
      <w:r>
        <w:rPr>
          <w:rFonts w:hint="eastAsia"/>
          <w:b/>
          <w:sz w:val="36"/>
          <w:highlight w:val="none"/>
        </w:rPr>
        <w:t>月</w:t>
      </w:r>
      <w:r>
        <w:rPr>
          <w:b/>
          <w:sz w:val="36"/>
          <w:highlight w:val="none"/>
        </w:rPr>
        <w:br w:type="page"/>
      </w:r>
    </w:p>
    <w:p w14:paraId="5EE3C63C">
      <w:pPr>
        <w:tabs>
          <w:tab w:val="left" w:pos="2410"/>
        </w:tabs>
        <w:autoSpaceDE w:val="0"/>
        <w:autoSpaceDN w:val="0"/>
        <w:adjustRightInd w:val="0"/>
        <w:snapToGrid w:val="0"/>
        <w:ind w:firstLine="562"/>
        <w:jc w:val="center"/>
        <w:rPr>
          <w:b/>
          <w:sz w:val="28"/>
          <w:highlight w:val="none"/>
        </w:rPr>
      </w:pPr>
      <w:r>
        <w:rPr>
          <w:rFonts w:hint="eastAsia"/>
          <w:b/>
          <w:sz w:val="28"/>
          <w:highlight w:val="none"/>
        </w:rPr>
        <w:t>目  录</w:t>
      </w:r>
    </w:p>
    <w:p w14:paraId="020A1E8F">
      <w:pPr>
        <w:tabs>
          <w:tab w:val="left" w:pos="2410"/>
        </w:tabs>
        <w:autoSpaceDE w:val="0"/>
        <w:autoSpaceDN w:val="0"/>
        <w:adjustRightInd w:val="0"/>
        <w:snapToGrid w:val="0"/>
        <w:ind w:firstLine="562"/>
        <w:jc w:val="center"/>
        <w:rPr>
          <w:b/>
          <w:sz w:val="28"/>
          <w:highlight w:val="none"/>
        </w:rPr>
      </w:pPr>
    </w:p>
    <w:p w14:paraId="32A78E2F">
      <w:pPr>
        <w:pStyle w:val="11"/>
        <w:tabs>
          <w:tab w:val="right" w:leader="dot" w:pos="8859"/>
        </w:tabs>
        <w:ind w:firstLine="482"/>
        <w:rPr>
          <w:kern w:val="2"/>
          <w:szCs w:val="24"/>
          <w:highlight w:val="none"/>
          <w14:ligatures w14:val="standardContextual"/>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"_Toc192058170" </w:instrText>
      </w:r>
      <w:r>
        <w:rPr>
          <w:highlight w:val="none"/>
        </w:rPr>
        <w:fldChar w:fldCharType="separate"/>
      </w:r>
      <w:r>
        <w:rPr>
          <w:rStyle w:val="17"/>
          <w:rFonts w:hint="eastAsia" w:asciiTheme="minorEastAsia" w:hAnsiTheme="minorEastAsia"/>
          <w:b/>
          <w:highlight w:val="none"/>
        </w:rPr>
        <w:t xml:space="preserve">第一章 </w:t>
      </w:r>
      <w:r>
        <w:rPr>
          <w:rStyle w:val="17"/>
          <w:rFonts w:hint="eastAsia" w:asciiTheme="minorEastAsia" w:hAnsiTheme="minorEastAsia"/>
          <w:b/>
          <w:highlight w:val="none"/>
          <w:lang w:val="en-US" w:eastAsia="zh-CN"/>
        </w:rPr>
        <w:t xml:space="preserve"> </w:t>
      </w:r>
      <w:r>
        <w:rPr>
          <w:rStyle w:val="17"/>
          <w:rFonts w:hint="eastAsia" w:asciiTheme="minorEastAsia" w:hAnsiTheme="minorEastAsia"/>
          <w:b/>
          <w:highlight w:val="none"/>
        </w:rPr>
        <w:t>磋商公告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_Toc192058170 \h</w:instrText>
      </w:r>
      <w:r>
        <w:rPr>
          <w:rFonts w:hint="eastAsia"/>
          <w:highlight w:val="none"/>
        </w:rPr>
        <w:instrText xml:space="preserve"> </w:instrText>
      </w:r>
      <w:r>
        <w:rPr>
          <w:rFonts w:hint="eastAsia"/>
          <w:highlight w:val="none"/>
        </w:rPr>
        <w:fldChar w:fldCharType="separate"/>
      </w:r>
      <w:r>
        <w:rPr>
          <w:highlight w:val="none"/>
        </w:rPr>
        <w:t>3</w:t>
      </w:r>
      <w:r>
        <w:rPr>
          <w:rFonts w:hint="eastAsia"/>
          <w:highlight w:val="none"/>
        </w:rPr>
        <w:fldChar w:fldCharType="end"/>
      </w:r>
      <w:r>
        <w:rPr>
          <w:rFonts w:hint="eastAsia"/>
          <w:highlight w:val="none"/>
        </w:rPr>
        <w:fldChar w:fldCharType="end"/>
      </w:r>
    </w:p>
    <w:p w14:paraId="5FBEAF76">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"_Toc192058171" </w:instrText>
      </w:r>
      <w:r>
        <w:rPr>
          <w:highlight w:val="none"/>
        </w:rPr>
        <w:fldChar w:fldCharType="separate"/>
      </w:r>
      <w:r>
        <w:rPr>
          <w:rStyle w:val="17"/>
          <w:rFonts w:hint="eastAsia" w:asciiTheme="minorEastAsia" w:hAnsiTheme="minorEastAsia"/>
          <w:b/>
          <w:highlight w:val="none"/>
        </w:rPr>
        <w:t>第二章  供应商须知</w:t>
      </w:r>
      <w:r>
        <w:rPr>
          <w:rFonts w:hint="eastAsia"/>
          <w:highlight w:val="none"/>
        </w:rPr>
        <w:tab/>
      </w:r>
      <w:r>
        <w:rPr>
          <w:rFonts w:hint="eastAsia"/>
          <w:highlight w:val="none"/>
        </w:rPr>
        <w:t>6</w:t>
      </w:r>
      <w:r>
        <w:rPr>
          <w:rFonts w:hint="eastAsia"/>
          <w:highlight w:val="none"/>
        </w:rPr>
        <w:fldChar w:fldCharType="end"/>
      </w:r>
    </w:p>
    <w:p w14:paraId="5B9DE7FF">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"_Toc192058172" </w:instrText>
      </w:r>
      <w:r>
        <w:rPr>
          <w:highlight w:val="none"/>
        </w:rPr>
        <w:fldChar w:fldCharType="separate"/>
      </w:r>
      <w:r>
        <w:rPr>
          <w:rStyle w:val="17"/>
          <w:rFonts w:hint="eastAsia" w:asciiTheme="minorEastAsia" w:hAnsiTheme="minorEastAsia"/>
          <w:b/>
          <w:highlight w:val="none"/>
        </w:rPr>
        <w:t>第三章  业主单位要求</w:t>
      </w:r>
      <w:r>
        <w:rPr>
          <w:rFonts w:hint="eastAsia"/>
          <w:highlight w:val="none"/>
        </w:rPr>
        <w:tab/>
      </w:r>
      <w:r>
        <w:rPr>
          <w:rFonts w:hint="eastAsia"/>
          <w:highlight w:val="none"/>
        </w:rPr>
        <w:t>2</w:t>
      </w:r>
      <w:r>
        <w:rPr>
          <w:rFonts w:hint="eastAsia"/>
          <w:highlight w:val="none"/>
        </w:rPr>
        <w:fldChar w:fldCharType="end"/>
      </w:r>
      <w:r>
        <w:rPr>
          <w:rFonts w:hint="eastAsia"/>
          <w:highlight w:val="none"/>
        </w:rPr>
        <w:t>3</w:t>
      </w:r>
    </w:p>
    <w:p w14:paraId="707FA918">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"_Toc192058173" </w:instrText>
      </w:r>
      <w:r>
        <w:rPr>
          <w:highlight w:val="none"/>
        </w:rPr>
        <w:fldChar w:fldCharType="separate"/>
      </w:r>
      <w:r>
        <w:rPr>
          <w:rStyle w:val="17"/>
          <w:rFonts w:hint="eastAsia" w:asciiTheme="minorEastAsia" w:hAnsiTheme="minorEastAsia"/>
          <w:b/>
          <w:highlight w:val="none"/>
        </w:rPr>
        <w:t>第四章  评审方法和标准</w:t>
      </w:r>
      <w:r>
        <w:rPr>
          <w:rFonts w:hint="eastAsia"/>
          <w:highlight w:val="none"/>
        </w:rPr>
        <w:tab/>
      </w:r>
      <w:r>
        <w:rPr>
          <w:rFonts w:hint="eastAsia"/>
          <w:highlight w:val="none"/>
        </w:rPr>
        <w:t>3</w:t>
      </w:r>
      <w:r>
        <w:rPr>
          <w:rFonts w:hint="eastAsia"/>
          <w:highlight w:val="none"/>
        </w:rPr>
        <w:fldChar w:fldCharType="end"/>
      </w:r>
      <w:r>
        <w:rPr>
          <w:rFonts w:hint="eastAsia"/>
          <w:highlight w:val="none"/>
        </w:rPr>
        <w:t>0</w:t>
      </w:r>
    </w:p>
    <w:p w14:paraId="53E49A6A">
      <w:pPr>
        <w:pStyle w:val="11"/>
        <w:tabs>
          <w:tab w:val="right" w:leader="dot" w:pos="8859"/>
        </w:tabs>
        <w:ind w:firstLine="440"/>
        <w:rPr>
          <w:highlight w:val="none"/>
        </w:rPr>
      </w:pPr>
      <w:r>
        <w:rPr>
          <w:highlight w:val="none"/>
        </w:rPr>
        <w:fldChar w:fldCharType="begin"/>
      </w:r>
      <w:r>
        <w:rPr>
          <w:highlight w:val="none"/>
        </w:rPr>
        <w:instrText xml:space="preserve"> HYPERLINK \l "_Toc192058174" </w:instrText>
      </w:r>
      <w:r>
        <w:rPr>
          <w:highlight w:val="none"/>
        </w:rPr>
        <w:fldChar w:fldCharType="separate"/>
      </w:r>
      <w:r>
        <w:rPr>
          <w:rStyle w:val="17"/>
          <w:rFonts w:hint="eastAsia" w:asciiTheme="minorEastAsia" w:hAnsiTheme="minorEastAsia"/>
          <w:b/>
          <w:highlight w:val="none"/>
        </w:rPr>
        <w:t>第五章  合同</w:t>
      </w:r>
      <w:r>
        <w:rPr>
          <w:rFonts w:hint="eastAsia"/>
          <w:highlight w:val="none"/>
        </w:rPr>
        <w:tab/>
      </w:r>
      <w:r>
        <w:rPr>
          <w:rFonts w:hint="eastAsia"/>
          <w:highlight w:val="none"/>
        </w:rPr>
        <w:t>3</w:t>
      </w:r>
      <w:r>
        <w:rPr>
          <w:rFonts w:hint="eastAsia"/>
          <w:highlight w:val="none"/>
        </w:rPr>
        <w:fldChar w:fldCharType="end"/>
      </w:r>
      <w:r>
        <w:rPr>
          <w:rFonts w:hint="eastAsia"/>
          <w:highlight w:val="none"/>
        </w:rPr>
        <w:t>8</w:t>
      </w:r>
    </w:p>
    <w:p w14:paraId="7757067E">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"_Toc192058175" </w:instrText>
      </w:r>
      <w:r>
        <w:rPr>
          <w:highlight w:val="none"/>
        </w:rPr>
        <w:fldChar w:fldCharType="separate"/>
      </w:r>
      <w:r>
        <w:rPr>
          <w:rStyle w:val="17"/>
          <w:rFonts w:hint="eastAsia" w:asciiTheme="minorEastAsia" w:hAnsiTheme="minorEastAsia"/>
          <w:b/>
          <w:highlight w:val="none"/>
        </w:rPr>
        <w:t>第六章  响应文件格式</w:t>
      </w:r>
      <w:r>
        <w:rPr>
          <w:rFonts w:hint="eastAsia"/>
          <w:highlight w:val="none"/>
        </w:rPr>
        <w:tab/>
      </w:r>
      <w:r>
        <w:rPr>
          <w:rFonts w:hint="eastAsia"/>
          <w:highlight w:val="none"/>
        </w:rPr>
        <w:t>5</w:t>
      </w:r>
      <w:r>
        <w:rPr>
          <w:rFonts w:hint="eastAsia"/>
          <w:highlight w:val="none"/>
        </w:rPr>
        <w:fldChar w:fldCharType="end"/>
      </w:r>
      <w:r>
        <w:rPr>
          <w:rFonts w:hint="eastAsia"/>
          <w:highlight w:val="none"/>
        </w:rPr>
        <w:t>5</w:t>
      </w:r>
    </w:p>
    <w:p w14:paraId="21FBFA1C">
      <w:pPr>
        <w:pStyle w:val="11"/>
        <w:tabs>
          <w:tab w:val="right" w:leader="dot" w:pos="8296"/>
        </w:tabs>
        <w:ind w:firstLine="440"/>
        <w:rPr>
          <w:rFonts w:asciiTheme="minorEastAsia" w:hAnsiTheme="minorEastAsia"/>
          <w:szCs w:val="24"/>
          <w:highlight w:val="none"/>
        </w:rPr>
      </w:pPr>
      <w:r>
        <w:rPr>
          <w:rFonts w:asciiTheme="minorEastAsia" w:hAnsiTheme="minorEastAsia"/>
          <w:szCs w:val="24"/>
          <w:highlight w:val="none"/>
        </w:rPr>
        <w:fldChar w:fldCharType="end"/>
      </w:r>
    </w:p>
    <w:p w14:paraId="581AF928">
      <w:pPr>
        <w:pStyle w:val="19"/>
        <w:ind w:left="180" w:leftChars="75" w:firstLine="480"/>
        <w:rPr>
          <w:rFonts w:asciiTheme="minorEastAsia" w:hAnsiTheme="minorEastAsia" w:eastAsiaTheme="minorEastAsia"/>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highlight w:val="none"/>
        </w:rPr>
        <w:br w:type="page"/>
      </w:r>
    </w:p>
    <w:p w14:paraId="78CECEA5">
      <w:pPr>
        <w:numPr>
          <w:ilvl w:val="0"/>
          <w:numId w:val="1"/>
        </w:numPr>
        <w:ind w:firstLine="562"/>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 </w:t>
      </w:r>
      <w:bookmarkStart w:id="1" w:name="_Toc192058170"/>
      <w:bookmarkStart w:id="2" w:name="_Hlk193096165"/>
      <w:r>
        <w:rPr>
          <w:rFonts w:hint="eastAsia" w:asciiTheme="minorEastAsia" w:hAnsiTheme="minorEastAsia" w:eastAsiaTheme="minorEastAsia"/>
          <w:b/>
          <w:sz w:val="28"/>
          <w:highlight w:val="none"/>
        </w:rPr>
        <w:t>磋商公告</w:t>
      </w:r>
      <w:bookmarkEnd w:id="1"/>
    </w:p>
    <w:p w14:paraId="6A762C61">
      <w:pPr>
        <w:pStyle w:val="20"/>
        <w:widowControl w:val="0"/>
        <w:autoSpaceDE w:val="0"/>
        <w:autoSpaceDN w:val="0"/>
        <w:adjustRightInd w:val="0"/>
        <w:spacing w:before="93" w:beforeLines="30" w:after="93" w:afterLines="30"/>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2"/>
          <w:highlight w:val="none"/>
        </w:rPr>
        <w:t>肥西县公共资源交易有限责任公司受</w:t>
      </w:r>
      <w:r>
        <w:rPr>
          <w:rFonts w:hint="eastAsia" w:asciiTheme="majorEastAsia" w:hAnsiTheme="majorEastAsia" w:eastAsiaTheme="majorEastAsia" w:cstheme="majorEastAsia"/>
          <w:kern w:val="2"/>
          <w:highlight w:val="none"/>
          <w:lang w:eastAsia="zh-CN"/>
        </w:rPr>
        <w:t>肥西县花岗镇中心卫生院</w:t>
      </w:r>
      <w:r>
        <w:rPr>
          <w:rFonts w:hint="eastAsia" w:asciiTheme="majorEastAsia" w:hAnsiTheme="majorEastAsia" w:eastAsiaTheme="majorEastAsia" w:cstheme="majorEastAsia"/>
          <w:kern w:val="2"/>
          <w:highlight w:val="none"/>
        </w:rPr>
        <w:t>委托，现对</w:t>
      </w:r>
      <w:r>
        <w:rPr>
          <w:rFonts w:hint="eastAsia" w:asciiTheme="majorEastAsia" w:hAnsiTheme="majorEastAsia" w:eastAsiaTheme="majorEastAsia" w:cstheme="majorEastAsia"/>
          <w:kern w:val="2"/>
          <w:highlight w:val="none"/>
          <w:lang w:eastAsia="zh-CN"/>
        </w:rPr>
        <w:t>肥西县花岗镇中心卫生院物业服务采购</w:t>
      </w:r>
      <w:r>
        <w:rPr>
          <w:rFonts w:hint="eastAsia" w:asciiTheme="majorEastAsia" w:hAnsiTheme="majorEastAsia" w:eastAsiaTheme="majorEastAsia" w:cstheme="majorEastAsia"/>
          <w:kern w:val="2"/>
          <w:highlight w:val="none"/>
        </w:rPr>
        <w:t>进行磋商，欢迎具备条件的供应商参加磋商。</w:t>
      </w:r>
    </w:p>
    <w:p w14:paraId="132A6513">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1.项目名称及内容</w:t>
      </w:r>
    </w:p>
    <w:p w14:paraId="7D3596C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1.1 项目编号：</w:t>
      </w:r>
      <w:r>
        <w:rPr>
          <w:rFonts w:hint="eastAsia" w:asciiTheme="majorEastAsia" w:hAnsiTheme="majorEastAsia" w:eastAsiaTheme="majorEastAsia" w:cstheme="majorEastAsia"/>
          <w:szCs w:val="24"/>
          <w:highlight w:val="none"/>
          <w:lang w:eastAsia="zh-CN"/>
        </w:rPr>
        <w:t>2026PHBN237</w:t>
      </w:r>
    </w:p>
    <w:p w14:paraId="4552C4D3">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1.2 项目名称：</w:t>
      </w:r>
      <w:r>
        <w:rPr>
          <w:rFonts w:hint="eastAsia" w:asciiTheme="majorEastAsia" w:hAnsiTheme="majorEastAsia" w:eastAsiaTheme="majorEastAsia" w:cstheme="majorEastAsia"/>
          <w:szCs w:val="24"/>
          <w:highlight w:val="none"/>
          <w:lang w:eastAsia="zh-CN"/>
        </w:rPr>
        <w:t>肥西县花岗镇中心卫生院物业服务采购</w:t>
      </w:r>
    </w:p>
    <w:p w14:paraId="199F05B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1.3 项目地点：</w:t>
      </w:r>
      <w:r>
        <w:rPr>
          <w:rFonts w:hint="eastAsia" w:asciiTheme="majorEastAsia" w:hAnsiTheme="majorEastAsia" w:eastAsiaTheme="majorEastAsia" w:cstheme="majorEastAsia"/>
          <w:kern w:val="2"/>
          <w:highlight w:val="none"/>
        </w:rPr>
        <w:t>肥西县</w:t>
      </w:r>
    </w:p>
    <w:p w14:paraId="7FF3E96C">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1.4 项目单位：</w:t>
      </w:r>
      <w:r>
        <w:rPr>
          <w:rFonts w:hint="eastAsia" w:asciiTheme="majorEastAsia" w:hAnsiTheme="majorEastAsia" w:eastAsiaTheme="majorEastAsia" w:cstheme="majorEastAsia"/>
          <w:kern w:val="2"/>
          <w:highlight w:val="none"/>
          <w:lang w:eastAsia="zh-CN"/>
        </w:rPr>
        <w:t>肥西县花岗镇中心卫生院</w:t>
      </w:r>
    </w:p>
    <w:p w14:paraId="44F9193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1.5 项目概况：</w:t>
      </w:r>
      <w:r>
        <w:rPr>
          <w:rFonts w:hint="eastAsia" w:asciiTheme="majorEastAsia" w:hAnsiTheme="majorEastAsia" w:eastAsiaTheme="majorEastAsia" w:cstheme="majorEastAsia"/>
          <w:szCs w:val="24"/>
          <w:highlight w:val="none"/>
          <w:lang w:eastAsia="zh-CN"/>
        </w:rPr>
        <w:t>肥西县花岗镇中心卫生院物业服务采购</w:t>
      </w:r>
      <w:r>
        <w:rPr>
          <w:rFonts w:hint="eastAsia" w:asciiTheme="majorEastAsia" w:hAnsiTheme="majorEastAsia" w:eastAsiaTheme="majorEastAsia" w:cstheme="majorEastAsia"/>
          <w:szCs w:val="24"/>
          <w:highlight w:val="none"/>
        </w:rPr>
        <w:t>，本次拟招一家单位提供服务，详见磋商文件。</w:t>
      </w:r>
    </w:p>
    <w:p w14:paraId="79D2E5BB">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1.6 资金来源：自筹资金</w:t>
      </w:r>
    </w:p>
    <w:p w14:paraId="1C59B08C">
      <w:pPr>
        <w:autoSpaceDE w:val="0"/>
        <w:autoSpaceDN w:val="0"/>
        <w:adjustRightInd w:val="0"/>
        <w:spacing w:before="93" w:beforeLines="30" w:after="93" w:afterLines="30"/>
        <w:ind w:firstLine="480"/>
        <w:jc w:val="left"/>
        <w:rPr>
          <w:rFonts w:hint="default" w:eastAsiaTheme="majorEastAsia"/>
          <w:szCs w:val="24"/>
          <w:highlight w:val="none"/>
          <w:lang w:val="en-US" w:eastAsia="zh-CN"/>
        </w:rPr>
      </w:pPr>
      <w:r>
        <w:rPr>
          <w:rFonts w:hint="eastAsia" w:asciiTheme="majorEastAsia" w:hAnsiTheme="majorEastAsia" w:eastAsiaTheme="majorEastAsia" w:cstheme="majorEastAsia"/>
          <w:szCs w:val="24"/>
          <w:highlight w:val="none"/>
        </w:rPr>
        <w:t>1.7 项目预算：</w:t>
      </w:r>
      <w:r>
        <w:rPr>
          <w:rFonts w:hint="eastAsia" w:asciiTheme="majorEastAsia" w:hAnsiTheme="majorEastAsia" w:eastAsiaTheme="majorEastAsia" w:cstheme="majorEastAsia"/>
          <w:szCs w:val="24"/>
          <w:highlight w:val="none"/>
          <w:lang w:val="en-US" w:eastAsia="zh-CN"/>
        </w:rPr>
        <w:t>49万元</w:t>
      </w:r>
    </w:p>
    <w:p w14:paraId="060139D5">
      <w:pPr>
        <w:autoSpaceDE w:val="0"/>
        <w:autoSpaceDN w:val="0"/>
        <w:adjustRightInd w:val="0"/>
        <w:spacing w:before="93" w:beforeLines="30" w:after="93" w:afterLines="30"/>
        <w:ind w:firstLine="480"/>
        <w:jc w:val="left"/>
        <w:rPr>
          <w:rFonts w:hint="default"/>
          <w:b/>
          <w:bCs/>
          <w:szCs w:val="24"/>
          <w:highlight w:val="none"/>
          <w:lang w:val="en-US"/>
        </w:rPr>
      </w:pPr>
      <w:r>
        <w:rPr>
          <w:rFonts w:hint="eastAsia" w:asciiTheme="majorEastAsia" w:hAnsiTheme="majorEastAsia" w:eastAsiaTheme="majorEastAsia" w:cstheme="majorEastAsia"/>
          <w:b/>
          <w:bCs/>
          <w:szCs w:val="24"/>
          <w:highlight w:val="none"/>
        </w:rPr>
        <w:t>1.</w:t>
      </w:r>
      <w:r>
        <w:rPr>
          <w:rFonts w:hint="eastAsia" w:asciiTheme="majorEastAsia" w:hAnsiTheme="majorEastAsia" w:eastAsiaTheme="majorEastAsia" w:cstheme="majorEastAsia"/>
          <w:b/>
          <w:bCs/>
          <w:szCs w:val="24"/>
          <w:highlight w:val="none"/>
          <w:lang w:val="en-US" w:eastAsia="zh-CN"/>
        </w:rPr>
        <w:t>8</w:t>
      </w:r>
      <w:r>
        <w:rPr>
          <w:rFonts w:hint="eastAsia" w:asciiTheme="majorEastAsia" w:hAnsiTheme="majorEastAsia" w:eastAsiaTheme="majorEastAsia" w:cstheme="majorEastAsia"/>
          <w:b/>
          <w:bCs/>
          <w:szCs w:val="24"/>
          <w:highlight w:val="none"/>
        </w:rPr>
        <w:t xml:space="preserve"> </w:t>
      </w:r>
      <w:r>
        <w:rPr>
          <w:rFonts w:hint="eastAsia" w:asciiTheme="majorEastAsia" w:hAnsiTheme="majorEastAsia" w:eastAsiaTheme="majorEastAsia" w:cstheme="majorEastAsia"/>
          <w:b/>
          <w:bCs/>
          <w:szCs w:val="24"/>
          <w:highlight w:val="none"/>
          <w:lang w:val="en-US" w:eastAsia="zh-CN"/>
        </w:rPr>
        <w:t>最高限价</w:t>
      </w:r>
      <w:r>
        <w:rPr>
          <w:rFonts w:hint="eastAsia" w:asciiTheme="majorEastAsia" w:hAnsiTheme="majorEastAsia" w:eastAsiaTheme="majorEastAsia" w:cstheme="majorEastAsia"/>
          <w:b/>
          <w:bCs/>
          <w:szCs w:val="24"/>
          <w:highlight w:val="none"/>
        </w:rPr>
        <w:t>：</w:t>
      </w:r>
      <w:r>
        <w:rPr>
          <w:rFonts w:hint="eastAsia" w:asciiTheme="majorEastAsia" w:hAnsiTheme="majorEastAsia" w:eastAsiaTheme="majorEastAsia" w:cstheme="majorEastAsia"/>
          <w:szCs w:val="24"/>
          <w:highlight w:val="none"/>
          <w:lang w:val="en-US" w:eastAsia="zh-CN"/>
        </w:rPr>
        <w:t>49万元</w:t>
      </w:r>
    </w:p>
    <w:p w14:paraId="450551B4">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9</w:t>
      </w:r>
      <w:r>
        <w:rPr>
          <w:rFonts w:hint="eastAsia" w:asciiTheme="majorEastAsia" w:hAnsiTheme="majorEastAsia" w:eastAsiaTheme="majorEastAsia" w:cstheme="majorEastAsia"/>
          <w:szCs w:val="24"/>
          <w:highlight w:val="none"/>
        </w:rPr>
        <w:t xml:space="preserve"> 项目类别：服务类</w:t>
      </w:r>
    </w:p>
    <w:p w14:paraId="7A6FB6E7">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10</w:t>
      </w:r>
      <w:r>
        <w:rPr>
          <w:rFonts w:hint="eastAsia" w:asciiTheme="majorEastAsia" w:hAnsiTheme="majorEastAsia" w:eastAsiaTheme="majorEastAsia" w:cstheme="majorEastAsia"/>
          <w:szCs w:val="24"/>
          <w:highlight w:val="none"/>
        </w:rPr>
        <w:t xml:space="preserve"> 包别划分：共分1个包</w:t>
      </w:r>
    </w:p>
    <w:p w14:paraId="0B091BE2">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rPr>
        <w:t xml:space="preserve">2.供应商资格要求 </w:t>
      </w:r>
    </w:p>
    <w:p w14:paraId="3E7C2910">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 供应商具有独立承担民事责任的能力；</w:t>
      </w:r>
    </w:p>
    <w:p w14:paraId="0097E1B4">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szCs w:val="24"/>
          <w:highlight w:val="none"/>
        </w:rPr>
        <w:t>2.2 供应商资质</w:t>
      </w:r>
      <w:r>
        <w:rPr>
          <w:rFonts w:hint="eastAsia" w:eastAsiaTheme="majorEastAsia"/>
          <w:szCs w:val="24"/>
          <w:highlight w:val="none"/>
        </w:rPr>
        <w:t>：无；</w:t>
      </w:r>
    </w:p>
    <w:p w14:paraId="4EF55F13">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szCs w:val="24"/>
          <w:highlight w:val="none"/>
        </w:rPr>
        <w:t>联合体参与磋商</w:t>
      </w:r>
      <w:r>
        <w:rPr>
          <w:rFonts w:hint="eastAsia" w:asciiTheme="majorEastAsia" w:hAnsiTheme="majorEastAsia" w:eastAsiaTheme="majorEastAsia" w:cstheme="majorEastAsia"/>
          <w:szCs w:val="24"/>
          <w:highlight w:val="none"/>
          <w:lang w:eastAsia="zh-CN"/>
        </w:rPr>
        <w:t>；</w:t>
      </w:r>
    </w:p>
    <w:p w14:paraId="08AC9961">
      <w:pPr>
        <w:spacing w:before="93" w:beforeLines="30" w:after="93" w:afterLines="30"/>
        <w:ind w:firstLine="480"/>
        <w:rPr>
          <w:rFonts w:asciiTheme="majorEastAsia" w:hAnsiTheme="majorEastAsia" w:eastAsiaTheme="majorEastAsia" w:cstheme="majorEastAsia"/>
          <w:b/>
          <w:bCs/>
          <w:i/>
          <w:iCs/>
          <w:szCs w:val="24"/>
          <w:highlight w:val="none"/>
        </w:rPr>
      </w:pPr>
      <w:r>
        <w:rPr>
          <w:rFonts w:hint="eastAsia" w:asciiTheme="majorEastAsia" w:hAnsiTheme="majorEastAsia" w:eastAsiaTheme="majorEastAsia" w:cstheme="majorEastAsia"/>
          <w:szCs w:val="24"/>
          <w:highlight w:val="none"/>
        </w:rPr>
        <w:t>2.4 供应商存在以下不良信用记录情形之一的，不得推荐为成交候选人，不得确定为成交人</w:t>
      </w:r>
      <w:r>
        <w:rPr>
          <w:rFonts w:hint="eastAsia" w:asciiTheme="majorEastAsia" w:hAnsiTheme="majorEastAsia" w:eastAsiaTheme="majorEastAsia" w:cstheme="majorEastAsia"/>
          <w:b/>
          <w:bCs/>
          <w:i/>
          <w:iCs/>
          <w:szCs w:val="24"/>
          <w:highlight w:val="none"/>
        </w:rPr>
        <w:t>：</w:t>
      </w:r>
    </w:p>
    <w:p w14:paraId="363CCD5E">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（1）在“信用中国”网站（http://www.creditchina.gov.cn/）中被列入失信被执行人名单；</w:t>
      </w:r>
    </w:p>
    <w:p w14:paraId="7F24E91C">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（2）在“信用中国”网站（http://www.creditchina.gov.cn/）中被列入重大税收违法失信主体名单</w:t>
      </w:r>
      <w:r>
        <w:rPr>
          <w:rFonts w:hint="eastAsia" w:asciiTheme="majorEastAsia" w:hAnsiTheme="majorEastAsia" w:eastAsiaTheme="majorEastAsia" w:cstheme="majorEastAsia"/>
          <w:szCs w:val="24"/>
          <w:highlight w:val="none"/>
          <w:lang w:eastAsia="zh-CN"/>
        </w:rPr>
        <w:t>。</w:t>
      </w:r>
    </w:p>
    <w:p w14:paraId="7F79E25B">
      <w:pPr>
        <w:tabs>
          <w:tab w:val="center" w:pos="4394"/>
        </w:tabs>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3.磋商文件的获取</w:t>
      </w:r>
      <w:r>
        <w:rPr>
          <w:rFonts w:hint="eastAsia" w:asciiTheme="majorEastAsia" w:hAnsiTheme="majorEastAsia" w:eastAsiaTheme="majorEastAsia" w:cstheme="majorEastAsia"/>
          <w:b/>
          <w:bCs/>
          <w:szCs w:val="24"/>
          <w:highlight w:val="none"/>
        </w:rPr>
        <w:tab/>
      </w:r>
    </w:p>
    <w:p w14:paraId="5E836DA6">
      <w:pPr>
        <w:adjustRightInd w:val="0"/>
        <w:snapToGrid w:val="0"/>
        <w:spacing w:before="93" w:beforeLines="30" w:after="93" w:afterLines="30"/>
        <w:ind w:firstLine="480"/>
        <w:rPr>
          <w:rFonts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color w:val="FF0000"/>
          <w:szCs w:val="24"/>
          <w:highlight w:val="none"/>
        </w:rPr>
        <w:t>3.1 获取时间：202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5</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19</w:t>
      </w:r>
      <w:r>
        <w:rPr>
          <w:rFonts w:hint="eastAsia" w:asciiTheme="majorEastAsia" w:hAnsiTheme="majorEastAsia" w:eastAsiaTheme="majorEastAsia" w:cstheme="majorEastAsia"/>
          <w:color w:val="FF0000"/>
          <w:szCs w:val="24"/>
          <w:highlight w:val="none"/>
        </w:rPr>
        <w:t>日至磋商时间。</w:t>
      </w:r>
    </w:p>
    <w:p w14:paraId="54B2FFE3">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3.2 获取地点：优质采云采购平台（http://www.youzhicai.com/）</w:t>
      </w:r>
    </w:p>
    <w:p w14:paraId="2DB4C021">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3.3 获取方式：在线下载</w:t>
      </w:r>
    </w:p>
    <w:p w14:paraId="3B37BAAA">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4.响应文件提交截止时间</w:t>
      </w:r>
    </w:p>
    <w:p w14:paraId="5DAF5C49">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同磋商时间。</w:t>
      </w:r>
    </w:p>
    <w:p w14:paraId="796D2C58">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5.磋商时间及地点</w:t>
      </w:r>
    </w:p>
    <w:p w14:paraId="79981470">
      <w:pPr>
        <w:adjustRightInd w:val="0"/>
        <w:snapToGrid w:val="0"/>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5.1 磋商时间：</w:t>
      </w:r>
      <w:r>
        <w:rPr>
          <w:rFonts w:hint="eastAsia" w:asciiTheme="majorEastAsia" w:hAnsiTheme="majorEastAsia" w:eastAsiaTheme="majorEastAsia" w:cstheme="majorEastAsia"/>
          <w:color w:val="FF0000"/>
          <w:szCs w:val="24"/>
          <w:highlight w:val="none"/>
        </w:rPr>
        <w:t>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5</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28</w:t>
      </w:r>
      <w:r>
        <w:rPr>
          <w:rFonts w:hint="eastAsia" w:asciiTheme="majorEastAsia" w:hAnsiTheme="majorEastAsia" w:eastAsiaTheme="majorEastAsia" w:cstheme="majorEastAsia"/>
          <w:color w:val="FF0000"/>
          <w:szCs w:val="24"/>
          <w:highlight w:val="none"/>
        </w:rPr>
        <w:t>日</w:t>
      </w:r>
      <w:r>
        <w:rPr>
          <w:rFonts w:hint="eastAsia" w:asciiTheme="majorEastAsia" w:hAnsiTheme="majorEastAsia" w:eastAsiaTheme="majorEastAsia" w:cstheme="majorEastAsia"/>
          <w:color w:val="FF0000"/>
          <w:szCs w:val="24"/>
          <w:highlight w:val="none"/>
          <w:lang w:val="en-US" w:eastAsia="zh-CN"/>
        </w:rPr>
        <w:t>上午9时00分</w:t>
      </w:r>
    </w:p>
    <w:p w14:paraId="5A726F0E">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5.2 磋商地点：优质采云采购平台（http://www.youzhicai.com/）</w:t>
      </w:r>
    </w:p>
    <w:p w14:paraId="1EB120F1">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6.发布公告的媒介</w:t>
      </w:r>
    </w:p>
    <w:p w14:paraId="43280728">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本次磋商公告同时在肥西县公共资源交易有限责任公司、优质采云采购平台、安徽省招标投标信息网、中国采购与招标网上发布。</w:t>
      </w:r>
    </w:p>
    <w:p w14:paraId="61944674">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7.联系方式</w:t>
      </w:r>
    </w:p>
    <w:p w14:paraId="772AA214">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7.1 业主单位</w:t>
      </w:r>
    </w:p>
    <w:p w14:paraId="0D8A1133">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业主单位名称：</w:t>
      </w:r>
      <w:r>
        <w:rPr>
          <w:rFonts w:hint="eastAsia" w:asciiTheme="majorEastAsia" w:hAnsiTheme="majorEastAsia" w:eastAsiaTheme="majorEastAsia" w:cstheme="majorEastAsia"/>
          <w:szCs w:val="24"/>
          <w:highlight w:val="none"/>
          <w:lang w:eastAsia="zh-CN"/>
        </w:rPr>
        <w:t>肥西县花岗镇中心卫生院</w:t>
      </w:r>
    </w:p>
    <w:p w14:paraId="5E94607A">
      <w:pPr>
        <w:spacing w:before="93" w:beforeLines="30" w:after="93" w:afterLines="30"/>
        <w:ind w:firstLine="480"/>
        <w:rPr>
          <w:rFonts w:asciiTheme="majorEastAsia" w:hAnsiTheme="majorEastAsia" w:eastAsiaTheme="majorEastAsia" w:cstheme="majorEastAsia"/>
          <w:szCs w:val="24"/>
          <w:highlight w:val="none"/>
          <w:u w:val="none"/>
        </w:rPr>
      </w:pPr>
      <w:r>
        <w:rPr>
          <w:rFonts w:hint="eastAsia" w:asciiTheme="majorEastAsia" w:hAnsiTheme="majorEastAsia" w:eastAsiaTheme="majorEastAsia" w:cstheme="majorEastAsia"/>
          <w:szCs w:val="24"/>
          <w:highlight w:val="none"/>
        </w:rPr>
        <w:t>地址：</w:t>
      </w:r>
      <w:r>
        <w:rPr>
          <w:rFonts w:hint="eastAsia" w:ascii="宋体" w:hAnsi="宋体" w:eastAsia="宋体" w:cs="宋体"/>
          <w:sz w:val="24"/>
          <w:szCs w:val="18"/>
          <w:highlight w:val="none"/>
          <w:u w:val="none"/>
        </w:rPr>
        <w:t>安徽省合肥市肥西县花岗镇花新路056号</w:t>
      </w:r>
    </w:p>
    <w:p w14:paraId="139A2DD7">
      <w:pPr>
        <w:spacing w:before="93" w:beforeLines="30" w:after="93" w:afterLines="30"/>
        <w:ind w:firstLine="480"/>
        <w:rPr>
          <w:rFonts w:hint="eastAsia" w:asciiTheme="majorEastAsia" w:hAnsiTheme="majorEastAsia" w:eastAsiaTheme="majorEastAsia" w:cstheme="majorEastAsia"/>
          <w:szCs w:val="24"/>
          <w:highlight w:val="none"/>
          <w:u w:val="none"/>
          <w:lang w:val="en-US" w:eastAsia="zh-CN"/>
        </w:rPr>
      </w:pPr>
      <w:r>
        <w:rPr>
          <w:rFonts w:hint="eastAsia" w:asciiTheme="majorEastAsia" w:hAnsiTheme="majorEastAsia" w:eastAsiaTheme="majorEastAsia" w:cstheme="majorEastAsia"/>
          <w:szCs w:val="24"/>
          <w:highlight w:val="none"/>
          <w:u w:val="none"/>
        </w:rPr>
        <w:t>联系人：</w:t>
      </w:r>
      <w:r>
        <w:rPr>
          <w:rFonts w:hint="eastAsia" w:asciiTheme="majorEastAsia" w:hAnsiTheme="majorEastAsia" w:eastAsiaTheme="majorEastAsia" w:cstheme="majorEastAsia"/>
          <w:szCs w:val="24"/>
          <w:highlight w:val="none"/>
          <w:u w:val="none"/>
          <w:lang w:val="en-US" w:eastAsia="zh-CN"/>
        </w:rPr>
        <w:t>吴主任</w:t>
      </w:r>
    </w:p>
    <w:p w14:paraId="75F3D677">
      <w:pPr>
        <w:spacing w:before="93" w:beforeLines="30" w:after="93" w:afterLines="30"/>
        <w:ind w:firstLine="480"/>
        <w:rPr>
          <w:rFonts w:hint="default" w:asciiTheme="majorEastAsia" w:hAnsiTheme="majorEastAsia" w:eastAsiaTheme="majorEastAsia" w:cstheme="majorEastAsia"/>
          <w:szCs w:val="24"/>
          <w:highlight w:val="none"/>
          <w:u w:val="none"/>
          <w:lang w:val="en-US" w:eastAsia="zh-CN"/>
        </w:rPr>
      </w:pPr>
      <w:r>
        <w:rPr>
          <w:rFonts w:hint="eastAsia" w:asciiTheme="majorEastAsia" w:hAnsiTheme="majorEastAsia" w:eastAsiaTheme="majorEastAsia" w:cstheme="majorEastAsia"/>
          <w:szCs w:val="24"/>
          <w:highlight w:val="none"/>
          <w:u w:val="none"/>
        </w:rPr>
        <w:t>电话：</w:t>
      </w:r>
      <w:r>
        <w:rPr>
          <w:rFonts w:hint="eastAsia" w:asciiTheme="majorEastAsia" w:hAnsiTheme="majorEastAsia" w:eastAsiaTheme="majorEastAsia" w:cstheme="majorEastAsia"/>
          <w:szCs w:val="24"/>
          <w:highlight w:val="none"/>
          <w:u w:val="none"/>
          <w:lang w:val="en-US" w:eastAsia="zh-CN"/>
        </w:rPr>
        <w:t>13966780324</w:t>
      </w:r>
    </w:p>
    <w:p w14:paraId="5455598F">
      <w:pPr>
        <w:spacing w:before="93" w:beforeLines="30" w:after="93" w:afterLines="30"/>
        <w:ind w:firstLine="480"/>
        <w:rPr>
          <w:rFonts w:asciiTheme="majorEastAsia" w:hAnsiTheme="majorEastAsia" w:eastAsiaTheme="majorEastAsia" w:cstheme="majorEastAsia"/>
          <w:b/>
          <w:szCs w:val="24"/>
          <w:highlight w:val="none"/>
        </w:rPr>
      </w:pPr>
      <w:r>
        <w:rPr>
          <w:rFonts w:hint="eastAsia" w:asciiTheme="majorEastAsia" w:hAnsiTheme="majorEastAsia" w:eastAsiaTheme="majorEastAsia" w:cstheme="majorEastAsia"/>
          <w:szCs w:val="24"/>
          <w:highlight w:val="none"/>
        </w:rPr>
        <w:t>7.2 代理机构</w:t>
      </w:r>
    </w:p>
    <w:p w14:paraId="7CCF6AF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代理机构名称：肥西县公共资源交易有限责任公司</w:t>
      </w:r>
    </w:p>
    <w:p w14:paraId="79F4876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地  址：肥西县上派镇紫石路与佛光路交叉口肥光办公区3号楼2楼</w:t>
      </w:r>
    </w:p>
    <w:p w14:paraId="3A5CA2C2">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联系人：</w:t>
      </w:r>
      <w:r>
        <w:rPr>
          <w:rFonts w:hint="eastAsia" w:asciiTheme="majorEastAsia" w:hAnsiTheme="majorEastAsia" w:eastAsiaTheme="majorEastAsia" w:cstheme="majorEastAsia"/>
          <w:szCs w:val="24"/>
          <w:highlight w:val="none"/>
          <w:lang w:val="en-US" w:eastAsia="zh-CN"/>
        </w:rPr>
        <w:t>唐</w:t>
      </w:r>
      <w:r>
        <w:rPr>
          <w:rFonts w:hint="eastAsia" w:asciiTheme="majorEastAsia" w:hAnsiTheme="majorEastAsia" w:eastAsiaTheme="majorEastAsia" w:cstheme="majorEastAsia"/>
          <w:szCs w:val="24"/>
          <w:highlight w:val="none"/>
        </w:rPr>
        <w:t>工</w:t>
      </w:r>
    </w:p>
    <w:p w14:paraId="34E90846">
      <w:pPr>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电  话：0551-688</w:t>
      </w:r>
      <w:r>
        <w:rPr>
          <w:rFonts w:hint="eastAsia" w:asciiTheme="majorEastAsia" w:hAnsiTheme="majorEastAsia" w:eastAsiaTheme="majorEastAsia" w:cstheme="majorEastAsia"/>
          <w:szCs w:val="24"/>
          <w:highlight w:val="none"/>
          <w:lang w:val="en-US" w:eastAsia="zh-CN"/>
        </w:rPr>
        <w:t>38796</w:t>
      </w:r>
    </w:p>
    <w:p w14:paraId="7D0F1D10">
      <w:pPr>
        <w:spacing w:before="93" w:beforeLines="30" w:after="93" w:afterLines="30"/>
        <w:ind w:firstLine="480"/>
        <w:rPr>
          <w:rFonts w:hint="eastAsia" w:asciiTheme="majorEastAsia" w:hAnsiTheme="majorEastAsia" w:eastAsiaTheme="majorEastAsia" w:cstheme="majorEastAsia"/>
          <w:b/>
          <w:szCs w:val="24"/>
          <w:highlight w:val="none"/>
          <w:lang w:eastAsia="zh-CN"/>
        </w:rPr>
      </w:pPr>
      <w:r>
        <w:rPr>
          <w:rFonts w:hint="eastAsia" w:asciiTheme="majorEastAsia" w:hAnsiTheme="majorEastAsia" w:eastAsiaTheme="majorEastAsia" w:cstheme="majorEastAsia"/>
          <w:szCs w:val="24"/>
          <w:highlight w:val="none"/>
        </w:rPr>
        <w:t>7.3 监督管理部门</w:t>
      </w:r>
    </w:p>
    <w:p w14:paraId="4BA03E8D">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w:t>
      </w:r>
      <w:r>
        <w:rPr>
          <w:rFonts w:hint="eastAsia" w:asciiTheme="majorEastAsia" w:hAnsiTheme="majorEastAsia" w:eastAsiaTheme="majorEastAsia" w:cstheme="majorEastAsia"/>
          <w:szCs w:val="24"/>
          <w:highlight w:val="none"/>
          <w:lang w:eastAsia="zh-CN"/>
        </w:rPr>
        <w:t>肥西县花岗镇中心卫生院</w:t>
      </w:r>
    </w:p>
    <w:p w14:paraId="36B780FF">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w:t>
      </w:r>
      <w:r>
        <w:rPr>
          <w:rFonts w:hint="eastAsia" w:ascii="宋体" w:hAnsi="宋体" w:eastAsia="宋体" w:cs="宋体"/>
          <w:sz w:val="24"/>
          <w:szCs w:val="18"/>
          <w:highlight w:val="none"/>
          <w:u w:val="none"/>
        </w:rPr>
        <w:t>安徽省合肥市肥西县花岗镇花新路056号</w:t>
      </w:r>
    </w:p>
    <w:p w14:paraId="6F9F12F1">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0551-68402285</w:t>
      </w:r>
    </w:p>
    <w:p w14:paraId="737A0898">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szCs w:val="24"/>
          <w:highlight w:val="none"/>
        </w:rPr>
        <w:t>8.其他事项说明</w:t>
      </w:r>
    </w:p>
    <w:p w14:paraId="1DCDC09E">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8.1 电子化交易要求：</w:t>
      </w:r>
    </w:p>
    <w:p w14:paraId="29D1E155">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潜在供应商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4A896751">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74044186">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（3）已注册的潜在供应商若注册信息发生变更（如：与初始注册信息不一致），应及时网上提交变更申请。因未及时变更导致不利后果的，责任自负。</w:t>
      </w:r>
    </w:p>
    <w:p w14:paraId="02C262DF">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25BA4FA">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（5）响应文件必须使用“优质采投标文件制作工具”制作生成并上传。下载地址：http://toolcdn.youzhicai.com/tools/BidderTools.zip，使用说明书及视频教程下载地址：http://file.youzhicai.com/files/BidderHelp.rar。</w:t>
      </w:r>
    </w:p>
    <w:p w14:paraId="2E0AC82D">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szCs w:val="24"/>
          <w:highlight w:val="none"/>
        </w:rPr>
        <w:br w:type="page"/>
      </w:r>
    </w:p>
    <w:p w14:paraId="25E41F8F">
      <w:pPr>
        <w:ind w:firstLine="562"/>
        <w:jc w:val="center"/>
        <w:outlineLvl w:val="1"/>
        <w:rPr>
          <w:rFonts w:asciiTheme="minorEastAsia" w:hAnsiTheme="minorEastAsia" w:eastAsiaTheme="minorEastAsia"/>
          <w:b/>
          <w:sz w:val="28"/>
          <w:highlight w:val="none"/>
        </w:rPr>
      </w:pPr>
      <w:bookmarkStart w:id="3" w:name="_Toc192058171"/>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3"/>
    </w:p>
    <w:p w14:paraId="058BC70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w:t>
      </w:r>
      <w:r>
        <w:rPr>
          <w:rFonts w:hint="eastAsia" w:asciiTheme="minorEastAsia" w:hAnsiTheme="minorEastAsia" w:eastAsiaTheme="minorEastAsia"/>
          <w:b/>
          <w:highlight w:val="none"/>
        </w:rPr>
        <w:t>知前附表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40FA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9BC9F16">
            <w:pPr>
              <w:pStyle w:val="21"/>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13F3EA01">
            <w:pPr>
              <w:pStyle w:val="21"/>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78623818">
            <w:pPr>
              <w:pStyle w:val="21"/>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4D25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1E7C972">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5026BA85">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5DDD1603">
            <w:pPr>
              <w:pStyle w:val="21"/>
              <w:rPr>
                <w:rFonts w:hint="default" w:eastAsia="宋体"/>
                <w:color w:val="000000" w:themeColor="text1"/>
                <w:highlight w:val="none"/>
                <w:lang w:val="en-US" w:eastAsia="zh-CN"/>
                <w14:textFill>
                  <w14:solidFill>
                    <w14:schemeClr w14:val="tx1"/>
                  </w14:solidFill>
                </w14:textFill>
              </w:rPr>
            </w:pPr>
            <w:r>
              <w:rPr>
                <w:rFonts w:hint="eastAsia" w:cs="宋体"/>
                <w:b w:val="0"/>
                <w:bCs w:val="0"/>
                <w:color w:val="000000"/>
                <w:kern w:val="2"/>
                <w:sz w:val="24"/>
                <w:szCs w:val="24"/>
                <w:lang w:val="en-US" w:eastAsia="zh-CN"/>
              </w:rPr>
              <w:t>采购人指定地点</w:t>
            </w:r>
          </w:p>
        </w:tc>
      </w:tr>
      <w:tr w14:paraId="60C0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DE587">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4C5F8FBF">
            <w:pPr>
              <w:pStyle w:val="21"/>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44C180BF">
            <w:pPr>
              <w:pStyle w:val="23"/>
              <w:rPr>
                <w:color w:val="000000" w:themeColor="text1"/>
                <w:highlight w:val="none"/>
                <w14:textFill>
                  <w14:solidFill>
                    <w14:schemeClr w14:val="tx1"/>
                  </w14:solidFill>
                </w14:textFill>
              </w:rPr>
            </w:pPr>
            <w:r>
              <w:rPr>
                <w:rFonts w:hint="eastAsia" w:ascii="宋体" w:hAnsi="宋体" w:eastAsia="宋体" w:cs="宋体"/>
                <w:b w:val="0"/>
                <w:bCs w:val="0"/>
                <w:sz w:val="24"/>
                <w:szCs w:val="24"/>
                <w:lang w:val="en-US" w:eastAsia="zh-CN"/>
              </w:rPr>
              <w:t>自合同签订之日起暂定1年（因新区搬迁时间无法确定，若服务期限未满1年搬至新区，本项目服务合同自动终止，</w:t>
            </w:r>
            <w:r>
              <w:rPr>
                <w:rFonts w:hint="eastAsia" w:ascii="宋体" w:hAnsi="宋体" w:eastAsia="宋体" w:cs="宋体"/>
                <w:b w:val="0"/>
                <w:bCs w:val="0"/>
                <w:sz w:val="24"/>
                <w:szCs w:val="24"/>
                <w:highlight w:val="none"/>
                <w:lang w:val="en-US" w:eastAsia="zh-CN"/>
              </w:rPr>
              <w:t>费用按实际发生期限结算；若1年服务期满，仍未搬迁，</w:t>
            </w:r>
            <w:r>
              <w:rPr>
                <w:rFonts w:hint="eastAsia" w:ascii="宋体" w:hAnsi="宋体" w:eastAsia="宋体" w:cs="宋体"/>
                <w:b w:val="0"/>
                <w:bCs w:val="0"/>
                <w:color w:val="000000"/>
                <w:kern w:val="2"/>
                <w:sz w:val="24"/>
                <w:szCs w:val="24"/>
                <w:highlight w:val="none"/>
                <w:lang w:val="en-US" w:eastAsia="zh-CN"/>
              </w:rPr>
              <w:t>在年度预算能保障且双方均同意的前提下，</w:t>
            </w:r>
            <w:r>
              <w:rPr>
                <w:rFonts w:hint="eastAsia" w:ascii="宋体" w:hAnsi="宋体" w:eastAsia="宋体" w:cs="宋体"/>
                <w:b w:val="0"/>
                <w:bCs w:val="0"/>
                <w:sz w:val="24"/>
                <w:szCs w:val="24"/>
                <w:highlight w:val="none"/>
                <w:lang w:val="en-US" w:eastAsia="zh-CN"/>
              </w:rPr>
              <w:t>可延期服务按原合同条件续签，</w:t>
            </w:r>
            <w:r>
              <w:rPr>
                <w:rFonts w:hint="eastAsia" w:cs="宋体"/>
                <w:b w:val="0"/>
                <w:bCs w:val="0"/>
                <w:sz w:val="24"/>
                <w:szCs w:val="24"/>
                <w:highlight w:val="none"/>
                <w:lang w:val="en-US" w:eastAsia="zh-CN"/>
              </w:rPr>
              <w:t>最多续签一年，续签当年</w:t>
            </w:r>
            <w:r>
              <w:rPr>
                <w:rFonts w:hint="eastAsia" w:ascii="宋体" w:hAnsi="宋体" w:eastAsia="宋体" w:cs="宋体"/>
                <w:b w:val="0"/>
                <w:bCs w:val="0"/>
                <w:sz w:val="24"/>
                <w:szCs w:val="24"/>
                <w:lang w:val="en-US" w:eastAsia="zh-CN"/>
              </w:rPr>
              <w:t>未满1年搬至新区，本项目服务合同自动终止，</w:t>
            </w:r>
            <w:r>
              <w:rPr>
                <w:rFonts w:hint="eastAsia" w:ascii="宋体" w:hAnsi="宋体" w:eastAsia="宋体" w:cs="宋体"/>
                <w:b w:val="0"/>
                <w:bCs w:val="0"/>
                <w:sz w:val="24"/>
                <w:szCs w:val="24"/>
                <w:highlight w:val="none"/>
                <w:lang w:val="en-US" w:eastAsia="zh-CN"/>
              </w:rPr>
              <w:t>费用按实际发生期限结算</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w:t>
            </w:r>
          </w:p>
        </w:tc>
      </w:tr>
      <w:tr w14:paraId="3A8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EEF762E">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2C6D1BCF">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7900D63B">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20604A27">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2CAA3078">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0468509C">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3A852D17">
            <w:pPr>
              <w:pStyle w:val="2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256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85909A3">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45A6C364">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10E98A56">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20F9D19D">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7749F9BF">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643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0EDAF5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03844AA4">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4CC205DB">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233040B0">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67DA4E0E">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37547350">
            <w:pPr>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28E22CC1">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00A17C76">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18F5F815">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1CB323D9">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0B805352">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4700F73C">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4EF86978">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4BE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1A62849">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0378C67A">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43A3B420">
            <w:pPr>
              <w:spacing w:line="440" w:lineRule="exact"/>
              <w:ind w:firstLine="0" w:firstLineChars="0"/>
              <w:rPr>
                <w:rFonts w:cs="宋体"/>
                <w:bCs/>
                <w:color w:val="FF0000"/>
                <w:szCs w:val="24"/>
                <w:highlight w:val="none"/>
              </w:rPr>
            </w:pPr>
            <w:r>
              <w:rPr>
                <w:rFonts w:hint="eastAsia" w:cs="宋体"/>
                <w:bCs/>
                <w:color w:val="FF0000"/>
                <w:szCs w:val="24"/>
                <w:highlight w:val="none"/>
              </w:rPr>
              <w:t>（1）时间：</w:t>
            </w:r>
            <w:r>
              <w:rPr>
                <w:rFonts w:hint="eastAsia" w:cs="宋体"/>
                <w:b/>
                <w:color w:val="FF0000"/>
                <w:kern w:val="2"/>
                <w:szCs w:val="24"/>
                <w:highlight w:val="none"/>
                <w:u w:val="single"/>
              </w:rPr>
              <w:t>202</w:t>
            </w:r>
            <w:r>
              <w:rPr>
                <w:rFonts w:hint="eastAsia" w:cs="宋体"/>
                <w:b/>
                <w:color w:val="FF0000"/>
                <w:kern w:val="2"/>
                <w:szCs w:val="24"/>
                <w:highlight w:val="none"/>
                <w:u w:val="single"/>
                <w:lang w:val="en-US" w:eastAsia="zh-CN"/>
              </w:rPr>
              <w:t>6</w:t>
            </w:r>
            <w:r>
              <w:rPr>
                <w:rFonts w:hint="eastAsia" w:cs="宋体"/>
                <w:b/>
                <w:color w:val="FF0000"/>
                <w:kern w:val="2"/>
                <w:szCs w:val="24"/>
                <w:highlight w:val="none"/>
              </w:rPr>
              <w:t>年</w:t>
            </w:r>
            <w:r>
              <w:rPr>
                <w:rFonts w:hint="eastAsia" w:cs="宋体"/>
                <w:b/>
                <w:color w:val="FF0000"/>
                <w:kern w:val="2"/>
                <w:szCs w:val="24"/>
                <w:highlight w:val="none"/>
                <w:u w:val="single"/>
                <w:lang w:val="en-US" w:eastAsia="zh-CN"/>
              </w:rPr>
              <w:t>5</w:t>
            </w:r>
            <w:r>
              <w:rPr>
                <w:rFonts w:hint="eastAsia" w:cs="宋体"/>
                <w:b/>
                <w:color w:val="FF0000"/>
                <w:kern w:val="2"/>
                <w:szCs w:val="24"/>
                <w:highlight w:val="none"/>
              </w:rPr>
              <w:t>月</w:t>
            </w:r>
            <w:r>
              <w:rPr>
                <w:rFonts w:hint="eastAsia" w:cs="宋体"/>
                <w:b/>
                <w:color w:val="FF0000"/>
                <w:kern w:val="2"/>
                <w:szCs w:val="24"/>
                <w:highlight w:val="none"/>
                <w:u w:val="single"/>
                <w:lang w:val="en-US" w:eastAsia="zh-CN"/>
              </w:rPr>
              <w:t>26</w:t>
            </w:r>
            <w:r>
              <w:rPr>
                <w:rFonts w:hint="eastAsia" w:cs="宋体"/>
                <w:b/>
                <w:color w:val="FF0000"/>
                <w:kern w:val="2"/>
                <w:szCs w:val="24"/>
                <w:highlight w:val="none"/>
              </w:rPr>
              <w:t>日</w:t>
            </w:r>
            <w:r>
              <w:rPr>
                <w:rFonts w:hint="eastAsia" w:cs="宋体"/>
                <w:b/>
                <w:color w:val="FF0000"/>
                <w:kern w:val="2"/>
                <w:szCs w:val="24"/>
                <w:highlight w:val="none"/>
                <w:u w:val="single"/>
              </w:rPr>
              <w:t>17</w:t>
            </w:r>
            <w:r>
              <w:rPr>
                <w:rFonts w:hint="eastAsia" w:cs="宋体"/>
                <w:b/>
                <w:color w:val="FF0000"/>
                <w:kern w:val="2"/>
                <w:szCs w:val="24"/>
                <w:highlight w:val="none"/>
              </w:rPr>
              <w:t>时</w:t>
            </w:r>
            <w:r>
              <w:rPr>
                <w:rFonts w:hint="eastAsia" w:cs="宋体"/>
                <w:b/>
                <w:color w:val="FF0000"/>
                <w:kern w:val="2"/>
                <w:szCs w:val="24"/>
                <w:highlight w:val="none"/>
                <w:u w:val="single"/>
              </w:rPr>
              <w:t>30</w:t>
            </w:r>
            <w:r>
              <w:rPr>
                <w:rFonts w:hint="eastAsia" w:cs="宋体"/>
                <w:b/>
                <w:color w:val="FF0000"/>
                <w:kern w:val="2"/>
                <w:szCs w:val="24"/>
                <w:highlight w:val="none"/>
              </w:rPr>
              <w:t>分。</w:t>
            </w:r>
          </w:p>
          <w:p w14:paraId="105A728C">
            <w:pPr>
              <w:spacing w:line="440" w:lineRule="exact"/>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7C5F9453">
            <w:pPr>
              <w:spacing w:line="440" w:lineRule="exact"/>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2CCA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50D845F">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2B66B374">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486B4A4A">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10727F29">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30919DDD">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399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6208FE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07CCFBA8">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5E73CE4D">
            <w:pPr>
              <w:ind w:firstLine="0" w:firstLineChars="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递交磋商保证金：</w:t>
            </w:r>
            <w:r>
              <w:rPr>
                <w:rFonts w:ascii="Segoe UI Symbol" w:hAnsi="Segoe UI Symbol" w:cs="Segoe UI Symbol"/>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55B5034F">
            <w:pPr>
              <w:snapToGrid w:val="0"/>
              <w:spacing w:line="460" w:lineRule="exact"/>
              <w:ind w:firstLine="0" w:firstLineChars="0"/>
              <w:rPr>
                <w:rFonts w:cs="宋体"/>
                <w:b/>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是否要求供应商递交电子交易服务费用：□不要求</w:t>
            </w:r>
            <w:r>
              <w:rPr>
                <w:rFonts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6DFD5D71">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14E2B7FA">
            <w:pPr>
              <w:snapToGrid w:val="0"/>
              <w:spacing w:line="460" w:lineRule="exact"/>
              <w:ind w:firstLine="120" w:firstLineChars="50"/>
              <w:rPr>
                <w:rFonts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549CCC6E">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递交要求： </w:t>
            </w:r>
          </w:p>
          <w:p w14:paraId="4DF9D573">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4487DC88">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1FD0CDBD">
            <w:pPr>
              <w:snapToGrid w:val="0"/>
              <w:ind w:firstLine="0" w:firstLineChars="0"/>
              <w:rPr>
                <w:rFonts w:cs="宋体"/>
                <w:color w:val="FF0000"/>
                <w:kern w:val="2"/>
                <w:szCs w:val="24"/>
                <w:highlight w:val="none"/>
              </w:rPr>
            </w:pPr>
            <w:r>
              <w:rPr>
                <w:rFonts w:hint="eastAsia" w:cs="宋体"/>
                <w:color w:val="FF0000"/>
                <w:kern w:val="2"/>
                <w:szCs w:val="24"/>
                <w:highlight w:val="none"/>
              </w:rPr>
              <w:t>③转入的开户银行及账号：</w:t>
            </w:r>
          </w:p>
          <w:p w14:paraId="76D79D20">
            <w:pPr>
              <w:snapToGrid w:val="0"/>
              <w:ind w:firstLine="0" w:firstLineChars="0"/>
              <w:rPr>
                <w:rFonts w:cs="宋体"/>
                <w:color w:val="FF0000"/>
                <w:kern w:val="2"/>
                <w:szCs w:val="24"/>
                <w:highlight w:val="none"/>
              </w:rPr>
            </w:pPr>
            <w:r>
              <w:rPr>
                <w:rFonts w:hint="eastAsia" w:cs="宋体"/>
                <w:color w:val="FF0000"/>
                <w:kern w:val="2"/>
                <w:szCs w:val="24"/>
                <w:highlight w:val="none"/>
              </w:rPr>
              <w:t>开户银行：广发银行股份有限公司合肥肥西支行</w:t>
            </w:r>
          </w:p>
          <w:p w14:paraId="12EF060D">
            <w:pPr>
              <w:snapToGrid w:val="0"/>
              <w:ind w:firstLine="0" w:firstLineChars="0"/>
              <w:rPr>
                <w:rFonts w:cs="宋体"/>
                <w:color w:val="FF0000"/>
                <w:kern w:val="2"/>
                <w:szCs w:val="24"/>
                <w:highlight w:val="none"/>
              </w:rPr>
            </w:pPr>
            <w:r>
              <w:rPr>
                <w:rFonts w:hint="eastAsia" w:cs="宋体"/>
                <w:color w:val="FF0000"/>
                <w:kern w:val="2"/>
                <w:szCs w:val="24"/>
                <w:highlight w:val="none"/>
              </w:rPr>
              <w:t>开户名：肥西县公共资源交易有限责任公司</w:t>
            </w:r>
          </w:p>
          <w:p w14:paraId="5FF0058F">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FF0000"/>
                <w:kern w:val="2"/>
                <w:szCs w:val="24"/>
                <w:highlight w:val="none"/>
              </w:rPr>
              <w:t>账号：6232594999000547248</w:t>
            </w:r>
          </w:p>
          <w:p w14:paraId="298D891C">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p>
          <w:p w14:paraId="3EA4BECE">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（1）电子交易服务费用采用虚拟账号，项目磋商失败后，电子交易服务费用交纳账号将会发生变化，请供应商参与后续磋商时，注意勿将电子交易服务费用错交至其他项目账号或前次公告账号。</w:t>
            </w:r>
          </w:p>
          <w:p w14:paraId="3ACD46E9">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370DF41A">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（4）供应商参与本项目多个包别磋商的（如分多包别的），应该按包别分别递交电子交易服务费用。未递交电子交易服务费用的包别，其响应无效。</w:t>
            </w:r>
          </w:p>
        </w:tc>
      </w:tr>
      <w:tr w14:paraId="62A3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2C0A1DC">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46A4E2BC">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11840ADB">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4BF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BA4702">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66194D87">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3C7CA537">
            <w:pPr>
              <w:pStyle w:val="2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518E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08244E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2D42D3B4">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58F7CB88">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50B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0CD6B998">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546B044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25E15C17">
            <w:pPr>
              <w:pStyle w:val="21"/>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40C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212599EF">
            <w:pPr>
              <w:pStyle w:val="22"/>
              <w:ind w:firstLine="0" w:firstLineChars="0"/>
              <w:rPr>
                <w:color w:val="000000" w:themeColor="text1"/>
                <w:highlight w:val="none"/>
                <w14:textFill>
                  <w14:solidFill>
                    <w14:schemeClr w14:val="tx1"/>
                  </w14:solidFill>
                </w14:textFill>
              </w:rPr>
            </w:pPr>
          </w:p>
        </w:tc>
        <w:tc>
          <w:tcPr>
            <w:tcW w:w="782" w:type="pct"/>
            <w:vMerge w:val="continue"/>
            <w:vAlign w:val="center"/>
          </w:tcPr>
          <w:p w14:paraId="5392CC8B">
            <w:pPr>
              <w:pStyle w:val="22"/>
              <w:ind w:firstLine="0" w:firstLineChars="0"/>
              <w:rPr>
                <w:color w:val="000000" w:themeColor="text1"/>
                <w:highlight w:val="none"/>
                <w14:textFill>
                  <w14:solidFill>
                    <w14:schemeClr w14:val="tx1"/>
                  </w14:solidFill>
                </w14:textFill>
              </w:rPr>
            </w:pPr>
          </w:p>
        </w:tc>
        <w:tc>
          <w:tcPr>
            <w:tcW w:w="3623" w:type="pct"/>
            <w:vAlign w:val="center"/>
          </w:tcPr>
          <w:p w14:paraId="5F8A4152">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576A7AB5">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52FE0290">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00D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D777455">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2429EF04">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08DEA445">
            <w:pPr>
              <w:pStyle w:val="21"/>
              <w:rPr>
                <w:b/>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7B5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A0F7C62">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475BE8D7">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59DC1D86">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5F1C652B">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53FD2601">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11C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358FB87">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109FF109">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78B8324B">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097F626E">
            <w:pPr>
              <w:snapToGrid w:val="0"/>
              <w:ind w:firstLine="0" w:firstLineChars="0"/>
              <w:rPr>
                <w:rFonts w:cs="宋体"/>
                <w:snapToGrid w:val="0"/>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sym w:font="Wingdings" w:char="00FE"/>
            </w:r>
            <w:r>
              <w:rPr>
                <w:rFonts w:hint="eastAsia" w:cs="宋体"/>
                <w:b/>
                <w:bCs/>
                <w:color w:val="000000" w:themeColor="text1"/>
                <w:szCs w:val="24"/>
                <w:highlight w:val="none"/>
                <w14:textFill>
                  <w14:solidFill>
                    <w14:schemeClr w14:val="tx1"/>
                  </w14:solidFill>
                </w14:textFill>
              </w:rPr>
              <w:t>收取</w:t>
            </w:r>
            <w:r>
              <w:rPr>
                <w:rFonts w:hint="eastAsia" w:cs="宋体"/>
                <w:color w:val="000000" w:themeColor="text1"/>
                <w:szCs w:val="24"/>
                <w:highlight w:val="none"/>
                <w14:textFill>
                  <w14:solidFill>
                    <w14:schemeClr w14:val="tx1"/>
                  </w14:solidFill>
                </w14:textFill>
              </w:rPr>
              <w:t xml:space="preserve">     </w:t>
            </w: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14:textFill>
                  <w14:solidFill>
                    <w14:schemeClr w14:val="tx1"/>
                  </w14:solidFill>
                </w14:textFill>
              </w:rPr>
              <w:t>不收取</w:t>
            </w:r>
          </w:p>
          <w:p w14:paraId="4F67FAE1">
            <w:pPr>
              <w:snapToGrid w:val="0"/>
              <w:ind w:firstLine="0" w:firstLineChars="0"/>
              <w:rPr>
                <w:rFonts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sym w:font="Wingdings" w:char="00FE"/>
            </w:r>
            <w:r>
              <w:rPr>
                <w:rFonts w:hint="eastAsia" w:cs="宋体"/>
                <w:b/>
                <w:bCs/>
                <w:color w:val="000000" w:themeColor="text1"/>
                <w:szCs w:val="24"/>
                <w:highlight w:val="none"/>
                <w14:textFill>
                  <w14:solidFill>
                    <w14:schemeClr w14:val="tx1"/>
                  </w14:solidFill>
                </w14:textFill>
              </w:rPr>
              <w:t>定额收取</w:t>
            </w:r>
            <w:r>
              <w:rPr>
                <w:rFonts w:hint="eastAsia" w:cs="宋体"/>
                <w:b/>
                <w:bCs/>
                <w:color w:val="000000" w:themeColor="text1"/>
                <w:szCs w:val="24"/>
                <w:highlight w:val="none"/>
                <w:u w:val="single"/>
                <w:lang w:val="en-US" w:eastAsia="zh-CN"/>
                <w14:textFill>
                  <w14:solidFill>
                    <w14:schemeClr w14:val="tx1"/>
                  </w14:solidFill>
                </w14:textFill>
              </w:rPr>
              <w:t>8000.00</w:t>
            </w:r>
            <w:r>
              <w:rPr>
                <w:rFonts w:hint="eastAsia" w:cs="宋体"/>
                <w:b/>
                <w:bCs/>
                <w:color w:val="000000" w:themeColor="text1"/>
                <w:szCs w:val="24"/>
                <w:highlight w:val="none"/>
                <w14:textFill>
                  <w14:solidFill>
                    <w14:schemeClr w14:val="tx1"/>
                  </w14:solidFill>
                </w14:textFill>
              </w:rPr>
              <w:t>元</w:t>
            </w:r>
          </w:p>
          <w:p w14:paraId="64DC2EC9">
            <w:pPr>
              <w:snapToGrid w:val="0"/>
              <w:ind w:firstLine="0" w:firstLineChars="0"/>
              <w:rPr>
                <w:rFonts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111591CB">
            <w:pPr>
              <w:snapToGrid w:val="0"/>
              <w:ind w:firstLine="0" w:firstLineChars="0"/>
              <w:rPr>
                <w:rFonts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29302D40">
            <w:pPr>
              <w:pStyle w:val="21"/>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肥西县花岗镇中心卫生院</w:t>
            </w:r>
          </w:p>
          <w:p w14:paraId="72EC57BD">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23419716">
            <w:pPr>
              <w:pStyle w:val="21"/>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（6）退还时间：</w:t>
            </w:r>
            <w:r>
              <w:rPr>
                <w:rFonts w:hint="eastAsia"/>
                <w:color w:val="000000" w:themeColor="text1"/>
                <w:highlight w:val="none"/>
                <w:lang w:val="en-US" w:eastAsia="zh-CN"/>
                <w14:textFill>
                  <w14:solidFill>
                    <w14:schemeClr w14:val="tx1"/>
                  </w14:solidFill>
                </w14:textFill>
              </w:rPr>
              <w:t>合同履约完成</w:t>
            </w:r>
            <w:r>
              <w:rPr>
                <w:rFonts w:hint="eastAsia"/>
                <w:color w:val="000000" w:themeColor="text1"/>
                <w:highlight w:val="none"/>
                <w14:textFill>
                  <w14:solidFill>
                    <w14:schemeClr w14:val="tx1"/>
                  </w14:solidFill>
                </w14:textFill>
              </w:rPr>
              <w:t xml:space="preserve">，一个月内退还。   </w:t>
            </w:r>
          </w:p>
        </w:tc>
      </w:tr>
      <w:tr w14:paraId="6C2D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6931F0">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184675EC">
            <w:pPr>
              <w:pStyle w:val="22"/>
              <w:ind w:firstLine="0" w:firstLineChars="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623113B3">
            <w:pPr>
              <w:pStyle w:val="22"/>
              <w:ind w:firstLine="0" w:firstLineChars="0"/>
              <w:rPr>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4010E922">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47C7CA50">
            <w:pPr>
              <w:pStyle w:val="21"/>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定额收取：人民币              元</w:t>
            </w:r>
          </w:p>
          <w:p w14:paraId="75390A4C">
            <w:pPr>
              <w:pStyle w:val="21"/>
              <w:rPr>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7CBA8C4A">
            <w:pPr>
              <w:pStyle w:val="2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ascii="Segoe UI Symbol" w:hAnsi="Segoe UI Symbol" w:cs="Segoe UI Symbo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转账/电汇</w:t>
            </w:r>
          </w:p>
          <w:p w14:paraId="00B24318">
            <w:pPr>
              <w:ind w:firstLine="0" w:firstLineChars="0"/>
              <w:rPr>
                <w:rFonts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6F0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3E18195">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669E79C0">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56FE9DFC">
            <w:pPr>
              <w:numPr>
                <w:ilvl w:val="255"/>
                <w:numId w:val="0"/>
              </w:numPr>
              <w:adjustRightInd w:val="0"/>
              <w:snapToGrid w:val="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7BCD05E0">
            <w:pPr>
              <w:adjustRightInd w:val="0"/>
              <w:snapToGrid w:val="0"/>
              <w:ind w:firstLine="0" w:firstLineChars="0"/>
              <w:rPr>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0C18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B4F9755">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0084308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4A546B8A">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3DCB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E5323D5">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7707668D">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2DCF249B">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78D1A6BE">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3A8999DD">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1BF249E9">
            <w:pPr>
              <w:pStyle w:val="2"/>
              <w:spacing w:before="0" w:after="0" w:line="360" w:lineRule="auto"/>
              <w:ind w:firstLine="0" w:firstLineChars="0"/>
              <w:rPr>
                <w:rFonts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063C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20AE3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68B2F601">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130A5B77">
            <w:pPr>
              <w:keepNext w:val="0"/>
              <w:keepLines w:val="0"/>
              <w:pageBreakBefore w:val="0"/>
              <w:widowControl w:val="0"/>
              <w:kinsoku w:val="0"/>
              <w:wordWrap/>
              <w:overflowPunct/>
              <w:topLinePunct w:val="0"/>
              <w:autoSpaceDE w:val="0"/>
              <w:autoSpaceDN w:val="0"/>
              <w:bidi w:val="0"/>
              <w:adjustRightInd/>
              <w:snapToGrid w:val="0"/>
              <w:ind w:firstLine="0" w:firstLineChars="0"/>
              <w:jc w:val="left"/>
              <w:textAlignment w:val="auto"/>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317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0C55CB41">
            <w:pPr>
              <w:pStyle w:val="22"/>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shd w:val="clear" w:color="auto" w:fill="auto"/>
            <w:vAlign w:val="center"/>
          </w:tcPr>
          <w:p w14:paraId="7F0D0A0F">
            <w:pPr>
              <w:pStyle w:val="22"/>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388F5326">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5E1E7C66">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454C24E4">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E39602C">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322C8AC5">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FED77B0">
            <w:pPr>
              <w:pStyle w:val="21"/>
              <w:ind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150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77069759">
            <w:pPr>
              <w:pStyle w:val="22"/>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shd w:val="clear" w:color="auto" w:fill="auto"/>
            <w:vAlign w:val="center"/>
          </w:tcPr>
          <w:p w14:paraId="043473E5">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4A1DD4F3">
            <w:pPr>
              <w:pStyle w:val="22"/>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0A1F5E35">
            <w:pPr>
              <w:pStyle w:val="21"/>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75BC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59B132E2">
            <w:pPr>
              <w:pStyle w:val="22"/>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shd w:val="clear" w:color="auto" w:fill="auto"/>
            <w:vAlign w:val="center"/>
          </w:tcPr>
          <w:p w14:paraId="420DFF6B">
            <w:pPr>
              <w:pStyle w:val="22"/>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1C429C40">
            <w:pPr>
              <w:pStyle w:val="21"/>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04FC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065E442A">
            <w:pPr>
              <w:pStyle w:val="22"/>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shd w:val="clear" w:color="auto" w:fill="auto"/>
            <w:vAlign w:val="center"/>
          </w:tcPr>
          <w:p w14:paraId="47496652">
            <w:pPr>
              <w:pStyle w:val="22"/>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60A7D2D3">
            <w:pPr>
              <w:pStyle w:val="22"/>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654D8171">
            <w:pPr>
              <w:pStyle w:val="21"/>
              <w:ind w:firstLine="0" w:firstLineChars="0"/>
              <w:rPr>
                <w:rFonts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698A32A2">
      <w:pPr>
        <w:pStyle w:val="19"/>
        <w:ind w:left="360" w:firstLine="480"/>
        <w:rPr>
          <w:highlight w:val="none"/>
        </w:rPr>
      </w:pPr>
      <w:bookmarkStart w:id="4" w:name="_Toc14925"/>
      <w:bookmarkStart w:id="5" w:name="_Toc4558"/>
      <w:r>
        <w:rPr>
          <w:rFonts w:hint="eastAsia"/>
          <w:highlight w:val="none"/>
        </w:rPr>
        <w:br w:type="page"/>
      </w:r>
    </w:p>
    <w:p w14:paraId="1FC98D3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附件1 代理服务费</w:t>
      </w:r>
      <w:bookmarkEnd w:id="4"/>
      <w:r>
        <w:rPr>
          <w:rFonts w:hint="eastAsia" w:asciiTheme="minorEastAsia" w:hAnsiTheme="minorEastAsia" w:eastAsiaTheme="minorEastAsia"/>
          <w:b/>
          <w:highlight w:val="none"/>
        </w:rPr>
        <w:t xml:space="preserve">收费标准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8B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29EDAF0">
            <w:pPr>
              <w:spacing w:line="460" w:lineRule="exact"/>
              <w:ind w:firstLine="480"/>
              <w:rPr>
                <w:rFonts w:asciiTheme="minorEastAsia" w:hAnsiTheme="minorEastAsia" w:eastAsiaTheme="minorEastAsia" w:cstheme="minorEastAsia"/>
                <w:color w:val="000000"/>
                <w:szCs w:val="24"/>
                <w:highlight w:val="none"/>
              </w:rPr>
            </w:pPr>
          </w:p>
          <w:tbl>
            <w:tblPr>
              <w:tblStyle w:val="14"/>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70CA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A74BDC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成交金额（万元）</w:t>
                  </w:r>
                </w:p>
              </w:tc>
              <w:tc>
                <w:tcPr>
                  <w:tcW w:w="2025" w:type="dxa"/>
                  <w:vAlign w:val="center"/>
                </w:tcPr>
                <w:p w14:paraId="4466AE2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货物</w:t>
                  </w:r>
                </w:p>
              </w:tc>
              <w:tc>
                <w:tcPr>
                  <w:tcW w:w="1888" w:type="dxa"/>
                  <w:vAlign w:val="center"/>
                </w:tcPr>
                <w:p w14:paraId="1143AFB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服务</w:t>
                  </w:r>
                </w:p>
              </w:tc>
              <w:tc>
                <w:tcPr>
                  <w:tcW w:w="2287" w:type="dxa"/>
                  <w:vAlign w:val="center"/>
                </w:tcPr>
                <w:p w14:paraId="6077240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工程施工/总承包</w:t>
                  </w:r>
                </w:p>
              </w:tc>
            </w:tr>
            <w:tr w14:paraId="03F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F4AF8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100以下</w:t>
                  </w:r>
                </w:p>
              </w:tc>
              <w:tc>
                <w:tcPr>
                  <w:tcW w:w="2025" w:type="dxa"/>
                  <w:vAlign w:val="center"/>
                </w:tcPr>
                <w:p w14:paraId="552F4A7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1888" w:type="dxa"/>
                  <w:vAlign w:val="center"/>
                </w:tcPr>
                <w:p w14:paraId="38390DB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2287" w:type="dxa"/>
                  <w:vAlign w:val="center"/>
                </w:tcPr>
                <w:p w14:paraId="58C615D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w:t>
                  </w:r>
                </w:p>
              </w:tc>
            </w:tr>
            <w:tr w14:paraId="6A29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973E81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100-500</w:t>
                  </w:r>
                </w:p>
              </w:tc>
              <w:tc>
                <w:tcPr>
                  <w:tcW w:w="2025" w:type="dxa"/>
                  <w:vAlign w:val="center"/>
                </w:tcPr>
                <w:p w14:paraId="6A486654">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1.1%</w:t>
                  </w:r>
                </w:p>
              </w:tc>
              <w:tc>
                <w:tcPr>
                  <w:tcW w:w="1888" w:type="dxa"/>
                  <w:vAlign w:val="center"/>
                </w:tcPr>
                <w:p w14:paraId="41A81CE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2287" w:type="dxa"/>
                  <w:vAlign w:val="center"/>
                </w:tcPr>
                <w:p w14:paraId="2445D04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0.7%</w:t>
                  </w:r>
                </w:p>
              </w:tc>
            </w:tr>
            <w:tr w14:paraId="42CA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044C5E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500-1000</w:t>
                  </w:r>
                </w:p>
              </w:tc>
              <w:tc>
                <w:tcPr>
                  <w:tcW w:w="2025" w:type="dxa"/>
                  <w:vAlign w:val="center"/>
                </w:tcPr>
                <w:p w14:paraId="078CE5F3">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1888" w:type="dxa"/>
                  <w:vAlign w:val="center"/>
                </w:tcPr>
                <w:p w14:paraId="192FDE8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0.45%</w:t>
                  </w:r>
                </w:p>
              </w:tc>
              <w:tc>
                <w:tcPr>
                  <w:tcW w:w="2287" w:type="dxa"/>
                  <w:vAlign w:val="center"/>
                </w:tcPr>
                <w:p w14:paraId="02DCE72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0.55%</w:t>
                  </w:r>
                </w:p>
              </w:tc>
            </w:tr>
            <w:tr w14:paraId="42E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F0CA41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1000-5000</w:t>
                  </w:r>
                </w:p>
              </w:tc>
              <w:tc>
                <w:tcPr>
                  <w:tcW w:w="2025" w:type="dxa"/>
                  <w:vAlign w:val="center"/>
                </w:tcPr>
                <w:p w14:paraId="434B430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w:t>
                  </w:r>
                </w:p>
              </w:tc>
              <w:tc>
                <w:tcPr>
                  <w:tcW w:w="1888" w:type="dxa"/>
                  <w:vAlign w:val="center"/>
                </w:tcPr>
                <w:p w14:paraId="2E2DCBC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2287" w:type="dxa"/>
                  <w:vAlign w:val="center"/>
                </w:tcPr>
                <w:p w14:paraId="39021047">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0.35%</w:t>
                  </w:r>
                </w:p>
              </w:tc>
            </w:tr>
            <w:tr w14:paraId="677A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7EF987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5000-10000</w:t>
                  </w:r>
                </w:p>
              </w:tc>
              <w:tc>
                <w:tcPr>
                  <w:tcW w:w="2025" w:type="dxa"/>
                  <w:vAlign w:val="center"/>
                </w:tcPr>
                <w:p w14:paraId="6CAF649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1888" w:type="dxa"/>
                  <w:vAlign w:val="center"/>
                </w:tcPr>
                <w:p w14:paraId="5F1B62A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0.1%</w:t>
                  </w:r>
                </w:p>
              </w:tc>
              <w:tc>
                <w:tcPr>
                  <w:tcW w:w="2287" w:type="dxa"/>
                  <w:vAlign w:val="center"/>
                </w:tcPr>
                <w:p w14:paraId="5397680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w:t>
                  </w:r>
                </w:p>
              </w:tc>
            </w:tr>
            <w:tr w14:paraId="203E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39FEB8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10000-100000</w:t>
                  </w:r>
                </w:p>
              </w:tc>
              <w:tc>
                <w:tcPr>
                  <w:tcW w:w="2025" w:type="dxa"/>
                  <w:vAlign w:val="center"/>
                </w:tcPr>
                <w:p w14:paraId="4A2252F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1888" w:type="dxa"/>
                  <w:vAlign w:val="center"/>
                </w:tcPr>
                <w:p w14:paraId="7ECCA30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2287" w:type="dxa"/>
                  <w:vAlign w:val="center"/>
                </w:tcPr>
                <w:p w14:paraId="6713DDF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r>
            <w:tr w14:paraId="3B52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8A33A1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100000以上</w:t>
                  </w:r>
                </w:p>
              </w:tc>
              <w:tc>
                <w:tcPr>
                  <w:tcW w:w="2025" w:type="dxa"/>
                  <w:vAlign w:val="center"/>
                </w:tcPr>
                <w:p w14:paraId="1CAC1E8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1888" w:type="dxa"/>
                  <w:vAlign w:val="center"/>
                </w:tcPr>
                <w:p w14:paraId="7E89BFED">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2287" w:type="dxa"/>
                  <w:vAlign w:val="center"/>
                </w:tcPr>
                <w:p w14:paraId="203F07A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r>
          </w:tbl>
          <w:p w14:paraId="207959D2">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szCs w:val="24"/>
                <w:highlight w:val="none"/>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E8B5C8C">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5B92E5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（500－100）万元×0.8％＝3.2万元</w:t>
            </w:r>
          </w:p>
          <w:p w14:paraId="2F60E469">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（1000－500）万元×0.45％＝2.25万元</w:t>
            </w:r>
          </w:p>
          <w:p w14:paraId="37944EC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（5000－1000）万元×0.25％＝10万元</w:t>
            </w:r>
          </w:p>
          <w:p w14:paraId="6F0476B8">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（6000－5000）万元×0.1％＝1万元</w:t>
            </w:r>
          </w:p>
          <w:p w14:paraId="011024D6">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合计收费＝1.5＋3.2＋2.25＋10＋1＝17.95(万元)</w:t>
            </w:r>
          </w:p>
          <w:p w14:paraId="1307497A">
            <w:pPr>
              <w:pStyle w:val="24"/>
              <w:adjustRightInd w:val="0"/>
              <w:snapToGrid w:val="0"/>
              <w:rPr>
                <w:rFonts w:asciiTheme="minorEastAsia" w:hAnsiTheme="minorEastAsia" w:eastAsiaTheme="minorEastAsia" w:cstheme="minorEastAsia"/>
                <w:sz w:val="24"/>
                <w:szCs w:val="24"/>
                <w:highlight w:val="none"/>
              </w:rPr>
            </w:pPr>
          </w:p>
        </w:tc>
      </w:tr>
    </w:tbl>
    <w:p w14:paraId="7B321B1C">
      <w:pPr>
        <w:ind w:firstLine="482"/>
        <w:jc w:val="center"/>
        <w:rPr>
          <w:rFonts w:asciiTheme="minorEastAsia" w:hAnsiTheme="minorEastAsia" w:eastAsiaTheme="minorEastAsia"/>
          <w:b/>
          <w:highlight w:val="none"/>
        </w:rPr>
      </w:pPr>
      <w:r>
        <w:rPr>
          <w:rFonts w:hint="eastAsia"/>
          <w:b/>
          <w:szCs w:val="24"/>
          <w:highlight w:val="none"/>
        </w:rPr>
        <w:br w:type="page"/>
      </w:r>
      <w:bookmarkEnd w:id="5"/>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须知</w:t>
      </w:r>
      <w:r>
        <w:rPr>
          <w:rFonts w:hint="eastAsia" w:asciiTheme="minorEastAsia" w:hAnsiTheme="minorEastAsia" w:eastAsiaTheme="minorEastAsia"/>
          <w:b/>
          <w:highlight w:val="none"/>
        </w:rPr>
        <w:t>正文</w:t>
      </w:r>
    </w:p>
    <w:p w14:paraId="64A0EB6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F6EEA79">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382CF15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3879BB2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644F34C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2E6C2FA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771641D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2C7A641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40F2BFF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214B64C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6D4E8055">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760B7D7B">
      <w:pPr>
        <w:numPr>
          <w:ilvl w:val="0"/>
          <w:numId w:val="2"/>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4EB76D0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3A9AEA3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48A565A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52097D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7090434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3F4189C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720722F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22DCE92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183B4F1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235031E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48E1D5C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263317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3E38727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5795A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203E88C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0126EF9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DF251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3DE10EE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7CC65233">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59C78E02">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026BFF15">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6DE89BCF">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7614DDFD">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47FFD4A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7C53CD9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256CB6EB">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0375BA2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6E18E87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AA3DFBB">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公告</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”规定的响应文件提交截止时间前，将加密的响应文件在优质采云采购平台（http://www.youzhicai.com/）上传。</w:t>
      </w:r>
    </w:p>
    <w:p w14:paraId="4E2801B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1B7B9AD9">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721ED344">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1F496D1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566760D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4F017F1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371F63E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06186D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5C0139E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7D1556F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6A4A97F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7D109C5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45D23515">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115F3FE2">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17"/>
          <w:rFonts w:hint="eastAsia" w:cs="宋体"/>
          <w:color w:val="000000" w:themeColor="text1"/>
          <w:kern w:val="21"/>
          <w:szCs w:val="24"/>
          <w:highlight w:val="none"/>
          <w:lang w:bidi="ar"/>
          <w14:textFill>
            <w14:solidFill>
              <w14:schemeClr w14:val="tx1"/>
            </w14:solidFill>
          </w14:textFill>
        </w:rPr>
        <w:t>www.gsxt.gov.cn</w:t>
      </w:r>
      <w:r>
        <w:rPr>
          <w:rStyle w:val="17"/>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3E737D67">
      <w:pPr>
        <w:ind w:firstLine="480"/>
        <w:rPr>
          <w:rFonts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4D976028">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28D9AC66">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33707C8E">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3C5F54A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4652F84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51615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7BC75F6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5C202C2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43B6399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3579786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1E77114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7E3ABEA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1DBE44D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858C5F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1342CB8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208959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1C1507D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2B27174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5C0CFC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215C5DEB">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76F8E9E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1113C84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F65354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592D513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399A6FB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4197460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5E7509D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378C6472">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6651BC1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60072EF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82AFA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6846D0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74A2A76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96CC5C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2225235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458C73C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6B50B79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1B17AD4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72BCC04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62284D6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94CF60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6FA0D5E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3CE069A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1B48E0B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73E2C3C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7BEC64D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78E20B2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17FF64A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45BE82F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854B8A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53DC6E8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159F201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619BAF1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047ACCC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1517C50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63551CB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433C00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CBAEFF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607EDD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6FC28BC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027D0B1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6058C87C">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0387EB7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F5791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504B2B0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2E9578B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796E07A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22E22E9C">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0B1B3089">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180484EA">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CCB59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4568857F">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284195E7">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75188AD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38AC840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1937379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09E8DE2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5829E25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5AAB683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0598914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05FA656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4523BBF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659F254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29C6852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85EE819">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3C9BC583">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46D2F272">
      <w:pPr>
        <w:ind w:firstLine="723" w:firstLineChars="300"/>
        <w:rPr>
          <w:b/>
          <w:highlight w:val="none"/>
        </w:rPr>
      </w:pPr>
      <w:r>
        <w:rPr>
          <w:rFonts w:hint="eastAsia"/>
          <w:b/>
          <w:highlight w:val="none"/>
        </w:rPr>
        <w:t>户名：肥西县公共资源交易有限责任公司</w:t>
      </w:r>
    </w:p>
    <w:p w14:paraId="7CB27270">
      <w:pPr>
        <w:ind w:firstLine="723" w:firstLineChars="300"/>
        <w:rPr>
          <w:b/>
          <w:highlight w:val="none"/>
        </w:rPr>
      </w:pPr>
      <w:r>
        <w:rPr>
          <w:rFonts w:hint="eastAsia"/>
          <w:b/>
          <w:highlight w:val="none"/>
        </w:rPr>
        <w:t>账号：179746801939</w:t>
      </w:r>
    </w:p>
    <w:p w14:paraId="58EB3799">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highlight w:val="none"/>
        </w:rPr>
        <w:t>开户行：中国银行股份有限公司肥西支行</w:t>
      </w:r>
    </w:p>
    <w:p w14:paraId="7E962B9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21604F7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323CD5C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5BCE7115">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647071D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49F006F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E7353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1E2CEDF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D57A25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3E2064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3CBB791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73DB9B0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741471C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09F4C5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0467A7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68B7B8C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55D8D29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0FB9A83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5F554D1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538DC757">
      <w:pPr>
        <w:ind w:firstLine="480"/>
        <w:rPr>
          <w:rFonts w:asciiTheme="minorEastAsia" w:hAnsiTheme="minorEastAsia" w:eastAsiaTheme="minorEastAsia"/>
          <w:highlight w:val="none"/>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7E8CD354">
      <w:pPr>
        <w:ind w:firstLine="480"/>
        <w:rPr>
          <w:highlight w:val="none"/>
        </w:rPr>
      </w:pPr>
      <w:r>
        <w:rPr>
          <w:rFonts w:asciiTheme="minorEastAsia" w:hAnsiTheme="minorEastAsia" w:eastAsiaTheme="minorEastAsia"/>
          <w:highlight w:val="none"/>
        </w:rPr>
        <w:br w:type="page"/>
      </w:r>
    </w:p>
    <w:p w14:paraId="100C0F15">
      <w:pPr>
        <w:ind w:firstLine="562"/>
        <w:jc w:val="center"/>
        <w:outlineLvl w:val="1"/>
        <w:rPr>
          <w:rFonts w:asciiTheme="minorEastAsia" w:hAnsiTheme="minorEastAsia" w:eastAsiaTheme="minorEastAsia"/>
          <w:b/>
          <w:sz w:val="28"/>
          <w:highlight w:val="none"/>
        </w:rPr>
      </w:pPr>
      <w:bookmarkStart w:id="7" w:name="_Toc192058172"/>
      <w:r>
        <w:rPr>
          <w:rFonts w:hint="eastAsia" w:asciiTheme="minorEastAsia" w:hAnsiTheme="minorEastAsia" w:eastAsiaTheme="minorEastAsia"/>
          <w:b/>
          <w:sz w:val="28"/>
          <w:highlight w:val="none"/>
        </w:rPr>
        <w:t>第三章  业主单位要求</w:t>
      </w:r>
      <w:bookmarkEnd w:id="7"/>
    </w:p>
    <w:p w14:paraId="57619E82">
      <w:pPr>
        <w:ind w:firstLine="480"/>
        <w:rPr>
          <w:rFonts w:ascii="Times New Roman" w:hAnsi="Times New Roman"/>
          <w:szCs w:val="24"/>
          <w:highlight w:val="none"/>
        </w:rPr>
      </w:pPr>
      <w:bookmarkStart w:id="8" w:name="_Toc482188637"/>
      <w:r>
        <w:rPr>
          <w:rFonts w:hint="eastAsia" w:ascii="Times New Roman" w:hAnsi="Times New Roman"/>
          <w:szCs w:val="24"/>
          <w:highlight w:val="none"/>
        </w:rPr>
        <w:t>本说明中提出的技术方案仅为参考，如无明确限制，供应商可以进行优化，提供满足用户实际需要的更优（或者性能实质上不低于的）服务方案，且此方案须经磋商小组评审认可。</w:t>
      </w:r>
    </w:p>
    <w:bookmarkEnd w:id="8"/>
    <w:p w14:paraId="704F8753">
      <w:pPr>
        <w:pStyle w:val="5"/>
        <w:ind w:left="0" w:leftChars="0" w:firstLine="482" w:firstLineChars="200"/>
        <w:rPr>
          <w:rFonts w:hint="eastAsia" w:ascii="宋体" w:hAnsi="宋体" w:eastAsia="宋体" w:cs="宋体"/>
          <w:b/>
          <w:color w:val="000000"/>
          <w:sz w:val="24"/>
          <w:szCs w:val="24"/>
        </w:rPr>
      </w:pPr>
      <w:bookmarkStart w:id="9" w:name="_Toc3273"/>
      <w:bookmarkStart w:id="10" w:name="_Toc482188638"/>
      <w:r>
        <w:rPr>
          <w:rFonts w:hint="eastAsia" w:ascii="宋体" w:hAnsi="宋体" w:eastAsia="宋体" w:cs="宋体"/>
          <w:b/>
          <w:color w:val="000000" w:themeColor="text1"/>
          <w:sz w:val="24"/>
          <w:szCs w:val="24"/>
          <w:highlight w:val="none"/>
          <w14:textFill>
            <w14:solidFill>
              <w14:schemeClr w14:val="tx1"/>
            </w14:solidFill>
          </w14:textFill>
        </w:rPr>
        <w:t>一、供应商须知前附表</w:t>
      </w:r>
    </w:p>
    <w:tbl>
      <w:tblPr>
        <w:tblStyle w:val="14"/>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63"/>
        <w:gridCol w:w="6138"/>
      </w:tblGrid>
      <w:tr w14:paraId="39A2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158E987">
            <w:pPr>
              <w:pStyle w:val="21"/>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1CEDC22">
            <w:pPr>
              <w:pStyle w:val="21"/>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条款名称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25B343AD">
            <w:pPr>
              <w:pStyle w:val="21"/>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内容、说明与要求</w:t>
            </w:r>
          </w:p>
        </w:tc>
      </w:tr>
      <w:tr w14:paraId="3A1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29516F8">
            <w:pPr>
              <w:pStyle w:val="21"/>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F48E872">
            <w:pPr>
              <w:pStyle w:val="21"/>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付款方式</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575A0A9D">
            <w:pPr>
              <w:pStyle w:val="21"/>
              <w:widowControl w:val="0"/>
              <w:spacing w:before="0" w:beforeAutospacing="0" w:after="0" w:afterAutospacing="0" w:line="360" w:lineRule="auto"/>
              <w:jc w:val="both"/>
              <w:rPr>
                <w:rFonts w:hint="eastAsia" w:ascii="宋体" w:hAnsi="宋体" w:eastAsia="宋体" w:cs="宋体"/>
                <w:b w:val="0"/>
                <w:bCs w:val="0"/>
                <w:color w:val="000000"/>
                <w:kern w:val="2"/>
                <w:sz w:val="24"/>
                <w:szCs w:val="24"/>
              </w:rPr>
            </w:pPr>
            <w:r>
              <w:rPr>
                <w:rFonts w:hint="eastAsia" w:ascii="宋体" w:hAnsi="宋体" w:eastAsia="宋体" w:cs="宋体"/>
                <w:b w:val="0"/>
                <w:sz w:val="24"/>
                <w:u w:val="none"/>
                <w:lang w:val="en-US" w:eastAsia="zh-CN"/>
              </w:rPr>
              <w:t>本项目以人工投入为主，合同生效后，依据成交价和</w:t>
            </w:r>
            <w:r>
              <w:rPr>
                <w:rFonts w:hint="eastAsia" w:cs="宋体"/>
                <w:b w:val="0"/>
                <w:sz w:val="24"/>
                <w:u w:val="none"/>
                <w:lang w:val="en-US" w:eastAsia="zh-CN"/>
              </w:rPr>
              <w:t>月度</w:t>
            </w:r>
            <w:r>
              <w:rPr>
                <w:rFonts w:hint="eastAsia" w:ascii="宋体" w:hAnsi="宋体" w:eastAsia="宋体" w:cs="宋体"/>
                <w:b w:val="0"/>
                <w:sz w:val="24"/>
                <w:u w:val="none"/>
                <w:lang w:val="en-US" w:eastAsia="zh-CN"/>
              </w:rPr>
              <w:t>考核结果，按</w:t>
            </w:r>
            <w:r>
              <w:rPr>
                <w:rFonts w:hint="eastAsia" w:cs="宋体"/>
                <w:b w:val="0"/>
                <w:sz w:val="24"/>
                <w:u w:val="none"/>
                <w:lang w:val="en-US" w:eastAsia="zh-CN"/>
              </w:rPr>
              <w:t>季度</w:t>
            </w:r>
            <w:r>
              <w:rPr>
                <w:rFonts w:hint="eastAsia" w:ascii="宋体" w:hAnsi="宋体" w:eastAsia="宋体" w:cs="宋体"/>
                <w:b w:val="0"/>
                <w:sz w:val="24"/>
                <w:u w:val="none"/>
                <w:lang w:val="en-US" w:eastAsia="zh-CN"/>
              </w:rPr>
              <w:t>支付。</w:t>
            </w:r>
          </w:p>
        </w:tc>
      </w:tr>
      <w:tr w14:paraId="2EA1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35945C9">
            <w:pPr>
              <w:pStyle w:val="21"/>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A94254F">
            <w:pPr>
              <w:pStyle w:val="21"/>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服务地点</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141EA0A5">
            <w:pPr>
              <w:pStyle w:val="21"/>
              <w:widowControl w:val="0"/>
              <w:spacing w:before="0" w:beforeAutospacing="0" w:after="0" w:afterAutospacing="0" w:line="360" w:lineRule="auto"/>
              <w:jc w:val="both"/>
              <w:rPr>
                <w:rFonts w:hint="eastAsia" w:ascii="宋体" w:hAnsi="宋体" w:eastAsia="宋体" w:cs="宋体"/>
                <w:b w:val="0"/>
                <w:color w:val="000000"/>
                <w:kern w:val="2"/>
                <w:sz w:val="24"/>
                <w:szCs w:val="24"/>
                <w:lang w:eastAsia="zh-CN"/>
              </w:rPr>
            </w:pPr>
            <w:r>
              <w:rPr>
                <w:rFonts w:hint="eastAsia" w:ascii="宋体" w:hAnsi="宋体" w:eastAsia="宋体" w:cs="宋体"/>
                <w:b w:val="0"/>
                <w:sz w:val="24"/>
                <w:lang w:eastAsia="zh-CN"/>
              </w:rPr>
              <w:t>采购人指定地点</w:t>
            </w:r>
          </w:p>
        </w:tc>
      </w:tr>
      <w:tr w14:paraId="4C6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B224F36">
            <w:pPr>
              <w:pStyle w:val="21"/>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044E2D0">
            <w:pPr>
              <w:pStyle w:val="21"/>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服务期限</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532FDBB9">
            <w:pPr>
              <w:pStyle w:val="21"/>
              <w:widowControl w:val="0"/>
              <w:spacing w:before="0" w:beforeAutospacing="0" w:after="0" w:afterAutospacing="0" w:line="360" w:lineRule="auto"/>
              <w:jc w:val="both"/>
              <w:rPr>
                <w:rFonts w:hint="eastAsia" w:ascii="宋体" w:hAnsi="宋体" w:eastAsia="宋体" w:cs="宋体"/>
                <w:b w:val="0"/>
                <w:color w:val="000000"/>
                <w:kern w:val="2"/>
                <w:sz w:val="24"/>
                <w:szCs w:val="24"/>
                <w:lang w:eastAsia="zh-CN"/>
              </w:rPr>
            </w:pPr>
            <w:r>
              <w:rPr>
                <w:rFonts w:hint="eastAsia" w:ascii="宋体" w:hAnsi="宋体" w:eastAsia="宋体" w:cs="宋体"/>
                <w:b w:val="0"/>
                <w:bCs w:val="0"/>
                <w:sz w:val="24"/>
                <w:szCs w:val="24"/>
                <w:lang w:val="en-US" w:eastAsia="zh-CN"/>
              </w:rPr>
              <w:t>自合同签订之日起暂定1年（因新区搬迁时间无法确定，若服务期限未满1年搬至新区，本项目服务合同自动终止，</w:t>
            </w:r>
            <w:r>
              <w:rPr>
                <w:rFonts w:hint="eastAsia" w:ascii="宋体" w:hAnsi="宋体" w:eastAsia="宋体" w:cs="宋体"/>
                <w:b w:val="0"/>
                <w:bCs w:val="0"/>
                <w:sz w:val="24"/>
                <w:szCs w:val="24"/>
                <w:highlight w:val="none"/>
                <w:lang w:val="en-US" w:eastAsia="zh-CN"/>
              </w:rPr>
              <w:t>费用按实际发生期限结算；若1年服务期满，仍未搬迁，</w:t>
            </w:r>
            <w:r>
              <w:rPr>
                <w:rFonts w:hint="eastAsia" w:ascii="宋体" w:hAnsi="宋体" w:eastAsia="宋体" w:cs="宋体"/>
                <w:b w:val="0"/>
                <w:bCs w:val="0"/>
                <w:color w:val="000000"/>
                <w:kern w:val="2"/>
                <w:sz w:val="24"/>
                <w:szCs w:val="24"/>
                <w:highlight w:val="none"/>
                <w:lang w:val="en-US" w:eastAsia="zh-CN"/>
              </w:rPr>
              <w:t>在年度预算能保障且双方均同意的前提下，</w:t>
            </w:r>
            <w:r>
              <w:rPr>
                <w:rFonts w:hint="eastAsia" w:ascii="宋体" w:hAnsi="宋体" w:eastAsia="宋体" w:cs="宋体"/>
                <w:b w:val="0"/>
                <w:bCs w:val="0"/>
                <w:sz w:val="24"/>
                <w:szCs w:val="24"/>
                <w:highlight w:val="none"/>
                <w:lang w:val="en-US" w:eastAsia="zh-CN"/>
              </w:rPr>
              <w:t>可延期服务按原合同条件续签，</w:t>
            </w:r>
            <w:r>
              <w:rPr>
                <w:rFonts w:hint="eastAsia" w:cs="宋体"/>
                <w:b w:val="0"/>
                <w:bCs w:val="0"/>
                <w:sz w:val="24"/>
                <w:szCs w:val="24"/>
                <w:highlight w:val="none"/>
                <w:lang w:val="en-US" w:eastAsia="zh-CN"/>
              </w:rPr>
              <w:t>最多续签一年，续签当年</w:t>
            </w:r>
            <w:r>
              <w:rPr>
                <w:rFonts w:hint="eastAsia" w:ascii="宋体" w:hAnsi="宋体" w:eastAsia="宋体" w:cs="宋体"/>
                <w:b w:val="0"/>
                <w:bCs w:val="0"/>
                <w:sz w:val="24"/>
                <w:szCs w:val="24"/>
                <w:lang w:val="en-US" w:eastAsia="zh-CN"/>
              </w:rPr>
              <w:t>未满1年搬至新区，本项目服务合同自动终止，</w:t>
            </w:r>
            <w:r>
              <w:rPr>
                <w:rFonts w:hint="eastAsia" w:ascii="宋体" w:hAnsi="宋体" w:eastAsia="宋体" w:cs="宋体"/>
                <w:b w:val="0"/>
                <w:bCs w:val="0"/>
                <w:sz w:val="24"/>
                <w:szCs w:val="24"/>
                <w:highlight w:val="none"/>
                <w:lang w:val="en-US" w:eastAsia="zh-CN"/>
              </w:rPr>
              <w:t>费用按实际发生期限结算</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w:t>
            </w:r>
          </w:p>
        </w:tc>
      </w:tr>
      <w:bookmarkEnd w:id="9"/>
    </w:tbl>
    <w:p w14:paraId="1D025F9E">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、项目概况</w:t>
      </w:r>
    </w:p>
    <w:p w14:paraId="4374247C">
      <w:pPr>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1"/>
        <w:rPr>
          <w:rFonts w:hint="eastAsia" w:ascii="宋体" w:hAnsi="宋体" w:eastAsia="宋体" w:cs="宋体"/>
          <w:color w:val="auto"/>
          <w:kern w:val="2"/>
          <w:sz w:val="24"/>
          <w:szCs w:val="24"/>
          <w:lang w:eastAsia="zh-CN"/>
        </w:rPr>
      </w:pPr>
      <w:bookmarkStart w:id="11" w:name="_Toc101805417"/>
      <w:r>
        <w:rPr>
          <w:rFonts w:hint="eastAsia" w:ascii="宋体" w:hAnsi="宋体" w:eastAsia="宋体" w:cs="宋体"/>
          <w:b w:val="0"/>
          <w:bCs/>
          <w:kern w:val="2"/>
          <w:sz w:val="24"/>
          <w:szCs w:val="18"/>
          <w:lang w:val="en-US" w:eastAsia="zh-CN"/>
        </w:rPr>
        <w:t>肥西县花岗镇中心卫生院位于安徽省合肥市肥西县花岗镇花新路56号，是一所基层卫生医疗机构，占地面积13300平方米，建筑面积9159平方米，景观绿化面积约3100平方米，编制床位60张，</w:t>
      </w:r>
      <w:r>
        <w:rPr>
          <w:rFonts w:hint="eastAsia" w:ascii="宋体" w:hAnsi="宋体" w:eastAsia="宋体" w:cs="宋体"/>
          <w:color w:val="auto"/>
          <w:kern w:val="2"/>
          <w:sz w:val="24"/>
          <w:szCs w:val="24"/>
          <w:lang w:eastAsia="zh-CN"/>
        </w:rPr>
        <w:t>为保证医院社会服务任务正常开展、确保住院人员的医疗环境，需进行物业服务采购，服务内容包含保安、保洁、</w:t>
      </w:r>
      <w:r>
        <w:rPr>
          <w:rFonts w:hint="eastAsia" w:ascii="宋体" w:hAnsi="宋体" w:eastAsia="宋体" w:cs="宋体"/>
          <w:color w:val="auto"/>
          <w:kern w:val="2"/>
          <w:sz w:val="24"/>
          <w:szCs w:val="24"/>
          <w:lang w:val="en-US" w:eastAsia="zh-CN"/>
        </w:rPr>
        <w:t>绿化养护、</w:t>
      </w:r>
      <w:r>
        <w:rPr>
          <w:rFonts w:hint="eastAsia" w:ascii="宋体" w:hAnsi="宋体" w:eastAsia="宋体" w:cs="宋体"/>
          <w:color w:val="auto"/>
          <w:kern w:val="2"/>
          <w:sz w:val="24"/>
          <w:szCs w:val="24"/>
          <w:lang w:eastAsia="zh-CN"/>
        </w:rPr>
        <w:t>水电维修、医辅等。</w:t>
      </w:r>
      <w:r>
        <w:rPr>
          <w:rFonts w:hint="eastAsia" w:ascii="宋体" w:hAnsi="宋体" w:eastAsia="宋体" w:cs="宋体"/>
          <w:color w:val="auto"/>
          <w:kern w:val="2"/>
          <w:sz w:val="24"/>
          <w:szCs w:val="24"/>
          <w:lang w:val="en-US" w:eastAsia="zh-CN"/>
        </w:rPr>
        <w:t>详见服务需求</w:t>
      </w:r>
      <w:r>
        <w:rPr>
          <w:rFonts w:hint="eastAsia" w:ascii="宋体" w:hAnsi="宋体" w:eastAsia="宋体" w:cs="宋体"/>
          <w:color w:val="auto"/>
          <w:kern w:val="2"/>
          <w:sz w:val="24"/>
          <w:szCs w:val="24"/>
          <w:lang w:eastAsia="zh-CN"/>
        </w:rPr>
        <w:t>。</w:t>
      </w:r>
    </w:p>
    <w:p w14:paraId="07CF2FE0">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三</w:t>
      </w:r>
      <w:r>
        <w:rPr>
          <w:rFonts w:hint="eastAsia" w:ascii="宋体" w:hAnsi="宋体" w:eastAsia="宋体" w:cs="宋体"/>
          <w:b/>
          <w:color w:val="auto"/>
          <w:kern w:val="2"/>
          <w:sz w:val="24"/>
          <w:szCs w:val="24"/>
        </w:rPr>
        <w:t>、服务需求</w:t>
      </w:r>
      <w:bookmarkEnd w:id="11"/>
    </w:p>
    <w:p w14:paraId="420C4F5A">
      <w:pPr>
        <w:pageBreakBefore w:val="0"/>
        <w:widowControl w:val="0"/>
        <w:kinsoku/>
        <w:wordWrap/>
        <w:overflowPunct/>
        <w:topLinePunct w:val="0"/>
        <w:autoSpaceDE/>
        <w:autoSpaceDN/>
        <w:bidi w:val="0"/>
        <w:adjustRightInd/>
        <w:snapToGrid/>
        <w:spacing w:after="120" w:line="440" w:lineRule="exact"/>
        <w:ind w:right="0" w:firstLine="482" w:firstLineChars="200"/>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zh-CN" w:eastAsia="zh-CN" w:bidi="ar-SA"/>
        </w:rPr>
        <w:t>1、项目</w:t>
      </w:r>
      <w:r>
        <w:rPr>
          <w:rFonts w:hint="eastAsia" w:ascii="宋体" w:hAnsi="宋体" w:eastAsia="宋体" w:cs="宋体"/>
          <w:b/>
          <w:bCs w:val="0"/>
          <w:color w:val="auto"/>
          <w:kern w:val="2"/>
          <w:sz w:val="24"/>
          <w:szCs w:val="24"/>
          <w:lang w:val="en-US" w:eastAsia="zh-CN" w:bidi="ar-SA"/>
        </w:rPr>
        <w:t xml:space="preserve">负责人  </w:t>
      </w:r>
    </w:p>
    <w:p w14:paraId="4F7638CB">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（1）负责对</w:t>
      </w:r>
      <w:r>
        <w:rPr>
          <w:rFonts w:hint="eastAsia" w:ascii="宋体" w:hAnsi="宋体" w:eastAsia="宋体" w:cs="宋体"/>
          <w:color w:val="auto"/>
          <w:kern w:val="2"/>
          <w:sz w:val="24"/>
          <w:szCs w:val="24"/>
          <w:lang w:val="en-US" w:eastAsia="zh-CN"/>
        </w:rPr>
        <w:t>主管、</w:t>
      </w:r>
      <w:r>
        <w:rPr>
          <w:rFonts w:hint="eastAsia" w:ascii="宋体" w:hAnsi="宋体" w:eastAsia="宋体" w:cs="宋体"/>
          <w:color w:val="auto"/>
          <w:kern w:val="2"/>
          <w:sz w:val="24"/>
          <w:szCs w:val="24"/>
        </w:rPr>
        <w:t>员工的培训和考核；</w:t>
      </w:r>
    </w:p>
    <w:p w14:paraId="41DB281B">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（2）处理医院物业服务应急事宜；</w:t>
      </w:r>
    </w:p>
    <w:p w14:paraId="09C23771">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（3）工作时间按照每周五天，节假日不休；</w:t>
      </w:r>
    </w:p>
    <w:p w14:paraId="4E12F1D5">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（4）完成医院临时交办的其他工作。</w:t>
      </w:r>
    </w:p>
    <w:p w14:paraId="0CD09597">
      <w:pPr>
        <w:pageBreakBefore w:val="0"/>
        <w:widowControl w:val="0"/>
        <w:kinsoku/>
        <w:wordWrap/>
        <w:overflowPunct/>
        <w:topLinePunct w:val="0"/>
        <w:autoSpaceDE/>
        <w:autoSpaceDN/>
        <w:bidi w:val="0"/>
        <w:adjustRightInd/>
        <w:snapToGrid/>
        <w:spacing w:line="440" w:lineRule="exact"/>
        <w:ind w:right="0" w:firstLine="482" w:firstLineChars="200"/>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val="en-US" w:eastAsia="zh-CN"/>
        </w:rPr>
        <w:t>2</w:t>
      </w:r>
      <w:r>
        <w:rPr>
          <w:rFonts w:hint="eastAsia" w:ascii="宋体" w:hAnsi="宋体" w:eastAsia="宋体" w:cs="宋体"/>
          <w:b/>
          <w:bCs/>
          <w:color w:val="auto"/>
          <w:kern w:val="2"/>
          <w:sz w:val="24"/>
          <w:szCs w:val="24"/>
        </w:rPr>
        <w:t>、保洁</w:t>
      </w:r>
    </w:p>
    <w:p w14:paraId="5EB9FA00">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负责全院室内、外墙面及楼顶层清洁卫生（包括外墙面及玻璃、高处灯具、通风口、地面、室内家具、楼梯、走廊、通道、窗户、门、桌、椅、床、柜、宣传栏、洗手间、电梯间、公共通道、医疗街等），以及所有医院规划内的室外卫生保洁；各种恶劣天气环境下地面积水、积雪、树木等清理疏通；并负责科室和病房的开水供应。</w:t>
      </w:r>
    </w:p>
    <w:p w14:paraId="0AC190FF">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（2）室内地砖、水磨石、瓷砖的养护、定期抛光、喷磨、刷洗、补蜡、全面打蜡。</w:t>
      </w:r>
    </w:p>
    <w:p w14:paraId="744E76B6">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（3）公共区域的地面砖、水磨石瓷砖的养护：定期进行抛光、喷磨、刷洗、补蜡、全面打蜡。</w:t>
      </w:r>
    </w:p>
    <w:p w14:paraId="60B96999">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（4）生活垃圾的收集、清运及分类处理（符合国家规范要求）。</w:t>
      </w:r>
    </w:p>
    <w:p w14:paraId="651F0C73">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（5）室内外花草树木养护、修剪、杀虫、施肥等。</w:t>
      </w:r>
    </w:p>
    <w:p w14:paraId="7F2D034F">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（6）医院污水井、雨水井、雨水沟、排水渠、室内外管道等下水道清淤、疏通；化粪池清淤清洗、处理、外运。</w:t>
      </w:r>
    </w:p>
    <w:p w14:paraId="7E91084B">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（7）室内地面每季度至少打腊1次，每月至少清洗1次，外墙每年至少清洗2次。</w:t>
      </w:r>
    </w:p>
    <w:p w14:paraId="1B5244CA">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（8）医院景观园林附属亭台回廊栈道等；</w:t>
      </w:r>
    </w:p>
    <w:p w14:paraId="69C5C5D5">
      <w:pPr>
        <w:pageBreakBefore w:val="0"/>
        <w:widowControl w:val="0"/>
        <w:kinsoku/>
        <w:wordWrap/>
        <w:overflowPunct/>
        <w:topLinePunct w:val="0"/>
        <w:autoSpaceDE/>
        <w:autoSpaceDN/>
        <w:bidi w:val="0"/>
        <w:adjustRightInd/>
        <w:snapToGrid/>
        <w:spacing w:after="120" w:line="440" w:lineRule="exact"/>
        <w:ind w:right="0" w:firstLine="480" w:firstLineChars="20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（9）生活垃圾的收集、运送工作等；</w:t>
      </w:r>
    </w:p>
    <w:p w14:paraId="526B5A5F">
      <w:pPr>
        <w:pageBreakBefore w:val="0"/>
        <w:widowControl w:val="0"/>
        <w:kinsoku/>
        <w:wordWrap/>
        <w:overflowPunct/>
        <w:topLinePunct w:val="0"/>
        <w:autoSpaceDE/>
        <w:autoSpaceDN/>
        <w:bidi w:val="0"/>
        <w:adjustRightInd/>
        <w:snapToGrid/>
        <w:spacing w:after="120" w:line="440" w:lineRule="exact"/>
        <w:ind w:right="0" w:firstLine="480" w:firstLineChars="20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（10）医疗危废按院感要求规范收集、清运至</w:t>
      </w:r>
      <w:r>
        <w:rPr>
          <w:rFonts w:hint="eastAsia" w:ascii="宋体" w:hAnsi="宋体" w:eastAsia="宋体" w:cs="宋体"/>
          <w:color w:val="auto"/>
          <w:kern w:val="2"/>
          <w:sz w:val="24"/>
          <w:szCs w:val="24"/>
          <w:lang w:val="en-US" w:eastAsia="zh-CN" w:bidi="ar-SA"/>
        </w:rPr>
        <w:t>指定</w:t>
      </w:r>
      <w:r>
        <w:rPr>
          <w:rFonts w:hint="eastAsia" w:ascii="宋体" w:hAnsi="宋体" w:eastAsia="宋体" w:cs="宋体"/>
          <w:color w:val="auto"/>
          <w:kern w:val="2"/>
          <w:sz w:val="24"/>
          <w:szCs w:val="24"/>
          <w:lang w:val="zh-CN" w:eastAsia="zh-CN" w:bidi="ar-SA"/>
        </w:rPr>
        <w:t>地点；未被污染的一次性输液瓶袋规范收集、清运至指定地点；</w:t>
      </w:r>
    </w:p>
    <w:p w14:paraId="7308AE3D">
      <w:pPr>
        <w:pageBreakBefore w:val="0"/>
        <w:widowControl w:val="0"/>
        <w:kinsoku/>
        <w:wordWrap/>
        <w:overflowPunct/>
        <w:topLinePunct w:val="0"/>
        <w:autoSpaceDE/>
        <w:autoSpaceDN/>
        <w:bidi w:val="0"/>
        <w:adjustRightInd/>
        <w:snapToGrid/>
        <w:spacing w:after="120" w:line="440" w:lineRule="exact"/>
        <w:ind w:right="0" w:firstLine="480" w:firstLineChars="20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（11）院内厕所保洁及化粪池的清淤；</w:t>
      </w:r>
    </w:p>
    <w:p w14:paraId="41DD4AB1">
      <w:pPr>
        <w:pageBreakBefore w:val="0"/>
        <w:widowControl w:val="0"/>
        <w:kinsoku/>
        <w:wordWrap/>
        <w:overflowPunct/>
        <w:topLinePunct w:val="0"/>
        <w:autoSpaceDE/>
        <w:autoSpaceDN/>
        <w:bidi w:val="0"/>
        <w:adjustRightInd/>
        <w:snapToGrid/>
        <w:spacing w:after="120" w:line="440" w:lineRule="exact"/>
        <w:ind w:right="0" w:firstLine="480" w:firstLineChars="20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w:t>
      </w: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kern w:val="2"/>
          <w:sz w:val="24"/>
          <w:szCs w:val="24"/>
          <w:lang w:val="zh-CN" w:eastAsia="zh-CN" w:bidi="ar-SA"/>
        </w:rPr>
        <w:t>）负责医院临时搬运项目；</w:t>
      </w:r>
    </w:p>
    <w:p w14:paraId="7428AD17">
      <w:pPr>
        <w:pageBreakBefore w:val="0"/>
        <w:widowControl w:val="0"/>
        <w:kinsoku/>
        <w:wordWrap/>
        <w:overflowPunct/>
        <w:topLinePunct w:val="0"/>
        <w:autoSpaceDE/>
        <w:autoSpaceDN/>
        <w:bidi w:val="0"/>
        <w:adjustRightInd/>
        <w:snapToGrid/>
        <w:spacing w:after="120" w:line="440" w:lineRule="exact"/>
        <w:ind w:right="0" w:firstLine="480" w:firstLineChars="20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（13）会议室开水供应；</w:t>
      </w:r>
    </w:p>
    <w:p w14:paraId="17790876">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14</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文明城市、卫生城市创建及医院重大任务卫生保洁工作；</w:t>
      </w:r>
    </w:p>
    <w:p w14:paraId="7783C875">
      <w:pPr>
        <w:pageBreakBefore w:val="0"/>
        <w:widowControl w:val="0"/>
        <w:kinsoku/>
        <w:wordWrap/>
        <w:overflowPunct/>
        <w:topLinePunct w:val="0"/>
        <w:autoSpaceDE/>
        <w:autoSpaceDN/>
        <w:bidi w:val="0"/>
        <w:adjustRightInd/>
        <w:snapToGrid/>
        <w:spacing w:line="440" w:lineRule="exact"/>
        <w:ind w:right="0" w:firstLine="482" w:firstLineChars="200"/>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val="en-US" w:eastAsia="zh-CN"/>
        </w:rPr>
        <w:t>3</w:t>
      </w:r>
      <w:r>
        <w:rPr>
          <w:rFonts w:hint="eastAsia" w:ascii="宋体" w:hAnsi="宋体" w:eastAsia="宋体" w:cs="宋体"/>
          <w:b/>
          <w:bCs/>
          <w:color w:val="auto"/>
          <w:kern w:val="2"/>
          <w:sz w:val="24"/>
          <w:szCs w:val="24"/>
        </w:rPr>
        <w:t>、医辅</w:t>
      </w:r>
    </w:p>
    <w:p w14:paraId="2AA66E83">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医辅服务范围和内容：根据医院及科室要求负责完成医疗辅助性工作</w:t>
      </w:r>
    </w:p>
    <w:p w14:paraId="6C363B2A">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（1）各类标本的收集运送（常规、急、平），报告单发放；</w:t>
      </w:r>
    </w:p>
    <w:p w14:paraId="394DD9D5">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（2）科室收、送瓶氧；</w:t>
      </w:r>
    </w:p>
    <w:p w14:paraId="65C8C2F9">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（3）运送科室所需常规药及卫生耗材；</w:t>
      </w:r>
    </w:p>
    <w:p w14:paraId="7F30926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（4）运送全院的各类大输液；</w:t>
      </w:r>
    </w:p>
    <w:p w14:paraId="623EA51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（5）全院集中配置的静脉及口服药品；</w:t>
      </w:r>
    </w:p>
    <w:p w14:paraId="3CEC8132">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（6）负责手术病人的接送；</w:t>
      </w:r>
    </w:p>
    <w:p w14:paraId="300441A4">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（7）负责医院临时搬运项目；</w:t>
      </w:r>
    </w:p>
    <w:p w14:paraId="7228DB2D">
      <w:pPr>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（8）规范处理医疗垃圾，符合医疗垃圾处理流程收集、转运、储存符合要求，登记符合要求。</w:t>
      </w:r>
    </w:p>
    <w:p w14:paraId="45AC23E7">
      <w:pPr>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（9）根据医院院感管理要求，需要增加的工作。</w:t>
      </w:r>
    </w:p>
    <w:p w14:paraId="2FB255AE">
      <w:pPr>
        <w:pageBreakBefore w:val="0"/>
        <w:widowControl w:val="0"/>
        <w:kinsoku/>
        <w:wordWrap/>
        <w:overflowPunct/>
        <w:topLinePunct w:val="0"/>
        <w:autoSpaceDE/>
        <w:autoSpaceDN/>
        <w:bidi w:val="0"/>
        <w:adjustRightInd/>
        <w:snapToGrid/>
        <w:spacing w:line="440" w:lineRule="exact"/>
        <w:ind w:right="0" w:firstLine="482" w:firstLineChars="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4、保安</w:t>
      </w:r>
    </w:p>
    <w:p w14:paraId="2A380BE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（1）保安员严格履行</w:t>
      </w:r>
      <w:r>
        <w:rPr>
          <w:rFonts w:hint="eastAsia" w:ascii="宋体" w:hAnsi="宋体" w:eastAsia="宋体" w:cs="宋体"/>
          <w:color w:val="auto"/>
          <w:kern w:val="2"/>
          <w:sz w:val="24"/>
          <w:szCs w:val="24"/>
          <w:lang w:eastAsia="zh-CN"/>
        </w:rPr>
        <w:t>卫生院</w:t>
      </w:r>
      <w:r>
        <w:rPr>
          <w:rFonts w:hint="eastAsia" w:ascii="宋体" w:hAnsi="宋体" w:eastAsia="宋体" w:cs="宋体"/>
          <w:color w:val="auto"/>
          <w:kern w:val="2"/>
          <w:sz w:val="24"/>
          <w:szCs w:val="24"/>
        </w:rPr>
        <w:t>规定的保安岗位职责要求，要负责维护门卫、大厅、院区停车场的秩序及消防、监控室的值班，遵守</w:t>
      </w:r>
      <w:r>
        <w:rPr>
          <w:rFonts w:hint="eastAsia" w:ascii="宋体" w:hAnsi="宋体" w:eastAsia="宋体" w:cs="宋体"/>
          <w:color w:val="auto"/>
          <w:kern w:val="2"/>
          <w:sz w:val="24"/>
          <w:szCs w:val="24"/>
          <w:lang w:eastAsia="zh-CN"/>
        </w:rPr>
        <w:t>卫生院</w:t>
      </w:r>
      <w:r>
        <w:rPr>
          <w:rFonts w:hint="eastAsia" w:ascii="宋体" w:hAnsi="宋体" w:eastAsia="宋体" w:cs="宋体"/>
          <w:color w:val="auto"/>
          <w:kern w:val="2"/>
          <w:sz w:val="24"/>
          <w:szCs w:val="24"/>
        </w:rPr>
        <w:t>符合法律规定的各项规章制度；</w:t>
      </w:r>
    </w:p>
    <w:p w14:paraId="1376C338">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（2）发生在执勤区域内的刑事案件、治安案件和灾害事故，及时处理并报告</w:t>
      </w:r>
      <w:r>
        <w:rPr>
          <w:rFonts w:hint="eastAsia" w:ascii="宋体" w:hAnsi="宋体" w:eastAsia="宋体" w:cs="宋体"/>
          <w:color w:val="auto"/>
          <w:kern w:val="2"/>
          <w:sz w:val="24"/>
          <w:szCs w:val="24"/>
          <w:lang w:eastAsia="zh-CN"/>
        </w:rPr>
        <w:t>卫生院</w:t>
      </w:r>
      <w:r>
        <w:rPr>
          <w:rFonts w:hint="eastAsia" w:ascii="宋体" w:hAnsi="宋体" w:eastAsia="宋体" w:cs="宋体"/>
          <w:color w:val="auto"/>
          <w:kern w:val="2"/>
          <w:sz w:val="24"/>
          <w:szCs w:val="24"/>
        </w:rPr>
        <w:t>部门管理负责人，采取措施保护发案现场，协助公安机关侦查各类治安刑事案件，依法妥善处理责任范围内的其它突发事件；</w:t>
      </w:r>
    </w:p>
    <w:p w14:paraId="544811BF">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（3）落实防火、防盗、防破坏等安全防范措施，发现责任区域内的安全隐患，及时处理并报</w:t>
      </w:r>
      <w:r>
        <w:rPr>
          <w:rFonts w:hint="eastAsia" w:ascii="宋体" w:hAnsi="宋体" w:eastAsia="宋体" w:cs="宋体"/>
          <w:color w:val="auto"/>
          <w:kern w:val="2"/>
          <w:sz w:val="24"/>
          <w:szCs w:val="24"/>
          <w:lang w:val="en-US" w:eastAsia="zh-CN"/>
        </w:rPr>
        <w:t>告</w:t>
      </w:r>
      <w:r>
        <w:rPr>
          <w:rFonts w:hint="eastAsia" w:ascii="宋体" w:hAnsi="宋体" w:eastAsia="宋体" w:cs="宋体"/>
          <w:color w:val="auto"/>
          <w:kern w:val="2"/>
          <w:sz w:val="24"/>
          <w:szCs w:val="24"/>
          <w:lang w:eastAsia="zh-CN"/>
        </w:rPr>
        <w:t>卫生院</w:t>
      </w:r>
      <w:r>
        <w:rPr>
          <w:rFonts w:hint="eastAsia" w:ascii="宋体" w:hAnsi="宋体" w:eastAsia="宋体" w:cs="宋体"/>
          <w:color w:val="auto"/>
          <w:kern w:val="2"/>
          <w:sz w:val="24"/>
          <w:szCs w:val="24"/>
        </w:rPr>
        <w:t>安保部门负责人；</w:t>
      </w:r>
    </w:p>
    <w:p w14:paraId="25A0754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（4）门诊部要做好电梯、前后门、会议室门的定时开关，新区要做好路灯、门厅灯的定时开关；</w:t>
      </w:r>
    </w:p>
    <w:p w14:paraId="5EE982F9">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（5）加强对门诊行政库房的全天巡逻；</w:t>
      </w:r>
    </w:p>
    <w:p w14:paraId="2FA5E4D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（6）负责传达室的材料递送、应急物件搬运等勤杂工作；</w:t>
      </w:r>
    </w:p>
    <w:p w14:paraId="64B6746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1"/>
          <w:szCs w:val="24"/>
        </w:rPr>
      </w:pPr>
      <w:r>
        <w:rPr>
          <w:rFonts w:hint="eastAsia" w:ascii="宋体" w:hAnsi="宋体" w:eastAsia="宋体" w:cs="宋体"/>
          <w:color w:val="auto"/>
          <w:kern w:val="2"/>
          <w:sz w:val="24"/>
          <w:szCs w:val="24"/>
        </w:rPr>
        <w:t>（7）负责院内停车场的安保管理；</w:t>
      </w:r>
    </w:p>
    <w:p w14:paraId="7745F6E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（8）应急期间配合医院做好相应应急管理服务工作。</w:t>
      </w:r>
    </w:p>
    <w:p w14:paraId="0C70EA60">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消防控制室、监控室持证上岗，消防控制室值班人员要全面熟悉消防控制室、监控室内的设备功能和使用程序与操作方法。严格遵守设备保养计划，确保设备的正常运转，发挥其应有的作用。机器如发生故障，应及时向医院保卫科报告，尽快排除，并做好消防安全记录；</w:t>
      </w:r>
    </w:p>
    <w:p w14:paraId="4A47F3D9">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）负责监控中心电视屏幕的监视工作，全面观察和掌握各个区域的治安动态，发现问题正确分析、判断，及时向上级报告并与有关岗哨取得联系，协助做好处置工作，并做好详细记录；</w:t>
      </w:r>
    </w:p>
    <w:p w14:paraId="6673AF9B">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）负责对重点部位和可疑情况的视频录像工作，并做好资料保管和保密工作。无关人员不准进入监控室，不准向无关人员谈及监控室的运作情况和值班情况；</w:t>
      </w:r>
    </w:p>
    <w:p w14:paraId="4A9535FF">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12</w:t>
      </w:r>
      <w:r>
        <w:rPr>
          <w:rFonts w:hint="eastAsia" w:ascii="宋体" w:hAnsi="宋体" w:eastAsia="宋体" w:cs="宋体"/>
          <w:color w:val="auto"/>
          <w:kern w:val="2"/>
          <w:sz w:val="24"/>
          <w:szCs w:val="24"/>
        </w:rPr>
        <w:t>）认真接听监控室电话，并做好详细记录。严禁在监控室拔打私人电话，以防占线贻误工作；</w:t>
      </w:r>
    </w:p>
    <w:p w14:paraId="3B8EC896">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13</w:t>
      </w:r>
      <w:r>
        <w:rPr>
          <w:rFonts w:hint="eastAsia" w:ascii="宋体" w:hAnsi="宋体" w:eastAsia="宋体" w:cs="宋体"/>
          <w:color w:val="auto"/>
          <w:kern w:val="2"/>
          <w:sz w:val="24"/>
          <w:szCs w:val="24"/>
        </w:rPr>
        <w:t>）如有人员需要调看监控，应经保卫科及院方领导同意方可允许，并做好相关记录；</w:t>
      </w:r>
    </w:p>
    <w:p w14:paraId="04D22F35">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14</w:t>
      </w:r>
      <w:r>
        <w:rPr>
          <w:rFonts w:hint="eastAsia" w:ascii="宋体" w:hAnsi="宋体" w:eastAsia="宋体" w:cs="宋体"/>
          <w:color w:val="auto"/>
          <w:kern w:val="2"/>
          <w:sz w:val="24"/>
          <w:szCs w:val="24"/>
        </w:rPr>
        <w:t>）按时上下班，不准擅自脱离岗位，认真做好交接班工作，要交清机器运转、当班发生情况及处理情况，详细填写交接班记录；</w:t>
      </w:r>
    </w:p>
    <w:p w14:paraId="61AA624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15</w:t>
      </w:r>
      <w:r>
        <w:rPr>
          <w:rFonts w:hint="eastAsia" w:ascii="宋体" w:hAnsi="宋体" w:eastAsia="宋体" w:cs="宋体"/>
          <w:color w:val="auto"/>
          <w:kern w:val="2"/>
          <w:sz w:val="24"/>
          <w:szCs w:val="24"/>
        </w:rPr>
        <w:t>）不准在监控室做与工作无关的事情。负责监控室的清洁卫生。</w:t>
      </w:r>
    </w:p>
    <w:p w14:paraId="58D04A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lang w:val="en-US" w:eastAsia="zh-CN"/>
        </w:rPr>
      </w:pPr>
      <w:r>
        <w:rPr>
          <w:rFonts w:hint="eastAsia" w:ascii="宋体" w:hAnsi="宋体" w:eastAsia="宋体" w:cs="宋体"/>
          <w:b/>
          <w:bCs/>
          <w:kern w:val="2"/>
          <w:sz w:val="24"/>
          <w:lang w:val="en-US" w:eastAsia="zh-CN"/>
        </w:rPr>
        <w:t>5、驾驶员</w:t>
      </w:r>
    </w:p>
    <w:p w14:paraId="1FFF9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符合驾驶岗位需求，吃苦耐劳，具有相应车辆驾驶证，各成员单位根据实际情况作备注。</w:t>
      </w:r>
    </w:p>
    <w:p w14:paraId="6D5789CF">
      <w:pPr>
        <w:keepNext w:val="0"/>
        <w:keepLines w:val="0"/>
        <w:pageBreakBefore w:val="0"/>
        <w:widowControl w:val="0"/>
        <w:kinsoku/>
        <w:wordWrap/>
        <w:overflowPunct/>
        <w:topLinePunct w:val="0"/>
        <w:autoSpaceDE/>
        <w:autoSpaceDN/>
        <w:bidi w:val="0"/>
        <w:adjustRightInd/>
        <w:snapToGrid/>
        <w:spacing w:after="120" w:line="440" w:lineRule="exact"/>
        <w:ind w:left="0" w:right="0" w:rightChars="0" w:firstLine="482" w:firstLineChars="200"/>
        <w:jc w:val="both"/>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6、</w:t>
      </w:r>
      <w:r>
        <w:rPr>
          <w:rFonts w:hint="eastAsia" w:ascii="宋体" w:hAnsi="宋体" w:eastAsia="宋体" w:cs="宋体"/>
          <w:b/>
          <w:bCs/>
          <w:color w:val="auto"/>
          <w:kern w:val="2"/>
          <w:sz w:val="24"/>
          <w:szCs w:val="24"/>
          <w:lang w:val="zh-CN" w:eastAsia="zh-CN" w:bidi="ar-SA"/>
        </w:rPr>
        <w:t>人员需求及配置</w:t>
      </w:r>
    </w:p>
    <w:p w14:paraId="31199466">
      <w:pPr>
        <w:keepNext w:val="0"/>
        <w:keepLines w:val="0"/>
        <w:pageBreakBefore w:val="0"/>
        <w:widowControl w:val="0"/>
        <w:kinsoku/>
        <w:wordWrap/>
        <w:overflowPunct/>
        <w:topLinePunct w:val="0"/>
        <w:autoSpaceDE/>
        <w:autoSpaceDN/>
        <w:bidi w:val="0"/>
        <w:adjustRightInd/>
        <w:snapToGrid/>
        <w:spacing w:after="120" w:line="440" w:lineRule="exact"/>
        <w:ind w:left="0" w:right="0" w:rightChars="0" w:firstLine="482" w:firstLineChars="200"/>
        <w:jc w:val="both"/>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肥西县</w:t>
      </w:r>
      <w:r>
        <w:rPr>
          <w:rFonts w:hint="eastAsia" w:ascii="宋体" w:hAnsi="宋体" w:eastAsia="宋体" w:cs="宋体"/>
          <w:b/>
          <w:bCs/>
          <w:color w:val="auto"/>
          <w:kern w:val="2"/>
          <w:sz w:val="24"/>
          <w:szCs w:val="24"/>
          <w:lang w:val="en-US" w:eastAsia="zh-CN" w:bidi="ar-SA"/>
        </w:rPr>
        <w:t>花岗镇</w:t>
      </w:r>
      <w:r>
        <w:rPr>
          <w:rFonts w:hint="eastAsia" w:ascii="宋体" w:hAnsi="宋体" w:eastAsia="宋体" w:cs="宋体"/>
          <w:b/>
          <w:bCs/>
          <w:color w:val="auto"/>
          <w:kern w:val="2"/>
          <w:sz w:val="24"/>
          <w:szCs w:val="24"/>
          <w:lang w:val="zh-CN" w:eastAsia="zh-CN" w:bidi="ar-SA"/>
        </w:rPr>
        <w:t>卫生院物业服务人员需求：</w:t>
      </w:r>
    </w:p>
    <w:tbl>
      <w:tblPr>
        <w:tblStyle w:val="15"/>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4"/>
        <w:gridCol w:w="1266"/>
        <w:gridCol w:w="1238"/>
        <w:gridCol w:w="1044"/>
        <w:gridCol w:w="706"/>
        <w:gridCol w:w="700"/>
        <w:gridCol w:w="1260"/>
        <w:gridCol w:w="990"/>
      </w:tblGrid>
      <w:tr w14:paraId="1DFF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2" w:hRule="atLeast"/>
          <w:jc w:val="center"/>
        </w:trPr>
        <w:tc>
          <w:tcPr>
            <w:tcW w:w="714" w:type="dxa"/>
            <w:shd w:val="clear" w:color="auto" w:fill="FFFFFF"/>
            <w:noWrap w:val="0"/>
            <w:vAlign w:val="center"/>
          </w:tcPr>
          <w:p w14:paraId="4C3C7E84">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序号</w:t>
            </w:r>
          </w:p>
        </w:tc>
        <w:tc>
          <w:tcPr>
            <w:tcW w:w="1266" w:type="dxa"/>
            <w:shd w:val="clear" w:color="auto" w:fill="FFFFFF"/>
            <w:noWrap w:val="0"/>
            <w:vAlign w:val="center"/>
          </w:tcPr>
          <w:p w14:paraId="4205186B">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单位</w:t>
            </w:r>
          </w:p>
        </w:tc>
        <w:tc>
          <w:tcPr>
            <w:tcW w:w="1238" w:type="dxa"/>
            <w:shd w:val="clear" w:color="auto" w:fill="FFFFFF"/>
            <w:noWrap w:val="0"/>
            <w:vAlign w:val="center"/>
          </w:tcPr>
          <w:p w14:paraId="5D39324B">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建筑</w:t>
            </w:r>
            <w:r>
              <w:rPr>
                <w:rFonts w:hint="eastAsia" w:ascii="宋体" w:hAnsi="宋体" w:eastAsia="宋体" w:cs="宋体"/>
                <w:b/>
                <w:bCs/>
                <w:color w:val="auto"/>
                <w:kern w:val="2"/>
                <w:sz w:val="24"/>
                <w:szCs w:val="24"/>
                <w:lang w:val="zh-CN" w:eastAsia="zh-CN" w:bidi="ar-SA"/>
              </w:rPr>
              <w:t>面积</w:t>
            </w:r>
          </w:p>
        </w:tc>
        <w:tc>
          <w:tcPr>
            <w:tcW w:w="1044" w:type="dxa"/>
            <w:shd w:val="clear" w:color="auto" w:fill="FFFFFF"/>
            <w:noWrap w:val="0"/>
            <w:vAlign w:val="center"/>
          </w:tcPr>
          <w:p w14:paraId="2B40ABC6">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项目负责人</w:t>
            </w:r>
          </w:p>
        </w:tc>
        <w:tc>
          <w:tcPr>
            <w:tcW w:w="706" w:type="dxa"/>
            <w:shd w:val="clear" w:color="auto" w:fill="FFFFFF"/>
            <w:noWrap w:val="0"/>
            <w:vAlign w:val="center"/>
          </w:tcPr>
          <w:p w14:paraId="0DF17819">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保洁</w:t>
            </w:r>
          </w:p>
        </w:tc>
        <w:tc>
          <w:tcPr>
            <w:tcW w:w="700" w:type="dxa"/>
            <w:shd w:val="clear" w:color="auto" w:fill="FFFFFF"/>
            <w:noWrap w:val="0"/>
            <w:vAlign w:val="center"/>
          </w:tcPr>
          <w:p w14:paraId="0B865E10">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医辅</w:t>
            </w:r>
          </w:p>
        </w:tc>
        <w:tc>
          <w:tcPr>
            <w:tcW w:w="1260" w:type="dxa"/>
            <w:shd w:val="clear" w:color="auto" w:fill="FFFFFF"/>
            <w:noWrap w:val="0"/>
            <w:vAlign w:val="center"/>
          </w:tcPr>
          <w:p w14:paraId="41B15AA1">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安保人员</w:t>
            </w:r>
          </w:p>
        </w:tc>
        <w:tc>
          <w:tcPr>
            <w:tcW w:w="990" w:type="dxa"/>
            <w:shd w:val="clear" w:color="auto" w:fill="FFFFFF"/>
            <w:noWrap w:val="0"/>
            <w:vAlign w:val="center"/>
          </w:tcPr>
          <w:p w14:paraId="10A59284">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lang w:val="en-US" w:eastAsia="zh-CN" w:bidi="ar-SA"/>
              </w:rPr>
              <w:t>驾驶员</w:t>
            </w:r>
          </w:p>
        </w:tc>
      </w:tr>
      <w:tr w14:paraId="37DA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7" w:hRule="atLeast"/>
          <w:jc w:val="center"/>
        </w:trPr>
        <w:tc>
          <w:tcPr>
            <w:tcW w:w="714" w:type="dxa"/>
            <w:shd w:val="clear" w:color="auto" w:fill="FFFFFF"/>
            <w:noWrap w:val="0"/>
            <w:vAlign w:val="center"/>
          </w:tcPr>
          <w:p w14:paraId="4A11DF16">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1</w:t>
            </w:r>
          </w:p>
        </w:tc>
        <w:tc>
          <w:tcPr>
            <w:tcW w:w="1266" w:type="dxa"/>
            <w:shd w:val="clear" w:color="auto" w:fill="FFFFFF"/>
            <w:noWrap w:val="0"/>
            <w:vAlign w:val="center"/>
          </w:tcPr>
          <w:p w14:paraId="31091C94">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花岗</w:t>
            </w:r>
            <w:r>
              <w:rPr>
                <w:rFonts w:hint="eastAsia" w:ascii="宋体" w:hAnsi="宋体" w:eastAsia="宋体" w:cs="宋体"/>
                <w:b/>
                <w:bCs/>
                <w:color w:val="auto"/>
                <w:kern w:val="2"/>
                <w:sz w:val="24"/>
                <w:szCs w:val="24"/>
                <w:lang w:val="zh-CN" w:eastAsia="zh-CN" w:bidi="ar-SA"/>
              </w:rPr>
              <w:t>医院</w:t>
            </w:r>
          </w:p>
        </w:tc>
        <w:tc>
          <w:tcPr>
            <w:tcW w:w="1238" w:type="dxa"/>
            <w:shd w:val="clear" w:color="auto" w:fill="FFFFFF"/>
            <w:noWrap w:val="0"/>
            <w:vAlign w:val="center"/>
          </w:tcPr>
          <w:p w14:paraId="0F6B75DE">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13300㎡</w:t>
            </w:r>
          </w:p>
        </w:tc>
        <w:tc>
          <w:tcPr>
            <w:tcW w:w="1044" w:type="dxa"/>
            <w:tcBorders>
              <w:bottom w:val="single" w:color="000000" w:sz="4" w:space="0"/>
            </w:tcBorders>
            <w:shd w:val="clear" w:color="auto" w:fill="FFFFFF"/>
            <w:noWrap w:val="0"/>
            <w:vAlign w:val="center"/>
          </w:tcPr>
          <w:p w14:paraId="2D43650E">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1</w:t>
            </w:r>
          </w:p>
        </w:tc>
        <w:tc>
          <w:tcPr>
            <w:tcW w:w="706" w:type="dxa"/>
            <w:shd w:val="clear" w:color="auto" w:fill="FFFFFF"/>
            <w:noWrap w:val="0"/>
            <w:vAlign w:val="center"/>
          </w:tcPr>
          <w:p w14:paraId="17806FFF">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7</w:t>
            </w:r>
          </w:p>
        </w:tc>
        <w:tc>
          <w:tcPr>
            <w:tcW w:w="700" w:type="dxa"/>
            <w:shd w:val="clear" w:color="auto" w:fill="FFFFFF"/>
            <w:noWrap w:val="0"/>
            <w:vAlign w:val="center"/>
          </w:tcPr>
          <w:p w14:paraId="69484D40">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w:t>
            </w:r>
          </w:p>
        </w:tc>
        <w:tc>
          <w:tcPr>
            <w:tcW w:w="1260" w:type="dxa"/>
            <w:shd w:val="clear" w:color="auto" w:fill="FFFFFF"/>
            <w:noWrap w:val="0"/>
            <w:vAlign w:val="center"/>
          </w:tcPr>
          <w:p w14:paraId="2F3540A7">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w:t>
            </w:r>
          </w:p>
        </w:tc>
        <w:tc>
          <w:tcPr>
            <w:tcW w:w="990" w:type="dxa"/>
            <w:shd w:val="clear" w:color="auto" w:fill="FFFFFF"/>
            <w:noWrap w:val="0"/>
            <w:vAlign w:val="center"/>
          </w:tcPr>
          <w:p w14:paraId="794B30B9">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w:t>
            </w:r>
          </w:p>
        </w:tc>
      </w:tr>
      <w:tr w14:paraId="0AAD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1" w:hRule="atLeast"/>
          <w:jc w:val="center"/>
        </w:trPr>
        <w:tc>
          <w:tcPr>
            <w:tcW w:w="3218" w:type="dxa"/>
            <w:gridSpan w:val="3"/>
            <w:shd w:val="clear" w:color="auto" w:fill="FFFFFF"/>
            <w:noWrap w:val="0"/>
            <w:vAlign w:val="center"/>
          </w:tcPr>
          <w:p w14:paraId="71B95219">
            <w:pPr>
              <w:keepNext w:val="0"/>
              <w:keepLines w:val="0"/>
              <w:pageBreakBefore w:val="0"/>
              <w:widowControl w:val="0"/>
              <w:kinsoku/>
              <w:wordWrap/>
              <w:overflowPunct/>
              <w:topLinePunct w:val="0"/>
              <w:autoSpaceDE/>
              <w:autoSpaceDN/>
              <w:bidi w:val="0"/>
              <w:adjustRightInd/>
              <w:snapToGrid/>
              <w:spacing w:after="120" w:line="440" w:lineRule="exact"/>
              <w:ind w:left="0" w:right="0" w:rightChars="0" w:firstLine="482" w:firstLineChars="200"/>
              <w:jc w:val="both"/>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合计</w:t>
            </w:r>
          </w:p>
        </w:tc>
        <w:tc>
          <w:tcPr>
            <w:tcW w:w="4700" w:type="dxa"/>
            <w:gridSpan w:val="5"/>
            <w:shd w:val="clear" w:color="auto" w:fill="FFFFFF"/>
            <w:noWrap w:val="0"/>
            <w:vAlign w:val="center"/>
          </w:tcPr>
          <w:p w14:paraId="5D197CF6">
            <w:pPr>
              <w:keepNext w:val="0"/>
              <w:keepLines w:val="0"/>
              <w:pageBreakBefore w:val="0"/>
              <w:widowControl w:val="0"/>
              <w:kinsoku/>
              <w:wordWrap/>
              <w:overflowPunct/>
              <w:topLinePunct w:val="0"/>
              <w:autoSpaceDE/>
              <w:autoSpaceDN/>
              <w:bidi w:val="0"/>
              <w:adjustRightInd/>
              <w:snapToGrid/>
              <w:spacing w:after="120" w:line="440" w:lineRule="exact"/>
              <w:ind w:left="0" w:leftChars="0" w:right="0" w:rightChars="0" w:firstLine="0" w:firstLineChars="0"/>
              <w:jc w:val="center"/>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12</w:t>
            </w:r>
            <w:r>
              <w:rPr>
                <w:rFonts w:hint="eastAsia" w:ascii="宋体" w:hAnsi="宋体" w:eastAsia="宋体" w:cs="宋体"/>
                <w:b/>
                <w:bCs/>
                <w:color w:val="auto"/>
                <w:kern w:val="2"/>
                <w:sz w:val="24"/>
                <w:szCs w:val="24"/>
                <w:highlight w:val="none"/>
                <w:lang w:val="zh-CN" w:eastAsia="zh-CN" w:bidi="ar-SA"/>
              </w:rPr>
              <w:t>人</w:t>
            </w:r>
          </w:p>
        </w:tc>
      </w:tr>
    </w:tbl>
    <w:p w14:paraId="7E2E06F8">
      <w:pPr>
        <w:keepNext w:val="0"/>
        <w:keepLines w:val="0"/>
        <w:pageBreakBefore w:val="0"/>
        <w:widowControl w:val="0"/>
        <w:kinsoku/>
        <w:wordWrap/>
        <w:overflowPunct/>
        <w:topLinePunct w:val="0"/>
        <w:autoSpaceDE/>
        <w:autoSpaceDN/>
        <w:bidi w:val="0"/>
        <w:adjustRightInd/>
        <w:snapToGrid/>
        <w:spacing w:after="120" w:line="440" w:lineRule="exact"/>
        <w:ind w:left="0" w:right="0" w:rightChars="0"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21"/>
          <w:sz w:val="24"/>
          <w:szCs w:val="24"/>
          <w:highlight w:val="none"/>
          <w:lang w:val="zh-CN" w:eastAsia="zh-CN" w:bidi="ar-SA"/>
        </w:rPr>
        <w:t>注：以上人员要求，除评分细则中要求提供的人员相关证明材料作为评分条件以外，响应文件中无须提供其余人员相关证明材料，合同签订后服务实施前由采购人负责核查，若不符合磋商文件要求，采购人有权报监督管理部门进行处理。</w:t>
      </w:r>
    </w:p>
    <w:p w14:paraId="40FE3EE7">
      <w:pPr>
        <w:pageBreakBefore w:val="0"/>
        <w:widowControl w:val="0"/>
        <w:kinsoku/>
        <w:wordWrap/>
        <w:overflowPunct/>
        <w:topLinePunct w:val="0"/>
        <w:autoSpaceDE/>
        <w:autoSpaceDN/>
        <w:bidi w:val="0"/>
        <w:adjustRightInd/>
        <w:snapToGrid/>
        <w:spacing w:line="440" w:lineRule="exact"/>
        <w:ind w:right="0" w:firstLine="482" w:firstLineChars="200"/>
        <w:textAlignment w:val="auto"/>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lang w:val="en-US" w:eastAsia="zh-CN"/>
        </w:rPr>
        <w:t>四</w:t>
      </w:r>
      <w:r>
        <w:rPr>
          <w:rFonts w:hint="eastAsia" w:ascii="宋体" w:hAnsi="宋体" w:eastAsia="宋体" w:cs="宋体"/>
          <w:b/>
          <w:bCs/>
          <w:color w:val="auto"/>
          <w:kern w:val="2"/>
          <w:sz w:val="24"/>
          <w:szCs w:val="24"/>
        </w:rPr>
        <w:t>、其他事项说明</w:t>
      </w:r>
    </w:p>
    <w:p w14:paraId="70CEAB45">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办公等各类用电、用水费用及水电维修耗材由医院承担。</w:t>
      </w:r>
    </w:p>
    <w:p w14:paraId="3BB819B4">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、医院将提供</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管理办公用房、仓库用房，在服务期限内提供给</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免费使用。</w:t>
      </w:r>
    </w:p>
    <w:p w14:paraId="073ED8F8">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需配置项目相关人员的装备（包括工作服、工号牌等相关标示标牌）。</w:t>
      </w:r>
    </w:p>
    <w:p w14:paraId="41CC36A9">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自备电脑、考勤设备和打印机等办公设备和耗材；</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自行负责桌椅等办公家私和员工更衣柜。</w:t>
      </w:r>
    </w:p>
    <w:p w14:paraId="6437AB8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提供全部的保洁工具物料耗材和运送耗材及各类生活垃圾桶、开水车、医疗垃圾车、生活垃圾车等。</w:t>
      </w:r>
    </w:p>
    <w:p w14:paraId="4FD05AD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提供工作所需的消毒药剂及医院各出入口地垫、各楼层、病区生活垃圾桶、生活垃圾袋等。</w:t>
      </w:r>
    </w:p>
    <w:p w14:paraId="14F53703">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安排在现场提供服务的员工必须五官端正、形象良好、身体健康。员工年龄要求为：男性60周岁以下（含60周岁），女性55周岁以下（含55周岁）；</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需为在现场服务人员提供正规医疗机构健康体检报告，确保体检合格后上岗服务（常规体检每年一次）。以上人员须具有一定的文化程度。特殊岗位年龄要求人员除外。</w:t>
      </w:r>
    </w:p>
    <w:p w14:paraId="29132D9D">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的各岗位员工要统一服装，并由</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负责其员工工服配备和洗涤，特种工作人员防护用品须符合要求。</w:t>
      </w:r>
    </w:p>
    <w:p w14:paraId="3186C13A">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有岗前培训记录，服务人员100%经过岗前培训合格方可上岗。</w:t>
      </w:r>
    </w:p>
    <w:p w14:paraId="237142D5">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在合同期限内不得将本项目的物业管理权转包或发包，一经发现，</w:t>
      </w:r>
      <w:r>
        <w:rPr>
          <w:rFonts w:hint="eastAsia" w:ascii="宋体" w:hAnsi="宋体" w:eastAsia="宋体" w:cs="宋体"/>
          <w:color w:val="auto"/>
          <w:kern w:val="2"/>
          <w:sz w:val="24"/>
          <w:szCs w:val="24"/>
          <w:lang w:eastAsia="zh-CN"/>
        </w:rPr>
        <w:t>采购人</w:t>
      </w:r>
      <w:r>
        <w:rPr>
          <w:rFonts w:hint="eastAsia" w:ascii="宋体" w:hAnsi="宋体" w:eastAsia="宋体" w:cs="宋体"/>
          <w:color w:val="auto"/>
          <w:kern w:val="2"/>
          <w:sz w:val="24"/>
          <w:szCs w:val="24"/>
        </w:rPr>
        <w:t>立即终止合同，并按合同条款进行</w:t>
      </w:r>
      <w:r>
        <w:rPr>
          <w:rFonts w:hint="eastAsia" w:ascii="宋体" w:hAnsi="宋体" w:eastAsia="宋体" w:cs="宋体"/>
          <w:color w:val="auto"/>
          <w:kern w:val="2"/>
          <w:sz w:val="24"/>
          <w:szCs w:val="24"/>
          <w:lang w:val="en-US" w:eastAsia="zh-CN"/>
        </w:rPr>
        <w:t>处理</w:t>
      </w:r>
      <w:r>
        <w:rPr>
          <w:rFonts w:hint="eastAsia" w:ascii="宋体" w:hAnsi="宋体" w:eastAsia="宋体" w:cs="宋体"/>
          <w:color w:val="auto"/>
          <w:kern w:val="2"/>
          <w:sz w:val="24"/>
          <w:szCs w:val="24"/>
        </w:rPr>
        <w:t>。</w:t>
      </w:r>
    </w:p>
    <w:p w14:paraId="468C87EB">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须严格按照标准化的操作程序、完善的培训体系和质量控制体系完成本项目，以保证整个医院各系统安全、高效、有序和有计划地运转。</w:t>
      </w:r>
    </w:p>
    <w:p w14:paraId="302BE655">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有责任配合医院接受上级领导部门的监督、检查，提供必要的资料。</w:t>
      </w:r>
    </w:p>
    <w:p w14:paraId="1F2AD69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负责所招聘员工的一切工资、福利；如发生工伤、疾病乃至死亡的一切责任及费用由</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全部负责；</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应严格遵守国家有关的法律、法规及行业标准。</w:t>
      </w:r>
    </w:p>
    <w:p w14:paraId="115CCED8">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14</w:t>
      </w:r>
      <w:r>
        <w:rPr>
          <w:rFonts w:hint="eastAsia" w:ascii="宋体" w:hAnsi="宋体" w:eastAsia="宋体" w:cs="宋体"/>
          <w:color w:val="auto"/>
          <w:kern w:val="2"/>
          <w:sz w:val="24"/>
          <w:szCs w:val="24"/>
        </w:rPr>
        <w:t>、全部服务人员的工作时间应严格按国家有关法律、法规要求的标准执行，因工作原因产生的加班（含节假日加班）应严格按国家有关法律、法规要求的标准给付员工加班薪资。</w:t>
      </w:r>
    </w:p>
    <w:p w14:paraId="66DB4B04">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15</w:t>
      </w:r>
      <w:r>
        <w:rPr>
          <w:rFonts w:hint="eastAsia" w:ascii="宋体" w:hAnsi="宋体" w:eastAsia="宋体" w:cs="宋体"/>
          <w:color w:val="auto"/>
          <w:kern w:val="2"/>
          <w:sz w:val="24"/>
          <w:szCs w:val="24"/>
        </w:rPr>
        <w:t>、负责医院医疗垃圾的收集并送到医院指定地点，做好医疗垃圾分类、暂存、交接、记录和暂存处的清洗、消毒工作。</w:t>
      </w:r>
    </w:p>
    <w:p w14:paraId="38EC6D42">
      <w:pPr>
        <w:pageBreakBefore w:val="0"/>
        <w:widowControl w:val="0"/>
        <w:kinsoku/>
        <w:wordWrap/>
        <w:overflowPunct/>
        <w:topLinePunct w:val="0"/>
        <w:autoSpaceDE/>
        <w:autoSpaceDN/>
        <w:bidi w:val="0"/>
        <w:adjustRightInd/>
        <w:snapToGrid/>
        <w:spacing w:after="120" w:line="440" w:lineRule="exact"/>
        <w:ind w:right="0" w:firstLine="480" w:firstLineChars="20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16</w:t>
      </w:r>
      <w:r>
        <w:rPr>
          <w:rFonts w:hint="eastAsia" w:ascii="宋体" w:hAnsi="宋体" w:eastAsia="宋体" w:cs="宋体"/>
          <w:color w:val="auto"/>
          <w:kern w:val="2"/>
          <w:sz w:val="24"/>
          <w:szCs w:val="24"/>
          <w:lang w:val="zh-CN" w:eastAsia="zh-CN" w:bidi="ar-SA"/>
        </w:rPr>
        <w:t>、成交供应商提供恶劣天气（暴雨、大雪等）必要工具及融雪剂等。</w:t>
      </w:r>
    </w:p>
    <w:p w14:paraId="314E08C1">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17</w:t>
      </w:r>
      <w:r>
        <w:rPr>
          <w:rFonts w:hint="eastAsia" w:ascii="宋体" w:hAnsi="宋体" w:eastAsia="宋体" w:cs="宋体"/>
          <w:color w:val="auto"/>
          <w:kern w:val="2"/>
          <w:sz w:val="24"/>
          <w:szCs w:val="24"/>
        </w:rPr>
        <w:t>、医院不安排上岗人员的食宿。</w:t>
      </w:r>
    </w:p>
    <w:p w14:paraId="07D4F872">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18</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成交供应商</w:t>
      </w:r>
      <w:r>
        <w:rPr>
          <w:rFonts w:hint="eastAsia" w:ascii="宋体" w:hAnsi="宋体" w:eastAsia="宋体" w:cs="宋体"/>
          <w:color w:val="auto"/>
          <w:kern w:val="2"/>
          <w:sz w:val="24"/>
          <w:szCs w:val="24"/>
        </w:rPr>
        <w:t>须与</w:t>
      </w:r>
      <w:r>
        <w:rPr>
          <w:rFonts w:hint="eastAsia" w:ascii="宋体" w:hAnsi="宋体" w:eastAsia="宋体" w:cs="宋体"/>
          <w:color w:val="auto"/>
          <w:kern w:val="2"/>
          <w:sz w:val="24"/>
          <w:szCs w:val="24"/>
          <w:lang w:eastAsia="zh-CN"/>
        </w:rPr>
        <w:t>采购人</w:t>
      </w:r>
      <w:r>
        <w:rPr>
          <w:rFonts w:hint="eastAsia" w:ascii="宋体" w:hAnsi="宋体" w:eastAsia="宋体" w:cs="宋体"/>
          <w:color w:val="auto"/>
          <w:kern w:val="2"/>
          <w:sz w:val="24"/>
          <w:szCs w:val="24"/>
        </w:rPr>
        <w:t>签订安全生产和消防安全协议，</w:t>
      </w:r>
      <w:r>
        <w:rPr>
          <w:rFonts w:hint="eastAsia" w:ascii="宋体" w:hAnsi="宋体" w:eastAsia="宋体" w:cs="宋体"/>
          <w:color w:val="auto"/>
          <w:kern w:val="2"/>
          <w:sz w:val="24"/>
          <w:szCs w:val="24"/>
          <w:lang w:eastAsia="zh-CN"/>
        </w:rPr>
        <w:t>成交</w:t>
      </w:r>
      <w:r>
        <w:rPr>
          <w:rFonts w:hint="eastAsia" w:ascii="宋体" w:hAnsi="宋体" w:eastAsia="宋体" w:cs="宋体"/>
          <w:color w:val="auto"/>
          <w:kern w:val="2"/>
          <w:sz w:val="24"/>
          <w:szCs w:val="24"/>
        </w:rPr>
        <w:t>方须严格遵守协议规定。</w:t>
      </w:r>
    </w:p>
    <w:p w14:paraId="64F04F9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19、岗位人员（人员岗位）根据医院实际开诊区域作相应调整，人员费用按照成交供应商员工标准执行。</w:t>
      </w:r>
    </w:p>
    <w:p w14:paraId="7FD5135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b/>
          <w:bCs/>
          <w:kern w:val="2"/>
          <w:sz w:val="24"/>
          <w:szCs w:val="24"/>
          <w:lang w:val="en-US" w:eastAsia="zh-CN"/>
        </w:rPr>
      </w:pPr>
      <w:r>
        <w:rPr>
          <w:rFonts w:hint="eastAsia" w:ascii="宋体" w:hAnsi="宋体" w:eastAsia="宋体" w:cs="宋体"/>
          <w:color w:val="auto"/>
          <w:kern w:val="2"/>
          <w:sz w:val="24"/>
          <w:szCs w:val="24"/>
          <w:lang w:val="en-US" w:eastAsia="zh-CN"/>
        </w:rPr>
        <w:t>20</w:t>
      </w:r>
      <w:r>
        <w:rPr>
          <w:rFonts w:hint="eastAsia" w:ascii="宋体" w:hAnsi="宋体" w:eastAsia="宋体" w:cs="宋体"/>
          <w:color w:val="auto"/>
          <w:kern w:val="2"/>
          <w:sz w:val="24"/>
          <w:szCs w:val="24"/>
        </w:rPr>
        <w:t>、服务人员必须遵守院方的各项规章制度。</w:t>
      </w:r>
    </w:p>
    <w:p w14:paraId="033738A8">
      <w:pPr>
        <w:keepNext w:val="0"/>
        <w:keepLines w:val="0"/>
        <w:pageBreakBefore w:val="0"/>
        <w:widowControl w:val="0"/>
        <w:kinsoku/>
        <w:wordWrap/>
        <w:overflowPunct/>
        <w:topLinePunct w:val="0"/>
        <w:autoSpaceDE/>
        <w:autoSpaceDN/>
        <w:bidi w:val="0"/>
        <w:adjustRightInd/>
        <w:spacing w:after="120" w:line="440" w:lineRule="exact"/>
        <w:ind w:left="0" w:right="0" w:rightChars="0" w:firstLine="482" w:firstLineChars="200"/>
        <w:jc w:val="both"/>
        <w:rPr>
          <w:rFonts w:hint="eastAsia" w:ascii="宋体" w:hAnsi="宋体" w:eastAsia="宋体" w:cs="宋体"/>
          <w:color w:val="auto"/>
          <w:kern w:val="2"/>
          <w:sz w:val="24"/>
          <w:szCs w:val="24"/>
          <w:lang w:val="zh-CN" w:eastAsia="zh-CN" w:bidi="ar-SA"/>
        </w:rPr>
      </w:pPr>
      <w:r>
        <w:rPr>
          <w:rFonts w:hint="eastAsia" w:ascii="宋体" w:hAnsi="宋体" w:eastAsia="宋体" w:cs="宋体"/>
          <w:b/>
          <w:bCs/>
          <w:kern w:val="2"/>
          <w:sz w:val="24"/>
          <w:szCs w:val="24"/>
          <w:lang w:val="en-US" w:eastAsia="zh-CN" w:bidi="ar-SA"/>
        </w:rPr>
        <w:t>五</w:t>
      </w:r>
      <w:r>
        <w:rPr>
          <w:rFonts w:hint="eastAsia" w:ascii="宋体" w:hAnsi="宋体" w:eastAsia="宋体" w:cs="宋体"/>
          <w:b/>
          <w:bCs/>
          <w:kern w:val="2"/>
          <w:sz w:val="24"/>
          <w:szCs w:val="24"/>
          <w:lang w:val="zh-CN" w:eastAsia="zh-CN" w:bidi="ar-SA"/>
        </w:rPr>
        <w:t>、报价要求</w:t>
      </w:r>
    </w:p>
    <w:p w14:paraId="40A17EDB">
      <w:pPr>
        <w:spacing w:line="360" w:lineRule="auto"/>
        <w:ind w:firstLine="480" w:firstLineChars="200"/>
        <w:jc w:val="left"/>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1、根据本项目物业管理全部范围，</w:t>
      </w:r>
      <w:r>
        <w:rPr>
          <w:rFonts w:hint="eastAsia" w:ascii="宋体" w:hAnsi="宋体" w:eastAsia="宋体" w:cs="宋体"/>
          <w:kern w:val="21"/>
          <w:sz w:val="24"/>
          <w:szCs w:val="24"/>
          <w:highlight w:val="none"/>
          <w:lang w:val="en-US" w:eastAsia="zh-CN"/>
        </w:rPr>
        <w:t>本项目</w:t>
      </w:r>
      <w:r>
        <w:rPr>
          <w:rFonts w:hint="eastAsia" w:ascii="宋体" w:hAnsi="宋体" w:eastAsia="宋体" w:cs="宋体"/>
          <w:kern w:val="21"/>
          <w:sz w:val="24"/>
          <w:szCs w:val="24"/>
          <w:highlight w:val="none"/>
        </w:rPr>
        <w:t>总价</w:t>
      </w:r>
      <w:r>
        <w:rPr>
          <w:rFonts w:hint="eastAsia" w:ascii="宋体" w:hAnsi="宋体" w:eastAsia="宋体" w:cs="宋体"/>
          <w:kern w:val="21"/>
          <w:sz w:val="24"/>
          <w:szCs w:val="24"/>
          <w:highlight w:val="none"/>
          <w:lang w:val="en-US" w:eastAsia="zh-CN"/>
        </w:rPr>
        <w:t>报价</w:t>
      </w:r>
      <w:r>
        <w:rPr>
          <w:rFonts w:hint="eastAsia" w:ascii="宋体" w:hAnsi="宋体" w:eastAsia="宋体" w:cs="宋体"/>
          <w:kern w:val="21"/>
          <w:sz w:val="24"/>
          <w:szCs w:val="24"/>
          <w:highlight w:val="none"/>
        </w:rPr>
        <w:t>(服务期内的人员工资应由</w:t>
      </w:r>
      <w:r>
        <w:rPr>
          <w:rFonts w:hint="eastAsia" w:ascii="宋体" w:hAnsi="宋体" w:eastAsia="宋体" w:cs="宋体"/>
          <w:kern w:val="21"/>
          <w:sz w:val="24"/>
          <w:szCs w:val="24"/>
          <w:highlight w:val="none"/>
          <w:lang w:eastAsia="zh-CN"/>
        </w:rPr>
        <w:t>成交供应商</w:t>
      </w:r>
      <w:r>
        <w:rPr>
          <w:rFonts w:hint="eastAsia" w:ascii="宋体" w:hAnsi="宋体" w:eastAsia="宋体" w:cs="宋体"/>
          <w:kern w:val="21"/>
          <w:sz w:val="24"/>
          <w:szCs w:val="24"/>
          <w:highlight w:val="none"/>
        </w:rPr>
        <w:t>依据肥西县最低工资标准进行调整，其风险由</w:t>
      </w:r>
      <w:r>
        <w:rPr>
          <w:rFonts w:hint="eastAsia" w:ascii="宋体" w:hAnsi="宋体" w:eastAsia="宋体" w:cs="宋体"/>
          <w:kern w:val="21"/>
          <w:sz w:val="24"/>
          <w:szCs w:val="24"/>
          <w:highlight w:val="none"/>
          <w:lang w:eastAsia="zh-CN"/>
        </w:rPr>
        <w:t>成交供应商</w:t>
      </w:r>
      <w:r>
        <w:rPr>
          <w:rFonts w:hint="eastAsia" w:ascii="宋体" w:hAnsi="宋体" w:eastAsia="宋体" w:cs="宋体"/>
          <w:kern w:val="21"/>
          <w:sz w:val="24"/>
          <w:szCs w:val="24"/>
          <w:highlight w:val="none"/>
        </w:rPr>
        <w:t>自行承担，采购人不再予以加价)。</w:t>
      </w:r>
    </w:p>
    <w:p w14:paraId="317FA559">
      <w:pPr>
        <w:pageBreakBefore w:val="0"/>
        <w:widowControl w:val="0"/>
        <w:wordWrap/>
        <w:topLinePunct w:val="0"/>
        <w:bidi w:val="0"/>
        <w:spacing w:after="0" w:line="360" w:lineRule="auto"/>
        <w:ind w:left="0" w:leftChars="0" w:right="0" w:rightChars="0" w:firstLine="480" w:firstLineChars="200"/>
        <w:jc w:val="both"/>
        <w:rPr>
          <w:rFonts w:hint="default" w:ascii="楷体_GB2312" w:hAnsi="Calibri" w:eastAsia="宋体" w:cs="@仿宋_GB2312"/>
          <w:kern w:val="2"/>
          <w:sz w:val="32"/>
          <w:szCs w:val="20"/>
          <w:lang w:val="en-US" w:eastAsia="zh-CN" w:bidi="ar-SA"/>
        </w:rPr>
      </w:pPr>
      <w:r>
        <w:rPr>
          <w:rFonts w:hint="eastAsia" w:ascii="宋体" w:hAnsi="宋体" w:eastAsia="宋体" w:cs="宋体"/>
          <w:kern w:val="21"/>
          <w:sz w:val="24"/>
          <w:szCs w:val="24"/>
          <w:highlight w:val="none"/>
          <w:lang w:val="en-US" w:eastAsia="zh-CN" w:bidi="ar-SA"/>
        </w:rPr>
        <w:t>2、响应报价为完成本次采购项目的全费用价格，其组成包括但不限于人员工资、服装费、办公费、交通费、通讯费、培训费、劳动工具、清洁易耗品、外墙清洗、垃圾外运至就近中转站、消杀、税金、利润、劳动保险费、合同工期内的风险费用等为完成本次响应项目所发生的一切费用。成交供应商自行解决员工养老、失业、医疗、工伤、生育、纳税等保险及劳保、工资、福利、食宿、员工上下班交通、员工日常及节假日加班、成交供应商交通问题及成交供应商为完成服务所发生的一切费用等有关问题。</w:t>
      </w:r>
    </w:p>
    <w:p w14:paraId="55C6C2A8">
      <w:pPr>
        <w:pageBreakBefore w:val="0"/>
        <w:widowControl w:val="0"/>
        <w:wordWrap/>
        <w:topLinePunct w:val="0"/>
        <w:bidi w:val="0"/>
        <w:spacing w:after="0" w:line="360" w:lineRule="auto"/>
        <w:ind w:left="0" w:leftChars="0" w:right="0" w:rightChars="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3、政策性费用测算如下：（单位：元）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820"/>
        <w:gridCol w:w="1125"/>
        <w:gridCol w:w="1290"/>
        <w:gridCol w:w="1005"/>
        <w:gridCol w:w="1516"/>
      </w:tblGrid>
      <w:tr w14:paraId="01EA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40E8F158">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一般纳税人政策性费用测算：</w:t>
            </w:r>
          </w:p>
        </w:tc>
      </w:tr>
      <w:tr w14:paraId="1B48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17731E2B">
            <w:pPr>
              <w:spacing w:line="360" w:lineRule="auto"/>
              <w:ind w:firstLine="0" w:firstLineChars="0"/>
              <w:jc w:val="center"/>
              <w:rPr>
                <w:rFonts w:hint="eastAsia" w:ascii="宋体" w:hAnsi="宋体" w:eastAsia="宋体" w:cs="宋体"/>
                <w:sz w:val="24"/>
                <w:szCs w:val="24"/>
                <w:highlight w:val="none"/>
              </w:rPr>
            </w:pPr>
          </w:p>
        </w:tc>
        <w:tc>
          <w:tcPr>
            <w:tcW w:w="2820" w:type="dxa"/>
            <w:vAlign w:val="center"/>
          </w:tcPr>
          <w:p w14:paraId="19F35CCA">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缴费项目</w:t>
            </w:r>
          </w:p>
        </w:tc>
        <w:tc>
          <w:tcPr>
            <w:tcW w:w="1125" w:type="dxa"/>
            <w:vAlign w:val="center"/>
          </w:tcPr>
          <w:p w14:paraId="762C272A">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人数</w:t>
            </w:r>
          </w:p>
        </w:tc>
        <w:tc>
          <w:tcPr>
            <w:tcW w:w="1290" w:type="dxa"/>
            <w:vAlign w:val="center"/>
          </w:tcPr>
          <w:p w14:paraId="4516BF69">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费用</w:t>
            </w:r>
          </w:p>
        </w:tc>
        <w:tc>
          <w:tcPr>
            <w:tcW w:w="1005" w:type="dxa"/>
            <w:vAlign w:val="center"/>
          </w:tcPr>
          <w:p w14:paraId="349D5795">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月</w:t>
            </w:r>
          </w:p>
        </w:tc>
        <w:tc>
          <w:tcPr>
            <w:tcW w:w="1516" w:type="dxa"/>
            <w:vAlign w:val="center"/>
          </w:tcPr>
          <w:p w14:paraId="6F38B167">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小计</w:t>
            </w:r>
          </w:p>
        </w:tc>
      </w:tr>
      <w:tr w14:paraId="1CEC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73CAA087">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w:t>
            </w:r>
          </w:p>
        </w:tc>
        <w:tc>
          <w:tcPr>
            <w:tcW w:w="2820" w:type="dxa"/>
            <w:vAlign w:val="center"/>
          </w:tcPr>
          <w:p w14:paraId="5705020C">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最低人员工资</w:t>
            </w:r>
          </w:p>
        </w:tc>
        <w:tc>
          <w:tcPr>
            <w:tcW w:w="1125" w:type="dxa"/>
            <w:vAlign w:val="center"/>
          </w:tcPr>
          <w:p w14:paraId="7528AA96">
            <w:pPr>
              <w:spacing w:line="360" w:lineRule="auto"/>
              <w:ind w:firstLine="0" w:firstLine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12</w:t>
            </w:r>
          </w:p>
        </w:tc>
        <w:tc>
          <w:tcPr>
            <w:tcW w:w="1290" w:type="dxa"/>
            <w:vAlign w:val="center"/>
          </w:tcPr>
          <w:p w14:paraId="38D0C00C">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2100</w:t>
            </w:r>
          </w:p>
        </w:tc>
        <w:tc>
          <w:tcPr>
            <w:tcW w:w="1005" w:type="dxa"/>
            <w:vAlign w:val="center"/>
          </w:tcPr>
          <w:p w14:paraId="60FA652E">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516" w:type="dxa"/>
            <w:vAlign w:val="center"/>
          </w:tcPr>
          <w:p w14:paraId="2E86F2EA">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302400.00</w:t>
            </w:r>
          </w:p>
        </w:tc>
      </w:tr>
      <w:tr w14:paraId="7122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4F1FFF82">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B</w:t>
            </w:r>
          </w:p>
        </w:tc>
        <w:tc>
          <w:tcPr>
            <w:tcW w:w="2820" w:type="dxa"/>
            <w:vAlign w:val="center"/>
          </w:tcPr>
          <w:p w14:paraId="021EDA4D">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社会保险</w:t>
            </w:r>
          </w:p>
        </w:tc>
        <w:tc>
          <w:tcPr>
            <w:tcW w:w="1125" w:type="dxa"/>
            <w:vAlign w:val="center"/>
          </w:tcPr>
          <w:p w14:paraId="430A7635">
            <w:pPr>
              <w:spacing w:line="360" w:lineRule="auto"/>
              <w:ind w:firstLine="0" w:firstLine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12</w:t>
            </w:r>
          </w:p>
        </w:tc>
        <w:tc>
          <w:tcPr>
            <w:tcW w:w="1290" w:type="dxa"/>
            <w:vAlign w:val="center"/>
          </w:tcPr>
          <w:p w14:paraId="2ED892B5">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1004.46</w:t>
            </w:r>
          </w:p>
        </w:tc>
        <w:tc>
          <w:tcPr>
            <w:tcW w:w="1005" w:type="dxa"/>
            <w:vAlign w:val="center"/>
          </w:tcPr>
          <w:p w14:paraId="0ED2C8CD">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516" w:type="dxa"/>
            <w:vAlign w:val="center"/>
          </w:tcPr>
          <w:p w14:paraId="008F9E02">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144642.24</w:t>
            </w:r>
          </w:p>
        </w:tc>
      </w:tr>
      <w:tr w14:paraId="46C3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643DA1AD">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6240" w:type="dxa"/>
            <w:gridSpan w:val="4"/>
            <w:vAlign w:val="center"/>
          </w:tcPr>
          <w:p w14:paraId="527E490C">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工会教育经费=A*3.5%=A*0.035</w:t>
            </w:r>
          </w:p>
        </w:tc>
        <w:tc>
          <w:tcPr>
            <w:tcW w:w="1516" w:type="dxa"/>
            <w:vAlign w:val="center"/>
          </w:tcPr>
          <w:p w14:paraId="747A21F8">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10584.00</w:t>
            </w:r>
          </w:p>
        </w:tc>
      </w:tr>
      <w:tr w14:paraId="2C1B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6" w:type="dxa"/>
            <w:gridSpan w:val="5"/>
            <w:vAlign w:val="center"/>
          </w:tcPr>
          <w:p w14:paraId="7DA934FA">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小计（A+B+C）</w:t>
            </w:r>
          </w:p>
        </w:tc>
        <w:tc>
          <w:tcPr>
            <w:tcW w:w="1516" w:type="dxa"/>
            <w:vAlign w:val="center"/>
          </w:tcPr>
          <w:p w14:paraId="3DED3C0B">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457626.24</w:t>
            </w:r>
          </w:p>
        </w:tc>
      </w:tr>
      <w:tr w14:paraId="2316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01D2F7E1">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w:t>
            </w:r>
          </w:p>
        </w:tc>
        <w:tc>
          <w:tcPr>
            <w:tcW w:w="6240" w:type="dxa"/>
            <w:gridSpan w:val="4"/>
            <w:vAlign w:val="center"/>
          </w:tcPr>
          <w:p w14:paraId="11746267">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一般纳税人税金=（A+B+C）*6.72%=（A+B+C）*0.0672</w:t>
            </w:r>
          </w:p>
        </w:tc>
        <w:tc>
          <w:tcPr>
            <w:tcW w:w="1516" w:type="dxa"/>
            <w:vAlign w:val="center"/>
          </w:tcPr>
          <w:p w14:paraId="614661A7">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30752.48</w:t>
            </w:r>
          </w:p>
        </w:tc>
      </w:tr>
      <w:tr w14:paraId="5D47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6" w:type="dxa"/>
            <w:gridSpan w:val="5"/>
            <w:vAlign w:val="center"/>
          </w:tcPr>
          <w:p w14:paraId="324EF676">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E合计(A+B+C+D)</w:t>
            </w:r>
          </w:p>
        </w:tc>
        <w:tc>
          <w:tcPr>
            <w:tcW w:w="1516" w:type="dxa"/>
            <w:vAlign w:val="center"/>
          </w:tcPr>
          <w:p w14:paraId="22046367">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b/>
                <w:bCs/>
                <w:i w:val="0"/>
                <w:iCs w:val="0"/>
                <w:color w:val="000000"/>
                <w:kern w:val="0"/>
                <w:sz w:val="24"/>
                <w:szCs w:val="24"/>
                <w:u w:val="none"/>
                <w:lang w:val="en-US" w:eastAsia="zh-CN" w:bidi="ar"/>
              </w:rPr>
              <w:t>488378.72</w:t>
            </w:r>
          </w:p>
        </w:tc>
      </w:tr>
      <w:tr w14:paraId="41D3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E8F1609">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小规模纳税人政策性费用测算：</w:t>
            </w:r>
          </w:p>
        </w:tc>
      </w:tr>
      <w:tr w14:paraId="7606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6238F8D8">
            <w:pPr>
              <w:spacing w:line="360" w:lineRule="auto"/>
              <w:ind w:firstLine="0" w:firstLineChars="0"/>
              <w:jc w:val="center"/>
              <w:rPr>
                <w:rFonts w:hint="eastAsia" w:ascii="宋体" w:hAnsi="宋体" w:eastAsia="宋体" w:cs="宋体"/>
                <w:sz w:val="24"/>
                <w:szCs w:val="24"/>
                <w:highlight w:val="none"/>
              </w:rPr>
            </w:pPr>
          </w:p>
        </w:tc>
        <w:tc>
          <w:tcPr>
            <w:tcW w:w="2820" w:type="dxa"/>
            <w:vAlign w:val="center"/>
          </w:tcPr>
          <w:p w14:paraId="0062A202">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缴费项目</w:t>
            </w:r>
          </w:p>
        </w:tc>
        <w:tc>
          <w:tcPr>
            <w:tcW w:w="1125" w:type="dxa"/>
            <w:vAlign w:val="center"/>
          </w:tcPr>
          <w:p w14:paraId="57E35CAE">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人数</w:t>
            </w:r>
          </w:p>
        </w:tc>
        <w:tc>
          <w:tcPr>
            <w:tcW w:w="1290" w:type="dxa"/>
            <w:vAlign w:val="center"/>
          </w:tcPr>
          <w:p w14:paraId="1D771E30">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费用</w:t>
            </w:r>
          </w:p>
        </w:tc>
        <w:tc>
          <w:tcPr>
            <w:tcW w:w="1005" w:type="dxa"/>
            <w:vAlign w:val="center"/>
          </w:tcPr>
          <w:p w14:paraId="69A223F9">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月</w:t>
            </w:r>
          </w:p>
        </w:tc>
        <w:tc>
          <w:tcPr>
            <w:tcW w:w="1516" w:type="dxa"/>
            <w:vAlign w:val="center"/>
          </w:tcPr>
          <w:p w14:paraId="35ABF32B">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小计</w:t>
            </w:r>
          </w:p>
        </w:tc>
      </w:tr>
      <w:tr w14:paraId="131F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16E5F368">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w:t>
            </w:r>
          </w:p>
        </w:tc>
        <w:tc>
          <w:tcPr>
            <w:tcW w:w="2820" w:type="dxa"/>
            <w:vAlign w:val="center"/>
          </w:tcPr>
          <w:p w14:paraId="609307CB">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最低人员工资</w:t>
            </w:r>
          </w:p>
        </w:tc>
        <w:tc>
          <w:tcPr>
            <w:tcW w:w="1125" w:type="dxa"/>
            <w:vAlign w:val="center"/>
          </w:tcPr>
          <w:p w14:paraId="408B9CE7">
            <w:pPr>
              <w:spacing w:line="360" w:lineRule="auto"/>
              <w:ind w:firstLine="0" w:firstLine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12</w:t>
            </w:r>
          </w:p>
        </w:tc>
        <w:tc>
          <w:tcPr>
            <w:tcW w:w="1290" w:type="dxa"/>
            <w:vAlign w:val="center"/>
          </w:tcPr>
          <w:p w14:paraId="5B98A114">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2100</w:t>
            </w:r>
          </w:p>
        </w:tc>
        <w:tc>
          <w:tcPr>
            <w:tcW w:w="1005" w:type="dxa"/>
            <w:vAlign w:val="center"/>
          </w:tcPr>
          <w:p w14:paraId="6E9A60CB">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516" w:type="dxa"/>
            <w:vAlign w:val="center"/>
          </w:tcPr>
          <w:p w14:paraId="3CE6E201">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 xml:space="preserve">302400.00 </w:t>
            </w:r>
          </w:p>
        </w:tc>
      </w:tr>
      <w:tr w14:paraId="285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789E6F7F">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B</w:t>
            </w:r>
          </w:p>
        </w:tc>
        <w:tc>
          <w:tcPr>
            <w:tcW w:w="2820" w:type="dxa"/>
            <w:vAlign w:val="center"/>
          </w:tcPr>
          <w:p w14:paraId="4EAE6F96">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社会保险</w:t>
            </w:r>
          </w:p>
        </w:tc>
        <w:tc>
          <w:tcPr>
            <w:tcW w:w="1125" w:type="dxa"/>
            <w:vAlign w:val="center"/>
          </w:tcPr>
          <w:p w14:paraId="3631B117">
            <w:pPr>
              <w:spacing w:line="360" w:lineRule="auto"/>
              <w:ind w:firstLine="0" w:firstLine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12</w:t>
            </w:r>
          </w:p>
        </w:tc>
        <w:tc>
          <w:tcPr>
            <w:tcW w:w="1290" w:type="dxa"/>
            <w:vAlign w:val="center"/>
          </w:tcPr>
          <w:p w14:paraId="16AE7E8C">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1004.46</w:t>
            </w:r>
          </w:p>
        </w:tc>
        <w:tc>
          <w:tcPr>
            <w:tcW w:w="1005" w:type="dxa"/>
            <w:vAlign w:val="center"/>
          </w:tcPr>
          <w:p w14:paraId="08D94E68">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516" w:type="dxa"/>
            <w:vAlign w:val="center"/>
          </w:tcPr>
          <w:p w14:paraId="38CDF692">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 xml:space="preserve">144642.24 </w:t>
            </w:r>
          </w:p>
        </w:tc>
      </w:tr>
      <w:tr w14:paraId="5372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50D16B87">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6240" w:type="dxa"/>
            <w:gridSpan w:val="4"/>
            <w:vAlign w:val="center"/>
          </w:tcPr>
          <w:p w14:paraId="3907E7E3">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工会教育经费=A*3.5%=A*0.035</w:t>
            </w:r>
          </w:p>
        </w:tc>
        <w:tc>
          <w:tcPr>
            <w:tcW w:w="1516" w:type="dxa"/>
            <w:vAlign w:val="center"/>
          </w:tcPr>
          <w:p w14:paraId="1725FABF">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 xml:space="preserve">10584.00 </w:t>
            </w:r>
          </w:p>
        </w:tc>
      </w:tr>
      <w:tr w14:paraId="3C16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6" w:type="dxa"/>
            <w:gridSpan w:val="5"/>
            <w:vAlign w:val="center"/>
          </w:tcPr>
          <w:p w14:paraId="68B4D8E4">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小计（A+B+C）</w:t>
            </w:r>
          </w:p>
        </w:tc>
        <w:tc>
          <w:tcPr>
            <w:tcW w:w="1516" w:type="dxa"/>
            <w:vAlign w:val="center"/>
          </w:tcPr>
          <w:p w14:paraId="3BB7F9C7">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 xml:space="preserve">457626.24 </w:t>
            </w:r>
          </w:p>
        </w:tc>
      </w:tr>
      <w:tr w14:paraId="445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244A33EF">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w:t>
            </w:r>
          </w:p>
        </w:tc>
        <w:tc>
          <w:tcPr>
            <w:tcW w:w="6240" w:type="dxa"/>
            <w:gridSpan w:val="4"/>
            <w:vAlign w:val="center"/>
          </w:tcPr>
          <w:p w14:paraId="652FC932">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小规模纳税人税金=（A+B+C）*3.36%=（A+B+C）*0.0336</w:t>
            </w:r>
          </w:p>
        </w:tc>
        <w:tc>
          <w:tcPr>
            <w:tcW w:w="1516" w:type="dxa"/>
            <w:vAlign w:val="center"/>
          </w:tcPr>
          <w:p w14:paraId="07DB410A">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 xml:space="preserve">15376.24 </w:t>
            </w:r>
          </w:p>
        </w:tc>
      </w:tr>
      <w:tr w14:paraId="5477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6" w:type="dxa"/>
            <w:gridSpan w:val="5"/>
            <w:vAlign w:val="center"/>
          </w:tcPr>
          <w:p w14:paraId="378A5B5D">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E合计(A+B+C+D)</w:t>
            </w:r>
          </w:p>
        </w:tc>
        <w:tc>
          <w:tcPr>
            <w:tcW w:w="1516" w:type="dxa"/>
            <w:vAlign w:val="center"/>
          </w:tcPr>
          <w:p w14:paraId="3EC75E1E">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b/>
                <w:bCs/>
                <w:i w:val="0"/>
                <w:iCs w:val="0"/>
                <w:color w:val="000000"/>
                <w:kern w:val="0"/>
                <w:sz w:val="24"/>
                <w:szCs w:val="24"/>
                <w:u w:val="none"/>
                <w:lang w:val="en-US" w:eastAsia="zh-CN" w:bidi="ar"/>
              </w:rPr>
              <w:t xml:space="preserve">473002.48 </w:t>
            </w:r>
          </w:p>
        </w:tc>
      </w:tr>
    </w:tbl>
    <w:p w14:paraId="295C4C52">
      <w:pPr>
        <w:pageBreakBefore w:val="0"/>
        <w:wordWrap/>
        <w:topLinePunct w:val="0"/>
        <w:bidi w:val="0"/>
        <w:adjustRightInd w:val="0"/>
        <w:snapToGrid w:val="0"/>
        <w:spacing w:line="360" w:lineRule="auto"/>
        <w:ind w:left="0" w:leftChars="0" w:right="0" w:rightChars="0" w:firstLine="482" w:firstLineChars="200"/>
        <w:rPr>
          <w:rFonts w:hint="eastAsia" w:ascii="宋体" w:hAnsi="宋体" w:eastAsia="宋体" w:cs="宋体"/>
          <w:b/>
          <w:bCs/>
          <w:kern w:val="2"/>
          <w:sz w:val="24"/>
          <w:szCs w:val="28"/>
        </w:rPr>
      </w:pPr>
      <w:r>
        <w:rPr>
          <w:rFonts w:hint="eastAsia" w:ascii="宋体" w:hAnsi="宋体" w:eastAsia="宋体" w:cs="宋体"/>
          <w:b/>
          <w:kern w:val="0"/>
          <w:sz w:val="24"/>
          <w:lang w:bidi="ar"/>
        </w:rPr>
        <w:t>如供应商以小规模纳税人税金费率报价，</w:t>
      </w:r>
      <w:r>
        <w:rPr>
          <w:rFonts w:hint="eastAsia" w:ascii="宋体" w:hAnsi="宋体" w:eastAsia="宋体" w:cs="宋体"/>
          <w:b/>
          <w:kern w:val="0"/>
          <w:sz w:val="24"/>
          <w:lang w:val="en-US" w:eastAsia="zh-CN" w:bidi="ar"/>
        </w:rPr>
        <w:t>响应</w:t>
      </w:r>
      <w:r>
        <w:rPr>
          <w:rFonts w:hint="eastAsia" w:ascii="宋体" w:hAnsi="宋体" w:eastAsia="宋体" w:cs="宋体"/>
          <w:b/>
          <w:kern w:val="0"/>
          <w:sz w:val="24"/>
          <w:lang w:bidi="ar"/>
        </w:rPr>
        <w:t>文件中须提供税务部门出具的小规模纳税人证明材料（如：企业税种核定材料，官网截图等），否则将导致投标无效。</w:t>
      </w:r>
    </w:p>
    <w:p w14:paraId="31505128">
      <w:pPr>
        <w:pageBreakBefore w:val="0"/>
        <w:wordWrap/>
        <w:topLinePunct w:val="0"/>
        <w:bidi w:val="0"/>
        <w:spacing w:line="360" w:lineRule="auto"/>
        <w:ind w:left="0" w:leftChars="0" w:right="0" w:rightChars="0" w:firstLine="0" w:firstLineChars="0"/>
        <w:rPr>
          <w:rFonts w:hint="eastAsia" w:ascii="宋体" w:hAnsi="宋体" w:eastAsia="宋体" w:cs="宋体"/>
          <w:kern w:val="2"/>
          <w:sz w:val="24"/>
        </w:rPr>
      </w:pPr>
      <w:r>
        <w:rPr>
          <w:rFonts w:hint="eastAsia" w:ascii="宋体" w:hAnsi="宋体" w:eastAsia="宋体" w:cs="宋体"/>
          <w:b/>
          <w:kern w:val="2"/>
          <w:sz w:val="24"/>
        </w:rPr>
        <w:t>官网查询截图可通过：</w:t>
      </w:r>
      <w:r>
        <w:rPr>
          <w:rFonts w:hint="eastAsia" w:ascii="宋体" w:hAnsi="宋体" w:eastAsia="宋体" w:cs="宋体"/>
          <w:kern w:val="2"/>
          <w:sz w:val="24"/>
        </w:rPr>
        <w:t>如国家税务总局安徽省税务局网站</w:t>
      </w:r>
    </w:p>
    <w:p w14:paraId="0DFDB752">
      <w:pPr>
        <w:pageBreakBefore w:val="0"/>
        <w:wordWrap/>
        <w:topLinePunct w:val="0"/>
        <w:bidi w:val="0"/>
        <w:spacing w:line="360" w:lineRule="auto"/>
        <w:ind w:left="0" w:leftChars="0" w:right="0" w:rightChars="0" w:firstLine="0" w:firstLineChars="0"/>
        <w:rPr>
          <w:rFonts w:hint="eastAsia" w:ascii="宋体" w:hAnsi="宋体" w:eastAsia="宋体" w:cs="宋体"/>
          <w:kern w:val="2"/>
          <w:sz w:val="24"/>
        </w:rPr>
      </w:pPr>
      <w:r>
        <w:rPr>
          <w:rFonts w:hint="eastAsia" w:ascii="宋体" w:hAnsi="宋体" w:eastAsia="宋体" w:cs="宋体"/>
          <w:kern w:val="2"/>
          <w:sz w:val="21"/>
        </w:rPr>
        <w:t>（</w:t>
      </w:r>
      <w:r>
        <w:rPr>
          <w:rFonts w:hint="eastAsia" w:ascii="宋体" w:hAnsi="宋体" w:eastAsia="宋体" w:cs="宋体"/>
          <w:kern w:val="2"/>
          <w:sz w:val="24"/>
        </w:rPr>
        <w:t>https://etax.anhui.chinatax.gov.cn/nsr/wzdk/ybnsrxx?isGsFlag=Y</w:t>
      </w:r>
      <w:r>
        <w:rPr>
          <w:rFonts w:hint="eastAsia" w:ascii="宋体" w:hAnsi="宋体" w:eastAsia="宋体" w:cs="宋体"/>
          <w:kern w:val="2"/>
          <w:sz w:val="21"/>
        </w:rPr>
        <w:t>）</w:t>
      </w:r>
    </w:p>
    <w:p w14:paraId="5EDD4449">
      <w:pPr>
        <w:pageBreakBefore w:val="0"/>
        <w:widowControl w:val="0"/>
        <w:wordWrap/>
        <w:topLinePunct w:val="0"/>
        <w:bidi w:val="0"/>
        <w:spacing w:after="0" w:line="360" w:lineRule="auto"/>
        <w:ind w:left="0" w:leftChars="0" w:right="0" w:rightChars="0"/>
        <w:jc w:val="left"/>
        <w:rPr>
          <w:rFonts w:hint="eastAsia" w:ascii="宋体" w:hAnsi="宋体" w:eastAsia="宋体" w:cs="宋体"/>
          <w:kern w:val="2"/>
          <w:sz w:val="21"/>
          <w:szCs w:val="24"/>
          <w:lang w:val="zh-CN" w:eastAsia="zh-CN" w:bidi="ar-SA"/>
        </w:rPr>
      </w:pPr>
      <w:r>
        <w:rPr>
          <w:rFonts w:hint="eastAsia" w:ascii="宋体" w:hAnsi="宋体" w:eastAsia="宋体" w:cs="宋体"/>
          <w:kern w:val="2"/>
          <w:sz w:val="21"/>
          <w:szCs w:val="24"/>
          <w:lang w:val="en-US" w:eastAsia="zh-CN" w:bidi="ar-SA"/>
        </w:rPr>
        <w:drawing>
          <wp:inline distT="0" distB="0" distL="114300" distR="114300">
            <wp:extent cx="4820920" cy="2145030"/>
            <wp:effectExtent l="0" t="0" r="1778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4820920" cy="2145030"/>
                    </a:xfrm>
                    <a:prstGeom prst="rect">
                      <a:avLst/>
                    </a:prstGeom>
                    <a:noFill/>
                    <a:ln>
                      <a:noFill/>
                    </a:ln>
                  </pic:spPr>
                </pic:pic>
              </a:graphicData>
            </a:graphic>
          </wp:inline>
        </w:drawing>
      </w:r>
    </w:p>
    <w:p w14:paraId="569CF4A5">
      <w:pPr>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jc w:val="left"/>
        <w:rPr>
          <w:rFonts w:hint="eastAsia" w:ascii="宋体" w:hAnsi="宋体" w:eastAsia="宋体" w:cs="宋体"/>
          <w:snapToGrid w:val="0"/>
          <w:color w:val="auto"/>
          <w:kern w:val="2"/>
          <w:sz w:val="24"/>
          <w:szCs w:val="24"/>
          <w:lang w:val="zh-CN" w:eastAsia="zh-CN" w:bidi="ar-SA"/>
        </w:rPr>
      </w:pPr>
      <w:r>
        <w:rPr>
          <w:rFonts w:hint="eastAsia" w:ascii="宋体" w:hAnsi="宋体" w:eastAsia="宋体" w:cs="宋体"/>
          <w:snapToGrid w:val="0"/>
          <w:color w:val="auto"/>
          <w:kern w:val="2"/>
          <w:sz w:val="24"/>
          <w:szCs w:val="24"/>
          <w:lang w:val="zh-CN" w:eastAsia="zh-CN" w:bidi="ar-SA"/>
        </w:rPr>
        <w:t>备注：</w:t>
      </w:r>
    </w:p>
    <w:p w14:paraId="2EA1143A">
      <w:pPr>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w:t>
      </w:r>
      <w:r>
        <w:rPr>
          <w:rFonts w:hint="eastAsia" w:ascii="宋体" w:hAnsi="宋体" w:eastAsia="宋体" w:cs="宋体"/>
          <w:b/>
          <w:bCs/>
          <w:color w:val="auto"/>
          <w:kern w:val="2"/>
          <w:sz w:val="24"/>
          <w:szCs w:val="24"/>
          <w:lang w:val="zh-CN" w:eastAsia="zh-CN" w:bidi="ar-SA"/>
        </w:rPr>
        <w:t>）人员工资不低于肥西县最低工资标准（</w:t>
      </w:r>
      <w:r>
        <w:rPr>
          <w:rFonts w:hint="eastAsia" w:ascii="宋体" w:hAnsi="宋体" w:eastAsia="宋体" w:cs="宋体"/>
          <w:b/>
          <w:bCs/>
          <w:color w:val="auto"/>
          <w:kern w:val="2"/>
          <w:sz w:val="24"/>
          <w:szCs w:val="24"/>
          <w:lang w:val="en-US" w:eastAsia="zh-CN" w:bidi="ar-SA"/>
        </w:rPr>
        <w:t>2100</w:t>
      </w:r>
      <w:r>
        <w:rPr>
          <w:rFonts w:hint="eastAsia" w:ascii="宋体" w:hAnsi="宋体" w:eastAsia="宋体" w:cs="宋体"/>
          <w:b/>
          <w:bCs/>
          <w:color w:val="auto"/>
          <w:kern w:val="2"/>
          <w:sz w:val="24"/>
          <w:szCs w:val="24"/>
          <w:lang w:val="zh-CN" w:eastAsia="zh-CN" w:bidi="ar-SA"/>
        </w:rPr>
        <w:t>元/人/月），保险按国家相关规定执行。</w:t>
      </w:r>
    </w:p>
    <w:p w14:paraId="5440CAE9">
      <w:pPr>
        <w:spacing w:line="360" w:lineRule="auto"/>
        <w:ind w:firstLine="480" w:firstLineChars="200"/>
        <w:jc w:val="left"/>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2)社会保险缴费基数最低为</w:t>
      </w:r>
      <w:r>
        <w:rPr>
          <w:rFonts w:hint="eastAsia" w:ascii="宋体" w:hAnsi="宋体" w:eastAsia="宋体" w:cs="宋体"/>
          <w:kern w:val="21"/>
          <w:sz w:val="24"/>
          <w:szCs w:val="24"/>
          <w:highlight w:val="none"/>
          <w:lang w:val="en-US" w:eastAsia="zh-CN"/>
        </w:rPr>
        <w:t>4311</w:t>
      </w:r>
      <w:r>
        <w:rPr>
          <w:rFonts w:hint="eastAsia" w:ascii="宋体" w:hAnsi="宋体" w:eastAsia="宋体" w:cs="宋体"/>
          <w:kern w:val="21"/>
          <w:sz w:val="24"/>
          <w:szCs w:val="24"/>
          <w:highlight w:val="none"/>
        </w:rPr>
        <w:t>元，计算缴费金额以每人每月为基数，即</w:t>
      </w:r>
      <w:r>
        <w:rPr>
          <w:rFonts w:hint="eastAsia" w:ascii="宋体" w:hAnsi="宋体" w:eastAsia="宋体" w:cs="宋体"/>
          <w:kern w:val="21"/>
          <w:sz w:val="24"/>
          <w:szCs w:val="24"/>
          <w:highlight w:val="none"/>
          <w:lang w:val="en-US" w:eastAsia="zh-CN"/>
        </w:rPr>
        <w:t>1004.46</w:t>
      </w:r>
      <w:r>
        <w:rPr>
          <w:rFonts w:hint="eastAsia" w:ascii="宋体" w:hAnsi="宋体" w:eastAsia="宋体" w:cs="宋体"/>
          <w:kern w:val="21"/>
          <w:sz w:val="24"/>
          <w:szCs w:val="24"/>
          <w:highlight w:val="none"/>
        </w:rPr>
        <w:t>元/月。</w:t>
      </w:r>
    </w:p>
    <w:p w14:paraId="6A1F76E8">
      <w:pPr>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kern w:val="21"/>
          <w:sz w:val="24"/>
          <w:szCs w:val="24"/>
          <w:highlight w:val="none"/>
          <w:lang w:val="zh-CN" w:eastAsia="zh-CN" w:bidi="ar-SA"/>
        </w:rPr>
        <w:t>社会保险企业缴纳费用（缴费费率：23.3%）组成为：养老保险16%、工伤保险0.4%、失业保险0.5%、医疗保险6.4%。</w:t>
      </w:r>
    </w:p>
    <w:p w14:paraId="68042643">
      <w:pPr>
        <w:keepNext w:val="0"/>
        <w:keepLines w:val="0"/>
        <w:pageBreakBefore w:val="0"/>
        <w:widowControl w:val="0"/>
        <w:kinsoku/>
        <w:wordWrap/>
        <w:overflowPunct/>
        <w:topLinePunct w:val="0"/>
        <w:autoSpaceDE/>
        <w:autoSpaceDN/>
        <w:bidi w:val="0"/>
        <w:adjustRightInd/>
        <w:spacing w:after="0" w:line="440" w:lineRule="exact"/>
        <w:ind w:left="0" w:right="0" w:rightChars="0" w:firstLine="482" w:firstLineChars="2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3)请供应商自行核算以上政策性费用，如供应商对以上费用有疑问，请在本项目询问期内提出。如无疑问，</w:t>
      </w:r>
      <w:r>
        <w:rPr>
          <w:rFonts w:hint="eastAsia" w:ascii="宋体" w:hAnsi="宋体" w:eastAsia="宋体" w:cs="宋体"/>
          <w:b/>
          <w:bCs/>
          <w:color w:val="auto"/>
          <w:kern w:val="2"/>
          <w:sz w:val="24"/>
          <w:szCs w:val="24"/>
          <w:lang w:val="en-US" w:eastAsia="zh-CN" w:bidi="ar-SA"/>
        </w:rPr>
        <w:t>响应</w:t>
      </w:r>
      <w:r>
        <w:rPr>
          <w:rFonts w:hint="eastAsia" w:ascii="宋体" w:hAnsi="宋体" w:eastAsia="宋体" w:cs="宋体"/>
          <w:b/>
          <w:bCs/>
          <w:color w:val="auto"/>
          <w:kern w:val="2"/>
          <w:sz w:val="24"/>
          <w:szCs w:val="24"/>
          <w:lang w:val="zh-CN" w:eastAsia="zh-CN" w:bidi="ar-SA"/>
        </w:rPr>
        <w:t>报价应不低于上述</w:t>
      </w:r>
      <w:r>
        <w:rPr>
          <w:rFonts w:hint="eastAsia" w:ascii="宋体" w:hAnsi="宋体" w:eastAsia="宋体" w:cs="宋体"/>
          <w:b/>
          <w:bCs/>
          <w:color w:val="auto"/>
          <w:kern w:val="2"/>
          <w:sz w:val="24"/>
          <w:szCs w:val="24"/>
          <w:lang w:val="en-US" w:eastAsia="zh-CN" w:bidi="ar-SA"/>
        </w:rPr>
        <w:t>政策性费用</w:t>
      </w:r>
      <w:r>
        <w:rPr>
          <w:rFonts w:hint="eastAsia" w:ascii="宋体" w:hAnsi="宋体" w:eastAsia="宋体" w:cs="宋体"/>
          <w:b/>
          <w:bCs/>
          <w:color w:val="auto"/>
          <w:kern w:val="2"/>
          <w:sz w:val="24"/>
          <w:szCs w:val="24"/>
          <w:lang w:val="zh-CN" w:eastAsia="zh-CN" w:bidi="ar-SA"/>
        </w:rPr>
        <w:t>，否则将导致</w:t>
      </w:r>
      <w:r>
        <w:rPr>
          <w:rFonts w:hint="eastAsia" w:ascii="宋体" w:hAnsi="宋体" w:eastAsia="宋体" w:cs="宋体"/>
          <w:b/>
          <w:bCs/>
          <w:color w:val="auto"/>
          <w:kern w:val="2"/>
          <w:sz w:val="24"/>
          <w:szCs w:val="24"/>
          <w:lang w:val="en-US" w:eastAsia="zh-CN" w:bidi="ar-SA"/>
        </w:rPr>
        <w:t>响应</w:t>
      </w:r>
      <w:r>
        <w:rPr>
          <w:rFonts w:hint="eastAsia" w:ascii="宋体" w:hAnsi="宋体" w:eastAsia="宋体" w:cs="宋体"/>
          <w:b/>
          <w:bCs/>
          <w:color w:val="auto"/>
          <w:kern w:val="2"/>
          <w:sz w:val="24"/>
          <w:szCs w:val="24"/>
          <w:lang w:val="zh-CN" w:eastAsia="zh-CN" w:bidi="ar-SA"/>
        </w:rPr>
        <w:t>无效。</w:t>
      </w:r>
    </w:p>
    <w:p w14:paraId="64FFEBE4">
      <w:pPr>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4)政策性费用不接受赠送及优惠，其他项作为可竞争费用，可由供应商自行报价。</w:t>
      </w:r>
    </w:p>
    <w:p w14:paraId="4595F404">
      <w:pPr>
        <w:keepNext w:val="0"/>
        <w:keepLines w:val="0"/>
        <w:pageBreakBefore w:val="0"/>
        <w:numPr>
          <w:ilvl w:val="0"/>
          <w:numId w:val="0"/>
        </w:numPr>
        <w:kinsoku/>
        <w:wordWrap/>
        <w:overflowPunct/>
        <w:topLinePunct w:val="0"/>
        <w:autoSpaceDE/>
        <w:autoSpaceDN/>
        <w:bidi w:val="0"/>
        <w:adjustRightInd/>
        <w:spacing w:line="440" w:lineRule="exact"/>
        <w:ind w:left="0" w:right="0" w:rightChars="0" w:firstLine="480" w:firstLineChars="200"/>
        <w:outlineLvl w:val="1"/>
        <w:rPr>
          <w:rFonts w:hint="eastAsia" w:ascii="宋体" w:hAnsi="宋体" w:eastAsia="宋体" w:cs="宋体"/>
          <w:b/>
          <w:color w:val="auto"/>
          <w:kern w:val="2"/>
          <w:sz w:val="24"/>
          <w:szCs w:val="24"/>
          <w:lang w:val="en-US" w:eastAsia="zh-CN"/>
        </w:rPr>
      </w:pPr>
      <w:r>
        <w:rPr>
          <w:rFonts w:hint="eastAsia" w:ascii="宋体" w:hAnsi="宋体" w:eastAsia="宋体" w:cs="宋体"/>
          <w:kern w:val="2"/>
          <w:sz w:val="24"/>
        </w:rPr>
        <w:t>5）</w:t>
      </w:r>
      <w:r>
        <w:rPr>
          <w:rFonts w:hint="eastAsia" w:ascii="宋体" w:hAnsi="宋体" w:eastAsia="宋体" w:cs="宋体"/>
          <w:kern w:val="2"/>
          <w:sz w:val="24"/>
          <w:lang w:eastAsia="zh-CN"/>
        </w:rPr>
        <w:t>供应商</w:t>
      </w:r>
      <w:r>
        <w:rPr>
          <w:rFonts w:hint="eastAsia" w:ascii="宋体" w:hAnsi="宋体" w:eastAsia="宋体" w:cs="宋体"/>
          <w:kern w:val="2"/>
          <w:sz w:val="24"/>
        </w:rPr>
        <w:t>应考虑合同期内政策性费用调整的风险。</w:t>
      </w:r>
      <w:r>
        <w:rPr>
          <w:rFonts w:hint="eastAsia" w:ascii="宋体" w:hAnsi="宋体" w:eastAsia="宋体" w:cs="宋体"/>
          <w:kern w:val="2"/>
          <w:sz w:val="24"/>
          <w:lang w:val="en-US" w:eastAsia="zh-CN"/>
        </w:rPr>
        <w:t>响应</w:t>
      </w:r>
      <w:r>
        <w:rPr>
          <w:rFonts w:hint="eastAsia" w:ascii="宋体" w:hAnsi="宋体" w:eastAsia="宋体" w:cs="宋体"/>
          <w:kern w:val="2"/>
          <w:sz w:val="24"/>
        </w:rPr>
        <w:t>报价应考虑肥西县最低工资标准上调等风险，履约期限内不得以最低工资标准上调以及物价指数上涨等理由增加项目服务费。</w:t>
      </w:r>
    </w:p>
    <w:p w14:paraId="7ACD1D0C">
      <w:pPr>
        <w:keepNext w:val="0"/>
        <w:keepLines w:val="0"/>
        <w:pageBreakBefore w:val="0"/>
        <w:widowControl w:val="0"/>
        <w:numPr>
          <w:ilvl w:val="0"/>
          <w:numId w:val="0"/>
        </w:numPr>
        <w:kinsoku/>
        <w:wordWrap/>
        <w:overflowPunct/>
        <w:topLinePunct w:val="0"/>
        <w:autoSpaceDE/>
        <w:autoSpaceDN/>
        <w:bidi w:val="0"/>
        <w:adjustRightInd/>
        <w:spacing w:after="120" w:line="440" w:lineRule="exact"/>
        <w:ind w:left="0" w:leftChars="0" w:right="0" w:rightChars="0" w:firstLine="482" w:firstLineChars="200"/>
        <w:jc w:val="both"/>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宋体"/>
          <w:b/>
          <w:bCs/>
          <w:color w:val="auto"/>
          <w:kern w:val="2"/>
          <w:sz w:val="24"/>
          <w:szCs w:val="24"/>
          <w:lang w:val="zh-CN" w:eastAsia="zh-CN" w:bidi="ar-SA"/>
        </w:rPr>
        <w:t>服务质量标准及监督和考评</w:t>
      </w:r>
    </w:p>
    <w:p w14:paraId="07E2B789">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1、院方将由总务科对</w:t>
      </w:r>
      <w:r>
        <w:rPr>
          <w:rFonts w:hint="eastAsia" w:ascii="宋体" w:hAnsi="宋体" w:eastAsia="宋体" w:cs="宋体"/>
          <w:color w:val="auto"/>
          <w:kern w:val="2"/>
          <w:sz w:val="24"/>
          <w:szCs w:val="24"/>
          <w:highlight w:val="none"/>
          <w:lang w:val="en-US" w:eastAsia="zh-CN"/>
        </w:rPr>
        <w:t>成交供应商</w:t>
      </w:r>
      <w:r>
        <w:rPr>
          <w:rFonts w:hint="eastAsia" w:ascii="宋体" w:hAnsi="宋体" w:eastAsia="宋体" w:cs="宋体"/>
          <w:color w:val="auto"/>
          <w:kern w:val="2"/>
          <w:sz w:val="24"/>
          <w:szCs w:val="24"/>
        </w:rPr>
        <w:t>工作质量随时进行检查，发现不合格之处，将根据监督办法扣</w:t>
      </w:r>
      <w:r>
        <w:rPr>
          <w:rFonts w:hint="eastAsia" w:ascii="宋体" w:hAnsi="宋体" w:eastAsia="宋体" w:cs="宋体"/>
          <w:color w:val="auto"/>
          <w:kern w:val="2"/>
          <w:sz w:val="24"/>
          <w:szCs w:val="24"/>
          <w:lang w:val="en-US" w:eastAsia="zh-CN"/>
        </w:rPr>
        <w:t>减</w:t>
      </w:r>
      <w:r>
        <w:rPr>
          <w:rFonts w:hint="eastAsia" w:ascii="宋体" w:hAnsi="宋体" w:eastAsia="宋体" w:cs="宋体"/>
          <w:color w:val="auto"/>
          <w:kern w:val="2"/>
          <w:sz w:val="24"/>
          <w:szCs w:val="24"/>
        </w:rPr>
        <w:t>质量分，整改后仍未达质量标准，扣</w:t>
      </w:r>
      <w:r>
        <w:rPr>
          <w:rFonts w:hint="eastAsia" w:ascii="宋体" w:hAnsi="宋体" w:eastAsia="宋体" w:cs="宋体"/>
          <w:color w:val="auto"/>
          <w:kern w:val="2"/>
          <w:sz w:val="24"/>
          <w:szCs w:val="24"/>
          <w:lang w:val="en-US" w:eastAsia="zh-CN"/>
        </w:rPr>
        <w:t>减</w:t>
      </w:r>
      <w:r>
        <w:rPr>
          <w:rFonts w:hint="eastAsia" w:ascii="宋体" w:hAnsi="宋体" w:eastAsia="宋体" w:cs="宋体"/>
          <w:color w:val="auto"/>
          <w:kern w:val="2"/>
          <w:sz w:val="24"/>
          <w:szCs w:val="24"/>
        </w:rPr>
        <w:t>双倍质量分，所有</w:t>
      </w:r>
      <w:r>
        <w:rPr>
          <w:rFonts w:hint="eastAsia" w:ascii="宋体" w:hAnsi="宋体" w:eastAsia="宋体" w:cs="宋体"/>
          <w:color w:val="auto"/>
          <w:kern w:val="2"/>
          <w:sz w:val="24"/>
          <w:szCs w:val="24"/>
          <w:lang w:val="en-US" w:eastAsia="zh-CN"/>
        </w:rPr>
        <w:t>扣减</w:t>
      </w:r>
      <w:r>
        <w:rPr>
          <w:rFonts w:hint="eastAsia" w:ascii="宋体" w:hAnsi="宋体" w:eastAsia="宋体" w:cs="宋体"/>
          <w:color w:val="auto"/>
          <w:kern w:val="2"/>
          <w:sz w:val="24"/>
          <w:szCs w:val="24"/>
        </w:rPr>
        <w:t>分将带入月质量考核。</w:t>
      </w:r>
    </w:p>
    <w:p w14:paraId="1DCD8E91">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2、实行月质量检查考核制度：检查考核范围为所有服务项目、服务区域，考核实行100分制。</w:t>
      </w:r>
    </w:p>
    <w:p w14:paraId="28938DAA">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3、实行月满意度调查制度：调查对象主要为各病区、各科室医护人员和就诊病员，均实行100分制。</w:t>
      </w:r>
    </w:p>
    <w:p w14:paraId="240CC5A5">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每月服务质量综合考核评分计算方法：满分100分，其中服务质量考评占60%，医护人员和就诊病员的满意度各占20%。假设月服务质量检查考评得分为A，医护人员满意度得分为B，就诊病员满意度得分为C，则月综合考核评分=A*60%+B*20%+C*20%。月综合考核85分为合格。得分低于85分的，每低1分，</w:t>
      </w:r>
      <w:r>
        <w:rPr>
          <w:rFonts w:hint="eastAsia" w:ascii="宋体" w:hAnsi="宋体" w:eastAsia="宋体" w:cs="宋体"/>
          <w:color w:val="auto"/>
          <w:kern w:val="2"/>
          <w:sz w:val="24"/>
          <w:szCs w:val="24"/>
          <w:highlight w:val="none"/>
          <w:lang w:val="en-US" w:eastAsia="zh-CN"/>
        </w:rPr>
        <w:t>扣减</w:t>
      </w:r>
      <w:r>
        <w:rPr>
          <w:rFonts w:hint="eastAsia" w:ascii="宋体" w:hAnsi="宋体" w:eastAsia="宋体" w:cs="宋体"/>
          <w:color w:val="auto"/>
          <w:kern w:val="2"/>
          <w:sz w:val="24"/>
          <w:szCs w:val="24"/>
          <w:highlight w:val="none"/>
        </w:rPr>
        <w:t>服务费用人民币500元，所</w:t>
      </w:r>
      <w:r>
        <w:rPr>
          <w:rFonts w:hint="eastAsia" w:ascii="宋体" w:hAnsi="宋体" w:eastAsia="宋体" w:cs="宋体"/>
          <w:color w:val="auto"/>
          <w:kern w:val="2"/>
          <w:sz w:val="24"/>
          <w:szCs w:val="24"/>
          <w:highlight w:val="none"/>
          <w:lang w:val="en-US" w:eastAsia="zh-CN"/>
        </w:rPr>
        <w:t>扣</w:t>
      </w:r>
      <w:r>
        <w:rPr>
          <w:rFonts w:hint="eastAsia" w:ascii="宋体" w:hAnsi="宋体" w:eastAsia="宋体" w:cs="宋体"/>
          <w:color w:val="auto"/>
          <w:kern w:val="2"/>
          <w:sz w:val="24"/>
          <w:szCs w:val="24"/>
          <w:highlight w:val="none"/>
        </w:rPr>
        <w:t>金额从当月服务费中扣除；</w:t>
      </w:r>
      <w:r>
        <w:rPr>
          <w:rFonts w:hint="eastAsia" w:ascii="宋体" w:hAnsi="宋体" w:eastAsia="宋体" w:cs="宋体"/>
          <w:b w:val="0"/>
          <w:bCs w:val="0"/>
          <w:color w:val="000000"/>
          <w:kern w:val="1"/>
          <w:sz w:val="24"/>
          <w:szCs w:val="24"/>
          <w:highlight w:val="none"/>
        </w:rPr>
        <w:t>得分</w:t>
      </w:r>
      <w:r>
        <w:rPr>
          <w:rFonts w:hint="eastAsia" w:ascii="宋体" w:hAnsi="宋体" w:eastAsia="宋体" w:cs="宋体"/>
          <w:b w:val="0"/>
          <w:bCs w:val="0"/>
          <w:color w:val="000000"/>
          <w:kern w:val="1"/>
          <w:sz w:val="24"/>
          <w:szCs w:val="24"/>
          <w:highlight w:val="none"/>
          <w:lang w:val="en-US" w:eastAsia="zh-CN"/>
        </w:rPr>
        <w:t>高</w:t>
      </w:r>
      <w:r>
        <w:rPr>
          <w:rFonts w:hint="eastAsia" w:ascii="宋体" w:hAnsi="宋体" w:eastAsia="宋体" w:cs="宋体"/>
          <w:b w:val="0"/>
          <w:bCs w:val="0"/>
          <w:color w:val="000000"/>
          <w:kern w:val="1"/>
          <w:sz w:val="24"/>
          <w:szCs w:val="24"/>
          <w:highlight w:val="none"/>
        </w:rPr>
        <w:t>于</w:t>
      </w:r>
      <w:r>
        <w:rPr>
          <w:rFonts w:hint="eastAsia" w:ascii="宋体" w:hAnsi="宋体" w:eastAsia="宋体" w:cs="宋体"/>
          <w:b w:val="0"/>
          <w:bCs w:val="0"/>
          <w:color w:val="000000"/>
          <w:kern w:val="1"/>
          <w:sz w:val="24"/>
          <w:szCs w:val="24"/>
          <w:highlight w:val="none"/>
          <w:lang w:val="en-US" w:eastAsia="zh-CN"/>
        </w:rPr>
        <w:t>8</w:t>
      </w:r>
      <w:r>
        <w:rPr>
          <w:rFonts w:hint="eastAsia" w:ascii="宋体" w:hAnsi="宋体" w:eastAsia="宋体" w:cs="宋体"/>
          <w:b w:val="0"/>
          <w:bCs w:val="0"/>
          <w:color w:val="000000"/>
          <w:kern w:val="1"/>
          <w:sz w:val="24"/>
          <w:szCs w:val="24"/>
          <w:highlight w:val="none"/>
        </w:rPr>
        <w:t>5分的</w:t>
      </w:r>
      <w:r>
        <w:rPr>
          <w:rFonts w:hint="eastAsia" w:ascii="宋体" w:hAnsi="宋体" w:eastAsia="宋体" w:cs="宋体"/>
          <w:b w:val="0"/>
          <w:bCs w:val="0"/>
          <w:color w:val="000000"/>
          <w:kern w:val="1"/>
          <w:sz w:val="24"/>
          <w:szCs w:val="24"/>
          <w:highlight w:val="none"/>
          <w:lang w:val="en-US" w:eastAsia="zh-CN"/>
        </w:rPr>
        <w:t>服务</w:t>
      </w:r>
      <w:r>
        <w:rPr>
          <w:rFonts w:hint="eastAsia" w:ascii="宋体" w:hAnsi="宋体" w:eastAsia="宋体" w:cs="宋体"/>
          <w:b w:val="0"/>
          <w:bCs w:val="0"/>
          <w:color w:val="000000"/>
          <w:kern w:val="1"/>
          <w:sz w:val="24"/>
          <w:szCs w:val="24"/>
          <w:highlight w:val="none"/>
        </w:rPr>
        <w:t>费全额发放。</w:t>
      </w:r>
      <w:r>
        <w:rPr>
          <w:rFonts w:hint="eastAsia" w:ascii="宋体" w:hAnsi="宋体" w:eastAsia="宋体" w:cs="宋体"/>
          <w:color w:val="auto"/>
          <w:kern w:val="2"/>
          <w:sz w:val="24"/>
          <w:szCs w:val="24"/>
          <w:highlight w:val="none"/>
          <w:lang w:val="en-US" w:eastAsia="zh-CN"/>
        </w:rPr>
        <w:t>成交供应商</w:t>
      </w:r>
      <w:r>
        <w:rPr>
          <w:rFonts w:hint="eastAsia" w:ascii="宋体" w:hAnsi="宋体" w:eastAsia="宋体" w:cs="宋体"/>
          <w:color w:val="auto"/>
          <w:kern w:val="2"/>
          <w:sz w:val="24"/>
          <w:szCs w:val="24"/>
          <w:highlight w:val="none"/>
        </w:rPr>
        <w:t>连续二个月或一年</w:t>
      </w:r>
      <w:r>
        <w:rPr>
          <w:rFonts w:hint="eastAsia" w:ascii="宋体" w:hAnsi="宋体" w:eastAsia="宋体" w:cs="宋体"/>
          <w:color w:val="auto"/>
          <w:kern w:val="2"/>
          <w:sz w:val="24"/>
          <w:szCs w:val="24"/>
        </w:rPr>
        <w:t>累计三个月综合考核分低于80分，院方有权随时终止合同。</w:t>
      </w:r>
    </w:p>
    <w:p w14:paraId="5B2C4D68">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5、其中，在满意度调查中，服务人员连续两个月满意度得分低于80分或累计三个月低于80分，</w:t>
      </w:r>
      <w:r>
        <w:rPr>
          <w:rFonts w:hint="eastAsia" w:ascii="宋体" w:hAnsi="宋体" w:eastAsia="宋体" w:cs="宋体"/>
          <w:color w:val="auto"/>
          <w:kern w:val="2"/>
          <w:sz w:val="24"/>
          <w:szCs w:val="24"/>
          <w:lang w:val="en-US" w:eastAsia="zh-CN"/>
        </w:rPr>
        <w:t>成交供应商</w:t>
      </w:r>
      <w:r>
        <w:rPr>
          <w:rFonts w:hint="eastAsia" w:ascii="宋体" w:hAnsi="宋体" w:eastAsia="宋体" w:cs="宋体"/>
          <w:color w:val="auto"/>
          <w:kern w:val="2"/>
          <w:sz w:val="24"/>
          <w:szCs w:val="24"/>
        </w:rPr>
        <w:t>须在一周内给予更换相应服务人员。</w:t>
      </w:r>
    </w:p>
    <w:p w14:paraId="05FBF339">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w:t>
      </w:r>
      <w:r>
        <w:rPr>
          <w:rFonts w:hint="eastAsia" w:ascii="宋体" w:hAnsi="宋体" w:eastAsia="宋体" w:cs="宋体"/>
          <w:color w:val="auto"/>
          <w:kern w:val="2"/>
          <w:sz w:val="24"/>
          <w:szCs w:val="24"/>
          <w:lang w:val="en-US" w:eastAsia="zh-CN"/>
        </w:rPr>
        <w:t>成交供应商</w:t>
      </w:r>
      <w:r>
        <w:rPr>
          <w:rFonts w:hint="eastAsia" w:ascii="宋体" w:hAnsi="宋体" w:eastAsia="宋体" w:cs="宋体"/>
          <w:color w:val="auto"/>
          <w:kern w:val="2"/>
          <w:sz w:val="24"/>
          <w:szCs w:val="24"/>
        </w:rPr>
        <w:t>自行对员工工作表现评价如与院方考评不一致，以院方考评意见为准。</w:t>
      </w:r>
    </w:p>
    <w:p w14:paraId="74B113D4">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strike/>
          <w:dstrike w:val="0"/>
          <w:color w:val="0000FF"/>
          <w:kern w:val="2"/>
          <w:sz w:val="24"/>
          <w:szCs w:val="24"/>
          <w:highlight w:val="none"/>
        </w:rPr>
      </w:pPr>
      <w:r>
        <w:rPr>
          <w:rFonts w:hint="eastAsia" w:ascii="宋体" w:hAnsi="宋体" w:eastAsia="宋体" w:cs="宋体"/>
          <w:color w:val="auto"/>
          <w:kern w:val="2"/>
          <w:sz w:val="24"/>
          <w:szCs w:val="24"/>
          <w:highlight w:val="none"/>
        </w:rPr>
        <w:t>7、如因</w:t>
      </w:r>
      <w:r>
        <w:rPr>
          <w:rFonts w:hint="eastAsia" w:ascii="宋体" w:hAnsi="宋体" w:eastAsia="宋体"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rPr>
        <w:t>业务范围扩大，需增加服务内容时，双方另外协商自定，但费用测算基准以</w:t>
      </w:r>
      <w:r>
        <w:rPr>
          <w:rFonts w:hint="eastAsia" w:ascii="宋体" w:hAnsi="宋体" w:eastAsia="宋体" w:cs="宋体"/>
          <w:color w:val="auto"/>
          <w:kern w:val="2"/>
          <w:sz w:val="24"/>
          <w:szCs w:val="24"/>
          <w:highlight w:val="none"/>
          <w:lang w:val="en-US" w:eastAsia="zh-CN"/>
        </w:rPr>
        <w:t>成交</w:t>
      </w:r>
      <w:r>
        <w:rPr>
          <w:rFonts w:hint="eastAsia" w:ascii="宋体" w:hAnsi="宋体" w:eastAsia="宋体" w:cs="宋体"/>
          <w:color w:val="auto"/>
          <w:kern w:val="2"/>
          <w:sz w:val="24"/>
          <w:szCs w:val="24"/>
          <w:highlight w:val="none"/>
        </w:rPr>
        <w:t>价为参考。</w:t>
      </w:r>
    </w:p>
    <w:p w14:paraId="5DF3476E">
      <w:pPr>
        <w:keepNext w:val="0"/>
        <w:keepLines w:val="0"/>
        <w:pageBreakBefore w:val="0"/>
        <w:kinsoku/>
        <w:wordWrap/>
        <w:overflowPunct/>
        <w:topLinePunct w:val="0"/>
        <w:autoSpaceDE/>
        <w:autoSpaceDN/>
        <w:bidi w:val="0"/>
        <w:adjustRightInd/>
        <w:spacing w:line="440" w:lineRule="exact"/>
        <w:ind w:right="0" w:rightChars="0"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8、物业服务质量考评评分表</w:t>
      </w:r>
    </w:p>
    <w:tbl>
      <w:tblPr>
        <w:tblStyle w:val="14"/>
        <w:tblW w:w="8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193"/>
        <w:gridCol w:w="764"/>
        <w:gridCol w:w="2588"/>
        <w:gridCol w:w="911"/>
      </w:tblGrid>
      <w:tr w14:paraId="03D7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jc w:val="center"/>
        </w:trPr>
        <w:tc>
          <w:tcPr>
            <w:tcW w:w="8456" w:type="dxa"/>
            <w:gridSpan w:val="4"/>
            <w:tcBorders>
              <w:tl2br w:val="nil"/>
              <w:tr2bl w:val="nil"/>
            </w:tcBorders>
            <w:shd w:val="clear" w:color="auto" w:fill="auto"/>
            <w:vAlign w:val="center"/>
          </w:tcPr>
          <w:p w14:paraId="3B9C64B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物业服务质量考评评分表</w:t>
            </w:r>
          </w:p>
        </w:tc>
      </w:tr>
      <w:tr w14:paraId="0B64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0B85567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服务质量标准</w:t>
            </w:r>
          </w:p>
        </w:tc>
        <w:tc>
          <w:tcPr>
            <w:tcW w:w="764" w:type="dxa"/>
            <w:tcBorders>
              <w:tl2br w:val="nil"/>
              <w:tr2bl w:val="nil"/>
            </w:tcBorders>
            <w:shd w:val="clear" w:color="auto" w:fill="auto"/>
            <w:vAlign w:val="center"/>
          </w:tcPr>
          <w:p w14:paraId="047B65D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88" w:type="dxa"/>
            <w:tcBorders>
              <w:tl2br w:val="nil"/>
              <w:tr2bl w:val="nil"/>
            </w:tcBorders>
            <w:shd w:val="clear" w:color="auto" w:fill="auto"/>
            <w:vAlign w:val="center"/>
          </w:tcPr>
          <w:p w14:paraId="4EB9BDD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质量考评标准</w:t>
            </w:r>
          </w:p>
        </w:tc>
        <w:tc>
          <w:tcPr>
            <w:tcW w:w="911" w:type="dxa"/>
            <w:tcBorders>
              <w:tl2br w:val="nil"/>
              <w:tr2bl w:val="nil"/>
            </w:tcBorders>
            <w:shd w:val="clear" w:color="auto" w:fill="auto"/>
            <w:vAlign w:val="center"/>
          </w:tcPr>
          <w:p w14:paraId="089E7FC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医院检查评分</w:t>
            </w:r>
          </w:p>
        </w:tc>
      </w:tr>
      <w:tr w14:paraId="478F4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jc w:val="center"/>
        </w:trPr>
        <w:tc>
          <w:tcPr>
            <w:tcW w:w="4193" w:type="dxa"/>
            <w:tcBorders>
              <w:tl2br w:val="nil"/>
              <w:tr2bl w:val="nil"/>
            </w:tcBorders>
            <w:shd w:val="clear" w:color="auto" w:fill="auto"/>
            <w:vAlign w:val="center"/>
          </w:tcPr>
          <w:p w14:paraId="76BAACF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一、保洁管理 </w:t>
            </w:r>
          </w:p>
        </w:tc>
        <w:tc>
          <w:tcPr>
            <w:tcW w:w="764" w:type="dxa"/>
            <w:tcBorders>
              <w:tl2br w:val="nil"/>
              <w:tr2bl w:val="nil"/>
            </w:tcBorders>
            <w:shd w:val="clear" w:color="auto" w:fill="auto"/>
            <w:vAlign w:val="center"/>
          </w:tcPr>
          <w:p w14:paraId="5E49FFB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60分</w:t>
            </w:r>
          </w:p>
        </w:tc>
        <w:tc>
          <w:tcPr>
            <w:tcW w:w="2588" w:type="dxa"/>
            <w:tcBorders>
              <w:tl2br w:val="nil"/>
              <w:tr2bl w:val="nil"/>
            </w:tcBorders>
            <w:shd w:val="clear" w:color="auto" w:fill="auto"/>
            <w:vAlign w:val="center"/>
          </w:tcPr>
          <w:p w14:paraId="715D0FA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b/>
                <w:bCs/>
                <w:i w:val="0"/>
                <w:iCs w:val="0"/>
                <w:color w:val="000000"/>
                <w:kern w:val="2"/>
                <w:sz w:val="24"/>
                <w:szCs w:val="24"/>
                <w:u w:val="none"/>
              </w:rPr>
            </w:pPr>
          </w:p>
        </w:tc>
        <w:tc>
          <w:tcPr>
            <w:tcW w:w="911" w:type="dxa"/>
            <w:tcBorders>
              <w:tl2br w:val="nil"/>
              <w:tr2bl w:val="nil"/>
            </w:tcBorders>
            <w:shd w:val="clear" w:color="auto" w:fill="auto"/>
            <w:vAlign w:val="center"/>
          </w:tcPr>
          <w:p w14:paraId="42E2B0B3">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b/>
                <w:bCs/>
                <w:i w:val="0"/>
                <w:iCs w:val="0"/>
                <w:color w:val="000000"/>
                <w:kern w:val="2"/>
                <w:sz w:val="24"/>
                <w:szCs w:val="24"/>
                <w:u w:val="none"/>
              </w:rPr>
            </w:pPr>
          </w:p>
        </w:tc>
      </w:tr>
      <w:tr w14:paraId="3B6AD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8FC1C6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1、环卫设施齐全，设有垃圾箱、果皮箱、清洁清扫工具，垃圾中转站。</w:t>
            </w:r>
          </w:p>
        </w:tc>
        <w:tc>
          <w:tcPr>
            <w:tcW w:w="764" w:type="dxa"/>
            <w:tcBorders>
              <w:tl2br w:val="nil"/>
              <w:tr2bl w:val="nil"/>
            </w:tcBorders>
            <w:shd w:val="clear" w:color="auto" w:fill="auto"/>
            <w:vAlign w:val="center"/>
          </w:tcPr>
          <w:p w14:paraId="6C71D83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5242802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20EFD018">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36E4B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2" w:hRule="atLeast"/>
          <w:jc w:val="center"/>
        </w:trPr>
        <w:tc>
          <w:tcPr>
            <w:tcW w:w="4193" w:type="dxa"/>
            <w:tcBorders>
              <w:tl2br w:val="nil"/>
              <w:tr2bl w:val="nil"/>
            </w:tcBorders>
            <w:shd w:val="clear" w:color="auto" w:fill="auto"/>
            <w:vAlign w:val="center"/>
          </w:tcPr>
          <w:p w14:paraId="20B3C5A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2、清洁卫生各责任范围明确到人，清洁区内达到标准化清洁保洁。清洁员着装统一、工作仔细、形象良好，并积极主动学习新的保洁知识，提高保洁、清洁技术。</w:t>
            </w:r>
          </w:p>
        </w:tc>
        <w:tc>
          <w:tcPr>
            <w:tcW w:w="764" w:type="dxa"/>
            <w:tcBorders>
              <w:tl2br w:val="nil"/>
              <w:tr2bl w:val="nil"/>
            </w:tcBorders>
            <w:shd w:val="clear" w:color="auto" w:fill="auto"/>
            <w:vAlign w:val="center"/>
          </w:tcPr>
          <w:p w14:paraId="57A7545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2F98CC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6DCA3297">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1688D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6" w:hRule="atLeast"/>
          <w:jc w:val="center"/>
        </w:trPr>
        <w:tc>
          <w:tcPr>
            <w:tcW w:w="4193" w:type="dxa"/>
            <w:tcBorders>
              <w:tl2br w:val="nil"/>
              <w:tr2bl w:val="nil"/>
            </w:tcBorders>
            <w:shd w:val="clear" w:color="auto" w:fill="auto"/>
            <w:vAlign w:val="center"/>
          </w:tcPr>
          <w:p w14:paraId="4F701F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进入污染区、无菌区、手术室、医护办公室、病房等进行保洁工作，应经室内人员同意，礼貌服务，不可影响他人工作、休息，根据不同的作业规程进行操作，按照室内清洁保洁标准和科室、病区主任护士长的要求完成工作。进行清洁工作和物资搬运时，对物品轻拿轻放，移动的东西要恢复原位，不得损坏物品。</w:t>
            </w:r>
          </w:p>
        </w:tc>
        <w:tc>
          <w:tcPr>
            <w:tcW w:w="764" w:type="dxa"/>
            <w:tcBorders>
              <w:tl2br w:val="nil"/>
              <w:tr2bl w:val="nil"/>
            </w:tcBorders>
            <w:shd w:val="clear" w:color="auto" w:fill="auto"/>
            <w:vAlign w:val="center"/>
          </w:tcPr>
          <w:p w14:paraId="2B19AEF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10521C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106510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6F9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C57FDA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4、大厅、走廊、楼梯干净明亮，无纸屑、果皮、污渍，垃圾筒内的垃圾不能超过三分之二，上面无烟头及垃圾。</w:t>
            </w:r>
          </w:p>
        </w:tc>
        <w:tc>
          <w:tcPr>
            <w:tcW w:w="764" w:type="dxa"/>
            <w:tcBorders>
              <w:tl2br w:val="nil"/>
              <w:tr2bl w:val="nil"/>
            </w:tcBorders>
            <w:shd w:val="clear" w:color="auto" w:fill="auto"/>
            <w:vAlign w:val="center"/>
          </w:tcPr>
          <w:p w14:paraId="1CE2E4A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7A320EB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E30D9D3">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215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atLeast"/>
          <w:jc w:val="center"/>
        </w:trPr>
        <w:tc>
          <w:tcPr>
            <w:tcW w:w="4193" w:type="dxa"/>
            <w:tcBorders>
              <w:tl2br w:val="nil"/>
              <w:tr2bl w:val="nil"/>
            </w:tcBorders>
            <w:shd w:val="clear" w:color="auto" w:fill="auto"/>
            <w:vAlign w:val="center"/>
          </w:tcPr>
          <w:p w14:paraId="1CD8B01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5、办公室、会议室、接待室、值班室室内保持干净、清爽，无积尘及其他杂物。桌椅摆放整齐，花木长势良好，地毯无损坏。</w:t>
            </w:r>
          </w:p>
        </w:tc>
        <w:tc>
          <w:tcPr>
            <w:tcW w:w="764" w:type="dxa"/>
            <w:tcBorders>
              <w:tl2br w:val="nil"/>
              <w:tr2bl w:val="nil"/>
            </w:tcBorders>
            <w:shd w:val="clear" w:color="auto" w:fill="auto"/>
            <w:vAlign w:val="center"/>
          </w:tcPr>
          <w:p w14:paraId="6E50ECD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6B90F7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2E650034">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9DD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0B8736B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6、治疗室，服从科室的管理指导，严格按要求及时的做好清理工作确保治疗室干净卫生无污渍、异味。</w:t>
            </w:r>
          </w:p>
        </w:tc>
        <w:tc>
          <w:tcPr>
            <w:tcW w:w="764" w:type="dxa"/>
            <w:tcBorders>
              <w:tl2br w:val="nil"/>
              <w:tr2bl w:val="nil"/>
            </w:tcBorders>
            <w:shd w:val="clear" w:color="auto" w:fill="auto"/>
            <w:vAlign w:val="center"/>
          </w:tcPr>
          <w:p w14:paraId="50FE3A3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7BCC47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494757B1">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D9D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9" w:hRule="atLeast"/>
          <w:jc w:val="center"/>
        </w:trPr>
        <w:tc>
          <w:tcPr>
            <w:tcW w:w="4193" w:type="dxa"/>
            <w:tcBorders>
              <w:tl2br w:val="nil"/>
              <w:tr2bl w:val="nil"/>
            </w:tcBorders>
            <w:shd w:val="clear" w:color="auto" w:fill="auto"/>
            <w:vAlign w:val="center"/>
          </w:tcPr>
          <w:p w14:paraId="1554E39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7、病房，清洁干净，地面无污渍、垃圾，墙面洁净，工作时不得影响病人休息清洁完毕后将物品复位。挪动病人物品时，必须经同意后方可进行，床头柜等无污迹、灰尘和杂物。并按照不同科室的要求做好保洁工作。</w:t>
            </w:r>
          </w:p>
        </w:tc>
        <w:tc>
          <w:tcPr>
            <w:tcW w:w="764" w:type="dxa"/>
            <w:tcBorders>
              <w:tl2br w:val="nil"/>
              <w:tr2bl w:val="nil"/>
            </w:tcBorders>
            <w:shd w:val="clear" w:color="auto" w:fill="auto"/>
            <w:vAlign w:val="center"/>
          </w:tcPr>
          <w:p w14:paraId="156B846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6EAF593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256181BE">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085A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4455092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8、手术室、ICU按照手术室的要求进行保洁工作。</w:t>
            </w:r>
          </w:p>
        </w:tc>
        <w:tc>
          <w:tcPr>
            <w:tcW w:w="764" w:type="dxa"/>
            <w:tcBorders>
              <w:tl2br w:val="nil"/>
              <w:tr2bl w:val="nil"/>
            </w:tcBorders>
            <w:shd w:val="clear" w:color="auto" w:fill="auto"/>
            <w:vAlign w:val="center"/>
          </w:tcPr>
          <w:p w14:paraId="742F8AB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79739D8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65398244">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CA7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5C4BAD8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9、洗手间，无异味无积水污渍，坐厕隔板消毒干净，纸巾常备，镜子镜面无污渍、手印。</w:t>
            </w:r>
          </w:p>
        </w:tc>
        <w:tc>
          <w:tcPr>
            <w:tcW w:w="764" w:type="dxa"/>
            <w:tcBorders>
              <w:tl2br w:val="nil"/>
              <w:tr2bl w:val="nil"/>
            </w:tcBorders>
            <w:shd w:val="clear" w:color="auto" w:fill="auto"/>
            <w:vAlign w:val="center"/>
          </w:tcPr>
          <w:p w14:paraId="6100EC5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6165AC3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888D6E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31037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9" w:hRule="atLeast"/>
          <w:jc w:val="center"/>
        </w:trPr>
        <w:tc>
          <w:tcPr>
            <w:tcW w:w="4193" w:type="dxa"/>
            <w:tcBorders>
              <w:tl2br w:val="nil"/>
              <w:tr2bl w:val="nil"/>
            </w:tcBorders>
            <w:shd w:val="clear" w:color="auto" w:fill="auto"/>
            <w:vAlign w:val="center"/>
          </w:tcPr>
          <w:p w14:paraId="741EFB3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清洁室、处置室地面整洁、干净，垃圾清倒及时，无异味散发；清洁室要分清各类工具的摆放区域及具体位置，并有明显的标识；水池无垃圾无积水，无乱摆、乱挂现象，并根据科室要求，做好职能范围内的其它工作。</w:t>
            </w:r>
          </w:p>
        </w:tc>
        <w:tc>
          <w:tcPr>
            <w:tcW w:w="764" w:type="dxa"/>
            <w:tcBorders>
              <w:tl2br w:val="nil"/>
              <w:tr2bl w:val="nil"/>
            </w:tcBorders>
            <w:shd w:val="clear" w:color="auto" w:fill="auto"/>
            <w:vAlign w:val="center"/>
          </w:tcPr>
          <w:p w14:paraId="33A68E0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229C19D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695E0E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ED9C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8" w:hRule="atLeast"/>
          <w:jc w:val="center"/>
        </w:trPr>
        <w:tc>
          <w:tcPr>
            <w:tcW w:w="4193" w:type="dxa"/>
            <w:tcBorders>
              <w:tl2br w:val="nil"/>
              <w:tr2bl w:val="nil"/>
            </w:tcBorders>
            <w:shd w:val="clear" w:color="auto" w:fill="auto"/>
            <w:vAlign w:val="center"/>
          </w:tcPr>
          <w:p w14:paraId="1D16693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11、开水间，地面无垃圾、积水。热水器常擦拭，定期清理水垢。水池无堵塞和积水现象。垃圾桶垃圾要及时清倒，防止异味散发。</w:t>
            </w:r>
          </w:p>
        </w:tc>
        <w:tc>
          <w:tcPr>
            <w:tcW w:w="764" w:type="dxa"/>
            <w:tcBorders>
              <w:tl2br w:val="nil"/>
              <w:tr2bl w:val="nil"/>
            </w:tcBorders>
            <w:shd w:val="clear" w:color="auto" w:fill="auto"/>
            <w:vAlign w:val="center"/>
          </w:tcPr>
          <w:p w14:paraId="6B0863C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top"/>
          </w:tcPr>
          <w:p w14:paraId="671F0FD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top"/>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02334A97">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BA6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3AA9AA4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12、垃圾站，屋内墙面无垃圾附着物。垃圾桶冲洗干净，摆放整齐。地面洁净不积水，每天至少清洗二次，确保无异味。</w:t>
            </w:r>
          </w:p>
        </w:tc>
        <w:tc>
          <w:tcPr>
            <w:tcW w:w="764" w:type="dxa"/>
            <w:tcBorders>
              <w:tl2br w:val="nil"/>
              <w:tr2bl w:val="nil"/>
            </w:tcBorders>
            <w:shd w:val="clear" w:color="auto" w:fill="auto"/>
            <w:vAlign w:val="center"/>
          </w:tcPr>
          <w:p w14:paraId="0DC8C1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top"/>
          </w:tcPr>
          <w:p w14:paraId="0559C93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top"/>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3679AE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039F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jc w:val="center"/>
        </w:trPr>
        <w:tc>
          <w:tcPr>
            <w:tcW w:w="4193" w:type="dxa"/>
            <w:tcBorders>
              <w:tl2br w:val="nil"/>
              <w:tr2bl w:val="nil"/>
            </w:tcBorders>
            <w:shd w:val="clear" w:color="auto" w:fill="auto"/>
            <w:vAlign w:val="center"/>
          </w:tcPr>
          <w:p w14:paraId="1A8231F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13、生活垃圾与医疗垃圾分类收集存放。</w:t>
            </w:r>
          </w:p>
        </w:tc>
        <w:tc>
          <w:tcPr>
            <w:tcW w:w="764" w:type="dxa"/>
            <w:tcBorders>
              <w:tl2br w:val="nil"/>
              <w:tr2bl w:val="nil"/>
            </w:tcBorders>
            <w:shd w:val="clear" w:color="auto" w:fill="auto"/>
            <w:vAlign w:val="center"/>
          </w:tcPr>
          <w:p w14:paraId="05C3E10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top"/>
          </w:tcPr>
          <w:p w14:paraId="77B89038">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c>
          <w:tcPr>
            <w:tcW w:w="911" w:type="dxa"/>
            <w:tcBorders>
              <w:tl2br w:val="nil"/>
              <w:tr2bl w:val="nil"/>
            </w:tcBorders>
            <w:shd w:val="clear" w:color="auto" w:fill="auto"/>
            <w:vAlign w:val="center"/>
          </w:tcPr>
          <w:p w14:paraId="60257F2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1D244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41A75D9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14、电梯，不锈钢墙身亮洁，无缺油现象。地面无污渍、杂物。电梯门槽内无杂物尘土。</w:t>
            </w:r>
          </w:p>
        </w:tc>
        <w:tc>
          <w:tcPr>
            <w:tcW w:w="764" w:type="dxa"/>
            <w:tcBorders>
              <w:tl2br w:val="nil"/>
              <w:tr2bl w:val="nil"/>
            </w:tcBorders>
            <w:shd w:val="clear" w:color="auto" w:fill="auto"/>
            <w:vAlign w:val="center"/>
          </w:tcPr>
          <w:p w14:paraId="6D926B5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top"/>
          </w:tcPr>
          <w:p w14:paraId="32983F7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top"/>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3E9824A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0C24A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4857C66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15、室内地面每季度至少打腊1次，地毯每日吸尘，每月至少清洗1次，外墙每年至少清洗2次。</w:t>
            </w:r>
          </w:p>
        </w:tc>
        <w:tc>
          <w:tcPr>
            <w:tcW w:w="764" w:type="dxa"/>
            <w:tcBorders>
              <w:tl2br w:val="nil"/>
              <w:tr2bl w:val="nil"/>
            </w:tcBorders>
            <w:shd w:val="clear" w:color="auto" w:fill="auto"/>
            <w:vAlign w:val="center"/>
          </w:tcPr>
          <w:p w14:paraId="5901AAB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top"/>
          </w:tcPr>
          <w:p w14:paraId="7906DD0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top"/>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616B727">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2C24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434305E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16、院内的地面(含连廊)保持干燥，尤其雨天要加强管理，防止行人摔伤，确保安全。</w:t>
            </w:r>
          </w:p>
        </w:tc>
        <w:tc>
          <w:tcPr>
            <w:tcW w:w="764" w:type="dxa"/>
            <w:tcBorders>
              <w:tl2br w:val="nil"/>
              <w:tr2bl w:val="nil"/>
            </w:tcBorders>
            <w:shd w:val="clear" w:color="auto" w:fill="auto"/>
            <w:vAlign w:val="center"/>
          </w:tcPr>
          <w:p w14:paraId="38D8587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top"/>
          </w:tcPr>
          <w:p w14:paraId="61DF36E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top"/>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2DBDB4B">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6F64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2" w:hRule="atLeast"/>
          <w:jc w:val="center"/>
        </w:trPr>
        <w:tc>
          <w:tcPr>
            <w:tcW w:w="4193" w:type="dxa"/>
            <w:tcBorders>
              <w:tl2br w:val="nil"/>
              <w:tr2bl w:val="nil"/>
            </w:tcBorders>
            <w:shd w:val="clear" w:color="auto" w:fill="auto"/>
            <w:vAlign w:val="center"/>
          </w:tcPr>
          <w:p w14:paraId="3C291B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17、标识牌、公共设施目视无明显灰尘。平台、转换层及裙楼平台无积水、杂物，管线无污迹，雨篷目视无垃圾、无青苔、无积水、无污迹，明沟通畅。</w:t>
            </w:r>
          </w:p>
        </w:tc>
        <w:tc>
          <w:tcPr>
            <w:tcW w:w="764" w:type="dxa"/>
            <w:tcBorders>
              <w:tl2br w:val="nil"/>
              <w:tr2bl w:val="nil"/>
            </w:tcBorders>
            <w:shd w:val="clear" w:color="auto" w:fill="auto"/>
            <w:vAlign w:val="center"/>
          </w:tcPr>
          <w:p w14:paraId="0446DD2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2502E17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FC3AE0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8590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07912BE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18、车场、车棚无杂物、纸屑、油污、棚上无垃圾、蜘蛛网。</w:t>
            </w:r>
          </w:p>
        </w:tc>
        <w:tc>
          <w:tcPr>
            <w:tcW w:w="764" w:type="dxa"/>
            <w:tcBorders>
              <w:tl2br w:val="nil"/>
              <w:tr2bl w:val="nil"/>
            </w:tcBorders>
            <w:shd w:val="clear" w:color="auto" w:fill="auto"/>
            <w:vAlign w:val="center"/>
          </w:tcPr>
          <w:p w14:paraId="7291A24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5AC0B7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27FA62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2B99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E00B42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19、宣传栏、无污迹，无乱张贴现象。</w:t>
            </w:r>
          </w:p>
        </w:tc>
        <w:tc>
          <w:tcPr>
            <w:tcW w:w="764" w:type="dxa"/>
            <w:tcBorders>
              <w:tl2br w:val="nil"/>
              <w:tr2bl w:val="nil"/>
            </w:tcBorders>
            <w:shd w:val="clear" w:color="auto" w:fill="auto"/>
            <w:vAlign w:val="center"/>
          </w:tcPr>
          <w:p w14:paraId="4ED6B9F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414B9F6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08FF3CB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B400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367175E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20、外墙(幕墙)面目视无污迹每年清洗2次，玻璃面无灰尘，铁栏上无铁锈。</w:t>
            </w:r>
          </w:p>
        </w:tc>
        <w:tc>
          <w:tcPr>
            <w:tcW w:w="764" w:type="dxa"/>
            <w:tcBorders>
              <w:tl2br w:val="nil"/>
              <w:tr2bl w:val="nil"/>
            </w:tcBorders>
            <w:shd w:val="clear" w:color="auto" w:fill="auto"/>
            <w:vAlign w:val="center"/>
          </w:tcPr>
          <w:p w14:paraId="54415A5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325505D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2FB5268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402D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6DADC8E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21、垃圾池和垃圾箱按规定及时清运，无积水，清运后及时冲洗，场地没臭味。</w:t>
            </w:r>
          </w:p>
        </w:tc>
        <w:tc>
          <w:tcPr>
            <w:tcW w:w="764" w:type="dxa"/>
            <w:tcBorders>
              <w:tl2br w:val="nil"/>
              <w:tr2bl w:val="nil"/>
            </w:tcBorders>
            <w:shd w:val="clear" w:color="auto" w:fill="auto"/>
            <w:vAlign w:val="center"/>
          </w:tcPr>
          <w:p w14:paraId="61DD9B0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2691D6F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E225382">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8D8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7599460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22、污水、雨水井和沙井排水畅通，无外溢，沙井内无纸屑烟头，盖上无污垢。</w:t>
            </w:r>
          </w:p>
        </w:tc>
        <w:tc>
          <w:tcPr>
            <w:tcW w:w="764" w:type="dxa"/>
            <w:tcBorders>
              <w:tl2br w:val="nil"/>
              <w:tr2bl w:val="nil"/>
            </w:tcBorders>
            <w:shd w:val="clear" w:color="auto" w:fill="auto"/>
            <w:vAlign w:val="center"/>
          </w:tcPr>
          <w:p w14:paraId="44D8F41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39A9733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37605E0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381C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470B639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23、至少每周对全院环境进行一次全面消杀工作，并做好记录，确保“四害”密度控制在国家规定的标准范围内。</w:t>
            </w:r>
          </w:p>
        </w:tc>
        <w:tc>
          <w:tcPr>
            <w:tcW w:w="764" w:type="dxa"/>
            <w:tcBorders>
              <w:tl2br w:val="nil"/>
              <w:tr2bl w:val="nil"/>
            </w:tcBorders>
            <w:shd w:val="clear" w:color="auto" w:fill="auto"/>
            <w:vAlign w:val="center"/>
          </w:tcPr>
          <w:p w14:paraId="168031A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2分</w:t>
            </w:r>
          </w:p>
        </w:tc>
        <w:tc>
          <w:tcPr>
            <w:tcW w:w="2588" w:type="dxa"/>
            <w:tcBorders>
              <w:tl2br w:val="nil"/>
              <w:tr2bl w:val="nil"/>
            </w:tcBorders>
            <w:shd w:val="clear" w:color="auto" w:fill="auto"/>
            <w:vAlign w:val="center"/>
          </w:tcPr>
          <w:p w14:paraId="01CF1B8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4770FFC3">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4991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3AC37CE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24、草坪无烟头、纸屑、杂物，无黄土暴露。清除杂草、及时修剪。</w:t>
            </w:r>
          </w:p>
        </w:tc>
        <w:tc>
          <w:tcPr>
            <w:tcW w:w="764" w:type="dxa"/>
            <w:tcBorders>
              <w:tl2br w:val="nil"/>
              <w:tr2bl w:val="nil"/>
            </w:tcBorders>
            <w:shd w:val="clear" w:color="auto" w:fill="auto"/>
            <w:vAlign w:val="center"/>
          </w:tcPr>
          <w:p w14:paraId="6FDAE0A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59598A2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DF75A9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82A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3FB42F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25、乔灌木，无枯枝败叶，叶上无积尘。无虫害现象，每月至少剪一次。</w:t>
            </w:r>
          </w:p>
        </w:tc>
        <w:tc>
          <w:tcPr>
            <w:tcW w:w="764" w:type="dxa"/>
            <w:tcBorders>
              <w:tl2br w:val="nil"/>
              <w:tr2bl w:val="nil"/>
            </w:tcBorders>
            <w:shd w:val="clear" w:color="auto" w:fill="auto"/>
            <w:vAlign w:val="center"/>
          </w:tcPr>
          <w:p w14:paraId="4ED4B6F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328E4CE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41C198AB">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56F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4E743E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26、花卉，无枯枝、黄叶、断枝。盆内无杂物、杂草。无干旱虫害现象。品种及时更换。</w:t>
            </w:r>
          </w:p>
        </w:tc>
        <w:tc>
          <w:tcPr>
            <w:tcW w:w="764" w:type="dxa"/>
            <w:tcBorders>
              <w:tl2br w:val="nil"/>
              <w:tr2bl w:val="nil"/>
            </w:tcBorders>
            <w:shd w:val="clear" w:color="auto" w:fill="auto"/>
            <w:vAlign w:val="center"/>
          </w:tcPr>
          <w:p w14:paraId="7228526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39E9401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653B1534">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6FCC7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4193" w:type="dxa"/>
            <w:tcBorders>
              <w:tl2br w:val="nil"/>
              <w:tr2bl w:val="nil"/>
            </w:tcBorders>
            <w:shd w:val="clear" w:color="auto" w:fill="auto"/>
            <w:vAlign w:val="center"/>
          </w:tcPr>
          <w:p w14:paraId="1866CCF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27、绿地无破坏、践踏、占用现象。未经院方同意不擅自移植花木，改变整体布局。绿地无纸屑、烟头、明显石块等杂物。</w:t>
            </w:r>
          </w:p>
        </w:tc>
        <w:tc>
          <w:tcPr>
            <w:tcW w:w="764" w:type="dxa"/>
            <w:tcBorders>
              <w:tl2br w:val="nil"/>
              <w:tr2bl w:val="nil"/>
            </w:tcBorders>
            <w:shd w:val="clear" w:color="auto" w:fill="auto"/>
            <w:vAlign w:val="center"/>
          </w:tcPr>
          <w:p w14:paraId="2BB037D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5249A19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F8382AE">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170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2" w:hRule="atLeast"/>
          <w:jc w:val="center"/>
        </w:trPr>
        <w:tc>
          <w:tcPr>
            <w:tcW w:w="4193" w:type="dxa"/>
            <w:tcBorders>
              <w:tl2br w:val="nil"/>
              <w:tr2bl w:val="nil"/>
            </w:tcBorders>
            <w:shd w:val="clear" w:color="auto" w:fill="auto"/>
            <w:vAlign w:val="center"/>
          </w:tcPr>
          <w:p w14:paraId="08BC5EC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28、绿化工熟悉医院绿化整体的布局，熟悉花草树木的品种及其特征，懂得盆景与环境的搭配以及植物的修剪等知识和养护技能。</w:t>
            </w:r>
          </w:p>
        </w:tc>
        <w:tc>
          <w:tcPr>
            <w:tcW w:w="764" w:type="dxa"/>
            <w:tcBorders>
              <w:tl2br w:val="nil"/>
              <w:tr2bl w:val="nil"/>
            </w:tcBorders>
            <w:shd w:val="clear" w:color="auto" w:fill="auto"/>
            <w:vAlign w:val="center"/>
          </w:tcPr>
          <w:p w14:paraId="73022BB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139C6F2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A27FAA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2A1B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2" w:hRule="atLeast"/>
          <w:jc w:val="center"/>
        </w:trPr>
        <w:tc>
          <w:tcPr>
            <w:tcW w:w="4193" w:type="dxa"/>
            <w:tcBorders>
              <w:tl2br w:val="nil"/>
              <w:tr2bl w:val="nil"/>
            </w:tcBorders>
            <w:shd w:val="clear" w:color="auto" w:fill="auto"/>
            <w:vAlign w:val="center"/>
          </w:tcPr>
          <w:p w14:paraId="11BFC6C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29、花草树木长势良好，修剪整齐美观，无病虫害，无折损现象，无斑秃。保持室内外盆栽、鲜花的新鲜美丽，根据不同季节及时进行更换。节约使用浇灌用水。</w:t>
            </w:r>
          </w:p>
        </w:tc>
        <w:tc>
          <w:tcPr>
            <w:tcW w:w="764" w:type="dxa"/>
            <w:tcBorders>
              <w:tl2br w:val="nil"/>
              <w:tr2bl w:val="nil"/>
            </w:tcBorders>
            <w:shd w:val="clear" w:color="auto" w:fill="auto"/>
            <w:vAlign w:val="center"/>
          </w:tcPr>
          <w:p w14:paraId="4480241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724EF5B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E9F864A">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FC5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jc w:val="center"/>
        </w:trPr>
        <w:tc>
          <w:tcPr>
            <w:tcW w:w="4193" w:type="dxa"/>
            <w:tcBorders>
              <w:tl2br w:val="nil"/>
              <w:tr2bl w:val="nil"/>
            </w:tcBorders>
            <w:shd w:val="clear" w:color="auto" w:fill="auto"/>
            <w:vAlign w:val="center"/>
          </w:tcPr>
          <w:p w14:paraId="31746BD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30、积极配合医院做好大型活动的美化布置准备工作，根据医院临时要求做好供应保障。</w:t>
            </w:r>
          </w:p>
        </w:tc>
        <w:tc>
          <w:tcPr>
            <w:tcW w:w="764" w:type="dxa"/>
            <w:tcBorders>
              <w:tl2br w:val="nil"/>
              <w:tr2bl w:val="nil"/>
            </w:tcBorders>
            <w:shd w:val="clear" w:color="auto" w:fill="auto"/>
            <w:vAlign w:val="center"/>
          </w:tcPr>
          <w:p w14:paraId="4B3F698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090B6F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6A8C74F2">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84BE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4193" w:type="dxa"/>
            <w:tcBorders>
              <w:tl2br w:val="nil"/>
              <w:tr2bl w:val="nil"/>
            </w:tcBorders>
            <w:shd w:val="clear" w:color="auto" w:fill="auto"/>
            <w:vAlign w:val="center"/>
          </w:tcPr>
          <w:p w14:paraId="4646C2E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31、施肥(播施或喷施)不伤花草；空施或沟施后，覆盖平整，肥料不露出土面。</w:t>
            </w:r>
          </w:p>
        </w:tc>
        <w:tc>
          <w:tcPr>
            <w:tcW w:w="764" w:type="dxa"/>
            <w:tcBorders>
              <w:tl2br w:val="nil"/>
              <w:tr2bl w:val="nil"/>
            </w:tcBorders>
            <w:shd w:val="clear" w:color="auto" w:fill="auto"/>
            <w:vAlign w:val="center"/>
          </w:tcPr>
          <w:p w14:paraId="58F1800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3B36673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629CD13F">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056D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2" w:hRule="atLeast"/>
          <w:jc w:val="center"/>
        </w:trPr>
        <w:tc>
          <w:tcPr>
            <w:tcW w:w="4193" w:type="dxa"/>
            <w:tcBorders>
              <w:tl2br w:val="nil"/>
              <w:tr2bl w:val="nil"/>
            </w:tcBorders>
            <w:shd w:val="clear" w:color="auto" w:fill="auto"/>
            <w:vAlign w:val="center"/>
          </w:tcPr>
          <w:p w14:paraId="7061227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32、抗旱，泥土不染花叶，土不压苗心，水不冲倒苗，冬季早晚不浇水，夏季中午不浇水，浇水透土深度力：树下3cm，草地2cm，无旱死、旱枯现象。</w:t>
            </w:r>
          </w:p>
        </w:tc>
        <w:tc>
          <w:tcPr>
            <w:tcW w:w="764" w:type="dxa"/>
            <w:tcBorders>
              <w:tl2br w:val="nil"/>
              <w:tr2bl w:val="nil"/>
            </w:tcBorders>
            <w:shd w:val="clear" w:color="auto" w:fill="auto"/>
            <w:vAlign w:val="center"/>
          </w:tcPr>
          <w:p w14:paraId="4DF9CC5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1分</w:t>
            </w:r>
          </w:p>
        </w:tc>
        <w:tc>
          <w:tcPr>
            <w:tcW w:w="2588" w:type="dxa"/>
            <w:tcBorders>
              <w:tl2br w:val="nil"/>
              <w:tr2bl w:val="nil"/>
            </w:tcBorders>
            <w:shd w:val="clear" w:color="auto" w:fill="auto"/>
            <w:vAlign w:val="center"/>
          </w:tcPr>
          <w:p w14:paraId="6416A05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224129E">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420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8" w:hRule="atLeast"/>
          <w:jc w:val="center"/>
        </w:trPr>
        <w:tc>
          <w:tcPr>
            <w:tcW w:w="4193" w:type="dxa"/>
            <w:tcBorders>
              <w:tl2br w:val="nil"/>
              <w:tr2bl w:val="nil"/>
            </w:tcBorders>
            <w:shd w:val="clear" w:color="auto" w:fill="auto"/>
            <w:vAlign w:val="center"/>
          </w:tcPr>
          <w:p w14:paraId="2A3A987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二、安保管理</w:t>
            </w:r>
          </w:p>
        </w:tc>
        <w:tc>
          <w:tcPr>
            <w:tcW w:w="764" w:type="dxa"/>
            <w:tcBorders>
              <w:tl2br w:val="nil"/>
              <w:tr2bl w:val="nil"/>
            </w:tcBorders>
            <w:shd w:val="clear" w:color="auto" w:fill="auto"/>
            <w:vAlign w:val="center"/>
          </w:tcPr>
          <w:p w14:paraId="49F4FA3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30分</w:t>
            </w:r>
          </w:p>
        </w:tc>
        <w:tc>
          <w:tcPr>
            <w:tcW w:w="2588" w:type="dxa"/>
            <w:tcBorders>
              <w:tl2br w:val="nil"/>
              <w:tr2bl w:val="nil"/>
            </w:tcBorders>
            <w:shd w:val="clear" w:color="auto" w:fill="auto"/>
            <w:vAlign w:val="center"/>
          </w:tcPr>
          <w:p w14:paraId="34FBEF63">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b/>
                <w:bCs/>
                <w:i w:val="0"/>
                <w:iCs w:val="0"/>
                <w:color w:val="000000"/>
                <w:kern w:val="2"/>
                <w:sz w:val="24"/>
                <w:szCs w:val="24"/>
                <w:u w:val="none"/>
              </w:rPr>
            </w:pPr>
          </w:p>
        </w:tc>
        <w:tc>
          <w:tcPr>
            <w:tcW w:w="911" w:type="dxa"/>
            <w:tcBorders>
              <w:tl2br w:val="nil"/>
              <w:tr2bl w:val="nil"/>
            </w:tcBorders>
            <w:shd w:val="clear" w:color="auto" w:fill="auto"/>
            <w:vAlign w:val="center"/>
          </w:tcPr>
          <w:p w14:paraId="5CAB5A4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b/>
                <w:bCs/>
                <w:i w:val="0"/>
                <w:iCs w:val="0"/>
                <w:color w:val="000000"/>
                <w:kern w:val="2"/>
                <w:sz w:val="24"/>
                <w:szCs w:val="24"/>
                <w:u w:val="none"/>
              </w:rPr>
            </w:pPr>
          </w:p>
        </w:tc>
      </w:tr>
      <w:tr w14:paraId="5BBA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4B8EEC9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(1)上班期间做到服务热情，使用文明用语；不得与任何人发生言语或肢体冲突。</w:t>
            </w:r>
          </w:p>
        </w:tc>
        <w:tc>
          <w:tcPr>
            <w:tcW w:w="764" w:type="dxa"/>
            <w:tcBorders>
              <w:tl2br w:val="nil"/>
              <w:tr2bl w:val="nil"/>
            </w:tcBorders>
            <w:shd w:val="clear" w:color="auto" w:fill="auto"/>
            <w:vAlign w:val="center"/>
          </w:tcPr>
          <w:p w14:paraId="322E382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11115D1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0671A60C">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6D67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jc w:val="center"/>
        </w:trPr>
        <w:tc>
          <w:tcPr>
            <w:tcW w:w="4193" w:type="dxa"/>
            <w:tcBorders>
              <w:tl2br w:val="nil"/>
              <w:tr2bl w:val="nil"/>
            </w:tcBorders>
            <w:shd w:val="clear" w:color="auto" w:fill="auto"/>
            <w:vAlign w:val="center"/>
          </w:tcPr>
          <w:p w14:paraId="7E45AB8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(2)着装整洁统一；佩戴工牌；禁止穿着拖鞋、运动鞋上班；站姿、坐姿、帽饰、发型等仪容仪表符合医院要求。</w:t>
            </w:r>
          </w:p>
        </w:tc>
        <w:tc>
          <w:tcPr>
            <w:tcW w:w="764" w:type="dxa"/>
            <w:tcBorders>
              <w:tl2br w:val="nil"/>
              <w:tr2bl w:val="nil"/>
            </w:tcBorders>
            <w:shd w:val="clear" w:color="auto" w:fill="auto"/>
            <w:vAlign w:val="center"/>
          </w:tcPr>
          <w:p w14:paraId="5DF0E0B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40A7B5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06BAFB2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6A953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05A2E0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(3)在岗人数及在岗时间符合合同要求，人员年龄、身高、体重、健康状况等各项指标要达标。</w:t>
            </w:r>
          </w:p>
        </w:tc>
        <w:tc>
          <w:tcPr>
            <w:tcW w:w="764" w:type="dxa"/>
            <w:tcBorders>
              <w:tl2br w:val="nil"/>
              <w:tr2bl w:val="nil"/>
            </w:tcBorders>
            <w:shd w:val="clear" w:color="auto" w:fill="auto"/>
            <w:vAlign w:val="center"/>
          </w:tcPr>
          <w:p w14:paraId="316EF21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5分</w:t>
            </w:r>
          </w:p>
        </w:tc>
        <w:tc>
          <w:tcPr>
            <w:tcW w:w="2588" w:type="dxa"/>
            <w:tcBorders>
              <w:tl2br w:val="nil"/>
              <w:tr2bl w:val="nil"/>
            </w:tcBorders>
            <w:shd w:val="clear" w:color="auto" w:fill="auto"/>
            <w:vAlign w:val="center"/>
          </w:tcPr>
          <w:p w14:paraId="7125557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AE279A4">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24D31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2044A26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(4)不出现迟到早退、无故旷工、保安闲散、扎堆乱聊现象。</w:t>
            </w:r>
          </w:p>
        </w:tc>
        <w:tc>
          <w:tcPr>
            <w:tcW w:w="764" w:type="dxa"/>
            <w:tcBorders>
              <w:tl2br w:val="nil"/>
              <w:tr2bl w:val="nil"/>
            </w:tcBorders>
            <w:shd w:val="clear" w:color="auto" w:fill="auto"/>
            <w:vAlign w:val="center"/>
          </w:tcPr>
          <w:p w14:paraId="666AAF0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48DA076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9544132">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B40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8" w:hRule="atLeast"/>
          <w:jc w:val="center"/>
        </w:trPr>
        <w:tc>
          <w:tcPr>
            <w:tcW w:w="4193" w:type="dxa"/>
            <w:tcBorders>
              <w:tl2br w:val="nil"/>
              <w:tr2bl w:val="nil"/>
            </w:tcBorders>
            <w:shd w:val="clear" w:color="auto" w:fill="auto"/>
            <w:vAlign w:val="center"/>
          </w:tcPr>
          <w:p w14:paraId="2D0FD9E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(5)保证消控室24小时有人值守，值班人员会</w:t>
            </w:r>
          </w:p>
        </w:tc>
        <w:tc>
          <w:tcPr>
            <w:tcW w:w="764" w:type="dxa"/>
            <w:vMerge w:val="restart"/>
            <w:tcBorders>
              <w:tl2br w:val="nil"/>
              <w:tr2bl w:val="nil"/>
            </w:tcBorders>
            <w:shd w:val="clear" w:color="auto" w:fill="auto"/>
            <w:vAlign w:val="center"/>
          </w:tcPr>
          <w:p w14:paraId="5218E54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5分</w:t>
            </w:r>
          </w:p>
        </w:tc>
        <w:tc>
          <w:tcPr>
            <w:tcW w:w="2588" w:type="dxa"/>
            <w:vMerge w:val="restart"/>
            <w:tcBorders>
              <w:tl2br w:val="nil"/>
              <w:tr2bl w:val="nil"/>
            </w:tcBorders>
            <w:shd w:val="clear" w:color="auto" w:fill="auto"/>
            <w:vAlign w:val="center"/>
          </w:tcPr>
          <w:p w14:paraId="12DD72B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vMerge w:val="restart"/>
            <w:tcBorders>
              <w:tl2br w:val="nil"/>
              <w:tr2bl w:val="nil"/>
            </w:tcBorders>
            <w:shd w:val="clear" w:color="auto" w:fill="auto"/>
            <w:vAlign w:val="center"/>
          </w:tcPr>
          <w:p w14:paraId="75FD17D0">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40A22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4193" w:type="dxa"/>
            <w:tcBorders>
              <w:tl2br w:val="nil"/>
              <w:tr2bl w:val="nil"/>
            </w:tcBorders>
            <w:shd w:val="clear" w:color="auto" w:fill="auto"/>
            <w:vAlign w:val="center"/>
          </w:tcPr>
          <w:p w14:paraId="2B9D308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操作；做好消火栓、灭火器等消防设施的检查，</w:t>
            </w:r>
          </w:p>
        </w:tc>
        <w:tc>
          <w:tcPr>
            <w:tcW w:w="764" w:type="dxa"/>
            <w:vMerge w:val="continue"/>
            <w:tcBorders>
              <w:tl2br w:val="nil"/>
              <w:tr2bl w:val="nil"/>
            </w:tcBorders>
            <w:shd w:val="clear" w:color="auto" w:fill="auto"/>
            <w:vAlign w:val="center"/>
          </w:tcPr>
          <w:p w14:paraId="4CC174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i w:val="0"/>
                <w:iCs w:val="0"/>
                <w:color w:val="000000"/>
                <w:kern w:val="2"/>
                <w:sz w:val="24"/>
                <w:szCs w:val="24"/>
                <w:u w:val="none"/>
              </w:rPr>
            </w:pPr>
          </w:p>
        </w:tc>
        <w:tc>
          <w:tcPr>
            <w:tcW w:w="2588" w:type="dxa"/>
            <w:vMerge w:val="continue"/>
            <w:tcBorders>
              <w:tl2br w:val="nil"/>
              <w:tr2bl w:val="nil"/>
            </w:tcBorders>
            <w:shd w:val="clear" w:color="auto" w:fill="auto"/>
            <w:vAlign w:val="center"/>
          </w:tcPr>
          <w:p w14:paraId="673692C6">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c>
          <w:tcPr>
            <w:tcW w:w="911" w:type="dxa"/>
            <w:vMerge w:val="continue"/>
            <w:tcBorders>
              <w:tl2br w:val="nil"/>
              <w:tr2bl w:val="nil"/>
            </w:tcBorders>
            <w:shd w:val="clear" w:color="auto" w:fill="auto"/>
            <w:vAlign w:val="center"/>
          </w:tcPr>
          <w:p w14:paraId="1FAC8084">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29D9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jc w:val="center"/>
        </w:trPr>
        <w:tc>
          <w:tcPr>
            <w:tcW w:w="4193" w:type="dxa"/>
            <w:tcBorders>
              <w:tl2br w:val="nil"/>
              <w:tr2bl w:val="nil"/>
            </w:tcBorders>
            <w:shd w:val="clear" w:color="auto" w:fill="auto"/>
            <w:vAlign w:val="center"/>
          </w:tcPr>
          <w:p w14:paraId="22EB5F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并按要求做好记录；做好防火巡查（包括重点部位），发现并消除隐患，按要求填写记录；院内出现火情时积极扑救。</w:t>
            </w:r>
          </w:p>
        </w:tc>
        <w:tc>
          <w:tcPr>
            <w:tcW w:w="764" w:type="dxa"/>
            <w:vMerge w:val="continue"/>
            <w:tcBorders>
              <w:tl2br w:val="nil"/>
              <w:tr2bl w:val="nil"/>
            </w:tcBorders>
            <w:shd w:val="clear" w:color="auto" w:fill="auto"/>
            <w:vAlign w:val="center"/>
          </w:tcPr>
          <w:p w14:paraId="73AF62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i w:val="0"/>
                <w:iCs w:val="0"/>
                <w:color w:val="000000"/>
                <w:kern w:val="2"/>
                <w:sz w:val="24"/>
                <w:szCs w:val="24"/>
                <w:u w:val="none"/>
              </w:rPr>
            </w:pPr>
          </w:p>
        </w:tc>
        <w:tc>
          <w:tcPr>
            <w:tcW w:w="2588" w:type="dxa"/>
            <w:vMerge w:val="continue"/>
            <w:tcBorders>
              <w:tl2br w:val="nil"/>
              <w:tr2bl w:val="nil"/>
            </w:tcBorders>
            <w:shd w:val="clear" w:color="auto" w:fill="auto"/>
            <w:vAlign w:val="center"/>
          </w:tcPr>
          <w:p w14:paraId="46FFED35">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c>
          <w:tcPr>
            <w:tcW w:w="911" w:type="dxa"/>
            <w:vMerge w:val="continue"/>
            <w:tcBorders>
              <w:tl2br w:val="nil"/>
              <w:tr2bl w:val="nil"/>
            </w:tcBorders>
            <w:shd w:val="clear" w:color="auto" w:fill="auto"/>
            <w:vAlign w:val="center"/>
          </w:tcPr>
          <w:p w14:paraId="2BE24B95">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5018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9" w:hRule="atLeast"/>
          <w:jc w:val="center"/>
        </w:trPr>
        <w:tc>
          <w:tcPr>
            <w:tcW w:w="4193" w:type="dxa"/>
            <w:tcBorders>
              <w:tl2br w:val="nil"/>
              <w:tr2bl w:val="nil"/>
            </w:tcBorders>
            <w:shd w:val="clear" w:color="auto" w:fill="auto"/>
            <w:vAlign w:val="center"/>
          </w:tcPr>
          <w:p w14:paraId="0D64D5C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(6)加强车位管理，消防通道禁止停车；熟悉掌握车辆、车位情况，指导车辆有序停放；加强对车辆的巡查力度，保证车场和设施的安全；保证消防车道、120通道畅通、急救车位不被占用；禁止自行车、电动车、摩托车乱停乱放。</w:t>
            </w:r>
          </w:p>
        </w:tc>
        <w:tc>
          <w:tcPr>
            <w:tcW w:w="764" w:type="dxa"/>
            <w:tcBorders>
              <w:tl2br w:val="nil"/>
              <w:tr2bl w:val="nil"/>
            </w:tcBorders>
            <w:shd w:val="clear" w:color="auto" w:fill="auto"/>
            <w:vAlign w:val="center"/>
          </w:tcPr>
          <w:p w14:paraId="235F42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5分</w:t>
            </w:r>
          </w:p>
        </w:tc>
        <w:tc>
          <w:tcPr>
            <w:tcW w:w="2588" w:type="dxa"/>
            <w:tcBorders>
              <w:tl2br w:val="nil"/>
              <w:tr2bl w:val="nil"/>
            </w:tcBorders>
            <w:shd w:val="clear" w:color="auto" w:fill="auto"/>
            <w:vAlign w:val="center"/>
          </w:tcPr>
          <w:p w14:paraId="6BE5F72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0716870B">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215F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7" w:hRule="atLeast"/>
          <w:jc w:val="center"/>
        </w:trPr>
        <w:tc>
          <w:tcPr>
            <w:tcW w:w="4193" w:type="dxa"/>
            <w:tcBorders>
              <w:tl2br w:val="nil"/>
              <w:tr2bl w:val="nil"/>
            </w:tcBorders>
            <w:shd w:val="clear" w:color="auto" w:fill="auto"/>
            <w:vAlign w:val="center"/>
          </w:tcPr>
          <w:p w14:paraId="6135AC2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(7)按照规定时间、路线、频率巡逻，对发现可疑人员及时排查，发现问题要及时上前处理并汇报。</w:t>
            </w:r>
          </w:p>
        </w:tc>
        <w:tc>
          <w:tcPr>
            <w:tcW w:w="764" w:type="dxa"/>
            <w:tcBorders>
              <w:tl2br w:val="nil"/>
              <w:tr2bl w:val="nil"/>
            </w:tcBorders>
            <w:shd w:val="clear" w:color="auto" w:fill="auto"/>
            <w:vAlign w:val="center"/>
          </w:tcPr>
          <w:p w14:paraId="626F1DD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2D9B457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7026EA7B">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6375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6" w:hRule="atLeast"/>
          <w:jc w:val="center"/>
        </w:trPr>
        <w:tc>
          <w:tcPr>
            <w:tcW w:w="4193" w:type="dxa"/>
            <w:tcBorders>
              <w:tl2br w:val="nil"/>
              <w:tr2bl w:val="nil"/>
            </w:tcBorders>
            <w:shd w:val="clear" w:color="auto" w:fill="auto"/>
            <w:vAlign w:val="center"/>
          </w:tcPr>
          <w:p w14:paraId="206499B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(8)严禁脱岗、窜岗，严禁带酒气上班或班上饮酒，禁止当班期间看书、玩手机、吸烟、躺卧等。</w:t>
            </w:r>
          </w:p>
        </w:tc>
        <w:tc>
          <w:tcPr>
            <w:tcW w:w="764" w:type="dxa"/>
            <w:tcBorders>
              <w:tl2br w:val="nil"/>
              <w:tr2bl w:val="nil"/>
            </w:tcBorders>
            <w:shd w:val="clear" w:color="auto" w:fill="auto"/>
            <w:vAlign w:val="center"/>
          </w:tcPr>
          <w:p w14:paraId="0E8B367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3分</w:t>
            </w:r>
          </w:p>
        </w:tc>
        <w:tc>
          <w:tcPr>
            <w:tcW w:w="2588" w:type="dxa"/>
            <w:tcBorders>
              <w:tl2br w:val="nil"/>
              <w:tr2bl w:val="nil"/>
            </w:tcBorders>
            <w:shd w:val="clear" w:color="auto" w:fill="auto"/>
            <w:vAlign w:val="center"/>
          </w:tcPr>
          <w:p w14:paraId="6CB1013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10694E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1087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2" w:hRule="atLeast"/>
          <w:jc w:val="center"/>
        </w:trPr>
        <w:tc>
          <w:tcPr>
            <w:tcW w:w="4193" w:type="dxa"/>
            <w:tcBorders>
              <w:tl2br w:val="nil"/>
              <w:tr2bl w:val="nil"/>
            </w:tcBorders>
            <w:shd w:val="clear" w:color="auto" w:fill="auto"/>
            <w:vAlign w:val="center"/>
          </w:tcPr>
          <w:p w14:paraId="5C12052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三、医辅管理</w:t>
            </w:r>
          </w:p>
        </w:tc>
        <w:tc>
          <w:tcPr>
            <w:tcW w:w="764" w:type="dxa"/>
            <w:tcBorders>
              <w:tl2br w:val="nil"/>
              <w:tr2bl w:val="nil"/>
            </w:tcBorders>
            <w:shd w:val="clear" w:color="auto" w:fill="auto"/>
            <w:vAlign w:val="center"/>
          </w:tcPr>
          <w:p w14:paraId="3533290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10分</w:t>
            </w:r>
          </w:p>
        </w:tc>
        <w:tc>
          <w:tcPr>
            <w:tcW w:w="2588" w:type="dxa"/>
            <w:tcBorders>
              <w:tl2br w:val="nil"/>
              <w:tr2bl w:val="nil"/>
            </w:tcBorders>
            <w:shd w:val="clear" w:color="auto" w:fill="auto"/>
            <w:vAlign w:val="center"/>
          </w:tcPr>
          <w:p w14:paraId="6947CA8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b/>
                <w:bCs/>
                <w:i w:val="0"/>
                <w:iCs w:val="0"/>
                <w:color w:val="000000"/>
                <w:kern w:val="2"/>
                <w:sz w:val="24"/>
                <w:szCs w:val="24"/>
                <w:u w:val="none"/>
              </w:rPr>
            </w:pPr>
          </w:p>
        </w:tc>
        <w:tc>
          <w:tcPr>
            <w:tcW w:w="911" w:type="dxa"/>
            <w:tcBorders>
              <w:tl2br w:val="nil"/>
              <w:tr2bl w:val="nil"/>
            </w:tcBorders>
            <w:shd w:val="clear" w:color="auto" w:fill="auto"/>
            <w:vAlign w:val="center"/>
          </w:tcPr>
          <w:p w14:paraId="5F92E07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b/>
                <w:bCs/>
                <w:i w:val="0"/>
                <w:iCs w:val="0"/>
                <w:color w:val="000000"/>
                <w:kern w:val="2"/>
                <w:sz w:val="24"/>
                <w:szCs w:val="24"/>
                <w:u w:val="none"/>
              </w:rPr>
            </w:pPr>
          </w:p>
        </w:tc>
      </w:tr>
      <w:tr w14:paraId="6C6A3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4193" w:type="dxa"/>
            <w:tcBorders>
              <w:tl2br w:val="nil"/>
              <w:tr2bl w:val="nil"/>
            </w:tcBorders>
            <w:shd w:val="clear" w:color="auto" w:fill="auto"/>
            <w:vAlign w:val="center"/>
          </w:tcPr>
          <w:p w14:paraId="6C6D6CB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(1)按要求完成各类标本的收集运送（常规、急、平），报告单发放；登记、签收；做到准确、及时。</w:t>
            </w:r>
          </w:p>
        </w:tc>
        <w:tc>
          <w:tcPr>
            <w:tcW w:w="764" w:type="dxa"/>
            <w:tcBorders>
              <w:tl2br w:val="nil"/>
              <w:tr2bl w:val="nil"/>
            </w:tcBorders>
            <w:shd w:val="clear" w:color="auto" w:fill="auto"/>
            <w:vAlign w:val="center"/>
          </w:tcPr>
          <w:p w14:paraId="6D9C2E3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8" w:type="dxa"/>
            <w:tcBorders>
              <w:tl2br w:val="nil"/>
              <w:tr2bl w:val="nil"/>
            </w:tcBorders>
            <w:shd w:val="clear" w:color="auto" w:fill="auto"/>
            <w:vAlign w:val="center"/>
          </w:tcPr>
          <w:p w14:paraId="0F52678A">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489A5FB">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76778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jc w:val="center"/>
        </w:trPr>
        <w:tc>
          <w:tcPr>
            <w:tcW w:w="4193" w:type="dxa"/>
            <w:tcBorders>
              <w:tl2br w:val="nil"/>
              <w:tr2bl w:val="nil"/>
            </w:tcBorders>
            <w:shd w:val="clear" w:color="auto" w:fill="auto"/>
            <w:vAlign w:val="center"/>
          </w:tcPr>
          <w:p w14:paraId="0246FF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(2)按要求及时收送瓶氧，运送部分科室常规药车、各类大输液和全院集中配置的静脉及口服药品。</w:t>
            </w:r>
          </w:p>
        </w:tc>
        <w:tc>
          <w:tcPr>
            <w:tcW w:w="764" w:type="dxa"/>
            <w:tcBorders>
              <w:tl2br w:val="nil"/>
              <w:tr2bl w:val="nil"/>
            </w:tcBorders>
            <w:shd w:val="clear" w:color="auto" w:fill="auto"/>
            <w:vAlign w:val="center"/>
          </w:tcPr>
          <w:p w14:paraId="24E6B68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8" w:type="dxa"/>
            <w:tcBorders>
              <w:tl2br w:val="nil"/>
              <w:tr2bl w:val="nil"/>
            </w:tcBorders>
            <w:shd w:val="clear" w:color="auto" w:fill="auto"/>
            <w:vAlign w:val="center"/>
          </w:tcPr>
          <w:p w14:paraId="3C7CEB98">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15E7B93D">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r w14:paraId="2DE01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5" w:hRule="atLeast"/>
          <w:jc w:val="center"/>
        </w:trPr>
        <w:tc>
          <w:tcPr>
            <w:tcW w:w="4193" w:type="dxa"/>
            <w:tcBorders>
              <w:tl2br w:val="nil"/>
              <w:tr2bl w:val="nil"/>
            </w:tcBorders>
            <w:shd w:val="clear" w:color="auto" w:fill="auto"/>
            <w:vAlign w:val="center"/>
          </w:tcPr>
          <w:p w14:paraId="0E0AC6C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(3)工作服、病号服等以及医辅用品等清洗收管工作要达标，清洗要干净，收管整洁，要确保洗衣房的赶紧整洁。</w:t>
            </w:r>
          </w:p>
        </w:tc>
        <w:tc>
          <w:tcPr>
            <w:tcW w:w="764" w:type="dxa"/>
            <w:tcBorders>
              <w:tl2br w:val="nil"/>
              <w:tr2bl w:val="nil"/>
            </w:tcBorders>
            <w:shd w:val="clear" w:color="auto" w:fill="auto"/>
            <w:vAlign w:val="center"/>
          </w:tcPr>
          <w:p w14:paraId="00CE280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88" w:type="dxa"/>
            <w:tcBorders>
              <w:tl2br w:val="nil"/>
              <w:tr2bl w:val="nil"/>
            </w:tcBorders>
            <w:shd w:val="clear" w:color="auto" w:fill="auto"/>
            <w:vAlign w:val="center"/>
          </w:tcPr>
          <w:p w14:paraId="196E21BE">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不合格项视程度从0.1分起扣，最高扣分不超过该项目和内容的标准分值。</w:t>
            </w:r>
          </w:p>
        </w:tc>
        <w:tc>
          <w:tcPr>
            <w:tcW w:w="911" w:type="dxa"/>
            <w:tcBorders>
              <w:tl2br w:val="nil"/>
              <w:tr2bl w:val="nil"/>
            </w:tcBorders>
            <w:shd w:val="clear" w:color="auto" w:fill="auto"/>
            <w:vAlign w:val="center"/>
          </w:tcPr>
          <w:p w14:paraId="5896EE49">
            <w:pPr>
              <w:keepNext w:val="0"/>
              <w:keepLines w:val="0"/>
              <w:pageBreakBefore w:val="0"/>
              <w:widowControl/>
              <w:kinsoku/>
              <w:wordWrap/>
              <w:overflowPunct/>
              <w:topLinePunct w:val="0"/>
              <w:autoSpaceDE/>
              <w:autoSpaceDN/>
              <w:bidi w:val="0"/>
              <w:adjustRightInd/>
              <w:snapToGrid/>
              <w:spacing w:line="360" w:lineRule="exact"/>
              <w:ind w:firstLine="0" w:firstLineChars="0"/>
              <w:jc w:val="both"/>
              <w:rPr>
                <w:rFonts w:hint="eastAsia" w:ascii="宋体" w:hAnsi="宋体" w:eastAsia="宋体" w:cs="宋体"/>
                <w:i w:val="0"/>
                <w:iCs w:val="0"/>
                <w:color w:val="000000"/>
                <w:kern w:val="2"/>
                <w:sz w:val="24"/>
                <w:szCs w:val="24"/>
                <w:u w:val="none"/>
              </w:rPr>
            </w:pPr>
          </w:p>
        </w:tc>
      </w:tr>
    </w:tbl>
    <w:p w14:paraId="4577E796">
      <w:pPr>
        <w:pStyle w:val="6"/>
        <w:rPr>
          <w:rFonts w:hint="eastAsia" w:eastAsia="宋体" w:cs="宋体"/>
          <w:szCs w:val="24"/>
          <w:highlight w:val="none"/>
          <w:lang w:eastAsia="zh-CN"/>
        </w:rPr>
      </w:pPr>
    </w:p>
    <w:bookmarkEnd w:id="10"/>
    <w:p w14:paraId="39A8D6A1">
      <w:pPr>
        <w:spacing w:before="312" w:beforeLines="100"/>
        <w:ind w:firstLine="562"/>
        <w:jc w:val="center"/>
        <w:outlineLvl w:val="1"/>
        <w:rPr>
          <w:rFonts w:hint="eastAsia" w:asciiTheme="minorEastAsia" w:hAnsiTheme="minorEastAsia" w:eastAsiaTheme="minorEastAsia"/>
          <w:b/>
          <w:sz w:val="28"/>
          <w:highlight w:val="none"/>
        </w:rPr>
      </w:pPr>
      <w:bookmarkStart w:id="12" w:name="_Toc192058173"/>
    </w:p>
    <w:p w14:paraId="1EB968FD">
      <w:pPr>
        <w:spacing w:before="312" w:beforeLines="100"/>
        <w:ind w:firstLine="562"/>
        <w:jc w:val="center"/>
        <w:outlineLvl w:val="1"/>
        <w:rPr>
          <w:rFonts w:hint="eastAsia" w:asciiTheme="minorEastAsia" w:hAnsiTheme="minorEastAsia" w:eastAsiaTheme="minorEastAsia"/>
          <w:b/>
          <w:sz w:val="28"/>
          <w:highlight w:val="none"/>
        </w:rPr>
      </w:pPr>
    </w:p>
    <w:p w14:paraId="253A57EA">
      <w:pPr>
        <w:spacing w:before="312" w:beforeLines="100"/>
        <w:ind w:firstLine="562"/>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评审方法和标准</w:t>
      </w:r>
      <w:bookmarkEnd w:id="12"/>
    </w:p>
    <w:p w14:paraId="7A9CD2C4">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一、总则</w:t>
      </w:r>
    </w:p>
    <w:p w14:paraId="4618370E">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本项目采用综合评分法评审，响应文件满足磋商文件全部实质性要求且按评审因素的量化指标评审得分最高的供应商为成交候选人的评审方法。</w:t>
      </w:r>
    </w:p>
    <w:p w14:paraId="1904D058">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二、评审方法</w:t>
      </w:r>
    </w:p>
    <w:p w14:paraId="59E1C185">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2.1初审</w:t>
      </w:r>
    </w:p>
    <w:p w14:paraId="71207D74">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评审委员会对供应商的响应文件进行初审，以确定其是否满足磋商文件的实质性要求。初审表如下：</w:t>
      </w:r>
    </w:p>
    <w:tbl>
      <w:tblPr>
        <w:tblStyle w:val="14"/>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63"/>
        <w:gridCol w:w="5255"/>
      </w:tblGrid>
      <w:tr w14:paraId="1439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2CB7F968">
            <w:pPr>
              <w:adjustRightInd w:val="0"/>
              <w:snapToGrid w:val="0"/>
              <w:ind w:right="-10" w:firstLine="482"/>
              <w:jc w:val="center"/>
              <w:rPr>
                <w:rFonts w:ascii="Calibri" w:hAnsi="Calibri" w:cs="Times New Roman"/>
                <w:b/>
                <w:kern w:val="2"/>
                <w:szCs w:val="22"/>
                <w:highlight w:val="none"/>
              </w:rPr>
            </w:pPr>
            <w:r>
              <w:rPr>
                <w:rFonts w:hint="eastAsia" w:ascii="Calibri" w:hAnsi="Calibri" w:cs="Times New Roman"/>
                <w:b/>
                <w:kern w:val="2"/>
                <w:szCs w:val="22"/>
                <w:highlight w:val="none"/>
              </w:rPr>
              <w:t>初审表</w:t>
            </w:r>
          </w:p>
        </w:tc>
      </w:tr>
      <w:tr w14:paraId="212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4" w:type="pct"/>
            <w:tcBorders>
              <w:bottom w:val="single" w:color="auto" w:sz="4" w:space="0"/>
            </w:tcBorders>
            <w:vAlign w:val="center"/>
          </w:tcPr>
          <w:p w14:paraId="65059500">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序号</w:t>
            </w:r>
          </w:p>
        </w:tc>
        <w:tc>
          <w:tcPr>
            <w:tcW w:w="1556" w:type="pct"/>
            <w:tcBorders>
              <w:bottom w:val="single" w:color="auto" w:sz="4" w:space="0"/>
            </w:tcBorders>
            <w:vAlign w:val="center"/>
          </w:tcPr>
          <w:p w14:paraId="1F1E2BE6">
            <w:pPr>
              <w:adjustRightInd w:val="0"/>
              <w:snapToGrid w:val="0"/>
              <w:ind w:firstLine="0" w:firstLineChars="0"/>
              <w:jc w:val="center"/>
              <w:rPr>
                <w:rFonts w:ascii="Calibri" w:hAnsi="Calibri" w:cs="Times New Roman"/>
                <w:b/>
                <w:kern w:val="2"/>
                <w:szCs w:val="24"/>
                <w:highlight w:val="none"/>
              </w:rPr>
            </w:pPr>
            <w:r>
              <w:rPr>
                <w:rFonts w:hint="eastAsia" w:ascii="Calibri" w:hAnsi="Calibri" w:cs="Times New Roman"/>
                <w:b/>
                <w:kern w:val="2"/>
                <w:szCs w:val="24"/>
                <w:highlight w:val="none"/>
              </w:rPr>
              <w:t>评审指标</w:t>
            </w:r>
          </w:p>
        </w:tc>
        <w:tc>
          <w:tcPr>
            <w:tcW w:w="2958" w:type="pct"/>
            <w:tcBorders>
              <w:bottom w:val="single" w:color="auto" w:sz="4" w:space="0"/>
            </w:tcBorders>
            <w:vAlign w:val="center"/>
          </w:tcPr>
          <w:p w14:paraId="339B8D00">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合格条件</w:t>
            </w:r>
          </w:p>
        </w:tc>
      </w:tr>
      <w:tr w14:paraId="5B28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bottom w:val="single" w:color="auto" w:sz="4" w:space="0"/>
            </w:tcBorders>
            <w:vAlign w:val="center"/>
          </w:tcPr>
          <w:p w14:paraId="4BF3BC53">
            <w:pPr>
              <w:adjustRightInd w:val="0"/>
              <w:snapToGrid w:val="0"/>
              <w:ind w:firstLine="0" w:firstLineChars="0"/>
              <w:jc w:val="center"/>
              <w:rPr>
                <w:rFonts w:ascii="Calibri" w:hAnsi="Calibri" w:cs="Times New Roman"/>
                <w:kern w:val="2"/>
                <w:szCs w:val="22"/>
                <w:highlight w:val="none"/>
              </w:rPr>
            </w:pPr>
            <w:r>
              <w:rPr>
                <w:rFonts w:hint="eastAsia" w:cs="Times New Roman"/>
                <w:kern w:val="2"/>
                <w:highlight w:val="none"/>
              </w:rPr>
              <w:t>1</w:t>
            </w:r>
          </w:p>
        </w:tc>
        <w:tc>
          <w:tcPr>
            <w:tcW w:w="1556" w:type="pct"/>
            <w:tcBorders>
              <w:bottom w:val="single" w:color="auto" w:sz="4" w:space="0"/>
            </w:tcBorders>
            <w:vAlign w:val="center"/>
          </w:tcPr>
          <w:p w14:paraId="2D2F15C6">
            <w:pPr>
              <w:adjustRightInd w:val="0"/>
              <w:snapToGrid w:val="0"/>
              <w:ind w:firstLine="0" w:firstLineChars="0"/>
              <w:jc w:val="left"/>
              <w:rPr>
                <w:rFonts w:cs="Times New Roman"/>
                <w:kern w:val="2"/>
                <w:highlight w:val="none"/>
              </w:rPr>
            </w:pPr>
            <w:r>
              <w:rPr>
                <w:rFonts w:hint="eastAsia" w:cs="Times New Roman"/>
                <w:kern w:val="2"/>
                <w:highlight w:val="none"/>
              </w:rPr>
              <w:t>营业执照</w:t>
            </w:r>
          </w:p>
        </w:tc>
        <w:tc>
          <w:tcPr>
            <w:tcW w:w="2958" w:type="pct"/>
            <w:tcBorders>
              <w:bottom w:val="single" w:color="auto" w:sz="4" w:space="0"/>
            </w:tcBorders>
            <w:vAlign w:val="center"/>
          </w:tcPr>
          <w:p w14:paraId="65372BE7">
            <w:pPr>
              <w:adjustRightInd w:val="0"/>
              <w:snapToGrid w:val="0"/>
              <w:ind w:firstLine="0" w:firstLineChars="0"/>
              <w:rPr>
                <w:rFonts w:ascii="Calibri" w:hAnsi="Calibri" w:cs="Times New Roman"/>
                <w:kern w:val="2"/>
                <w:szCs w:val="22"/>
                <w:highlight w:val="none"/>
              </w:rPr>
            </w:pPr>
            <w:r>
              <w:rPr>
                <w:rFonts w:hint="eastAsia" w:cs="Times New Roman"/>
                <w:kern w:val="2"/>
                <w:szCs w:val="22"/>
                <w:highlight w:val="none"/>
              </w:rPr>
              <w:t>提供有效的营业执照扫描件，应完整地体现出营业执照的全部内容。联合体磋商的联合体各方均须提供。</w:t>
            </w:r>
          </w:p>
        </w:tc>
      </w:tr>
      <w:tr w14:paraId="2F3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4" w:type="pct"/>
            <w:vAlign w:val="center"/>
          </w:tcPr>
          <w:p w14:paraId="30C219AD">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2</w:t>
            </w:r>
          </w:p>
        </w:tc>
        <w:tc>
          <w:tcPr>
            <w:tcW w:w="1556" w:type="pct"/>
            <w:shd w:val="clear" w:color="auto" w:fill="auto"/>
            <w:vAlign w:val="center"/>
          </w:tcPr>
          <w:p w14:paraId="266A1D75">
            <w:pPr>
              <w:adjustRightInd w:val="0"/>
              <w:snapToGrid w:val="0"/>
              <w:ind w:firstLine="0" w:firstLineChars="0"/>
              <w:jc w:val="left"/>
              <w:rPr>
                <w:rFonts w:hint="default" w:ascii="宋体" w:hAnsi="宋体" w:eastAsia="宋体" w:cs="Times New Roman"/>
                <w:kern w:val="2"/>
                <w:sz w:val="24"/>
                <w:highlight w:val="none"/>
                <w:lang w:val="en-US" w:eastAsia="zh-CN" w:bidi="ar-SA"/>
              </w:rPr>
            </w:pPr>
            <w:r>
              <w:rPr>
                <w:rFonts w:hint="eastAsia" w:cs="Times New Roman"/>
                <w:kern w:val="2"/>
                <w:highlight w:val="none"/>
              </w:rPr>
              <w:t>磋商响应函</w:t>
            </w:r>
          </w:p>
        </w:tc>
        <w:tc>
          <w:tcPr>
            <w:tcW w:w="2958" w:type="pct"/>
            <w:shd w:val="clear" w:color="auto" w:fill="auto"/>
            <w:vAlign w:val="center"/>
          </w:tcPr>
          <w:p w14:paraId="4B37E3E4">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EB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3E8F487E">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3</w:t>
            </w:r>
          </w:p>
        </w:tc>
        <w:tc>
          <w:tcPr>
            <w:tcW w:w="1556" w:type="pct"/>
            <w:shd w:val="clear" w:color="auto" w:fill="auto"/>
            <w:vAlign w:val="center"/>
          </w:tcPr>
          <w:p w14:paraId="2F56037C">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磋商保证金及电子交易服务费用</w:t>
            </w:r>
          </w:p>
        </w:tc>
        <w:tc>
          <w:tcPr>
            <w:tcW w:w="2958" w:type="pct"/>
            <w:shd w:val="clear" w:color="auto" w:fill="auto"/>
            <w:vAlign w:val="center"/>
          </w:tcPr>
          <w:p w14:paraId="1CB6D9FB">
            <w:pPr>
              <w:ind w:firstLine="0" w:firstLineChars="0"/>
              <w:jc w:val="left"/>
              <w:rPr>
                <w:highlight w:val="none"/>
              </w:rPr>
            </w:pPr>
            <w:r>
              <w:rPr>
                <w:rFonts w:hint="eastAsia"/>
                <w:highlight w:val="none"/>
              </w:rPr>
              <w:t>符合磋商文件要求。</w:t>
            </w:r>
          </w:p>
          <w:p w14:paraId="72DABCDE">
            <w:pPr>
              <w:ind w:firstLine="0" w:firstLineChars="0"/>
              <w:jc w:val="left"/>
              <w:rPr>
                <w:rFonts w:ascii="Calibri" w:hAnsi="Calibri" w:eastAsia="宋体" w:cs="Times New Roman"/>
                <w:kern w:val="2"/>
                <w:sz w:val="24"/>
                <w:szCs w:val="22"/>
                <w:highlight w:val="none"/>
                <w:lang w:val="en-US" w:eastAsia="zh-CN" w:bidi="ar-SA"/>
              </w:rPr>
            </w:pPr>
            <w:r>
              <w:rPr>
                <w:rFonts w:hint="eastAsia"/>
                <w:b/>
                <w:bCs/>
                <w:highlight w:val="none"/>
              </w:rPr>
              <w:t>备注</w:t>
            </w:r>
            <w:r>
              <w:rPr>
                <w:b/>
                <w:bCs/>
                <w:highlight w:val="none"/>
              </w:rPr>
              <w:t>：</w:t>
            </w:r>
            <w:r>
              <w:rPr>
                <w:rFonts w:hint="eastAsia"/>
                <w:b/>
                <w:szCs w:val="18"/>
                <w:highlight w:val="none"/>
              </w:rPr>
              <w:t>供应商</w:t>
            </w:r>
            <w:r>
              <w:rPr>
                <w:rFonts w:hint="eastAsia" w:cs="宋体"/>
                <w:b/>
                <w:bCs/>
                <w:szCs w:val="24"/>
                <w:highlight w:val="none"/>
              </w:rPr>
              <w:t>须知前附表及</w:t>
            </w:r>
            <w:r>
              <w:rPr>
                <w:rFonts w:hint="eastAsia"/>
                <w:b/>
                <w:szCs w:val="18"/>
                <w:highlight w:val="none"/>
              </w:rPr>
              <w:t>供应商</w:t>
            </w:r>
            <w:r>
              <w:rPr>
                <w:rFonts w:hint="eastAsia" w:cs="宋体"/>
                <w:b/>
                <w:bCs/>
                <w:szCs w:val="24"/>
                <w:highlight w:val="none"/>
              </w:rPr>
              <w:t>须知第13条（以代理机构财务查询为准）</w:t>
            </w:r>
          </w:p>
        </w:tc>
      </w:tr>
      <w:tr w14:paraId="173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49C9CAB">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4</w:t>
            </w:r>
          </w:p>
        </w:tc>
        <w:tc>
          <w:tcPr>
            <w:tcW w:w="1556" w:type="pct"/>
            <w:shd w:val="clear" w:color="auto" w:fill="auto"/>
            <w:vAlign w:val="center"/>
          </w:tcPr>
          <w:p w14:paraId="5B66EEA0">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授权书</w:t>
            </w:r>
          </w:p>
        </w:tc>
        <w:tc>
          <w:tcPr>
            <w:tcW w:w="2958" w:type="pct"/>
            <w:shd w:val="clear" w:color="auto" w:fill="auto"/>
            <w:vAlign w:val="center"/>
          </w:tcPr>
          <w:p w14:paraId="25F7CE98">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2A1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93D3993">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5</w:t>
            </w:r>
          </w:p>
        </w:tc>
        <w:tc>
          <w:tcPr>
            <w:tcW w:w="1556" w:type="pct"/>
            <w:shd w:val="clear" w:color="auto" w:fill="auto"/>
            <w:vAlign w:val="center"/>
          </w:tcPr>
          <w:p w14:paraId="78F9A235">
            <w:pPr>
              <w:adjustRightInd w:val="0"/>
              <w:snapToGrid w:val="0"/>
              <w:ind w:firstLine="0" w:firstLineChars="0"/>
              <w:jc w:val="left"/>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无不良信用记录声明函</w:t>
            </w:r>
          </w:p>
        </w:tc>
        <w:tc>
          <w:tcPr>
            <w:tcW w:w="2958" w:type="pct"/>
            <w:shd w:val="clear" w:color="auto" w:fill="auto"/>
            <w:vAlign w:val="center"/>
          </w:tcPr>
          <w:p w14:paraId="71D48CEB">
            <w:pPr>
              <w:ind w:firstLine="0" w:firstLineChars="0"/>
              <w:jc w:val="left"/>
              <w:rPr>
                <w:highlight w:val="none"/>
              </w:rPr>
            </w:pPr>
            <w:r>
              <w:rPr>
                <w:rFonts w:hint="eastAsia"/>
                <w:szCs w:val="18"/>
                <w:highlight w:val="none"/>
              </w:rPr>
              <w:t>供应商</w:t>
            </w:r>
            <w:r>
              <w:rPr>
                <w:rFonts w:hint="eastAsia"/>
                <w:highlight w:val="none"/>
              </w:rPr>
              <w:t>不得存在</w:t>
            </w:r>
            <w:r>
              <w:rPr>
                <w:rFonts w:hint="eastAsia"/>
                <w:szCs w:val="18"/>
                <w:highlight w:val="none"/>
              </w:rPr>
              <w:t>供应商</w:t>
            </w:r>
            <w:r>
              <w:rPr>
                <w:rFonts w:hint="eastAsia"/>
                <w:highlight w:val="none"/>
              </w:rPr>
              <w:t>须知第</w:t>
            </w:r>
            <w:r>
              <w:rPr>
                <w:highlight w:val="none"/>
              </w:rPr>
              <w:t>1</w:t>
            </w:r>
            <w:r>
              <w:rPr>
                <w:rFonts w:hint="eastAsia"/>
                <w:highlight w:val="none"/>
              </w:rPr>
              <w:t>3</w:t>
            </w:r>
            <w:r>
              <w:rPr>
                <w:highlight w:val="none"/>
              </w:rPr>
              <w:t>.3.1.1</w:t>
            </w:r>
            <w:r>
              <w:rPr>
                <w:rFonts w:hint="eastAsia"/>
                <w:highlight w:val="none"/>
              </w:rPr>
              <w:t>条中的不良信用记录情形。</w:t>
            </w:r>
          </w:p>
          <w:p w14:paraId="18CC73C7">
            <w:pPr>
              <w:ind w:firstLine="0" w:firstLineChars="0"/>
              <w:jc w:val="left"/>
              <w:rPr>
                <w:rFonts w:ascii="宋体" w:hAnsi="宋体" w:eastAsia="宋体" w:cs="Times New Roman"/>
                <w:kern w:val="2"/>
                <w:sz w:val="24"/>
                <w:szCs w:val="22"/>
                <w:highlight w:val="none"/>
                <w:lang w:val="en-US" w:eastAsia="zh-CN" w:bidi="ar-SA"/>
              </w:rPr>
            </w:pPr>
            <w:r>
              <w:rPr>
                <w:rFonts w:hint="eastAsia"/>
                <w:highlight w:val="none"/>
              </w:rPr>
              <w:t>注：提供无不良信用记录声明函，格式后附。</w:t>
            </w:r>
          </w:p>
        </w:tc>
      </w:tr>
      <w:tr w14:paraId="250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AC282BA">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6</w:t>
            </w:r>
          </w:p>
        </w:tc>
        <w:tc>
          <w:tcPr>
            <w:tcW w:w="1556" w:type="pct"/>
            <w:shd w:val="clear" w:color="auto" w:fill="auto"/>
            <w:vAlign w:val="center"/>
          </w:tcPr>
          <w:p w14:paraId="5BFAC14A">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磋商报价</w:t>
            </w:r>
          </w:p>
        </w:tc>
        <w:tc>
          <w:tcPr>
            <w:tcW w:w="2958" w:type="pct"/>
            <w:shd w:val="clear" w:color="auto" w:fill="auto"/>
            <w:vAlign w:val="center"/>
          </w:tcPr>
          <w:p w14:paraId="404349D7">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140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56ECD430">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7</w:t>
            </w:r>
          </w:p>
        </w:tc>
        <w:tc>
          <w:tcPr>
            <w:tcW w:w="1556" w:type="pct"/>
            <w:shd w:val="clear" w:color="auto" w:fill="auto"/>
            <w:vAlign w:val="center"/>
          </w:tcPr>
          <w:p w14:paraId="72EAAFCD">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lang w:val="en-US" w:eastAsia="zh-CN"/>
              </w:rPr>
              <w:t>企业类型证明材料</w:t>
            </w:r>
          </w:p>
        </w:tc>
        <w:tc>
          <w:tcPr>
            <w:tcW w:w="2958" w:type="pct"/>
            <w:shd w:val="clear" w:color="auto" w:fill="auto"/>
            <w:vAlign w:val="center"/>
          </w:tcPr>
          <w:p w14:paraId="0AA11AB8">
            <w:pPr>
              <w:adjustRightInd w:val="0"/>
              <w:snapToGrid w:val="0"/>
              <w:ind w:firstLine="0" w:firstLineChars="0"/>
              <w:rPr>
                <w:rFonts w:ascii="宋体" w:hAnsi="宋体" w:eastAsia="宋体" w:cs="Times New Roman"/>
                <w:kern w:val="2"/>
                <w:sz w:val="24"/>
                <w:highlight w:val="none"/>
                <w:lang w:val="en-US" w:eastAsia="zh-CN" w:bidi="ar-SA"/>
              </w:rPr>
            </w:pPr>
            <w:r>
              <w:rPr>
                <w:rFonts w:hint="eastAsia" w:cs="Times New Roman"/>
                <w:kern w:val="2"/>
                <w:szCs w:val="22"/>
                <w:highlight w:val="none"/>
              </w:rPr>
              <w:t>如供应商以小规模纳税人税金费率报价</w:t>
            </w:r>
            <w:r>
              <w:rPr>
                <w:rFonts w:hint="eastAsia" w:cs="Times New Roman"/>
                <w:kern w:val="2"/>
                <w:szCs w:val="22"/>
                <w:highlight w:val="none"/>
                <w:lang w:eastAsia="zh-CN"/>
              </w:rPr>
              <w:t>，</w:t>
            </w:r>
            <w:r>
              <w:rPr>
                <w:rFonts w:hint="eastAsia" w:cs="Times New Roman"/>
                <w:kern w:val="2"/>
                <w:szCs w:val="22"/>
                <w:highlight w:val="none"/>
                <w:lang w:val="en-US" w:eastAsia="zh-CN"/>
              </w:rPr>
              <w:t>须按</w:t>
            </w:r>
            <w:r>
              <w:rPr>
                <w:rFonts w:hint="eastAsia" w:cs="Times New Roman"/>
                <w:kern w:val="2"/>
                <w:szCs w:val="22"/>
                <w:highlight w:val="none"/>
              </w:rPr>
              <w:t>磋商文件规定</w:t>
            </w:r>
            <w:r>
              <w:rPr>
                <w:rFonts w:hint="eastAsia" w:cs="Times New Roman"/>
                <w:kern w:val="2"/>
                <w:szCs w:val="22"/>
                <w:highlight w:val="none"/>
                <w:lang w:val="en-US" w:eastAsia="zh-CN"/>
              </w:rPr>
              <w:t>提供</w:t>
            </w:r>
            <w:r>
              <w:rPr>
                <w:rFonts w:hint="eastAsia" w:cs="Times New Roman"/>
                <w:kern w:val="2"/>
                <w:szCs w:val="22"/>
                <w:highlight w:val="none"/>
              </w:rPr>
              <w:t>。</w:t>
            </w:r>
          </w:p>
        </w:tc>
      </w:tr>
      <w:tr w14:paraId="5A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4" w:type="pct"/>
            <w:vAlign w:val="center"/>
          </w:tcPr>
          <w:p w14:paraId="5D9DE108">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8</w:t>
            </w:r>
          </w:p>
        </w:tc>
        <w:tc>
          <w:tcPr>
            <w:tcW w:w="1556" w:type="pct"/>
            <w:shd w:val="clear" w:color="auto" w:fill="auto"/>
            <w:vAlign w:val="center"/>
          </w:tcPr>
          <w:p w14:paraId="69CB3F69">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其他要求</w:t>
            </w:r>
          </w:p>
        </w:tc>
        <w:tc>
          <w:tcPr>
            <w:tcW w:w="2958" w:type="pct"/>
            <w:shd w:val="clear" w:color="auto" w:fill="auto"/>
            <w:vAlign w:val="center"/>
          </w:tcPr>
          <w:p w14:paraId="5225CFB0">
            <w:pPr>
              <w:adjustRightInd w:val="0"/>
              <w:snapToGrid w:val="0"/>
              <w:ind w:firstLine="0" w:firstLineChars="0"/>
              <w:rPr>
                <w:rFonts w:ascii="宋体" w:hAnsi="宋体" w:eastAsia="宋体" w:cs="Times New Roman"/>
                <w:kern w:val="2"/>
                <w:sz w:val="24"/>
                <w:highlight w:val="none"/>
                <w:lang w:val="en-US" w:eastAsia="zh-CN" w:bidi="ar-SA"/>
              </w:rPr>
            </w:pPr>
            <w:r>
              <w:rPr>
                <w:rFonts w:hint="eastAsia"/>
                <w:szCs w:val="28"/>
                <w:highlight w:val="none"/>
              </w:rPr>
              <w:t>符合法律、行政法规规定的其他条件或磋商文件列明的其他要求。</w:t>
            </w:r>
          </w:p>
        </w:tc>
      </w:tr>
      <w:tr w14:paraId="0D49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0DEA3FF9">
            <w:pPr>
              <w:adjustRightInd w:val="0"/>
              <w:snapToGrid w:val="0"/>
              <w:ind w:firstLine="0" w:firstLineChars="0"/>
              <w:jc w:val="left"/>
              <w:rPr>
                <w:rFonts w:ascii="Calibri" w:hAnsi="Calibri" w:cs="Times New Roman"/>
                <w:kern w:val="2"/>
                <w:szCs w:val="22"/>
                <w:highlight w:val="none"/>
              </w:rPr>
            </w:pPr>
            <w:r>
              <w:rPr>
                <w:rFonts w:hint="eastAsia" w:ascii="Calibri" w:hAnsi="Calibri" w:cs="Times New Roman"/>
                <w:kern w:val="2"/>
                <w:szCs w:val="22"/>
                <w:highlight w:val="none"/>
              </w:rPr>
              <w:t>评审指标通过标准：供应商必须通过上述全部指标。</w:t>
            </w:r>
          </w:p>
        </w:tc>
      </w:tr>
    </w:tbl>
    <w:p w14:paraId="34879D04">
      <w:pPr>
        <w:ind w:firstLine="482"/>
        <w:rPr>
          <w:rFonts w:asciiTheme="minorEastAsia" w:hAnsiTheme="minorEastAsia" w:eastAsiaTheme="minorEastAsia"/>
          <w:highlight w:val="none"/>
        </w:rPr>
      </w:pPr>
      <w:r>
        <w:rPr>
          <w:rFonts w:hint="eastAsia" w:asciiTheme="minorEastAsia" w:hAnsiTheme="minorEastAsia" w:eastAsiaTheme="minorEastAsia"/>
          <w:b/>
          <w:bCs/>
          <w:highlight w:val="none"/>
        </w:rPr>
        <w:t>初审指标通过标准：</w:t>
      </w:r>
      <w:r>
        <w:rPr>
          <w:rFonts w:hint="eastAsia" w:asciiTheme="minorEastAsia" w:hAnsiTheme="minorEastAsia" w:eastAsiaTheme="minorEastAsia"/>
          <w:highlight w:val="none"/>
        </w:rPr>
        <w:t>供应商必须通过初审表中的全部评审指标。</w:t>
      </w:r>
    </w:p>
    <w:p w14:paraId="6A19930C">
      <w:pPr>
        <w:ind w:firstLine="482"/>
        <w:rPr>
          <w:rFonts w:hint="eastAsia" w:asciiTheme="minorEastAsia" w:hAnsiTheme="minorEastAsia" w:eastAsiaTheme="minorEastAsia"/>
          <w:b/>
          <w:highlight w:val="none"/>
        </w:rPr>
      </w:pPr>
    </w:p>
    <w:p w14:paraId="49C80E10">
      <w:pPr>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2.2综合评分</w:t>
      </w:r>
    </w:p>
    <w:p w14:paraId="6ED4F7B8">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评审委员会按照下表对</w:t>
      </w:r>
      <w:r>
        <w:rPr>
          <w:rFonts w:hint="eastAsia"/>
          <w:highlight w:val="none"/>
        </w:rPr>
        <w:t>进入综合评分的所有供应商的</w:t>
      </w:r>
      <w:r>
        <w:rPr>
          <w:rFonts w:hint="eastAsia" w:asciiTheme="minorEastAsia" w:hAnsiTheme="minorEastAsia" w:eastAsiaTheme="minorEastAsia"/>
          <w:highlight w:val="none"/>
        </w:rPr>
        <w:t>响应文件进行综合评分。</w:t>
      </w:r>
    </w:p>
    <w:p w14:paraId="09C15E32">
      <w:pPr>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w:t>
      </w: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.2</w:t>
      </w:r>
      <w:r>
        <w:rPr>
          <w:rFonts w:hint="eastAsia" w:ascii="宋体" w:hAnsi="宋体" w:eastAsia="宋体" w:cs="宋体"/>
          <w:b/>
          <w:bCs/>
          <w:color w:val="000000"/>
          <w:kern w:val="0"/>
          <w:sz w:val="24"/>
          <w:szCs w:val="24"/>
          <w:lang w:val="en-US" w:eastAsia="zh-CN" w:bidi="ar"/>
        </w:rPr>
        <w:t>本项目综合评分满分为100分，其中：技术资信分值占总分值的权重为</w:t>
      </w:r>
      <w:r>
        <w:rPr>
          <w:rFonts w:hint="eastAsia" w:cs="宋体"/>
          <w:b/>
          <w:bCs/>
          <w:color w:val="000000"/>
          <w:kern w:val="0"/>
          <w:sz w:val="24"/>
          <w:szCs w:val="24"/>
          <w:u w:val="single"/>
          <w:lang w:val="en-US" w:eastAsia="zh-CN" w:bidi="ar"/>
        </w:rPr>
        <w:t>75</w:t>
      </w:r>
      <w:r>
        <w:rPr>
          <w:rFonts w:hint="eastAsia" w:ascii="宋体" w:hAnsi="宋体" w:eastAsia="宋体" w:cs="宋体"/>
          <w:b/>
          <w:bCs/>
          <w:color w:val="000000"/>
          <w:kern w:val="0"/>
          <w:sz w:val="24"/>
          <w:szCs w:val="24"/>
          <w:lang w:val="en-US" w:eastAsia="zh-CN" w:bidi="ar"/>
        </w:rPr>
        <w:t>%，价格分值占总分值的权重为</w:t>
      </w:r>
      <w:r>
        <w:rPr>
          <w:rFonts w:hint="eastAsia" w:cs="宋体"/>
          <w:b/>
          <w:bCs/>
          <w:color w:val="000000"/>
          <w:kern w:val="0"/>
          <w:sz w:val="24"/>
          <w:szCs w:val="24"/>
          <w:u w:val="single"/>
          <w:lang w:val="en-US" w:eastAsia="zh-CN" w:bidi="ar"/>
        </w:rPr>
        <w:t>25</w:t>
      </w:r>
      <w:r>
        <w:rPr>
          <w:rFonts w:hint="eastAsia" w:ascii="宋体" w:hAnsi="宋体" w:eastAsia="宋体" w:cs="宋体"/>
          <w:b/>
          <w:bCs/>
          <w:color w:val="000000"/>
          <w:kern w:val="0"/>
          <w:sz w:val="24"/>
          <w:szCs w:val="24"/>
          <w:lang w:val="en-US" w:eastAsia="zh-CN" w:bidi="ar"/>
        </w:rPr>
        <w:t>%。具体评分细则如下：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7"/>
        <w:gridCol w:w="4954"/>
        <w:gridCol w:w="1212"/>
      </w:tblGrid>
      <w:tr w14:paraId="401D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14:paraId="2C22EDC7">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b/>
                <w:bCs/>
                <w:color w:val="000000"/>
                <w:sz w:val="24"/>
                <w:u w:val="none"/>
              </w:rPr>
              <w:t>类别</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7BC0572">
            <w:pPr>
              <w:spacing w:line="360" w:lineRule="auto"/>
              <w:ind w:left="0" w:leftChars="0" w:firstLine="0" w:firstLineChars="0"/>
              <w:jc w:val="both"/>
              <w:rPr>
                <w:rFonts w:hint="eastAsia" w:ascii="宋体" w:hAnsi="宋体" w:eastAsia="宋体" w:cs="宋体"/>
                <w:b/>
                <w:bCs/>
                <w:color w:val="000000"/>
                <w:sz w:val="24"/>
                <w:u w:val="none"/>
              </w:rPr>
            </w:pPr>
            <w:r>
              <w:rPr>
                <w:rFonts w:hint="eastAsia" w:ascii="宋体" w:hAnsi="宋体" w:eastAsia="宋体" w:cs="宋体"/>
                <w:b/>
                <w:bCs/>
                <w:color w:val="000000"/>
                <w:sz w:val="24"/>
                <w:u w:val="none"/>
              </w:rPr>
              <w:t>评分内容</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70D8353">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b/>
                <w:bCs/>
                <w:color w:val="000000"/>
                <w:sz w:val="24"/>
                <w:u w:val="none"/>
              </w:rPr>
              <w:t>评分标准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A18858E">
            <w:pPr>
              <w:spacing w:line="360" w:lineRule="auto"/>
              <w:ind w:left="0" w:leftChars="0" w:firstLine="0" w:firstLineChars="0"/>
              <w:jc w:val="both"/>
              <w:rPr>
                <w:rFonts w:hint="eastAsia" w:ascii="宋体" w:hAnsi="宋体" w:eastAsia="宋体" w:cs="宋体"/>
                <w:b/>
                <w:bCs/>
                <w:color w:val="000000"/>
                <w:sz w:val="24"/>
                <w:u w:val="none"/>
              </w:rPr>
            </w:pPr>
            <w:r>
              <w:rPr>
                <w:rFonts w:hint="eastAsia" w:ascii="宋体" w:hAnsi="宋体" w:eastAsia="宋体" w:cs="宋体"/>
                <w:b/>
                <w:bCs/>
                <w:color w:val="000000"/>
                <w:sz w:val="24"/>
                <w:u w:val="none"/>
              </w:rPr>
              <w:t>分值范围</w:t>
            </w:r>
          </w:p>
        </w:tc>
      </w:tr>
      <w:tr w14:paraId="3A12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restart"/>
            <w:tcBorders>
              <w:top w:val="single" w:color="auto" w:sz="4" w:space="0"/>
              <w:left w:val="single" w:color="auto" w:sz="4" w:space="0"/>
              <w:right w:val="single" w:color="auto" w:sz="4" w:space="0"/>
            </w:tcBorders>
            <w:noWrap w:val="0"/>
            <w:vAlign w:val="center"/>
          </w:tcPr>
          <w:p w14:paraId="466F2954">
            <w:pPr>
              <w:spacing w:line="360" w:lineRule="auto"/>
              <w:ind w:left="0" w:leftChars="0" w:firstLine="0" w:firstLineChars="0"/>
              <w:jc w:val="center"/>
              <w:rPr>
                <w:rFonts w:hint="eastAsia" w:ascii="宋体" w:hAnsi="宋体" w:eastAsia="宋体" w:cs="宋体"/>
                <w:color w:val="000000"/>
                <w:sz w:val="24"/>
                <w:u w:val="none"/>
              </w:rPr>
            </w:pPr>
            <w:r>
              <w:rPr>
                <w:rFonts w:hint="eastAsia" w:ascii="宋体" w:hAnsi="宋体" w:eastAsia="宋体" w:cs="宋体"/>
                <w:color w:val="000000"/>
                <w:sz w:val="24"/>
                <w:u w:val="none"/>
              </w:rPr>
              <w:t>技术资信分</w:t>
            </w:r>
          </w:p>
          <w:p w14:paraId="5D27B03D">
            <w:pPr>
              <w:spacing w:line="360" w:lineRule="auto"/>
              <w:ind w:left="0" w:leftChars="0" w:firstLine="0" w:firstLineChars="0"/>
              <w:jc w:val="left"/>
              <w:rPr>
                <w:rFonts w:hint="eastAsia" w:ascii="宋体" w:hAnsi="宋体" w:eastAsia="宋体" w:cs="宋体"/>
                <w:b/>
                <w:bCs/>
                <w:color w:val="000000"/>
                <w:sz w:val="24"/>
                <w:u w:val="none"/>
              </w:rPr>
            </w:pPr>
            <w:r>
              <w:rPr>
                <w:rFonts w:hint="eastAsia" w:ascii="宋体" w:hAnsi="宋体" w:eastAsia="宋体" w:cs="宋体"/>
                <w:color w:val="000000"/>
                <w:sz w:val="24"/>
                <w:u w:val="none"/>
              </w:rPr>
              <w:t>（</w:t>
            </w:r>
            <w:r>
              <w:rPr>
                <w:rFonts w:hint="eastAsia" w:cs="宋体"/>
                <w:color w:val="000000"/>
                <w:sz w:val="24"/>
                <w:u w:val="none"/>
                <w:lang w:val="en-US" w:eastAsia="zh-CN"/>
              </w:rPr>
              <w:t>75</w:t>
            </w:r>
            <w:r>
              <w:rPr>
                <w:rFonts w:hint="eastAsia" w:ascii="宋体" w:hAnsi="宋体" w:eastAsia="宋体" w:cs="宋体"/>
                <w:color w:val="000000"/>
                <w:sz w:val="24"/>
                <w:u w:val="none"/>
              </w:rPr>
              <w:t>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41B212C">
            <w:pPr>
              <w:spacing w:line="360" w:lineRule="auto"/>
              <w:ind w:left="0" w:leftChars="0" w:firstLine="0" w:firstLineChars="0"/>
              <w:jc w:val="both"/>
              <w:rPr>
                <w:rFonts w:hint="eastAsia" w:ascii="宋体" w:hAnsi="宋体" w:eastAsia="宋体" w:cs="宋体"/>
                <w:bCs/>
                <w:color w:val="000000"/>
                <w:sz w:val="24"/>
                <w:u w:val="none"/>
              </w:rPr>
            </w:pPr>
            <w:r>
              <w:rPr>
                <w:rFonts w:hint="eastAsia" w:ascii="宋体" w:hAnsi="宋体" w:eastAsia="宋体" w:cs="宋体"/>
                <w:bCs/>
                <w:color w:val="000000"/>
                <w:sz w:val="24"/>
                <w:u w:val="none"/>
              </w:rPr>
              <w:t>服务方案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3096240C">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1.项目物业服务整体运作流程；</w:t>
            </w:r>
          </w:p>
          <w:p w14:paraId="4A010357">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2.运作流程的质量监督与控制；</w:t>
            </w:r>
          </w:p>
          <w:p w14:paraId="40622EC3">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3.物业服务的岗位职责及制度；</w:t>
            </w:r>
          </w:p>
          <w:p w14:paraId="501BF0BF">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4.物业管理区域食堂管理服务方案；</w:t>
            </w:r>
          </w:p>
          <w:p w14:paraId="3B5579C4">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5.物业管理区域内秩序维护方案；</w:t>
            </w:r>
          </w:p>
          <w:p w14:paraId="103A257A">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6.物业区域内保洁、绿化方案；</w:t>
            </w:r>
          </w:p>
          <w:p w14:paraId="7DEBC45F">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7.物业服务质量的检查与考核办法；</w:t>
            </w:r>
          </w:p>
          <w:p w14:paraId="61FF6EED">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8.物业突发事件的处理预案。</w:t>
            </w:r>
          </w:p>
          <w:p w14:paraId="79A39F74">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rPr>
              <w:t>由</w:t>
            </w:r>
            <w:r>
              <w:rPr>
                <w:rFonts w:hint="eastAsia" w:ascii="宋体" w:hAnsi="宋体" w:eastAsia="宋体" w:cs="宋体"/>
                <w:bCs/>
                <w:color w:val="000000"/>
                <w:sz w:val="24"/>
                <w:u w:val="none"/>
                <w:lang w:val="en-US" w:eastAsia="zh-CN"/>
              </w:rPr>
              <w:t>磋商小组</w:t>
            </w:r>
            <w:r>
              <w:rPr>
                <w:rFonts w:hint="eastAsia" w:ascii="宋体" w:hAnsi="宋体" w:eastAsia="宋体" w:cs="宋体"/>
                <w:bCs/>
                <w:color w:val="000000"/>
                <w:sz w:val="24"/>
                <w:u w:val="none"/>
              </w:rPr>
              <w:t>根据</w:t>
            </w:r>
            <w:r>
              <w:rPr>
                <w:rFonts w:hint="eastAsia" w:ascii="宋体" w:hAnsi="宋体" w:eastAsia="宋体" w:cs="宋体"/>
                <w:bCs/>
                <w:color w:val="000000"/>
                <w:sz w:val="24"/>
                <w:u w:val="none"/>
                <w:lang w:eastAsia="zh-CN"/>
              </w:rPr>
              <w:t>响应文件</w:t>
            </w:r>
            <w:r>
              <w:rPr>
                <w:rFonts w:hint="eastAsia" w:ascii="宋体" w:hAnsi="宋体" w:eastAsia="宋体" w:cs="宋体"/>
                <w:bCs/>
                <w:color w:val="000000"/>
                <w:sz w:val="24"/>
                <w:u w:val="none"/>
              </w:rPr>
              <w:t>以上内容进行综合评审：</w:t>
            </w:r>
          </w:p>
          <w:p w14:paraId="65C62B3C">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服务方案</w:t>
            </w:r>
            <w:r>
              <w:rPr>
                <w:rFonts w:hint="eastAsia" w:ascii="宋体" w:hAnsi="宋体" w:eastAsia="宋体" w:cs="宋体"/>
                <w:color w:val="000000"/>
                <w:sz w:val="24"/>
                <w:u w:val="none"/>
              </w:rPr>
              <w:t>全面详尽、定位准确，服务内容针对性强</w:t>
            </w:r>
            <w:r>
              <w:rPr>
                <w:rFonts w:hint="eastAsia" w:cs="宋体"/>
                <w:color w:val="000000"/>
                <w:sz w:val="24"/>
                <w:u w:val="none"/>
                <w:lang w:val="en-US" w:eastAsia="zh-CN"/>
              </w:rPr>
              <w:t>12</w:t>
            </w:r>
            <w:r>
              <w:rPr>
                <w:rFonts w:hint="eastAsia" w:ascii="宋体" w:hAnsi="宋体" w:eastAsia="宋体" w:cs="宋体"/>
                <w:color w:val="000000"/>
                <w:sz w:val="24"/>
                <w:u w:val="none"/>
              </w:rPr>
              <w:t>≤F≤</w:t>
            </w:r>
            <w:r>
              <w:rPr>
                <w:rFonts w:hint="eastAsia" w:cs="宋体"/>
                <w:color w:val="000000"/>
                <w:sz w:val="24"/>
                <w:u w:val="none"/>
                <w:lang w:val="en-US" w:eastAsia="zh-CN"/>
              </w:rPr>
              <w:t>16</w:t>
            </w:r>
            <w:r>
              <w:rPr>
                <w:rFonts w:hint="eastAsia" w:ascii="宋体" w:hAnsi="宋体" w:eastAsia="宋体" w:cs="宋体"/>
                <w:color w:val="000000"/>
                <w:sz w:val="24"/>
                <w:u w:val="none"/>
              </w:rPr>
              <w:t>分；</w:t>
            </w:r>
          </w:p>
          <w:p w14:paraId="5D36B917">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服务方案基本符合实际，具有一定实用性的</w:t>
            </w:r>
            <w:r>
              <w:rPr>
                <w:rFonts w:hint="eastAsia" w:ascii="宋体" w:hAnsi="宋体" w:eastAsia="宋体" w:cs="宋体"/>
                <w:color w:val="000000"/>
                <w:sz w:val="24"/>
                <w:u w:val="none"/>
              </w:rPr>
              <w:t>，</w:t>
            </w:r>
            <w:r>
              <w:rPr>
                <w:rFonts w:hint="eastAsia" w:cs="宋体"/>
                <w:color w:val="000000"/>
                <w:sz w:val="24"/>
                <w:u w:val="none"/>
                <w:lang w:val="en-US" w:eastAsia="zh-CN"/>
              </w:rPr>
              <w:t>8</w:t>
            </w:r>
            <w:r>
              <w:rPr>
                <w:rFonts w:hint="eastAsia" w:ascii="宋体" w:hAnsi="宋体" w:eastAsia="宋体" w:cs="宋体"/>
                <w:color w:val="000000"/>
                <w:sz w:val="24"/>
                <w:u w:val="none"/>
              </w:rPr>
              <w:t>≤F＜</w:t>
            </w:r>
            <w:r>
              <w:rPr>
                <w:rFonts w:hint="eastAsia" w:cs="宋体"/>
                <w:color w:val="000000"/>
                <w:sz w:val="24"/>
                <w:u w:val="none"/>
                <w:lang w:val="en-US" w:eastAsia="zh-CN"/>
              </w:rPr>
              <w:t>12</w:t>
            </w:r>
            <w:r>
              <w:rPr>
                <w:rFonts w:hint="eastAsia" w:ascii="宋体" w:hAnsi="宋体" w:eastAsia="宋体" w:cs="宋体"/>
                <w:color w:val="000000"/>
                <w:sz w:val="24"/>
                <w:u w:val="none"/>
              </w:rPr>
              <w:t>分；</w:t>
            </w:r>
          </w:p>
          <w:p w14:paraId="0F34C45C">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服务方案</w:t>
            </w:r>
            <w:r>
              <w:rPr>
                <w:rFonts w:hint="eastAsia" w:ascii="宋体" w:hAnsi="宋体" w:eastAsia="宋体" w:cs="宋体"/>
                <w:color w:val="000000"/>
                <w:sz w:val="24"/>
                <w:u w:val="none"/>
              </w:rPr>
              <w:t>初步符合要求的，</w:t>
            </w:r>
            <w:r>
              <w:rPr>
                <w:rFonts w:hint="eastAsia" w:cs="宋体"/>
                <w:color w:val="000000"/>
                <w:sz w:val="24"/>
                <w:u w:val="none"/>
                <w:lang w:val="en-US" w:eastAsia="zh-CN"/>
              </w:rPr>
              <w:t>4</w:t>
            </w:r>
            <w:r>
              <w:rPr>
                <w:rFonts w:hint="eastAsia" w:ascii="宋体" w:hAnsi="宋体" w:eastAsia="宋体" w:cs="宋体"/>
                <w:color w:val="000000"/>
                <w:sz w:val="24"/>
                <w:u w:val="none"/>
              </w:rPr>
              <w:t>≤F＜</w:t>
            </w:r>
            <w:r>
              <w:rPr>
                <w:rFonts w:hint="eastAsia" w:ascii="宋体" w:hAnsi="宋体" w:eastAsia="宋体" w:cs="宋体"/>
                <w:color w:val="000000"/>
                <w:sz w:val="24"/>
                <w:u w:val="none"/>
                <w:lang w:val="en-US" w:eastAsia="zh-CN"/>
              </w:rPr>
              <w:t>8</w:t>
            </w:r>
            <w:r>
              <w:rPr>
                <w:rFonts w:hint="eastAsia" w:ascii="宋体" w:hAnsi="宋体" w:eastAsia="宋体" w:cs="宋体"/>
                <w:color w:val="000000"/>
                <w:sz w:val="24"/>
                <w:u w:val="none"/>
              </w:rPr>
              <w:t>分；</w:t>
            </w:r>
          </w:p>
          <w:p w14:paraId="30126942">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服务方案待完整0≤F＜</w:t>
            </w:r>
            <w:r>
              <w:rPr>
                <w:rFonts w:hint="eastAsia" w:cs="宋体"/>
                <w:color w:val="000000"/>
                <w:sz w:val="24"/>
                <w:u w:val="none"/>
                <w:lang w:val="en-US" w:eastAsia="zh-CN"/>
              </w:rPr>
              <w:t>4</w:t>
            </w:r>
            <w:r>
              <w:rPr>
                <w:rFonts w:hint="eastAsia" w:ascii="宋体" w:hAnsi="宋体" w:eastAsia="宋体" w:cs="宋体"/>
                <w:color w:val="000000"/>
                <w:sz w:val="24"/>
                <w:u w:val="none"/>
              </w:rPr>
              <w:t>分。</w:t>
            </w:r>
          </w:p>
          <w:p w14:paraId="67F91DC5">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626E81B">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16</w:t>
            </w:r>
            <w:r>
              <w:rPr>
                <w:rFonts w:hint="eastAsia" w:ascii="宋体" w:hAnsi="宋体" w:eastAsia="宋体" w:cs="宋体"/>
                <w:color w:val="000000"/>
                <w:sz w:val="24"/>
                <w:u w:val="none"/>
              </w:rPr>
              <w:t>分</w:t>
            </w:r>
          </w:p>
        </w:tc>
      </w:tr>
      <w:tr w14:paraId="3BA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19124F39">
            <w:pPr>
              <w:spacing w:line="360" w:lineRule="auto"/>
              <w:jc w:val="left"/>
              <w:rPr>
                <w:rFonts w:hint="eastAsia" w:ascii="宋体" w:hAnsi="宋体" w:eastAsia="宋体" w:cs="宋体"/>
                <w:color w:val="000000"/>
                <w:sz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1CBFD894">
            <w:pPr>
              <w:spacing w:line="360" w:lineRule="auto"/>
              <w:ind w:left="0" w:leftChars="0" w:firstLine="0" w:firstLineChars="0"/>
              <w:jc w:val="both"/>
              <w:rPr>
                <w:rFonts w:hint="eastAsia" w:ascii="宋体" w:hAnsi="宋体" w:eastAsia="宋体" w:cs="宋体"/>
                <w:color w:val="000000"/>
                <w:sz w:val="24"/>
                <w:u w:val="none"/>
              </w:rPr>
            </w:pPr>
            <w:r>
              <w:rPr>
                <w:rFonts w:hint="eastAsia" w:ascii="宋体" w:hAnsi="宋体" w:eastAsia="宋体" w:cs="宋体"/>
                <w:color w:val="000000"/>
                <w:sz w:val="24"/>
                <w:u w:val="none"/>
              </w:rPr>
              <w:t>服务承诺</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4C1E4924">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1.房屋完好率；</w:t>
            </w:r>
          </w:p>
          <w:p w14:paraId="1048DB96">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2.房屋零修、急修及时率；</w:t>
            </w:r>
          </w:p>
          <w:p w14:paraId="2A2C988D">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3.维修工程质量合格率；</w:t>
            </w:r>
          </w:p>
          <w:p w14:paraId="4649C6C7">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4.绿化完好率；</w:t>
            </w:r>
          </w:p>
          <w:p w14:paraId="3A2A2F17">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5.清洁、保洁率；</w:t>
            </w:r>
          </w:p>
          <w:p w14:paraId="03AE4B24">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6.室内停车场、单车/摩托车停车场完好率；</w:t>
            </w:r>
          </w:p>
          <w:p w14:paraId="06E1671C">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7.公共设施完好率；</w:t>
            </w:r>
          </w:p>
          <w:p w14:paraId="0F7451FC">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8.治安案件发生率；</w:t>
            </w:r>
          </w:p>
          <w:p w14:paraId="1640E988">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9.消防设施设备完好率；</w:t>
            </w:r>
          </w:p>
          <w:p w14:paraId="6DA3FBE9">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10.火灾发生率；</w:t>
            </w:r>
          </w:p>
          <w:p w14:paraId="6CA2EC53">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11.有效投诉率与处理率；</w:t>
            </w:r>
          </w:p>
          <w:p w14:paraId="00800728">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12.物业服务满意率；</w:t>
            </w:r>
          </w:p>
          <w:p w14:paraId="7ACEAA72">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由</w:t>
            </w:r>
            <w:r>
              <w:rPr>
                <w:rFonts w:hint="eastAsia" w:ascii="宋体" w:hAnsi="宋体" w:eastAsia="宋体" w:cs="宋体"/>
                <w:bCs/>
                <w:color w:val="000000"/>
                <w:sz w:val="24"/>
                <w:u w:val="none"/>
                <w:lang w:val="en-US" w:eastAsia="zh-CN"/>
              </w:rPr>
              <w:t>磋商小组</w:t>
            </w:r>
            <w:r>
              <w:rPr>
                <w:rFonts w:hint="eastAsia" w:ascii="宋体" w:hAnsi="宋体" w:eastAsia="宋体" w:cs="宋体"/>
                <w:bCs/>
                <w:color w:val="000000"/>
                <w:sz w:val="24"/>
                <w:u w:val="none"/>
              </w:rPr>
              <w:t>根据</w:t>
            </w:r>
            <w:r>
              <w:rPr>
                <w:rFonts w:hint="eastAsia" w:ascii="宋体" w:hAnsi="宋体" w:eastAsia="宋体" w:cs="宋体"/>
                <w:bCs/>
                <w:color w:val="000000"/>
                <w:sz w:val="24"/>
                <w:u w:val="none"/>
                <w:lang w:eastAsia="zh-CN"/>
              </w:rPr>
              <w:t>响应文件</w:t>
            </w:r>
            <w:r>
              <w:rPr>
                <w:rFonts w:hint="eastAsia" w:ascii="宋体" w:hAnsi="宋体" w:eastAsia="宋体" w:cs="宋体"/>
                <w:bCs/>
                <w:color w:val="000000"/>
                <w:sz w:val="24"/>
                <w:u w:val="none"/>
              </w:rPr>
              <w:t>提供的以上内容的服务</w:t>
            </w:r>
            <w:r>
              <w:rPr>
                <w:rFonts w:hint="eastAsia" w:ascii="宋体" w:hAnsi="宋体" w:eastAsia="宋体" w:cs="宋体"/>
                <w:color w:val="000000"/>
                <w:sz w:val="24"/>
                <w:u w:val="none"/>
              </w:rPr>
              <w:t>承诺</w:t>
            </w:r>
            <w:r>
              <w:rPr>
                <w:rFonts w:hint="eastAsia" w:ascii="宋体" w:hAnsi="宋体" w:eastAsia="宋体" w:cs="宋体"/>
                <w:bCs/>
                <w:color w:val="000000"/>
                <w:sz w:val="24"/>
                <w:u w:val="none"/>
              </w:rPr>
              <w:t>进行综合评审：</w:t>
            </w:r>
          </w:p>
          <w:p w14:paraId="0CAD2C47">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服务承诺详尽细致、</w:t>
            </w:r>
            <w:r>
              <w:rPr>
                <w:rFonts w:hint="eastAsia" w:ascii="宋体" w:hAnsi="宋体" w:eastAsia="宋体" w:cs="宋体"/>
                <w:color w:val="000000"/>
                <w:sz w:val="24"/>
                <w:u w:val="none"/>
              </w:rPr>
              <w:t>科学合理、可行性性强的，</w:t>
            </w:r>
            <w:r>
              <w:rPr>
                <w:rFonts w:hint="eastAsia" w:cs="宋体"/>
                <w:color w:val="000000"/>
                <w:sz w:val="24"/>
                <w:u w:val="none"/>
                <w:lang w:val="en-US" w:eastAsia="zh-CN"/>
              </w:rPr>
              <w:t>12</w:t>
            </w:r>
            <w:r>
              <w:rPr>
                <w:rFonts w:hint="eastAsia" w:ascii="宋体" w:hAnsi="宋体" w:eastAsia="宋体" w:cs="宋体"/>
                <w:color w:val="000000"/>
                <w:sz w:val="24"/>
                <w:u w:val="none"/>
              </w:rPr>
              <w:t>≤F≤</w:t>
            </w:r>
            <w:r>
              <w:rPr>
                <w:rFonts w:hint="eastAsia" w:cs="宋体"/>
                <w:color w:val="000000"/>
                <w:sz w:val="24"/>
                <w:u w:val="none"/>
                <w:lang w:val="en-US" w:eastAsia="zh-CN"/>
              </w:rPr>
              <w:t>18</w:t>
            </w:r>
            <w:r>
              <w:rPr>
                <w:rFonts w:hint="eastAsia" w:ascii="宋体" w:hAnsi="宋体" w:eastAsia="宋体" w:cs="宋体"/>
                <w:color w:val="000000"/>
                <w:sz w:val="24"/>
                <w:u w:val="none"/>
              </w:rPr>
              <w:t>分；</w:t>
            </w:r>
          </w:p>
          <w:p w14:paraId="60A79F7C">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服务承诺详尽细致、较为</w:t>
            </w:r>
            <w:r>
              <w:rPr>
                <w:rFonts w:hint="eastAsia" w:ascii="宋体" w:hAnsi="宋体" w:eastAsia="宋体" w:cs="宋体"/>
                <w:color w:val="000000"/>
                <w:sz w:val="24"/>
                <w:u w:val="none"/>
              </w:rPr>
              <w:t>科学合理，可行性较强的，</w:t>
            </w:r>
            <w:r>
              <w:rPr>
                <w:rFonts w:hint="eastAsia" w:cs="宋体"/>
                <w:color w:val="000000"/>
                <w:sz w:val="24"/>
                <w:u w:val="none"/>
                <w:lang w:val="en-US" w:eastAsia="zh-CN"/>
              </w:rPr>
              <w:t>8</w:t>
            </w:r>
            <w:r>
              <w:rPr>
                <w:rFonts w:hint="eastAsia" w:ascii="宋体" w:hAnsi="宋体" w:eastAsia="宋体" w:cs="宋体"/>
                <w:color w:val="000000"/>
                <w:sz w:val="24"/>
                <w:u w:val="none"/>
              </w:rPr>
              <w:t>≤F＜</w:t>
            </w:r>
            <w:r>
              <w:rPr>
                <w:rFonts w:hint="eastAsia" w:cs="宋体"/>
                <w:color w:val="000000"/>
                <w:sz w:val="24"/>
                <w:u w:val="none"/>
                <w:lang w:val="en-US" w:eastAsia="zh-CN"/>
              </w:rPr>
              <w:t>12</w:t>
            </w:r>
            <w:r>
              <w:rPr>
                <w:rFonts w:hint="eastAsia" w:ascii="宋体" w:hAnsi="宋体" w:eastAsia="宋体" w:cs="宋体"/>
                <w:color w:val="000000"/>
                <w:sz w:val="24"/>
                <w:u w:val="none"/>
              </w:rPr>
              <w:t>分；</w:t>
            </w:r>
          </w:p>
          <w:p w14:paraId="3734A757">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Cs/>
                <w:color w:val="000000"/>
                <w:sz w:val="24"/>
                <w:u w:val="none"/>
              </w:rPr>
              <w:t>服务承诺基本详尽细致</w:t>
            </w:r>
            <w:r>
              <w:rPr>
                <w:rFonts w:hint="eastAsia" w:ascii="宋体" w:hAnsi="宋体" w:eastAsia="宋体" w:cs="宋体"/>
                <w:color w:val="000000"/>
                <w:sz w:val="24"/>
                <w:u w:val="none"/>
              </w:rPr>
              <w:t>，基本科学合理</w:t>
            </w:r>
            <w:r>
              <w:rPr>
                <w:rFonts w:hint="eastAsia" w:cs="宋体"/>
                <w:color w:val="000000"/>
                <w:sz w:val="24"/>
                <w:u w:val="none"/>
                <w:lang w:val="en-US" w:eastAsia="zh-CN"/>
              </w:rPr>
              <w:t>4</w:t>
            </w:r>
            <w:r>
              <w:rPr>
                <w:rFonts w:hint="eastAsia" w:ascii="宋体" w:hAnsi="宋体" w:eastAsia="宋体" w:cs="宋体"/>
                <w:color w:val="000000"/>
                <w:sz w:val="24"/>
                <w:u w:val="none"/>
              </w:rPr>
              <w:t>≤F＜</w:t>
            </w:r>
            <w:r>
              <w:rPr>
                <w:rFonts w:hint="eastAsia" w:cs="宋体"/>
                <w:color w:val="000000"/>
                <w:sz w:val="24"/>
                <w:u w:val="none"/>
                <w:lang w:val="en-US" w:eastAsia="zh-CN"/>
              </w:rPr>
              <w:t>8</w:t>
            </w:r>
            <w:r>
              <w:rPr>
                <w:rFonts w:hint="eastAsia" w:ascii="宋体" w:hAnsi="宋体" w:eastAsia="宋体" w:cs="宋体"/>
                <w:color w:val="000000"/>
                <w:sz w:val="24"/>
                <w:u w:val="none"/>
              </w:rPr>
              <w:t>分。</w:t>
            </w:r>
          </w:p>
          <w:p w14:paraId="720AA054">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服务承诺有待完善，0≤F＜</w:t>
            </w:r>
            <w:r>
              <w:rPr>
                <w:rFonts w:hint="eastAsia" w:cs="宋体"/>
                <w:color w:val="000000"/>
                <w:sz w:val="24"/>
                <w:u w:val="none"/>
                <w:lang w:val="en-US" w:eastAsia="zh-CN"/>
              </w:rPr>
              <w:t>4</w:t>
            </w:r>
            <w:r>
              <w:rPr>
                <w:rFonts w:hint="eastAsia" w:ascii="宋体" w:hAnsi="宋体" w:eastAsia="宋体" w:cs="宋体"/>
                <w:color w:val="000000"/>
                <w:sz w:val="24"/>
                <w:u w:val="none"/>
              </w:rPr>
              <w:t>分</w:t>
            </w:r>
          </w:p>
          <w:p w14:paraId="17043E1A">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452A2CB4">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18</w:t>
            </w:r>
            <w:r>
              <w:rPr>
                <w:rFonts w:hint="eastAsia" w:ascii="宋体" w:hAnsi="宋体" w:eastAsia="宋体" w:cs="宋体"/>
                <w:color w:val="000000"/>
                <w:sz w:val="24"/>
                <w:u w:val="none"/>
              </w:rPr>
              <w:t>分</w:t>
            </w:r>
          </w:p>
        </w:tc>
      </w:tr>
      <w:tr w14:paraId="7415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15A540FC">
            <w:pPr>
              <w:spacing w:line="360" w:lineRule="auto"/>
              <w:ind w:firstLine="435"/>
              <w:jc w:val="left"/>
              <w:rPr>
                <w:rFonts w:hint="eastAsia" w:ascii="宋体" w:hAnsi="宋体" w:eastAsia="宋体" w:cs="宋体"/>
                <w:b/>
                <w:bCs/>
                <w:color w:val="000000"/>
                <w:sz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2E475E6F">
            <w:pPr>
              <w:spacing w:line="360" w:lineRule="auto"/>
              <w:ind w:left="0" w:leftChars="0" w:firstLine="0" w:firstLineChars="0"/>
              <w:jc w:val="both"/>
              <w:rPr>
                <w:rFonts w:hint="eastAsia" w:ascii="宋体" w:hAnsi="宋体" w:eastAsia="宋体" w:cs="宋体"/>
                <w:color w:val="000000"/>
                <w:sz w:val="24"/>
                <w:u w:val="none"/>
              </w:rPr>
            </w:pPr>
            <w:r>
              <w:rPr>
                <w:rFonts w:hint="eastAsia" w:ascii="宋体" w:hAnsi="宋体" w:eastAsia="宋体" w:cs="宋体"/>
                <w:color w:val="000000"/>
                <w:sz w:val="24"/>
                <w:u w:val="none"/>
              </w:rPr>
              <w:t>人员配备</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698A511E">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一、拟为本项目配备的项目</w:t>
            </w:r>
            <w:r>
              <w:rPr>
                <w:rFonts w:hint="eastAsia" w:ascii="宋体" w:hAnsi="宋体" w:eastAsia="宋体" w:cs="宋体"/>
                <w:b/>
                <w:bCs/>
                <w:color w:val="000000"/>
                <w:kern w:val="2"/>
                <w:sz w:val="24"/>
                <w:szCs w:val="24"/>
                <w:lang w:val="en-US" w:eastAsia="zh-CN"/>
              </w:rPr>
              <w:t>负责人</w:t>
            </w:r>
            <w:r>
              <w:rPr>
                <w:rFonts w:hint="eastAsia" w:ascii="宋体" w:hAnsi="宋体" w:eastAsia="宋体" w:cs="宋体"/>
                <w:b/>
                <w:bCs/>
                <w:color w:val="000000"/>
                <w:kern w:val="2"/>
                <w:sz w:val="24"/>
                <w:szCs w:val="24"/>
              </w:rPr>
              <w:t>（1人</w:t>
            </w:r>
            <w:r>
              <w:rPr>
                <w:rFonts w:hint="eastAsia" w:ascii="宋体" w:hAnsi="宋体" w:eastAsia="宋体" w:cs="宋体"/>
                <w:b/>
                <w:bCs/>
                <w:color w:val="000000"/>
                <w:kern w:val="2"/>
                <w:sz w:val="24"/>
                <w:szCs w:val="24"/>
                <w:lang w:eastAsia="zh-CN"/>
              </w:rPr>
              <w:t>，</w:t>
            </w:r>
            <w:r>
              <w:rPr>
                <w:rFonts w:hint="eastAsia" w:ascii="宋体" w:hAnsi="宋体" w:eastAsia="宋体" w:cs="宋体"/>
                <w:b/>
                <w:bCs/>
                <w:color w:val="000000"/>
                <w:kern w:val="2"/>
                <w:sz w:val="24"/>
                <w:szCs w:val="24"/>
                <w:lang w:val="en-US" w:eastAsia="zh-CN"/>
              </w:rPr>
              <w:t>3</w:t>
            </w:r>
            <w:r>
              <w:rPr>
                <w:rFonts w:hint="eastAsia" w:ascii="宋体" w:hAnsi="宋体" w:eastAsia="宋体" w:cs="宋体"/>
                <w:b/>
                <w:bCs/>
                <w:color w:val="000000"/>
                <w:kern w:val="2"/>
                <w:sz w:val="24"/>
                <w:szCs w:val="24"/>
              </w:rPr>
              <w:t>分）：</w:t>
            </w:r>
          </w:p>
          <w:p w14:paraId="73FC2C93">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1.具有人力资源管理师（员）职业（或技能等级）资格证书的，得1分；</w:t>
            </w:r>
          </w:p>
          <w:p w14:paraId="0977F909">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2.具有</w:t>
            </w:r>
            <w:r>
              <w:rPr>
                <w:rFonts w:hint="eastAsia" w:ascii="宋体" w:hAnsi="宋体" w:eastAsia="宋体" w:cs="宋体"/>
                <w:b w:val="0"/>
                <w:bCs w:val="0"/>
                <w:color w:val="auto"/>
                <w:kern w:val="2"/>
                <w:sz w:val="24"/>
                <w:szCs w:val="24"/>
                <w:highlight w:val="none"/>
                <w:lang w:val="en-US" w:eastAsia="zh-CN" w:bidi="ar-SA"/>
              </w:rPr>
              <w:t>物业管理员（师）职业资格</w:t>
            </w: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kern w:val="2"/>
                <w:sz w:val="24"/>
                <w:szCs w:val="24"/>
                <w:highlight w:val="none"/>
                <w:vertAlign w:val="baseline"/>
                <w:lang w:val="en-US" w:eastAsia="zh-CN" w:bidi="ar-SA"/>
              </w:rPr>
              <w:t>或技能等级</w:t>
            </w:r>
            <w:r>
              <w:rPr>
                <w:rFonts w:hint="eastAsia" w:ascii="宋体" w:hAnsi="宋体" w:eastAsia="宋体" w:cs="宋体"/>
                <w:b w:val="0"/>
                <w:bCs w:val="0"/>
                <w:color w:val="auto"/>
                <w:kern w:val="2"/>
                <w:sz w:val="24"/>
                <w:szCs w:val="24"/>
                <w:lang w:val="en-US" w:eastAsia="zh-CN" w:bidi="ar-SA"/>
              </w:rPr>
              <w:t>）证书的，得1分；</w:t>
            </w:r>
          </w:p>
          <w:p w14:paraId="176620DF">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3.具有中级及以上职称证书的，得1分。</w:t>
            </w:r>
            <w:r>
              <w:rPr>
                <w:rFonts w:hint="eastAsia" w:ascii="宋体" w:hAnsi="宋体" w:eastAsia="宋体" w:cs="宋体"/>
                <w:b/>
                <w:bCs/>
                <w:kern w:val="2"/>
                <w:sz w:val="24"/>
                <w:szCs w:val="24"/>
                <w:lang w:val="en-US" w:eastAsia="zh-CN" w:bidi="ar-SA"/>
              </w:rPr>
              <w:t xml:space="preserve"> </w:t>
            </w:r>
          </w:p>
          <w:p w14:paraId="1E382ECD">
            <w:pPr>
              <w:keepNext w:val="0"/>
              <w:keepLines w:val="0"/>
              <w:pageBreakBefore w:val="0"/>
              <w:widowControl w:val="0"/>
              <w:kinsoku/>
              <w:wordWrap/>
              <w:overflowPunct/>
              <w:topLinePunct w:val="0"/>
              <w:autoSpaceDE/>
              <w:autoSpaceDN/>
              <w:bidi w:val="0"/>
              <w:spacing w:line="480" w:lineRule="exact"/>
              <w:ind w:right="-10" w:firstLine="0" w:firstLineChars="0"/>
              <w:textAlignment w:val="auto"/>
              <w:rPr>
                <w:rFonts w:hint="eastAsia" w:ascii="宋体" w:hAnsi="宋体" w:eastAsia="宋体" w:cs="宋体"/>
                <w:b/>
                <w:bCs/>
                <w:kern w:val="2"/>
                <w:sz w:val="24"/>
                <w:szCs w:val="24"/>
                <w:lang w:val="en-US" w:eastAsia="zh-CN"/>
              </w:rPr>
            </w:pPr>
            <w:r>
              <w:rPr>
                <w:rFonts w:hint="eastAsia" w:ascii="宋体" w:hAnsi="宋体" w:eastAsia="宋体" w:cs="宋体"/>
                <w:b/>
                <w:bCs/>
                <w:color w:val="auto"/>
                <w:kern w:val="2"/>
                <w:sz w:val="24"/>
                <w:szCs w:val="24"/>
                <w:lang w:val="en-US" w:eastAsia="zh-CN"/>
              </w:rPr>
              <w:t>二、</w:t>
            </w:r>
            <w:r>
              <w:rPr>
                <w:rFonts w:hint="eastAsia" w:ascii="宋体" w:hAnsi="宋体" w:eastAsia="宋体" w:cs="宋体"/>
                <w:b/>
                <w:bCs/>
                <w:kern w:val="2"/>
                <w:sz w:val="24"/>
                <w:szCs w:val="24"/>
                <w:lang w:val="en-US" w:eastAsia="zh-CN"/>
              </w:rPr>
              <w:t>拟为本项目配备的保安主管（1人，2分）：</w:t>
            </w:r>
          </w:p>
          <w:p w14:paraId="5D45AB6D">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0" w:firstLineChars="0"/>
              <w:jc w:val="left"/>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1.具有保安员或保卫管理员职业资格（或技能等级）证书的，得1分；</w:t>
            </w:r>
          </w:p>
          <w:p w14:paraId="353253FF">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2.具有建（构）筑物消防员或消防设施操作员证书的，得1分。</w:t>
            </w:r>
          </w:p>
          <w:p w14:paraId="6374F3C6">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三、拟为本项目配备的保洁主管（1人，1分）：</w:t>
            </w:r>
          </w:p>
          <w:p w14:paraId="45CB6AE7">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1.具有保洁员职业资格（或技能等级）证书的，得1分。</w:t>
            </w:r>
          </w:p>
          <w:p w14:paraId="476EF5C7">
            <w:pPr>
              <w:spacing w:line="360" w:lineRule="auto"/>
              <w:ind w:left="0" w:leftChars="0" w:firstLine="0" w:firstLineChars="0"/>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四、其他人员（不含项目负责人、保安主管、保洁主管，8分）：</w:t>
            </w:r>
          </w:p>
          <w:p w14:paraId="0D1A5F9F">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1.具有保安员职业资格（或技能等级）证书的，每人得1分，满分2分；</w:t>
            </w:r>
          </w:p>
          <w:p w14:paraId="19907A3F">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2.具有建（构）筑物消防员或消防安全管理员证书的，每人得1分，满分1分；</w:t>
            </w:r>
          </w:p>
          <w:p w14:paraId="575DF908">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3.具有有害生物防治（制）员职业资格（或技能等级）证书的，每人得1分，满分1分；</w:t>
            </w:r>
          </w:p>
          <w:p w14:paraId="7F978075">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4.具有智能楼宇管理员（师）职业资格（或技能等级）证书的，每人得1分，满分1分；</w:t>
            </w:r>
          </w:p>
          <w:p w14:paraId="458DB983">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5.具有物业管理员（师）职业资格（或技能等级）证书的，每人得1分，满分1分；</w:t>
            </w:r>
          </w:p>
          <w:p w14:paraId="123B07D5">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6.具有特种作业操作证（高压作业）的，</w:t>
            </w:r>
            <w:r>
              <w:rPr>
                <w:rFonts w:hint="eastAsia" w:ascii="宋体" w:hAnsi="宋体" w:eastAsia="宋体" w:cs="宋体"/>
                <w:b w:val="0"/>
                <w:bCs w:val="0"/>
                <w:color w:val="auto"/>
                <w:kern w:val="2"/>
                <w:sz w:val="24"/>
                <w:szCs w:val="24"/>
                <w:lang w:val="en-US" w:eastAsia="zh-CN" w:bidi="ar-SA"/>
              </w:rPr>
              <w:t>每人得1分，满分1分</w:t>
            </w:r>
            <w:r>
              <w:rPr>
                <w:rFonts w:hint="eastAsia" w:ascii="宋体" w:hAnsi="宋体" w:eastAsia="宋体" w:cs="宋体"/>
                <w:kern w:val="2"/>
                <w:sz w:val="24"/>
                <w:szCs w:val="24"/>
                <w:highlight w:val="none"/>
                <w:vertAlign w:val="baseline"/>
                <w:lang w:val="en-US" w:eastAsia="zh-CN" w:bidi="ar-SA"/>
              </w:rPr>
              <w:t>；</w:t>
            </w:r>
          </w:p>
          <w:p w14:paraId="4E3A2FB4">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highlight w:val="none"/>
                <w:vertAlign w:val="baseline"/>
                <w:lang w:val="en-US" w:eastAsia="zh-CN" w:bidi="ar-SA"/>
              </w:rPr>
              <w:t>7.具有特种作业操作证（低压作业）的，</w:t>
            </w:r>
            <w:r>
              <w:rPr>
                <w:rFonts w:hint="eastAsia" w:ascii="宋体" w:hAnsi="宋体" w:eastAsia="宋体" w:cs="宋体"/>
                <w:b w:val="0"/>
                <w:bCs w:val="0"/>
                <w:color w:val="auto"/>
                <w:kern w:val="2"/>
                <w:sz w:val="24"/>
                <w:szCs w:val="24"/>
                <w:lang w:val="en-US" w:eastAsia="zh-CN" w:bidi="ar-SA"/>
              </w:rPr>
              <w:t>每人得1分，满分1分</w:t>
            </w:r>
            <w:r>
              <w:rPr>
                <w:rFonts w:hint="eastAsia" w:ascii="宋体" w:hAnsi="宋体" w:eastAsia="宋体" w:cs="宋体"/>
                <w:kern w:val="2"/>
                <w:sz w:val="24"/>
                <w:szCs w:val="24"/>
                <w:highlight w:val="none"/>
                <w:vertAlign w:val="baseline"/>
                <w:lang w:val="en-US" w:eastAsia="zh-CN" w:bidi="ar-SA"/>
              </w:rPr>
              <w:t>；</w:t>
            </w:r>
          </w:p>
          <w:p w14:paraId="1CE52355">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注：上述人员不得兼任；</w:t>
            </w:r>
            <w:r>
              <w:rPr>
                <w:rFonts w:hint="eastAsia" w:ascii="宋体" w:hAnsi="宋体" w:eastAsia="宋体" w:cs="宋体"/>
                <w:b/>
                <w:color w:val="000000"/>
                <w:sz w:val="24"/>
                <w:u w:val="none"/>
                <w:lang w:eastAsia="zh-CN"/>
              </w:rPr>
              <w:t>响应文件</w:t>
            </w:r>
            <w:r>
              <w:rPr>
                <w:rFonts w:hint="eastAsia" w:ascii="宋体" w:hAnsi="宋体" w:eastAsia="宋体" w:cs="宋体"/>
                <w:b/>
                <w:color w:val="000000"/>
                <w:sz w:val="24"/>
                <w:u w:val="none"/>
              </w:rPr>
              <w:t>中同时提供以下证明材料：</w:t>
            </w:r>
          </w:p>
          <w:p w14:paraId="4FBF48CB">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（1）人员名单（格式自拟）；</w:t>
            </w:r>
          </w:p>
          <w:p w14:paraId="4009EF22">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（2）上述人员证书扫描件；</w:t>
            </w:r>
          </w:p>
          <w:p w14:paraId="48C357C0">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（3）</w:t>
            </w:r>
            <w:r>
              <w:rPr>
                <w:rFonts w:hint="eastAsia" w:ascii="宋体" w:hAnsi="宋体" w:eastAsia="宋体" w:cs="宋体"/>
                <w:b/>
                <w:color w:val="000000"/>
                <w:sz w:val="24"/>
                <w:u w:val="none"/>
                <w:lang w:eastAsia="zh-CN"/>
              </w:rPr>
              <w:t>供应商</w:t>
            </w:r>
            <w:r>
              <w:rPr>
                <w:rFonts w:hint="eastAsia" w:ascii="宋体" w:hAnsi="宋体" w:eastAsia="宋体" w:cs="宋体"/>
                <w:b/>
                <w:color w:val="000000"/>
                <w:sz w:val="24"/>
                <w:u w:val="none"/>
              </w:rPr>
              <w:t>为上述人员缴纳的近3个月内（任意一个月即可）社保证明材料扫描件，具体详见响应须知前附表（注：社保证明材料至少含养老保险）。</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15EA32E">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14</w:t>
            </w:r>
            <w:r>
              <w:rPr>
                <w:rFonts w:hint="eastAsia" w:ascii="宋体" w:hAnsi="宋体" w:eastAsia="宋体" w:cs="宋体"/>
                <w:color w:val="000000"/>
                <w:sz w:val="24"/>
                <w:u w:val="none"/>
              </w:rPr>
              <w:t>分</w:t>
            </w:r>
          </w:p>
        </w:tc>
      </w:tr>
      <w:tr w14:paraId="122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4A6C549B">
            <w:pPr>
              <w:spacing w:line="360" w:lineRule="auto"/>
              <w:ind w:firstLine="435"/>
              <w:jc w:val="left"/>
              <w:rPr>
                <w:rFonts w:hint="eastAsia" w:ascii="宋体" w:hAnsi="宋体" w:eastAsia="宋体" w:cs="宋体"/>
                <w:b/>
                <w:bCs/>
                <w:color w:val="000000"/>
                <w:sz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602CD47A">
            <w:pPr>
              <w:spacing w:line="360" w:lineRule="auto"/>
              <w:ind w:left="0" w:leftChars="0" w:firstLine="0" w:firstLineChars="0"/>
              <w:jc w:val="center"/>
              <w:rPr>
                <w:rFonts w:hint="eastAsia" w:ascii="宋体" w:hAnsi="宋体" w:eastAsia="宋体" w:cs="宋体"/>
                <w:i/>
                <w:color w:val="000000"/>
                <w:sz w:val="24"/>
                <w:u w:val="none"/>
              </w:rPr>
            </w:pPr>
            <w:r>
              <w:rPr>
                <w:rFonts w:hint="eastAsia" w:ascii="宋体" w:hAnsi="宋体" w:eastAsia="宋体" w:cs="宋体"/>
                <w:color w:val="000000"/>
                <w:sz w:val="24"/>
                <w:u w:val="none"/>
              </w:rPr>
              <w:t>业绩</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7B10885">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自2</w:t>
            </w:r>
            <w:r>
              <w:rPr>
                <w:rFonts w:hint="eastAsia" w:ascii="宋体" w:hAnsi="宋体" w:eastAsia="宋体" w:cs="宋体"/>
                <w:color w:val="000000"/>
                <w:sz w:val="24"/>
                <w:u w:val="none"/>
                <w:lang w:val="en-US" w:eastAsia="zh-CN"/>
              </w:rPr>
              <w:t>021</w:t>
            </w:r>
            <w:r>
              <w:rPr>
                <w:rFonts w:hint="eastAsia" w:ascii="宋体" w:hAnsi="宋体" w:eastAsia="宋体" w:cs="宋体"/>
                <w:color w:val="000000"/>
                <w:sz w:val="24"/>
                <w:u w:val="none"/>
              </w:rPr>
              <w:t>年1月1日以来</w:t>
            </w:r>
            <w:r>
              <w:rPr>
                <w:rFonts w:hint="eastAsia" w:ascii="宋体" w:hAnsi="宋体" w:eastAsia="宋体" w:cs="宋体"/>
                <w:b/>
                <w:bCs/>
                <w:color w:val="000000"/>
                <w:sz w:val="24"/>
                <w:u w:val="none"/>
              </w:rPr>
              <w:t>（以合同签订时间为准）</w:t>
            </w:r>
            <w:r>
              <w:rPr>
                <w:rFonts w:hint="eastAsia" w:ascii="宋体" w:hAnsi="宋体" w:eastAsia="宋体" w:cs="宋体"/>
                <w:color w:val="000000"/>
                <w:sz w:val="24"/>
                <w:u w:val="none"/>
              </w:rPr>
              <w:t>，</w:t>
            </w:r>
            <w:r>
              <w:rPr>
                <w:rFonts w:hint="eastAsia" w:ascii="宋体" w:hAnsi="宋体" w:eastAsia="宋体" w:cs="宋体"/>
                <w:color w:val="000000"/>
                <w:sz w:val="24"/>
                <w:u w:val="none"/>
                <w:lang w:eastAsia="zh-CN"/>
              </w:rPr>
              <w:t>供应商</w:t>
            </w:r>
            <w:r>
              <w:rPr>
                <w:rFonts w:hint="eastAsia" w:ascii="宋体" w:hAnsi="宋体" w:eastAsia="宋体" w:cs="宋体"/>
                <w:color w:val="000000"/>
                <w:sz w:val="24"/>
                <w:u w:val="none"/>
              </w:rPr>
              <w:t>具有</w:t>
            </w:r>
            <w:r>
              <w:rPr>
                <w:rFonts w:hint="eastAsia" w:ascii="宋体" w:hAnsi="宋体" w:eastAsia="宋体" w:cs="宋体"/>
                <w:b/>
                <w:bCs/>
                <w:color w:val="000000"/>
                <w:sz w:val="24"/>
                <w:u w:val="none"/>
                <w:lang w:val="en-US" w:eastAsia="zh-CN"/>
              </w:rPr>
              <w:t>医疗机构</w:t>
            </w:r>
            <w:r>
              <w:rPr>
                <w:rFonts w:hint="eastAsia" w:ascii="宋体" w:hAnsi="宋体" w:eastAsia="宋体" w:cs="宋体"/>
                <w:b/>
                <w:bCs/>
                <w:color w:val="000000"/>
                <w:sz w:val="24"/>
                <w:u w:val="none"/>
              </w:rPr>
              <w:t>物业服务业绩</w:t>
            </w:r>
            <w:r>
              <w:rPr>
                <w:rFonts w:hint="eastAsia" w:ascii="宋体" w:hAnsi="宋体" w:eastAsia="宋体" w:cs="宋体"/>
                <w:b/>
                <w:bCs/>
                <w:color w:val="000000"/>
                <w:sz w:val="24"/>
                <w:szCs w:val="24"/>
                <w:lang w:eastAsia="zh-CN"/>
              </w:rPr>
              <w:t>（服务内容须</w:t>
            </w:r>
            <w:r>
              <w:rPr>
                <w:rFonts w:hint="eastAsia" w:ascii="宋体" w:hAnsi="宋体" w:eastAsia="宋体" w:cs="宋体"/>
                <w:b/>
                <w:bCs/>
                <w:color w:val="000000"/>
                <w:sz w:val="24"/>
                <w:szCs w:val="24"/>
                <w:lang w:val="en-US" w:eastAsia="zh-CN"/>
              </w:rPr>
              <w:t>包含绿化养护</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的</w:t>
            </w:r>
            <w:r>
              <w:rPr>
                <w:rFonts w:hint="eastAsia" w:ascii="宋体" w:hAnsi="宋体" w:eastAsia="宋体" w:cs="宋体"/>
                <w:b/>
                <w:bCs/>
                <w:color w:val="000000"/>
                <w:sz w:val="24"/>
                <w:u w:val="none"/>
              </w:rPr>
              <w:t>（含在管/已履约完毕）</w:t>
            </w:r>
            <w:r>
              <w:rPr>
                <w:rFonts w:hint="eastAsia" w:ascii="宋体" w:hAnsi="宋体" w:eastAsia="宋体" w:cs="宋体"/>
                <w:color w:val="000000"/>
                <w:sz w:val="24"/>
                <w:u w:val="none"/>
              </w:rPr>
              <w:t>，每个业绩得</w:t>
            </w:r>
            <w:r>
              <w:rPr>
                <w:rFonts w:hint="eastAsia" w:ascii="宋体" w:hAnsi="宋体" w:eastAsia="宋体" w:cs="宋体"/>
                <w:color w:val="000000"/>
                <w:sz w:val="24"/>
                <w:u w:val="none"/>
                <w:lang w:val="en-US" w:eastAsia="zh-CN"/>
              </w:rPr>
              <w:t>4</w:t>
            </w:r>
            <w:r>
              <w:rPr>
                <w:rFonts w:hint="eastAsia" w:ascii="宋体" w:hAnsi="宋体" w:eastAsia="宋体" w:cs="宋体"/>
                <w:color w:val="000000"/>
                <w:sz w:val="24"/>
                <w:u w:val="none"/>
              </w:rPr>
              <w:t>分，最高得</w:t>
            </w:r>
            <w:r>
              <w:rPr>
                <w:rFonts w:hint="eastAsia" w:cs="宋体"/>
                <w:color w:val="000000"/>
                <w:sz w:val="24"/>
                <w:u w:val="none"/>
                <w:lang w:val="en-US" w:eastAsia="zh-CN"/>
              </w:rPr>
              <w:t>12</w:t>
            </w:r>
            <w:r>
              <w:rPr>
                <w:rFonts w:hint="eastAsia" w:ascii="宋体" w:hAnsi="宋体" w:eastAsia="宋体" w:cs="宋体"/>
                <w:color w:val="000000"/>
                <w:sz w:val="24"/>
                <w:u w:val="none"/>
              </w:rPr>
              <w:t>分。</w:t>
            </w:r>
          </w:p>
          <w:p w14:paraId="66CD5754">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
                <w:bCs/>
                <w:color w:val="000000"/>
                <w:sz w:val="24"/>
                <w:u w:val="none"/>
              </w:rPr>
              <w:t>注：同一合同业绩续签不累计得分，</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rPr>
              <w:t>中提供业绩合同扫描件，若合同中无法体现签订时间、服务内容等关键评审因素的，须同时提供业主（合同甲方）证明材料，否则不得分。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CC7A9CC">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12</w:t>
            </w:r>
            <w:r>
              <w:rPr>
                <w:rFonts w:hint="eastAsia" w:ascii="宋体" w:hAnsi="宋体" w:eastAsia="宋体" w:cs="宋体"/>
                <w:color w:val="000000"/>
                <w:sz w:val="24"/>
                <w:u w:val="none"/>
              </w:rPr>
              <w:t>分</w:t>
            </w:r>
          </w:p>
        </w:tc>
      </w:tr>
      <w:tr w14:paraId="669C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58F33414">
            <w:pPr>
              <w:spacing w:line="360" w:lineRule="auto"/>
              <w:ind w:firstLine="435"/>
              <w:jc w:val="left"/>
              <w:rPr>
                <w:rFonts w:hint="eastAsia" w:ascii="宋体" w:hAnsi="宋体" w:eastAsia="宋体" w:cs="宋体"/>
                <w:b/>
                <w:bCs/>
                <w:color w:val="000000"/>
                <w:sz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018307EA">
            <w:pPr>
              <w:spacing w:line="360" w:lineRule="auto"/>
              <w:ind w:left="0" w:leftChars="0" w:firstLine="0" w:firstLineChars="0"/>
              <w:jc w:val="center"/>
              <w:rPr>
                <w:rFonts w:hint="eastAsia" w:ascii="宋体" w:hAnsi="宋体" w:eastAsia="宋体" w:cs="宋体"/>
                <w:bCs/>
                <w:color w:val="000000"/>
                <w:sz w:val="24"/>
                <w:u w:val="none"/>
              </w:rPr>
            </w:pPr>
            <w:r>
              <w:rPr>
                <w:rFonts w:hint="eastAsia" w:ascii="宋体" w:hAnsi="宋体" w:eastAsia="宋体" w:cs="宋体"/>
                <w:bCs/>
                <w:color w:val="000000"/>
                <w:sz w:val="24"/>
                <w:u w:val="none"/>
              </w:rPr>
              <w:t>管理体系认证</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12F61A7B">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color w:val="000000"/>
                <w:sz w:val="24"/>
                <w:u w:val="none"/>
                <w:lang w:eastAsia="zh-CN"/>
              </w:rPr>
              <w:t>供应商</w:t>
            </w:r>
            <w:r>
              <w:rPr>
                <w:rFonts w:hint="eastAsia" w:ascii="宋体" w:hAnsi="宋体" w:eastAsia="宋体" w:cs="宋体"/>
                <w:color w:val="000000"/>
                <w:sz w:val="24"/>
                <w:u w:val="none"/>
              </w:rPr>
              <w:t xml:space="preserve">具有经中国国家认证认可监督管理委员会认证机构颁发的有效的下列证书： </w:t>
            </w:r>
          </w:p>
          <w:p w14:paraId="0533D02B">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color w:val="000000"/>
                <w:sz w:val="24"/>
                <w:u w:val="none"/>
              </w:rPr>
              <w:t xml:space="preserve">1.质量管理体系认证； </w:t>
            </w:r>
          </w:p>
          <w:p w14:paraId="000ACA64">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color w:val="000000"/>
                <w:sz w:val="24"/>
                <w:u w:val="none"/>
              </w:rPr>
              <w:t xml:space="preserve">2.环境管理体系认证； </w:t>
            </w:r>
          </w:p>
          <w:p w14:paraId="0D855A88">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color w:val="000000"/>
                <w:sz w:val="24"/>
                <w:u w:val="none"/>
              </w:rPr>
              <w:t>3.职业健康安全管理体系认证；</w:t>
            </w:r>
          </w:p>
          <w:p w14:paraId="25367D97">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color w:val="000000"/>
                <w:sz w:val="24"/>
                <w:u w:val="none"/>
              </w:rPr>
              <w:t>每提供1个得</w:t>
            </w:r>
            <w:r>
              <w:rPr>
                <w:rFonts w:hint="eastAsia" w:cs="宋体"/>
                <w:color w:val="000000"/>
                <w:sz w:val="24"/>
                <w:u w:val="none"/>
                <w:lang w:val="en-US" w:eastAsia="zh-CN"/>
              </w:rPr>
              <w:t>2</w:t>
            </w:r>
            <w:r>
              <w:rPr>
                <w:rFonts w:hint="eastAsia" w:ascii="宋体" w:hAnsi="宋体" w:eastAsia="宋体" w:cs="宋体"/>
                <w:color w:val="000000"/>
                <w:sz w:val="24"/>
                <w:u w:val="none"/>
              </w:rPr>
              <w:t>分，最高得</w:t>
            </w:r>
            <w:r>
              <w:rPr>
                <w:rFonts w:hint="eastAsia" w:cs="宋体"/>
                <w:color w:val="000000"/>
                <w:sz w:val="24"/>
                <w:u w:val="none"/>
                <w:lang w:val="en-US" w:eastAsia="zh-CN"/>
              </w:rPr>
              <w:t>6</w:t>
            </w:r>
            <w:r>
              <w:rPr>
                <w:rFonts w:hint="eastAsia" w:ascii="宋体" w:hAnsi="宋体" w:eastAsia="宋体" w:cs="宋体"/>
                <w:color w:val="000000"/>
                <w:sz w:val="24"/>
                <w:u w:val="none"/>
              </w:rPr>
              <w:t xml:space="preserve">分。 </w:t>
            </w:r>
          </w:p>
          <w:p w14:paraId="56CA556F">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b/>
                <w:bCs/>
                <w:color w:val="000000"/>
                <w:sz w:val="24"/>
                <w:u w:val="none"/>
              </w:rPr>
              <w:t>注：</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rPr>
              <w:t>中同时提供证书扫描件及全国认证认可信息公共服务平台官网证书信息查询截图</w:t>
            </w:r>
            <w:r>
              <w:rPr>
                <w:rFonts w:hint="eastAsia" w:ascii="宋体" w:hAnsi="宋体" w:eastAsia="宋体" w:cs="宋体"/>
                <w:b/>
                <w:bCs/>
                <w:color w:val="000000"/>
                <w:sz w:val="24"/>
                <w:u w:val="none"/>
                <w:lang w:eastAsia="zh-CN"/>
              </w:rPr>
              <w:t>（</w:t>
            </w:r>
            <w:r>
              <w:rPr>
                <w:rFonts w:hint="eastAsia" w:ascii="宋体" w:hAnsi="宋体" w:eastAsia="宋体" w:cs="宋体"/>
                <w:b/>
                <w:bCs/>
                <w:color w:val="000000"/>
                <w:sz w:val="24"/>
                <w:u w:val="none"/>
                <w:lang w:val="en-US" w:eastAsia="zh-CN"/>
              </w:rPr>
              <w:t>证书状态为有效</w:t>
            </w:r>
            <w:r>
              <w:rPr>
                <w:rFonts w:hint="eastAsia" w:ascii="宋体" w:hAnsi="宋体" w:eastAsia="宋体" w:cs="宋体"/>
                <w:b/>
                <w:bCs/>
                <w:color w:val="000000"/>
                <w:sz w:val="24"/>
                <w:u w:val="none"/>
                <w:lang w:eastAsia="zh-CN"/>
              </w:rPr>
              <w:t>）</w:t>
            </w:r>
            <w:r>
              <w:rPr>
                <w:rFonts w:hint="eastAsia" w:ascii="宋体" w:hAnsi="宋体" w:eastAsia="宋体" w:cs="宋体"/>
                <w:b/>
                <w:bCs/>
                <w:color w:val="000000"/>
                <w:sz w:val="24"/>
                <w:u w:val="none"/>
              </w:rPr>
              <w:t xml:space="preserve">。 </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0E0EF05D">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6</w:t>
            </w:r>
            <w:r>
              <w:rPr>
                <w:rFonts w:hint="eastAsia" w:ascii="宋体" w:hAnsi="宋体" w:eastAsia="宋体" w:cs="宋体"/>
                <w:color w:val="000000"/>
                <w:sz w:val="24"/>
                <w:u w:val="none"/>
              </w:rPr>
              <w:t>分</w:t>
            </w:r>
          </w:p>
        </w:tc>
      </w:tr>
      <w:tr w14:paraId="3A5A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170676DA">
            <w:pPr>
              <w:spacing w:line="360" w:lineRule="auto"/>
              <w:ind w:firstLine="435"/>
              <w:jc w:val="left"/>
              <w:rPr>
                <w:rFonts w:hint="eastAsia" w:ascii="宋体" w:hAnsi="宋体" w:eastAsia="宋体" w:cs="宋体"/>
                <w:b/>
                <w:bCs/>
                <w:color w:val="000000"/>
                <w:sz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510FBD9F">
            <w:pPr>
              <w:spacing w:line="360" w:lineRule="auto"/>
              <w:ind w:left="0" w:leftChars="0" w:firstLine="0" w:firstLineChars="0"/>
              <w:jc w:val="center"/>
              <w:rPr>
                <w:rFonts w:hint="eastAsia" w:ascii="宋体" w:hAnsi="宋体" w:eastAsia="宋体" w:cs="宋体"/>
                <w:i/>
                <w:color w:val="000000"/>
                <w:sz w:val="24"/>
                <w:u w:val="none"/>
              </w:rPr>
            </w:pPr>
            <w:r>
              <w:rPr>
                <w:rFonts w:hint="eastAsia" w:ascii="宋体" w:hAnsi="宋体" w:eastAsia="宋体" w:cs="宋体"/>
                <w:color w:val="000000"/>
                <w:sz w:val="24"/>
                <w:u w:val="none"/>
              </w:rPr>
              <w:t>荣誉</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6C66F793">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rPr>
              <w:t>自20</w:t>
            </w:r>
            <w:r>
              <w:rPr>
                <w:rFonts w:hint="eastAsia" w:ascii="宋体" w:hAnsi="宋体" w:eastAsia="宋体" w:cs="宋体"/>
                <w:b w:val="0"/>
                <w:bCs w:val="0"/>
                <w:color w:val="000000"/>
                <w:kern w:val="2"/>
                <w:sz w:val="24"/>
                <w:szCs w:val="24"/>
                <w:lang w:val="en-US" w:eastAsia="zh-CN"/>
              </w:rPr>
              <w:t>21</w:t>
            </w:r>
            <w:r>
              <w:rPr>
                <w:rFonts w:hint="eastAsia" w:ascii="宋体" w:hAnsi="宋体" w:eastAsia="宋体" w:cs="宋体"/>
                <w:b w:val="0"/>
                <w:bCs w:val="0"/>
                <w:color w:val="000000"/>
                <w:kern w:val="2"/>
                <w:sz w:val="24"/>
                <w:szCs w:val="24"/>
              </w:rPr>
              <w:t>年1月1日以来</w:t>
            </w:r>
            <w:r>
              <w:rPr>
                <w:rFonts w:hint="eastAsia" w:ascii="宋体" w:hAnsi="宋体" w:eastAsia="宋体" w:cs="宋体"/>
                <w:b/>
                <w:bCs/>
                <w:color w:val="000000"/>
                <w:kern w:val="2"/>
                <w:sz w:val="24"/>
                <w:szCs w:val="24"/>
              </w:rPr>
              <w:t>（以获奖时间为准）</w:t>
            </w:r>
            <w:r>
              <w:rPr>
                <w:rFonts w:hint="eastAsia" w:ascii="宋体" w:hAnsi="宋体" w:eastAsia="宋体" w:cs="宋体"/>
                <w:b w:val="0"/>
                <w:bCs w:val="0"/>
                <w:color w:val="000000"/>
                <w:kern w:val="2"/>
                <w:sz w:val="24"/>
                <w:szCs w:val="24"/>
              </w:rPr>
              <w:t>，</w:t>
            </w:r>
            <w:r>
              <w:rPr>
                <w:rFonts w:hint="eastAsia" w:ascii="宋体" w:hAnsi="宋体" w:eastAsia="宋体" w:cs="宋体"/>
                <w:b w:val="0"/>
                <w:bCs w:val="0"/>
                <w:color w:val="000000"/>
                <w:kern w:val="2"/>
                <w:sz w:val="24"/>
                <w:szCs w:val="24"/>
                <w:lang w:eastAsia="zh-CN"/>
              </w:rPr>
              <w:t>供应商（</w:t>
            </w:r>
            <w:r>
              <w:rPr>
                <w:rFonts w:hint="eastAsia" w:ascii="宋体" w:hAnsi="宋体" w:eastAsia="宋体" w:cs="宋体"/>
                <w:b w:val="0"/>
                <w:bCs w:val="0"/>
                <w:color w:val="000000"/>
                <w:kern w:val="2"/>
                <w:sz w:val="24"/>
                <w:szCs w:val="24"/>
                <w:lang w:val="en-US" w:eastAsia="zh-CN"/>
              </w:rPr>
              <w:t>或其所管项目</w:t>
            </w:r>
            <w:r>
              <w:rPr>
                <w:rFonts w:hint="eastAsia" w:ascii="宋体" w:hAnsi="宋体" w:eastAsia="宋体" w:cs="宋体"/>
                <w:b w:val="0"/>
                <w:bCs w:val="0"/>
                <w:color w:val="000000"/>
                <w:kern w:val="2"/>
                <w:sz w:val="24"/>
                <w:szCs w:val="24"/>
                <w:lang w:eastAsia="zh-CN"/>
              </w:rPr>
              <w:t>）</w:t>
            </w:r>
            <w:r>
              <w:rPr>
                <w:rFonts w:hint="eastAsia" w:ascii="宋体" w:hAnsi="宋体" w:eastAsia="宋体" w:cs="宋体"/>
                <w:b w:val="0"/>
                <w:bCs w:val="0"/>
                <w:color w:val="000000"/>
                <w:kern w:val="2"/>
                <w:sz w:val="24"/>
                <w:szCs w:val="24"/>
                <w:lang w:val="en-US" w:eastAsia="zh-CN"/>
              </w:rPr>
              <w:t>获得</w:t>
            </w:r>
            <w:r>
              <w:rPr>
                <w:rFonts w:hint="eastAsia" w:ascii="宋体" w:hAnsi="宋体" w:eastAsia="宋体" w:cs="宋体"/>
                <w:bCs/>
                <w:color w:val="auto"/>
                <w:kern w:val="2"/>
                <w:sz w:val="24"/>
                <w:lang w:eastAsia="zh-CN"/>
              </w:rPr>
              <w:t>党政机关或事业单位</w:t>
            </w:r>
            <w:r>
              <w:rPr>
                <w:rFonts w:hint="eastAsia" w:ascii="宋体" w:hAnsi="宋体" w:eastAsia="宋体" w:cs="宋体"/>
                <w:b w:val="0"/>
                <w:bCs/>
                <w:color w:val="auto"/>
                <w:kern w:val="2"/>
                <w:sz w:val="24"/>
              </w:rPr>
              <w:t>颁发的</w:t>
            </w:r>
            <w:r>
              <w:rPr>
                <w:rFonts w:hint="eastAsia" w:ascii="宋体" w:hAnsi="宋体" w:eastAsia="宋体" w:cs="宋体"/>
                <w:b w:val="0"/>
                <w:bCs w:val="0"/>
                <w:color w:val="000000"/>
                <w:kern w:val="2"/>
                <w:sz w:val="24"/>
                <w:szCs w:val="24"/>
              </w:rPr>
              <w:t>荣誉，每个荣誉得</w:t>
            </w:r>
            <w:r>
              <w:rPr>
                <w:rFonts w:hint="eastAsia" w:ascii="宋体" w:hAnsi="宋体" w:eastAsia="宋体" w:cs="宋体"/>
                <w:b w:val="0"/>
                <w:bCs w:val="0"/>
                <w:color w:val="000000"/>
                <w:kern w:val="2"/>
                <w:sz w:val="24"/>
                <w:szCs w:val="24"/>
                <w:lang w:val="en-US" w:eastAsia="zh-CN"/>
              </w:rPr>
              <w:t>3</w:t>
            </w:r>
            <w:r>
              <w:rPr>
                <w:rFonts w:hint="eastAsia" w:ascii="宋体" w:hAnsi="宋体" w:eastAsia="宋体" w:cs="宋体"/>
                <w:b w:val="0"/>
                <w:bCs w:val="0"/>
                <w:color w:val="000000"/>
                <w:kern w:val="2"/>
                <w:sz w:val="24"/>
                <w:szCs w:val="24"/>
              </w:rPr>
              <w:t>分，最高得</w:t>
            </w:r>
            <w:r>
              <w:rPr>
                <w:rFonts w:hint="eastAsia" w:ascii="宋体" w:hAnsi="宋体" w:eastAsia="宋体" w:cs="宋体"/>
                <w:b w:val="0"/>
                <w:bCs w:val="0"/>
                <w:color w:val="000000"/>
                <w:kern w:val="2"/>
                <w:sz w:val="24"/>
                <w:szCs w:val="24"/>
                <w:lang w:val="en-US" w:eastAsia="zh-CN"/>
              </w:rPr>
              <w:t>9</w:t>
            </w:r>
            <w:r>
              <w:rPr>
                <w:rFonts w:hint="eastAsia" w:ascii="宋体" w:hAnsi="宋体" w:eastAsia="宋体" w:cs="宋体"/>
                <w:b w:val="0"/>
                <w:bCs w:val="0"/>
                <w:color w:val="000000"/>
                <w:kern w:val="2"/>
                <w:sz w:val="24"/>
                <w:szCs w:val="24"/>
              </w:rPr>
              <w:t>分。</w:t>
            </w:r>
          </w:p>
          <w:p w14:paraId="0E20C0B5">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注：</w:t>
            </w:r>
          </w:p>
          <w:p w14:paraId="3FABAFB8">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1.</w:t>
            </w:r>
            <w:r>
              <w:rPr>
                <w:rFonts w:hint="eastAsia" w:ascii="宋体" w:hAnsi="宋体" w:eastAsia="宋体" w:cs="宋体"/>
                <w:b/>
                <w:bCs/>
                <w:color w:val="000000"/>
                <w:kern w:val="2"/>
                <w:sz w:val="24"/>
                <w:szCs w:val="24"/>
                <w:lang w:val="en-US" w:eastAsia="zh-CN"/>
              </w:rPr>
              <w:t>响应</w:t>
            </w:r>
            <w:r>
              <w:rPr>
                <w:rFonts w:hint="eastAsia" w:ascii="宋体" w:hAnsi="宋体" w:eastAsia="宋体" w:cs="宋体"/>
                <w:b/>
                <w:bCs/>
                <w:color w:val="000000"/>
                <w:kern w:val="2"/>
                <w:sz w:val="24"/>
                <w:szCs w:val="24"/>
              </w:rPr>
              <w:t>文件中提供获奖证书、批复、颁奖单位颁奖文件、网上公示截图（具有其中之一即可）等证明材料。以上材料提供扫描件</w:t>
            </w:r>
            <w:r>
              <w:rPr>
                <w:rFonts w:hint="eastAsia" w:ascii="宋体" w:hAnsi="宋体" w:eastAsia="宋体" w:cs="宋体"/>
                <w:b/>
                <w:bCs/>
                <w:color w:val="000000"/>
                <w:kern w:val="2"/>
                <w:sz w:val="24"/>
                <w:szCs w:val="24"/>
                <w:lang w:val="en-US" w:eastAsia="zh-CN"/>
              </w:rPr>
              <w:t>或影印件</w:t>
            </w:r>
            <w:r>
              <w:rPr>
                <w:rFonts w:hint="eastAsia" w:ascii="宋体" w:hAnsi="宋体" w:eastAsia="宋体" w:cs="宋体"/>
                <w:b/>
                <w:bCs/>
                <w:color w:val="000000"/>
                <w:kern w:val="2"/>
                <w:sz w:val="24"/>
                <w:szCs w:val="24"/>
              </w:rPr>
              <w:t>，须能体现</w:t>
            </w:r>
            <w:r>
              <w:rPr>
                <w:rFonts w:hint="eastAsia" w:ascii="宋体" w:hAnsi="宋体" w:eastAsia="宋体" w:cs="宋体"/>
                <w:b/>
                <w:bCs/>
                <w:color w:val="000000"/>
                <w:kern w:val="2"/>
                <w:sz w:val="24"/>
                <w:szCs w:val="24"/>
                <w:lang w:eastAsia="zh-CN"/>
              </w:rPr>
              <w:t>供应商</w:t>
            </w:r>
            <w:r>
              <w:rPr>
                <w:rFonts w:hint="eastAsia" w:ascii="宋体" w:hAnsi="宋体" w:eastAsia="宋体" w:cs="宋体"/>
                <w:b/>
                <w:bCs/>
                <w:color w:val="000000"/>
                <w:kern w:val="2"/>
                <w:sz w:val="24"/>
                <w:szCs w:val="24"/>
              </w:rPr>
              <w:t>名称，如无法体现，须另附颁奖单位的相关证明材料</w:t>
            </w:r>
            <w:r>
              <w:rPr>
                <w:rFonts w:hint="eastAsia" w:ascii="宋体" w:hAnsi="宋体" w:eastAsia="宋体" w:cs="宋体"/>
                <w:b/>
                <w:bCs/>
                <w:color w:val="000000"/>
                <w:kern w:val="2"/>
                <w:sz w:val="24"/>
                <w:szCs w:val="24"/>
                <w:lang w:val="en-US" w:eastAsia="zh-CN"/>
              </w:rPr>
              <w:t>，</w:t>
            </w:r>
            <w:r>
              <w:rPr>
                <w:rFonts w:hint="eastAsia" w:ascii="宋体" w:hAnsi="宋体" w:eastAsia="宋体" w:cs="宋体"/>
                <w:b/>
                <w:bCs/>
                <w:color w:val="000000"/>
                <w:kern w:val="2"/>
                <w:sz w:val="24"/>
                <w:szCs w:val="24"/>
              </w:rPr>
              <w:t>未提供或提供不全的不得分。</w:t>
            </w:r>
          </w:p>
          <w:p w14:paraId="6C0EA069">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如为所管项目获奖，</w:t>
            </w:r>
            <w:r>
              <w:rPr>
                <w:rFonts w:hint="eastAsia" w:ascii="宋体" w:hAnsi="宋体" w:eastAsia="宋体" w:cs="宋体"/>
                <w:b/>
                <w:bCs/>
                <w:color w:val="000000"/>
                <w:kern w:val="2"/>
                <w:sz w:val="24"/>
                <w:szCs w:val="24"/>
                <w:lang w:val="en-US" w:eastAsia="zh-CN"/>
              </w:rPr>
              <w:t>响应</w:t>
            </w:r>
            <w:r>
              <w:rPr>
                <w:rFonts w:hint="eastAsia" w:ascii="宋体" w:hAnsi="宋体" w:eastAsia="宋体" w:cs="宋体"/>
                <w:b/>
                <w:bCs/>
                <w:color w:val="000000"/>
                <w:kern w:val="2"/>
                <w:sz w:val="24"/>
                <w:szCs w:val="24"/>
              </w:rPr>
              <w:t>文件中同时提供业绩合同扫描件</w:t>
            </w:r>
            <w:r>
              <w:rPr>
                <w:rFonts w:hint="eastAsia" w:ascii="宋体" w:hAnsi="宋体" w:eastAsia="宋体" w:cs="宋体"/>
                <w:b/>
                <w:bCs/>
                <w:color w:val="000000"/>
                <w:kern w:val="2"/>
                <w:sz w:val="24"/>
                <w:szCs w:val="24"/>
                <w:lang w:val="en-US" w:eastAsia="zh-CN"/>
              </w:rPr>
              <w:t>或影印件</w:t>
            </w:r>
            <w:r>
              <w:rPr>
                <w:rFonts w:hint="eastAsia" w:ascii="宋体" w:hAnsi="宋体" w:eastAsia="宋体" w:cs="宋体"/>
                <w:b/>
                <w:bCs/>
                <w:color w:val="000000"/>
                <w:kern w:val="2"/>
                <w:sz w:val="24"/>
                <w:szCs w:val="24"/>
              </w:rPr>
              <w:t>。</w:t>
            </w:r>
          </w:p>
          <w:p w14:paraId="093300CE">
            <w:pPr>
              <w:spacing w:line="360" w:lineRule="auto"/>
              <w:ind w:left="0" w:leftChars="0" w:firstLine="0" w:firstLineChars="0"/>
              <w:rPr>
                <w:rFonts w:hint="eastAsia" w:ascii="宋体" w:hAnsi="宋体" w:eastAsia="宋体" w:cs="宋体"/>
                <w:color w:val="000000"/>
                <w:sz w:val="24"/>
                <w:u w:val="none"/>
              </w:rPr>
            </w:pPr>
            <w:r>
              <w:rPr>
                <w:rFonts w:hint="eastAsia" w:ascii="宋体" w:hAnsi="宋体" w:eastAsia="宋体" w:cs="宋体"/>
                <w:b/>
                <w:bCs/>
                <w:color w:val="000000"/>
                <w:kern w:val="2"/>
                <w:sz w:val="24"/>
                <w:szCs w:val="24"/>
                <w:lang w:val="en-US" w:eastAsia="zh-CN"/>
              </w:rPr>
              <w:t>3.党政机关：包括党的机关、人大机关、行政机关、政协机关、审判机关、检察机关，及各级党政机关派出机构、直属事业单位及工会、共青团、妇联等。</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D92F9D3">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auto"/>
                <w:sz w:val="24"/>
                <w:u w:val="none"/>
                <w:lang w:val="en-US" w:eastAsia="zh-CN"/>
              </w:rPr>
              <w:t>9</w:t>
            </w:r>
            <w:r>
              <w:rPr>
                <w:rFonts w:hint="eastAsia" w:ascii="宋体" w:hAnsi="宋体" w:eastAsia="宋体" w:cs="宋体"/>
                <w:color w:val="000000"/>
                <w:sz w:val="24"/>
                <w:u w:val="none"/>
              </w:rPr>
              <w:t>分</w:t>
            </w:r>
          </w:p>
        </w:tc>
      </w:tr>
      <w:tr w14:paraId="78B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tcBorders>
              <w:left w:val="single" w:color="auto" w:sz="4" w:space="0"/>
              <w:right w:val="single" w:color="auto" w:sz="4" w:space="0"/>
            </w:tcBorders>
            <w:noWrap w:val="0"/>
            <w:vAlign w:val="center"/>
          </w:tcPr>
          <w:p w14:paraId="6049E1C4">
            <w:pPr>
              <w:spacing w:line="360" w:lineRule="auto"/>
              <w:ind w:left="0" w:leftChars="0" w:firstLine="0" w:firstLineChars="0"/>
              <w:jc w:val="center"/>
              <w:rPr>
                <w:rFonts w:hint="eastAsia" w:ascii="宋体" w:hAnsi="宋体" w:eastAsia="宋体" w:cs="宋体"/>
                <w:color w:val="000000"/>
                <w:sz w:val="24"/>
                <w:u w:val="none"/>
              </w:rPr>
            </w:pPr>
            <w:r>
              <w:rPr>
                <w:rFonts w:hint="eastAsia" w:ascii="宋体" w:hAnsi="宋体" w:eastAsia="宋体" w:cs="宋体"/>
                <w:color w:val="000000"/>
                <w:sz w:val="24"/>
                <w:u w:val="none"/>
              </w:rPr>
              <w:t>价格分</w:t>
            </w:r>
          </w:p>
          <w:p w14:paraId="60CA95D5">
            <w:pPr>
              <w:spacing w:line="360" w:lineRule="auto"/>
              <w:ind w:left="0" w:leftChars="0" w:firstLine="0" w:firstLineChars="0"/>
              <w:jc w:val="left"/>
              <w:rPr>
                <w:rFonts w:hint="eastAsia" w:ascii="宋体" w:hAnsi="宋体" w:eastAsia="宋体" w:cs="宋体"/>
                <w:b/>
                <w:bCs/>
                <w:color w:val="000000"/>
                <w:sz w:val="24"/>
                <w:u w:val="none"/>
              </w:rPr>
            </w:pPr>
            <w:r>
              <w:rPr>
                <w:rFonts w:hint="eastAsia" w:ascii="宋体" w:hAnsi="宋体" w:eastAsia="宋体" w:cs="宋体"/>
                <w:color w:val="000000"/>
                <w:sz w:val="24"/>
                <w:u w:val="none"/>
              </w:rPr>
              <w:t>（</w:t>
            </w:r>
            <w:r>
              <w:rPr>
                <w:rFonts w:hint="eastAsia" w:cs="宋体"/>
                <w:color w:val="000000"/>
                <w:sz w:val="24"/>
                <w:u w:val="none"/>
                <w:lang w:val="en-US" w:eastAsia="zh-CN"/>
              </w:rPr>
              <w:t>25</w:t>
            </w:r>
            <w:r>
              <w:rPr>
                <w:rFonts w:hint="eastAsia" w:ascii="宋体" w:hAnsi="宋体" w:eastAsia="宋体" w:cs="宋体"/>
                <w:color w:val="000000"/>
                <w:sz w:val="24"/>
                <w:u w:val="none"/>
              </w:rPr>
              <w:t>分）</w:t>
            </w:r>
          </w:p>
        </w:tc>
        <w:tc>
          <w:tcPr>
            <w:tcW w:w="4343" w:type="pct"/>
            <w:gridSpan w:val="3"/>
            <w:tcBorders>
              <w:top w:val="single" w:color="auto" w:sz="4" w:space="0"/>
              <w:left w:val="single" w:color="auto" w:sz="4" w:space="0"/>
              <w:bottom w:val="single" w:color="auto" w:sz="4" w:space="0"/>
              <w:right w:val="single" w:color="auto" w:sz="4" w:space="0"/>
            </w:tcBorders>
            <w:noWrap w:val="0"/>
            <w:vAlign w:val="center"/>
          </w:tcPr>
          <w:p w14:paraId="23CE16E0">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价格分统一采用低价优先法，即满足</w:t>
            </w:r>
            <w:r>
              <w:rPr>
                <w:rFonts w:hint="eastAsia" w:ascii="宋体" w:hAnsi="宋体" w:eastAsia="宋体" w:cs="宋体"/>
                <w:color w:val="000000"/>
                <w:sz w:val="24"/>
                <w:u w:val="none"/>
                <w:lang w:val="en-US" w:eastAsia="zh-CN"/>
              </w:rPr>
              <w:t>磋商</w:t>
            </w:r>
            <w:r>
              <w:rPr>
                <w:rFonts w:hint="eastAsia" w:ascii="宋体" w:hAnsi="宋体" w:eastAsia="宋体" w:cs="宋体"/>
                <w:color w:val="000000"/>
                <w:sz w:val="24"/>
                <w:u w:val="none"/>
              </w:rPr>
              <w:t>文件要求且最低的报价为评标基准价，其价格分为满分</w:t>
            </w:r>
            <w:r>
              <w:rPr>
                <w:rFonts w:hint="eastAsia" w:cs="宋体"/>
                <w:color w:val="000000"/>
                <w:sz w:val="24"/>
                <w:u w:val="none"/>
                <w:lang w:val="en-US" w:eastAsia="zh-CN"/>
              </w:rPr>
              <w:t>25</w:t>
            </w:r>
            <w:r>
              <w:rPr>
                <w:rFonts w:hint="eastAsia" w:ascii="宋体" w:hAnsi="宋体" w:eastAsia="宋体" w:cs="宋体"/>
                <w:color w:val="000000"/>
                <w:sz w:val="24"/>
                <w:u w:val="none"/>
              </w:rPr>
              <w:t>分。其他</w:t>
            </w:r>
            <w:r>
              <w:rPr>
                <w:rFonts w:hint="eastAsia" w:ascii="宋体" w:hAnsi="宋体" w:eastAsia="宋体" w:cs="宋体"/>
                <w:color w:val="000000"/>
                <w:sz w:val="24"/>
                <w:u w:val="none"/>
                <w:lang w:val="en-US" w:eastAsia="zh-CN"/>
              </w:rPr>
              <w:t>供应商</w:t>
            </w:r>
            <w:r>
              <w:rPr>
                <w:rFonts w:hint="eastAsia" w:ascii="宋体" w:hAnsi="宋体" w:eastAsia="宋体" w:cs="宋体"/>
                <w:color w:val="000000"/>
                <w:sz w:val="24"/>
                <w:u w:val="none"/>
              </w:rPr>
              <w:t>的价格分统一按照下列公式计算：</w:t>
            </w:r>
          </w:p>
          <w:p w14:paraId="4B5A5A74">
            <w:pPr>
              <w:spacing w:line="360" w:lineRule="auto"/>
              <w:ind w:left="0" w:leftChars="0" w:firstLine="0" w:firstLineChars="0"/>
              <w:jc w:val="left"/>
              <w:rPr>
                <w:rFonts w:hint="eastAsia" w:ascii="宋体" w:hAnsi="宋体" w:eastAsia="宋体" w:cs="宋体"/>
                <w:b/>
                <w:bCs/>
                <w:color w:val="000000"/>
                <w:sz w:val="24"/>
                <w:u w:val="none"/>
              </w:rPr>
            </w:pPr>
            <w:r>
              <w:rPr>
                <w:rFonts w:hint="eastAsia" w:ascii="宋体" w:hAnsi="宋体" w:eastAsia="宋体" w:cs="宋体"/>
                <w:color w:val="000000"/>
                <w:sz w:val="24"/>
                <w:u w:val="none"/>
              </w:rPr>
              <w:t>报价得分＝（评标基准价/报价）×</w:t>
            </w:r>
            <w:r>
              <w:rPr>
                <w:rFonts w:hint="eastAsia" w:cs="宋体"/>
                <w:color w:val="000000"/>
                <w:sz w:val="24"/>
                <w:u w:val="none"/>
                <w:lang w:val="en-US" w:eastAsia="zh-CN"/>
              </w:rPr>
              <w:t>25</w:t>
            </w:r>
            <w:r>
              <w:rPr>
                <w:rFonts w:hint="eastAsia" w:ascii="宋体" w:hAnsi="宋体" w:eastAsia="宋体" w:cs="宋体"/>
                <w:color w:val="000000"/>
                <w:sz w:val="24"/>
                <w:u w:val="none"/>
              </w:rPr>
              <w:t>％×100</w:t>
            </w:r>
          </w:p>
        </w:tc>
      </w:tr>
    </w:tbl>
    <w:p w14:paraId="5F52C50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.3</w:t>
      </w:r>
      <w:r>
        <w:rPr>
          <w:rFonts w:hint="eastAsia" w:asciiTheme="minorEastAsia" w:hAnsiTheme="minorEastAsia" w:eastAsiaTheme="minorEastAsia"/>
          <w:highlight w:val="none"/>
        </w:rPr>
        <w:t>分值汇总</w:t>
      </w:r>
    </w:p>
    <w:p w14:paraId="3C429E1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w:t>
      </w:r>
      <w:r>
        <w:rPr>
          <w:rFonts w:asciiTheme="minorEastAsia" w:hAnsiTheme="minorEastAsia" w:eastAsiaTheme="minorEastAsia"/>
          <w:highlight w:val="none"/>
        </w:rPr>
        <w:t>各成员应当独立对每个有效响应的文件进行评价、打分，然后汇总每个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每项评分因素的得分，再取各位评委评分之平均值，四舍五入保留至小数点后两位数，得到该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w:t>
      </w:r>
    </w:p>
    <w:p w14:paraId="462C802B">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2）将每个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的技术资信分加上根据上述标准计算出的价格分，即为该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的综合总得分。</w:t>
      </w:r>
    </w:p>
    <w:p w14:paraId="6801FCA4">
      <w:pPr>
        <w:widowControl/>
        <w:ind w:firstLine="480"/>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35B7DE53">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3" w:name="_Toc192058174"/>
      <w:r>
        <w:rPr>
          <w:rFonts w:hint="eastAsia" w:asciiTheme="minorEastAsia" w:hAnsiTheme="minorEastAsia" w:eastAsiaTheme="minorEastAsia"/>
          <w:b/>
          <w:sz w:val="28"/>
          <w:highlight w:val="none"/>
        </w:rPr>
        <w:t>第五章  合同</w:t>
      </w:r>
      <w:bookmarkEnd w:id="13"/>
    </w:p>
    <w:p w14:paraId="7B52CD2B">
      <w:pPr>
        <w:widowControl/>
        <w:spacing w:line="240" w:lineRule="auto"/>
        <w:ind w:firstLine="0" w:firstLineChars="0"/>
        <w:jc w:val="center"/>
        <w:rPr>
          <w:rFonts w:cs="宋体"/>
          <w:b/>
          <w:bCs/>
          <w:kern w:val="2"/>
          <w:sz w:val="28"/>
          <w:szCs w:val="28"/>
          <w:highlight w:val="none"/>
        </w:rPr>
      </w:pPr>
      <w:bookmarkStart w:id="14" w:name="OLE_LINK3"/>
      <w:r>
        <w:rPr>
          <w:rFonts w:hint="eastAsia" w:cs="宋体"/>
          <w:b/>
          <w:bCs/>
          <w:kern w:val="2"/>
          <w:sz w:val="28"/>
          <w:szCs w:val="28"/>
          <w:highlight w:val="none"/>
        </w:rPr>
        <w:t>（双方依法签订）</w:t>
      </w:r>
    </w:p>
    <w:p w14:paraId="411EFE84">
      <w:pPr>
        <w:widowControl/>
        <w:spacing w:line="240" w:lineRule="auto"/>
        <w:ind w:firstLine="0" w:firstLineChars="0"/>
        <w:jc w:val="left"/>
        <w:rPr>
          <w:rFonts w:cs="宋体"/>
          <w:b/>
          <w:bCs/>
          <w:kern w:val="2"/>
          <w:sz w:val="32"/>
          <w:szCs w:val="40"/>
          <w:highlight w:val="none"/>
        </w:rPr>
      </w:pPr>
    </w:p>
    <w:p w14:paraId="48B41B5F">
      <w:pPr>
        <w:widowControl/>
        <w:spacing w:line="240" w:lineRule="auto"/>
        <w:ind w:firstLine="0" w:firstLineChars="0"/>
        <w:jc w:val="left"/>
        <w:rPr>
          <w:rFonts w:cs="宋体"/>
          <w:b/>
          <w:bCs/>
          <w:kern w:val="2"/>
          <w:sz w:val="32"/>
          <w:szCs w:val="40"/>
          <w:highlight w:val="none"/>
        </w:rPr>
      </w:pPr>
      <w:r>
        <w:rPr>
          <w:rFonts w:hint="eastAsia" w:cs="宋体"/>
          <w:b/>
          <w:bCs/>
          <w:kern w:val="2"/>
          <w:sz w:val="32"/>
          <w:szCs w:val="40"/>
          <w:highlight w:val="none"/>
        </w:rPr>
        <w:br w:type="page"/>
      </w:r>
    </w:p>
    <w:bookmarkEnd w:id="14"/>
    <w:p w14:paraId="106CD6A0">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5" w:name="_Toc192058175"/>
      <w:r>
        <w:rPr>
          <w:rFonts w:hint="eastAsia" w:asciiTheme="minorEastAsia" w:hAnsiTheme="minorEastAsia" w:eastAsiaTheme="minorEastAsia"/>
          <w:b/>
          <w:sz w:val="28"/>
          <w:highlight w:val="none"/>
        </w:rPr>
        <w:t>第六章  响应文件格式</w:t>
      </w:r>
      <w:bookmarkEnd w:id="15"/>
    </w:p>
    <w:p w14:paraId="25922F73">
      <w:pPr>
        <w:spacing w:line="900" w:lineRule="exact"/>
        <w:ind w:firstLine="723"/>
        <w:jc w:val="center"/>
        <w:rPr>
          <w:rFonts w:hint="eastAsia" w:asciiTheme="minorEastAsia" w:hAnsiTheme="minorEastAsia" w:eastAsiaTheme="minorEastAsia"/>
          <w:b/>
          <w:sz w:val="36"/>
          <w:szCs w:val="21"/>
          <w:highlight w:val="none"/>
          <w:lang w:eastAsia="zh-CN"/>
        </w:rPr>
      </w:pPr>
      <w:r>
        <w:rPr>
          <w:rFonts w:hint="eastAsia" w:asciiTheme="minorEastAsia" w:hAnsiTheme="minorEastAsia" w:eastAsiaTheme="minorEastAsia"/>
          <w:b/>
          <w:sz w:val="36"/>
          <w:szCs w:val="21"/>
          <w:highlight w:val="none"/>
          <w:lang w:eastAsia="zh-CN"/>
        </w:rPr>
        <w:t>肥西县花岗镇中心卫生院物业服务采购</w:t>
      </w:r>
    </w:p>
    <w:p w14:paraId="6483E87F">
      <w:pPr>
        <w:spacing w:line="900" w:lineRule="exact"/>
        <w:ind w:firstLine="1446"/>
        <w:jc w:val="center"/>
        <w:rPr>
          <w:rFonts w:asciiTheme="minorEastAsia" w:hAnsiTheme="minorEastAsia" w:eastAsiaTheme="minorEastAsia"/>
          <w:b/>
          <w:sz w:val="72"/>
          <w:highlight w:val="none"/>
        </w:rPr>
      </w:pPr>
    </w:p>
    <w:p w14:paraId="1F1811DF">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7CEA9CD9">
      <w:pPr>
        <w:spacing w:line="900" w:lineRule="exact"/>
        <w:ind w:firstLine="1446"/>
        <w:jc w:val="center"/>
        <w:rPr>
          <w:rFonts w:asciiTheme="minorEastAsia" w:hAnsiTheme="minorEastAsia" w:eastAsiaTheme="minorEastAsia"/>
          <w:b/>
          <w:sz w:val="72"/>
          <w:highlight w:val="none"/>
        </w:rPr>
      </w:pPr>
    </w:p>
    <w:p w14:paraId="6EDA97C6">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578917BB">
      <w:pPr>
        <w:spacing w:line="900" w:lineRule="exact"/>
        <w:ind w:firstLine="1446"/>
        <w:jc w:val="center"/>
        <w:rPr>
          <w:rFonts w:asciiTheme="minorEastAsia" w:hAnsiTheme="minorEastAsia" w:eastAsiaTheme="minorEastAsia"/>
          <w:b/>
          <w:sz w:val="72"/>
          <w:highlight w:val="none"/>
        </w:rPr>
      </w:pPr>
    </w:p>
    <w:p w14:paraId="1BAE5E6F">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017FD623">
      <w:pPr>
        <w:spacing w:line="900" w:lineRule="exact"/>
        <w:ind w:firstLine="1446"/>
        <w:jc w:val="center"/>
        <w:rPr>
          <w:rFonts w:asciiTheme="minorEastAsia" w:hAnsiTheme="minorEastAsia" w:eastAsiaTheme="minorEastAsia"/>
          <w:b/>
          <w:sz w:val="72"/>
          <w:highlight w:val="none"/>
        </w:rPr>
      </w:pPr>
    </w:p>
    <w:p w14:paraId="09E2DDB9">
      <w:pPr>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32674A50">
      <w:pPr>
        <w:spacing w:after="156" w:afterLines="50"/>
        <w:ind w:firstLine="1446"/>
        <w:jc w:val="center"/>
        <w:rPr>
          <w:rFonts w:asciiTheme="minorEastAsia" w:hAnsiTheme="minorEastAsia" w:eastAsiaTheme="minorEastAsia"/>
          <w:b/>
          <w:sz w:val="72"/>
          <w:highlight w:val="none"/>
        </w:rPr>
      </w:pPr>
    </w:p>
    <w:p w14:paraId="13D6CAED">
      <w:pPr>
        <w:spacing w:after="156" w:afterLines="50" w:line="500" w:lineRule="exact"/>
        <w:ind w:firstLine="562"/>
        <w:jc w:val="center"/>
        <w:rPr>
          <w:rFonts w:asciiTheme="minorEastAsia" w:hAnsiTheme="minorEastAsia" w:eastAsiaTheme="minorEastAsia"/>
          <w:b/>
          <w:sz w:val="28"/>
          <w:szCs w:val="28"/>
          <w:highlight w:val="none"/>
        </w:rPr>
      </w:pPr>
    </w:p>
    <w:p w14:paraId="28D8D087">
      <w:pPr>
        <w:spacing w:after="156" w:afterLines="50" w:line="500" w:lineRule="exact"/>
        <w:ind w:firstLine="1446"/>
        <w:jc w:val="center"/>
        <w:rPr>
          <w:rFonts w:asciiTheme="minorEastAsia" w:hAnsiTheme="minorEastAsia" w:eastAsiaTheme="minorEastAsia"/>
          <w:b/>
          <w:sz w:val="72"/>
          <w:highlight w:val="none"/>
        </w:rPr>
      </w:pPr>
    </w:p>
    <w:p w14:paraId="100AD675">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120A30E0">
      <w:pPr>
        <w:spacing w:after="156" w:afterLines="50" w:line="500" w:lineRule="exact"/>
        <w:ind w:firstLine="643"/>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32C67895">
      <w:pPr>
        <w:widowControl/>
        <w:ind w:firstLine="562"/>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0F59B17">
      <w:pPr>
        <w:ind w:firstLine="482"/>
        <w:jc w:val="center"/>
        <w:outlineLvl w:val="2"/>
        <w:rPr>
          <w:rFonts w:asciiTheme="minorEastAsia" w:hAnsiTheme="minorEastAsia" w:eastAsiaTheme="minorEastAsia"/>
          <w:b/>
          <w:highlight w:val="none"/>
        </w:rPr>
      </w:pPr>
      <w:bookmarkStart w:id="16" w:name="_Toc461056631"/>
      <w:bookmarkStart w:id="17" w:name="_Toc461053086"/>
      <w:bookmarkStart w:id="18" w:name="_Toc520983587"/>
      <w:r>
        <w:rPr>
          <w:rFonts w:hint="eastAsia" w:asciiTheme="minorEastAsia" w:hAnsiTheme="minorEastAsia" w:eastAsiaTheme="minorEastAsia"/>
          <w:b/>
          <w:highlight w:val="none"/>
        </w:rPr>
        <w:t>一</w:t>
      </w:r>
      <w:bookmarkEnd w:id="16"/>
      <w:bookmarkEnd w:id="17"/>
      <w:r>
        <w:rPr>
          <w:rFonts w:hint="eastAsia" w:asciiTheme="minorEastAsia" w:hAnsiTheme="minorEastAsia" w:eastAsiaTheme="minorEastAsia"/>
          <w:b/>
          <w:highlight w:val="none"/>
        </w:rPr>
        <w:t>、报价表格式</w:t>
      </w:r>
      <w:bookmarkEnd w:id="18"/>
    </w:p>
    <w:p w14:paraId="23A1494C">
      <w:pPr>
        <w:spacing w:before="156" w:beforeLines="50" w:after="156" w:afterLines="50"/>
        <w:ind w:firstLine="482"/>
        <w:jc w:val="left"/>
        <w:rPr>
          <w:rFonts w:cs="@仿宋_GB2312" w:asciiTheme="minorEastAsia" w:hAnsiTheme="minorEastAsia" w:eastAsiaTheme="minorEastAsia"/>
          <w:b/>
          <w:kern w:val="2"/>
          <w:szCs w:val="24"/>
          <w:highlight w:val="none"/>
        </w:rPr>
      </w:pPr>
      <w:r>
        <w:rPr>
          <w:rFonts w:hint="eastAsia" w:cs="@仿宋_GB2312" w:asciiTheme="minorEastAsia" w:hAnsiTheme="minorEastAsia" w:eastAsiaTheme="minorEastAsia"/>
          <w:b/>
          <w:kern w:val="2"/>
          <w:szCs w:val="24"/>
          <w:highlight w:val="none"/>
        </w:rPr>
        <w:t>1-1 报价表</w:t>
      </w:r>
    </w:p>
    <w:p w14:paraId="6AEDBFC0">
      <w:pPr>
        <w:snapToGrid w:val="0"/>
        <w:ind w:firstLine="482"/>
        <w:jc w:val="left"/>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肥西县花岗镇中心卫生院物业服务采购</w:t>
      </w:r>
      <w:r>
        <w:rPr>
          <w:rFonts w:hint="eastAsia" w:cs="宋体" w:asciiTheme="minorEastAsia" w:hAnsiTheme="minorEastAsia" w:eastAsiaTheme="minorEastAsia"/>
          <w:b/>
          <w:kern w:val="2"/>
          <w:szCs w:val="24"/>
          <w:highlight w:val="none"/>
          <w:u w:val="single"/>
        </w:rPr>
        <w:t xml:space="preserve">    </w:t>
      </w:r>
    </w:p>
    <w:p w14:paraId="2C3BE5EE">
      <w:pPr>
        <w:snapToGrid w:val="0"/>
        <w:spacing w:after="156" w:afterLines="50"/>
        <w:ind w:firstLine="482"/>
        <w:jc w:val="left"/>
        <w:rPr>
          <w:rFonts w:cs="宋体" w:asciiTheme="minorEastAsia" w:hAnsiTheme="minorEastAsia" w:eastAsiaTheme="minorEastAsia"/>
          <w:b/>
          <w:bCs/>
          <w:kern w:val="2"/>
          <w:szCs w:val="24"/>
          <w:highlight w:val="none"/>
          <w:u w:val="single"/>
        </w:rPr>
      </w:pPr>
      <w:r>
        <w:rPr>
          <w:rFonts w:hint="eastAsia" w:cs="宋体" w:asciiTheme="minorEastAsia" w:hAnsiTheme="minorEastAsia" w:eastAsiaTheme="minorEastAsia"/>
          <w:b/>
          <w:kern w:val="2"/>
          <w:szCs w:val="24"/>
          <w:highlight w:val="none"/>
        </w:rPr>
        <w:t>项目编号：</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2026PHBN237</w:t>
      </w:r>
      <w:r>
        <w:rPr>
          <w:rFonts w:hint="eastAsia" w:cs="宋体" w:asciiTheme="minorEastAsia" w:hAnsiTheme="minorEastAsia" w:eastAsiaTheme="minorEastAsia"/>
          <w:b/>
          <w:kern w:val="2"/>
          <w:szCs w:val="24"/>
          <w:highlight w:val="none"/>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E0E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A4E0AED">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供应商名称</w:t>
            </w:r>
          </w:p>
        </w:tc>
        <w:tc>
          <w:tcPr>
            <w:tcW w:w="3558" w:type="pct"/>
            <w:tcBorders>
              <w:left w:val="single" w:color="auto" w:sz="4" w:space="0"/>
            </w:tcBorders>
          </w:tcPr>
          <w:p w14:paraId="2FE6592E">
            <w:pPr>
              <w:ind w:left="0" w:leftChars="0" w:firstLine="0" w:firstLineChars="0"/>
              <w:rPr>
                <w:rFonts w:cs="宋体" w:asciiTheme="minorEastAsia" w:hAnsiTheme="minorEastAsia" w:eastAsiaTheme="minorEastAsia"/>
                <w:b/>
                <w:kern w:val="2"/>
                <w:szCs w:val="24"/>
                <w:highlight w:val="none"/>
              </w:rPr>
            </w:pPr>
          </w:p>
        </w:tc>
      </w:tr>
      <w:tr w14:paraId="0327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87AAB7C">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bCs/>
                <w:kern w:val="2"/>
                <w:szCs w:val="24"/>
                <w:highlight w:val="none"/>
              </w:rPr>
              <w:t>磋商</w:t>
            </w:r>
            <w:r>
              <w:rPr>
                <w:rFonts w:hint="eastAsia" w:cs="宋体" w:asciiTheme="minorEastAsia" w:hAnsiTheme="minorEastAsia" w:eastAsiaTheme="minorEastAsia"/>
                <w:b/>
                <w:kern w:val="2"/>
                <w:szCs w:val="24"/>
                <w:highlight w:val="none"/>
              </w:rPr>
              <w:t>范围</w:t>
            </w:r>
          </w:p>
        </w:tc>
        <w:tc>
          <w:tcPr>
            <w:tcW w:w="3558" w:type="pct"/>
            <w:tcBorders>
              <w:left w:val="single" w:color="auto" w:sz="4" w:space="0"/>
            </w:tcBorders>
            <w:vAlign w:val="center"/>
          </w:tcPr>
          <w:p w14:paraId="4E50AF54">
            <w:pPr>
              <w:widowControl/>
              <w:ind w:left="0" w:leftChars="0" w:firstLine="0" w:firstLineChars="0"/>
              <w:rPr>
                <w:rFonts w:cs="宋体" w:asciiTheme="minorEastAsia" w:hAnsiTheme="minorEastAsia" w:eastAsiaTheme="minorEastAsia"/>
                <w:b/>
                <w:kern w:val="2"/>
                <w:szCs w:val="24"/>
                <w:highlight w:val="none"/>
              </w:rPr>
            </w:pPr>
            <w:r>
              <w:rPr>
                <w:rFonts w:hint="eastAsia" w:cs="@仿宋_GB2312" w:asciiTheme="minorEastAsia" w:hAnsiTheme="minorEastAsia" w:eastAsiaTheme="minorEastAsia"/>
                <w:kern w:val="2"/>
                <w:szCs w:val="28"/>
                <w:highlight w:val="none"/>
              </w:rPr>
              <w:t>全部</w:t>
            </w:r>
          </w:p>
        </w:tc>
      </w:tr>
      <w:tr w14:paraId="3937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D807D79">
            <w:pPr>
              <w:ind w:left="0" w:leftChars="0" w:firstLine="0" w:firstLineChars="0"/>
              <w:jc w:val="center"/>
              <w:rPr>
                <w:rFonts w:cs="@仿宋_GB2312"/>
                <w:b/>
                <w:kern w:val="2"/>
                <w:highlight w:val="none"/>
              </w:rPr>
            </w:pPr>
            <w:r>
              <w:rPr>
                <w:rFonts w:hint="eastAsia" w:cs="@仿宋_GB2312"/>
                <w:b/>
                <w:kern w:val="2"/>
                <w:highlight w:val="none"/>
              </w:rPr>
              <w:t>报价</w:t>
            </w:r>
          </w:p>
          <w:p w14:paraId="11F10DF1">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（详见备注说明）</w:t>
            </w:r>
          </w:p>
        </w:tc>
        <w:tc>
          <w:tcPr>
            <w:tcW w:w="3558" w:type="pct"/>
            <w:vAlign w:val="center"/>
          </w:tcPr>
          <w:p w14:paraId="3E62776F">
            <w:pPr>
              <w:snapToGrid w:val="0"/>
              <w:ind w:firstLine="0" w:firstLineChars="0"/>
              <w:rPr>
                <w:rFonts w:hint="default" w:eastAsia="宋体" w:cs="宋体"/>
                <w:kern w:val="2"/>
                <w:szCs w:val="24"/>
                <w:highlight w:val="none"/>
                <w:u w:val="single"/>
                <w:lang w:val="en-US" w:eastAsia="zh-CN"/>
              </w:rPr>
            </w:pPr>
            <w:r>
              <w:rPr>
                <w:rFonts w:hint="eastAsia" w:cs="宋体"/>
                <w:kern w:val="2"/>
                <w:szCs w:val="24"/>
                <w:highlight w:val="none"/>
              </w:rPr>
              <w:t>人民币大写：</w:t>
            </w:r>
            <w:r>
              <w:rPr>
                <w:rFonts w:hint="eastAsia" w:cs="宋体"/>
                <w:kern w:val="2"/>
                <w:szCs w:val="24"/>
                <w:highlight w:val="none"/>
                <w:u w:val="single"/>
                <w:lang w:val="en-US" w:eastAsia="zh-CN"/>
              </w:rPr>
              <w:t xml:space="preserve">                 </w:t>
            </w:r>
          </w:p>
          <w:p w14:paraId="7ED7B12F">
            <w:pPr>
              <w:pStyle w:val="25"/>
              <w:ind w:left="0" w:leftChars="0" w:firstLine="0" w:firstLineChars="0"/>
              <w:rPr>
                <w:rFonts w:hint="default" w:eastAsia="宋体" w:cs="宋体" w:asciiTheme="minorEastAsia" w:hAnsiTheme="minorEastAsia"/>
                <w:b/>
                <w:kern w:val="2"/>
                <w:highlight w:val="none"/>
                <w:u w:val="single"/>
                <w:lang w:val="en-US" w:eastAsia="zh-CN"/>
              </w:rPr>
            </w:pPr>
            <w:r>
              <w:rPr>
                <w:rFonts w:hint="eastAsia"/>
                <w:highlight w:val="none"/>
                <w:lang w:val="en-US" w:eastAsia="zh-CN"/>
              </w:rPr>
              <w:t>人民币</w:t>
            </w:r>
            <w:r>
              <w:rPr>
                <w:rFonts w:hint="eastAsia"/>
                <w:highlight w:val="none"/>
                <w:lang w:val="en-US"/>
              </w:rPr>
              <w:t>小写：</w:t>
            </w:r>
            <w:r>
              <w:rPr>
                <w:rFonts w:hint="eastAsia"/>
                <w:highlight w:val="none"/>
                <w:u w:val="single"/>
                <w:lang w:val="en-US" w:eastAsia="zh-CN"/>
              </w:rPr>
              <w:t xml:space="preserve">                 </w:t>
            </w:r>
          </w:p>
        </w:tc>
      </w:tr>
      <w:tr w14:paraId="379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36C36CF">
            <w:pPr>
              <w:snapToGrid w:val="0"/>
              <w:ind w:left="0" w:leftChars="0" w:firstLine="0" w:firstLineChars="0"/>
              <w:jc w:val="center"/>
              <w:rPr>
                <w:rFonts w:cs="宋体" w:asciiTheme="minorEastAsia" w:hAnsiTheme="minorEastAsia" w:eastAsiaTheme="minorEastAsia"/>
                <w:b/>
                <w:strike/>
                <w:kern w:val="2"/>
                <w:szCs w:val="24"/>
                <w:highlight w:val="none"/>
              </w:rPr>
            </w:pPr>
            <w:r>
              <w:rPr>
                <w:rFonts w:hint="eastAsia" w:cs="宋体" w:asciiTheme="minorEastAsia" w:hAnsiTheme="minorEastAsia" w:eastAsiaTheme="minorEastAsia"/>
                <w:b/>
                <w:kern w:val="2"/>
                <w:szCs w:val="24"/>
                <w:highlight w:val="none"/>
              </w:rPr>
              <w:t>服务期限</w:t>
            </w:r>
          </w:p>
        </w:tc>
        <w:tc>
          <w:tcPr>
            <w:tcW w:w="3558" w:type="pct"/>
            <w:vAlign w:val="center"/>
          </w:tcPr>
          <w:p w14:paraId="666B6362">
            <w:pPr>
              <w:snapToGrid w:val="0"/>
              <w:ind w:left="0" w:leftChars="0" w:firstLine="0" w:firstLineChars="0"/>
              <w:rPr>
                <w:rFonts w:cs="宋体" w:asciiTheme="minorEastAsia" w:hAnsiTheme="minorEastAsia" w:eastAsiaTheme="minorEastAsia"/>
                <w:b/>
                <w:strike/>
                <w:kern w:val="2"/>
                <w:szCs w:val="24"/>
                <w:highlight w:val="none"/>
              </w:rPr>
            </w:pPr>
          </w:p>
        </w:tc>
      </w:tr>
      <w:tr w14:paraId="1253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320551BB">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备注说明</w:t>
            </w:r>
          </w:p>
        </w:tc>
        <w:tc>
          <w:tcPr>
            <w:tcW w:w="3558" w:type="pct"/>
          </w:tcPr>
          <w:p w14:paraId="181F61E7">
            <w:pPr>
              <w:ind w:left="0" w:leftChars="0" w:firstLine="0" w:firstLineChars="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本项目无二次报价</w:t>
            </w:r>
          </w:p>
        </w:tc>
      </w:tr>
    </w:tbl>
    <w:p w14:paraId="6F8B3870">
      <w:pPr>
        <w:spacing w:line="440" w:lineRule="exact"/>
        <w:ind w:firstLine="4800" w:firstLineChars="2000"/>
        <w:rPr>
          <w:rFonts w:cs="@仿宋_GB2312"/>
          <w:kern w:val="2"/>
          <w:szCs w:val="24"/>
          <w:highlight w:val="none"/>
          <w:u w:val="single"/>
        </w:rPr>
      </w:pPr>
      <w:r>
        <w:rPr>
          <w:rFonts w:hint="eastAsia" w:cs="@仿宋_GB2312"/>
          <w:kern w:val="2"/>
          <w:szCs w:val="24"/>
          <w:highlight w:val="none"/>
        </w:rPr>
        <w:t>供应商电子签章或公章：</w:t>
      </w:r>
      <w:r>
        <w:rPr>
          <w:rFonts w:hint="eastAsia" w:cs="@仿宋_GB2312"/>
          <w:kern w:val="2"/>
          <w:szCs w:val="24"/>
          <w:highlight w:val="none"/>
          <w:u w:val="single"/>
        </w:rPr>
        <w:t xml:space="preserve">     </w:t>
      </w:r>
      <w:r>
        <w:rPr>
          <w:rFonts w:cs="@仿宋_GB2312"/>
          <w:kern w:val="2"/>
          <w:szCs w:val="24"/>
          <w:highlight w:val="none"/>
          <w:u w:val="single"/>
        </w:rPr>
        <w:t xml:space="preserve">    </w:t>
      </w:r>
      <w:r>
        <w:rPr>
          <w:rFonts w:hint="eastAsia" w:cs="@仿宋_GB2312"/>
          <w:kern w:val="2"/>
          <w:szCs w:val="24"/>
          <w:highlight w:val="none"/>
          <w:u w:val="single"/>
        </w:rPr>
        <w:t xml:space="preserve">    </w:t>
      </w:r>
    </w:p>
    <w:p w14:paraId="65A9E8DB">
      <w:pPr>
        <w:spacing w:line="440" w:lineRule="exact"/>
        <w:ind w:firstLine="4800" w:firstLineChars="2000"/>
        <w:rPr>
          <w:rFonts w:cs="@仿宋_GB2312"/>
          <w:kern w:val="2"/>
          <w:szCs w:val="24"/>
          <w:highlight w:val="none"/>
          <w:u w:val="single"/>
        </w:rPr>
      </w:pPr>
      <w:r>
        <w:rPr>
          <w:rFonts w:hint="eastAsia" w:cs="@仿宋_GB2312"/>
          <w:kern w:val="2"/>
          <w:szCs w:val="24"/>
          <w:highlight w:val="none"/>
        </w:rPr>
        <w:t xml:space="preserve">日     </w:t>
      </w:r>
      <w:r>
        <w:rPr>
          <w:rFonts w:cs="@仿宋_GB2312"/>
          <w:kern w:val="2"/>
          <w:szCs w:val="24"/>
          <w:highlight w:val="none"/>
        </w:rPr>
        <w:t xml:space="preserve">    </w:t>
      </w:r>
      <w:r>
        <w:rPr>
          <w:rFonts w:hint="eastAsia" w:cs="@仿宋_GB2312"/>
          <w:kern w:val="2"/>
          <w:szCs w:val="24"/>
          <w:highlight w:val="none"/>
        </w:rPr>
        <w:t xml:space="preserve"> 期：</w:t>
      </w:r>
      <w:r>
        <w:rPr>
          <w:rFonts w:hint="eastAsia" w:cs="@仿宋_GB2312"/>
          <w:kern w:val="2"/>
          <w:szCs w:val="24"/>
          <w:highlight w:val="none"/>
          <w:u w:val="single"/>
        </w:rPr>
        <w:t xml:space="preserve">             </w:t>
      </w:r>
    </w:p>
    <w:p w14:paraId="42961E49">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注：</w:t>
      </w:r>
    </w:p>
    <w:p w14:paraId="0977216E">
      <w:pPr>
        <w:adjustRightInd w:val="0"/>
        <w:snapToGrid w:val="0"/>
        <w:ind w:firstLine="482"/>
        <w:rPr>
          <w:rFonts w:cs="宋体" w:asciiTheme="minorEastAsia" w:hAnsiTheme="minorEastAsia" w:eastAsiaTheme="minorEastAsia"/>
          <w:kern w:val="2"/>
          <w:szCs w:val="24"/>
          <w:highlight w:val="none"/>
        </w:rPr>
      </w:pPr>
      <w:r>
        <w:rPr>
          <w:rFonts w:hint="eastAsia" w:cs="宋体" w:asciiTheme="minorEastAsia" w:hAnsiTheme="minorEastAsia" w:eastAsiaTheme="minorEastAsia"/>
          <w:b/>
          <w:bCs/>
          <w:kern w:val="2"/>
          <w:szCs w:val="24"/>
          <w:highlight w:val="none"/>
        </w:rPr>
        <w:t>1.本表内容根据磋商文件要求包括了磋商文件要求提供的全部内容的所有费用。</w:t>
      </w:r>
    </w:p>
    <w:p w14:paraId="5A836388">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2.特殊事项在备注</w:t>
      </w:r>
      <w:r>
        <w:rPr>
          <w:rFonts w:hint="eastAsia" w:cs="宋体" w:asciiTheme="minorEastAsia" w:hAnsiTheme="minorEastAsia" w:eastAsiaTheme="minorEastAsia"/>
          <w:b/>
          <w:kern w:val="2"/>
          <w:szCs w:val="24"/>
          <w:highlight w:val="none"/>
        </w:rPr>
        <w:t>说明</w:t>
      </w:r>
      <w:r>
        <w:rPr>
          <w:rFonts w:hint="eastAsia" w:cs="宋体" w:asciiTheme="minorEastAsia" w:hAnsiTheme="minorEastAsia" w:eastAsiaTheme="minorEastAsia"/>
          <w:b/>
          <w:bCs/>
          <w:kern w:val="2"/>
          <w:szCs w:val="24"/>
          <w:highlight w:val="none"/>
        </w:rPr>
        <w:t>中注明。</w:t>
      </w:r>
    </w:p>
    <w:p w14:paraId="0DBFA324">
      <w:pPr>
        <w:adjustRightInd w:val="0"/>
        <w:snapToGrid w:val="0"/>
        <w:ind w:firstLine="482"/>
        <w:rPr>
          <w:rFonts w:cs="宋体" w:asciiTheme="minorEastAsia" w:hAnsiTheme="minorEastAsia" w:eastAsiaTheme="minorEastAsia"/>
          <w:b/>
          <w:bCs/>
          <w:kern w:val="2"/>
          <w:szCs w:val="24"/>
          <w:highlight w:val="none"/>
        </w:rPr>
      </w:pPr>
      <w:r>
        <w:rPr>
          <w:rFonts w:cs="宋体" w:asciiTheme="minorEastAsia" w:hAnsiTheme="minorEastAsia" w:eastAsiaTheme="minorEastAsia"/>
          <w:b/>
          <w:bCs/>
          <w:kern w:val="2"/>
          <w:szCs w:val="24"/>
          <w:highlight w:val="none"/>
        </w:rPr>
        <w:br w:type="page"/>
      </w:r>
    </w:p>
    <w:p w14:paraId="2A415AD0">
      <w:pPr>
        <w:ind w:firstLine="482"/>
        <w:jc w:val="center"/>
        <w:outlineLvl w:val="2"/>
        <w:rPr>
          <w:rFonts w:cs="宋体"/>
          <w:sz w:val="32"/>
          <w:szCs w:val="32"/>
          <w:highlight w:val="none"/>
        </w:rPr>
      </w:pPr>
      <w:bookmarkStart w:id="19" w:name="_Toc520983591"/>
      <w:r>
        <w:rPr>
          <w:rFonts w:hint="eastAsia" w:asciiTheme="minorEastAsia" w:hAnsiTheme="minorEastAsia" w:eastAsiaTheme="minorEastAsia"/>
          <w:b/>
          <w:highlight w:val="none"/>
        </w:rPr>
        <w:t>二、供应商综合情况简介</w:t>
      </w:r>
    </w:p>
    <w:p w14:paraId="4669B6B0">
      <w:pPr>
        <w:spacing w:before="156" w:beforeLines="50" w:after="156" w:afterLines="50"/>
        <w:ind w:firstLine="235" w:firstLineChars="98"/>
        <w:jc w:val="center"/>
        <w:rPr>
          <w:rFonts w:cs="Times New Roman"/>
          <w:szCs w:val="28"/>
          <w:highlight w:val="none"/>
        </w:rPr>
      </w:pPr>
      <w:r>
        <w:rPr>
          <w:rFonts w:hint="eastAsia" w:cs="Times New Roman"/>
          <w:szCs w:val="28"/>
          <w:highlight w:val="none"/>
        </w:rPr>
        <w:t>（</w:t>
      </w:r>
      <w:r>
        <w:rPr>
          <w:rFonts w:hint="eastAsia" w:cs="Times New Roman"/>
          <w:szCs w:val="18"/>
          <w:highlight w:val="none"/>
        </w:rPr>
        <w:t>供应商</w:t>
      </w:r>
      <w:r>
        <w:rPr>
          <w:rFonts w:hint="eastAsia" w:cs="Times New Roman"/>
          <w:szCs w:val="28"/>
          <w:highlight w:val="none"/>
        </w:rPr>
        <w:t>可自行制作格式）</w:t>
      </w:r>
    </w:p>
    <w:p w14:paraId="66EE537F">
      <w:pPr>
        <w:widowControl/>
        <w:ind w:firstLine="482"/>
        <w:jc w:val="left"/>
        <w:rPr>
          <w:rFonts w:asciiTheme="minorEastAsia" w:hAnsiTheme="minorEastAsia" w:eastAsiaTheme="minorEastAsia"/>
          <w:b/>
          <w:highlight w:val="none"/>
        </w:rPr>
      </w:pPr>
    </w:p>
    <w:p w14:paraId="7C3DD53F">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0B09513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三、磋商响应函</w:t>
      </w:r>
    </w:p>
    <w:p w14:paraId="18BCA12D">
      <w:pPr>
        <w:ind w:left="0" w:leftChars="0" w:firstLine="0" w:firstLineChars="0"/>
        <w:rPr>
          <w:rFonts w:hint="eastAsia" w:cs="宋体" w:asciiTheme="minorEastAsia" w:hAnsiTheme="minorEastAsia" w:eastAsiaTheme="minorEastAsia"/>
          <w:b/>
          <w:kern w:val="2"/>
          <w:szCs w:val="24"/>
          <w:highlight w:val="none"/>
          <w:u w:val="single"/>
          <w:lang w:eastAsia="zh-CN"/>
        </w:rPr>
      </w:pPr>
      <w:r>
        <w:rPr>
          <w:rFonts w:hint="eastAsia" w:cs="宋体" w:asciiTheme="minorEastAsia" w:hAnsiTheme="minorEastAsia" w:eastAsiaTheme="minorEastAsia"/>
          <w:b/>
          <w:kern w:val="2"/>
          <w:szCs w:val="24"/>
          <w:highlight w:val="none"/>
        </w:rPr>
        <w:t>致：</w:t>
      </w:r>
      <w:r>
        <w:rPr>
          <w:rFonts w:hint="eastAsia" w:cs="宋体" w:asciiTheme="minorEastAsia" w:hAnsiTheme="minorEastAsia" w:eastAsiaTheme="minorEastAsia"/>
          <w:b/>
          <w:kern w:val="2"/>
          <w:szCs w:val="24"/>
          <w:highlight w:val="none"/>
          <w:u w:val="single"/>
          <w:lang w:eastAsia="zh-CN"/>
        </w:rPr>
        <w:t>肥西县花岗镇中心卫生院</w:t>
      </w:r>
    </w:p>
    <w:p w14:paraId="530C9AE4">
      <w:pPr>
        <w:ind w:left="0" w:leftChars="0" w:firstLine="482" w:firstLineChars="20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u w:val="single"/>
        </w:rPr>
        <w:t>肥西县公共资源交易有限责任公司</w:t>
      </w:r>
    </w:p>
    <w:p w14:paraId="4CA62473">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根据贵方的磋商文件，我方承诺如下：</w:t>
      </w:r>
    </w:p>
    <w:p w14:paraId="0810E1F2">
      <w:pPr>
        <w:ind w:firstLine="480"/>
        <w:rPr>
          <w:rFonts w:cs="宋体" w:asciiTheme="minorEastAsia" w:hAnsiTheme="minorEastAsia" w:eastAsiaTheme="minorEastAsia"/>
          <w:kern w:val="2"/>
          <w:szCs w:val="24"/>
          <w:highlight w:val="none"/>
          <w:u w:val="single"/>
        </w:rPr>
      </w:pPr>
      <w:r>
        <w:rPr>
          <w:rFonts w:hint="eastAsia" w:cs="宋体" w:asciiTheme="minorEastAsia" w:hAnsiTheme="minorEastAsia" w:eastAsiaTheme="minorEastAsia"/>
          <w:kern w:val="2"/>
          <w:szCs w:val="24"/>
          <w:highlight w:val="none"/>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kern w:val="2"/>
          <w:szCs w:val="24"/>
          <w:highlight w:val="none"/>
        </w:rPr>
        <w:t>承诺按本磋商文件、合同条款和业主单位要求承担上述项目的全部内容。</w:t>
      </w:r>
    </w:p>
    <w:p w14:paraId="0CF1F498">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62773EFF">
      <w:pPr>
        <w:ind w:firstLine="480"/>
        <w:rPr>
          <w:highlight w:val="none"/>
        </w:rPr>
      </w:pPr>
      <w:r>
        <w:rPr>
          <w:rFonts w:hint="eastAsia"/>
          <w:highlight w:val="none"/>
        </w:rPr>
        <w:t>3.如我方成交，我方承诺愿意按磋商文件规定缴纳履约保证金和代理费用。按本次磋商文件规定及</w:t>
      </w:r>
      <w:r>
        <w:rPr>
          <w:rFonts w:cs="宋体"/>
          <w:szCs w:val="24"/>
          <w:highlight w:val="none"/>
        </w:rPr>
        <w:t>最终报价</w:t>
      </w:r>
      <w:r>
        <w:rPr>
          <w:rFonts w:hint="eastAsia"/>
          <w:highlight w:val="none"/>
        </w:rPr>
        <w:t>承诺提供服务。</w:t>
      </w:r>
    </w:p>
    <w:p w14:paraId="3D58C025">
      <w:pPr>
        <w:ind w:firstLine="480"/>
        <w:rPr>
          <w:highlight w:val="none"/>
        </w:rPr>
      </w:pPr>
      <w:r>
        <w:rPr>
          <w:rFonts w:hint="eastAsia"/>
          <w:highlight w:val="none"/>
        </w:rPr>
        <w:t>4.我方根据本次磋商文件的规定，严格履行合同的责任和义务</w:t>
      </w:r>
      <w:r>
        <w:rPr>
          <w:highlight w:val="none"/>
        </w:rPr>
        <w:t>,</w:t>
      </w:r>
      <w:r>
        <w:rPr>
          <w:rFonts w:hint="eastAsia"/>
          <w:highlight w:val="none"/>
        </w:rPr>
        <w:t>并保证于你方要求的日期内完成合同规定的全部义务。</w:t>
      </w:r>
    </w:p>
    <w:p w14:paraId="59E431E2">
      <w:pPr>
        <w:ind w:firstLine="480"/>
        <w:rPr>
          <w:highlight w:val="none"/>
        </w:rPr>
      </w:pPr>
      <w:r>
        <w:rPr>
          <w:rFonts w:hint="eastAsia"/>
          <w:highlight w:val="none"/>
        </w:rPr>
        <w:t>5.我方同意按你方要求在磋商规定时间内向你方提供与其磋商有关的任何证据或补充资料，否则，我方的响应文件可被你方拒绝。</w:t>
      </w:r>
    </w:p>
    <w:p w14:paraId="461DBFC3">
      <w:pPr>
        <w:ind w:firstLine="480"/>
        <w:rPr>
          <w:highlight w:val="none"/>
        </w:rPr>
      </w:pPr>
      <w:r>
        <w:rPr>
          <w:rFonts w:hint="eastAsia"/>
          <w:highlight w:val="none"/>
        </w:rPr>
        <w:t>6.我方完全理解你方不一定接受最低报价的磋商。</w:t>
      </w:r>
    </w:p>
    <w:p w14:paraId="02B6C71D">
      <w:pPr>
        <w:ind w:firstLine="480"/>
        <w:rPr>
          <w:highlight w:val="none"/>
        </w:rPr>
      </w:pPr>
      <w:r>
        <w:rPr>
          <w:rFonts w:hint="eastAsia"/>
          <w:highlight w:val="none"/>
        </w:rPr>
        <w:t>7.我方同意磋商文件规定的付款方式、服务期限。</w:t>
      </w:r>
    </w:p>
    <w:p w14:paraId="5CA8E0C7">
      <w:pPr>
        <w:ind w:firstLine="480"/>
        <w:rPr>
          <w:highlight w:val="none"/>
        </w:rPr>
      </w:pPr>
      <w:r>
        <w:rPr>
          <w:rFonts w:hint="eastAsia"/>
          <w:highlight w:val="none"/>
        </w:rPr>
        <w:t>8.我方对响应文件中所提供资料、文件、证书及证件的真实性和有效性负责。</w:t>
      </w:r>
    </w:p>
    <w:p w14:paraId="100DAB60">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9.我方同意所提交的响应文件在磋商文件规定的磋商有效期内有效，在此期间内如果成交，我方将受此约束。</w:t>
      </w:r>
    </w:p>
    <w:p w14:paraId="4C8C97A3">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10.除非另外达成协议并生效，你方的成交通知书和本响应文件以及磋商文件、磋商文件澄清、修改、补充将成为约束双方的合同文件的组成部分。</w:t>
      </w:r>
    </w:p>
    <w:p w14:paraId="13893AD4">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11.我方不存在磋商公告中“供应商资格要求”的“不良信用记录情形”规定的任何一种情形。</w:t>
      </w:r>
    </w:p>
    <w:p w14:paraId="1044CB65">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12.我方声明下述内容真实有效，如有虚假，将依法承担相应责任：</w:t>
      </w:r>
    </w:p>
    <w:p w14:paraId="393E81B0">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与我单位存在单位负责人为同一人或者存在直接控股、管理关系的其他法人单位信息如下：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C7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538079">
            <w:pPr>
              <w:widowControl/>
              <w:spacing w:before="156" w:beforeLines="50" w:after="10"/>
              <w:ind w:firstLine="480"/>
              <w:jc w:val="center"/>
              <w:rPr>
                <w:rFonts w:cs="宋体"/>
                <w:color w:val="000000"/>
                <w:szCs w:val="24"/>
                <w:highlight w:val="none"/>
                <w:lang w:bidi="ar"/>
              </w:rPr>
            </w:pPr>
            <w:r>
              <w:rPr>
                <w:rFonts w:hint="eastAsia" w:cs="宋体"/>
                <w:color w:val="000000"/>
                <w:szCs w:val="24"/>
                <w:highlight w:val="none"/>
                <w:lang w:bidi="ar"/>
              </w:rPr>
              <w:t>序号</w:t>
            </w:r>
          </w:p>
        </w:tc>
        <w:tc>
          <w:tcPr>
            <w:tcW w:w="2841" w:type="dxa"/>
          </w:tcPr>
          <w:p w14:paraId="32707EB3">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单位名称</w:t>
            </w:r>
          </w:p>
        </w:tc>
        <w:tc>
          <w:tcPr>
            <w:tcW w:w="2841" w:type="dxa"/>
          </w:tcPr>
          <w:p w14:paraId="26D780A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相互关系</w:t>
            </w:r>
          </w:p>
        </w:tc>
      </w:tr>
      <w:tr w14:paraId="472B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7F620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1</w:t>
            </w:r>
          </w:p>
        </w:tc>
        <w:tc>
          <w:tcPr>
            <w:tcW w:w="2841" w:type="dxa"/>
          </w:tcPr>
          <w:p w14:paraId="030E0EB3">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6CA744C8">
            <w:pPr>
              <w:pStyle w:val="4"/>
              <w:spacing w:before="156" w:beforeLines="50" w:after="10"/>
              <w:ind w:left="300" w:firstLine="480"/>
              <w:jc w:val="center"/>
              <w:rPr>
                <w:rFonts w:ascii="宋体" w:hAnsi="宋体" w:eastAsia="宋体" w:cs="宋体"/>
                <w:color w:val="000000"/>
                <w:highlight w:val="none"/>
                <w:lang w:val="en-US" w:bidi="ar"/>
              </w:rPr>
            </w:pPr>
          </w:p>
        </w:tc>
      </w:tr>
      <w:tr w14:paraId="6CFC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15CDD6">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2</w:t>
            </w:r>
          </w:p>
        </w:tc>
        <w:tc>
          <w:tcPr>
            <w:tcW w:w="2841" w:type="dxa"/>
          </w:tcPr>
          <w:p w14:paraId="0C12425A">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2B7D5BF4">
            <w:pPr>
              <w:pStyle w:val="4"/>
              <w:spacing w:before="156" w:beforeLines="50" w:after="10"/>
              <w:ind w:left="300" w:firstLine="480"/>
              <w:jc w:val="center"/>
              <w:rPr>
                <w:rFonts w:ascii="宋体" w:hAnsi="宋体" w:eastAsia="宋体" w:cs="宋体"/>
                <w:color w:val="000000"/>
                <w:highlight w:val="none"/>
                <w:lang w:val="en-US" w:bidi="ar"/>
              </w:rPr>
            </w:pPr>
          </w:p>
        </w:tc>
      </w:tr>
      <w:tr w14:paraId="107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3A176E">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5B6A0C27">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3B67C44E">
            <w:pPr>
              <w:pStyle w:val="4"/>
              <w:spacing w:before="156" w:beforeLines="50" w:after="10"/>
              <w:ind w:left="300" w:firstLine="480"/>
              <w:jc w:val="center"/>
              <w:rPr>
                <w:rFonts w:ascii="宋体" w:hAnsi="宋体" w:eastAsia="宋体" w:cs="宋体"/>
                <w:color w:val="000000"/>
                <w:highlight w:val="none"/>
                <w:lang w:val="en-US" w:bidi="ar"/>
              </w:rPr>
            </w:pPr>
          </w:p>
        </w:tc>
      </w:tr>
    </w:tbl>
    <w:p w14:paraId="755B0944">
      <w:pPr>
        <w:ind w:firstLine="480"/>
        <w:rPr>
          <w:rFonts w:cs="宋体" w:asciiTheme="minorEastAsia" w:hAnsiTheme="minorEastAsia" w:eastAsiaTheme="minorEastAsia"/>
          <w:kern w:val="2"/>
          <w:szCs w:val="24"/>
          <w:highlight w:val="none"/>
        </w:rPr>
      </w:pPr>
    </w:p>
    <w:p w14:paraId="78B49361">
      <w:pPr>
        <w:ind w:firstLine="480"/>
        <w:rPr>
          <w:highlight w:val="none"/>
        </w:rPr>
      </w:pPr>
      <w:r>
        <w:rPr>
          <w:rFonts w:cs="宋体" w:asciiTheme="minorEastAsia" w:hAnsiTheme="minorEastAsia" w:eastAsiaTheme="minorEastAsia"/>
          <w:kern w:val="2"/>
          <w:szCs w:val="24"/>
          <w:highlight w:val="none"/>
        </w:rPr>
        <w:t>1</w:t>
      </w:r>
      <w:r>
        <w:rPr>
          <w:rFonts w:hint="eastAsia" w:cs="宋体" w:asciiTheme="minorEastAsia" w:hAnsiTheme="minorEastAsia" w:eastAsiaTheme="minorEastAsia"/>
          <w:kern w:val="2"/>
          <w:szCs w:val="24"/>
          <w:highlight w:val="none"/>
        </w:rPr>
        <w:t>3.其他补充说明：</w:t>
      </w:r>
      <w:r>
        <w:rPr>
          <w:rFonts w:hint="eastAsia" w:cs="宋体" w:asciiTheme="minorEastAsia" w:hAnsiTheme="minorEastAsia" w:eastAsiaTheme="minorEastAsia"/>
          <w:kern w:val="2"/>
          <w:szCs w:val="24"/>
          <w:highlight w:val="none"/>
          <w:u w:val="single"/>
        </w:rPr>
        <w:t xml:space="preserve">             补充说明事项（如有）       </w:t>
      </w:r>
    </w:p>
    <w:p w14:paraId="6FCE4092">
      <w:pPr>
        <w:pStyle w:val="13"/>
        <w:ind w:firstLine="240"/>
        <w:rPr>
          <w:highlight w:val="none"/>
        </w:rPr>
      </w:pPr>
    </w:p>
    <w:p w14:paraId="68C44FBC">
      <w:pPr>
        <w:ind w:firstLine="4800" w:firstLineChars="2000"/>
        <w:rPr>
          <w:rFonts w:cs="@仿宋_GB2312"/>
          <w:kern w:val="2"/>
          <w:highlight w:val="none"/>
        </w:rPr>
      </w:pPr>
      <w:r>
        <w:rPr>
          <w:rFonts w:hint="eastAsia" w:cs="@仿宋_GB2312"/>
          <w:kern w:val="2"/>
          <w:szCs w:val="24"/>
          <w:highlight w:val="none"/>
        </w:rPr>
        <w:t>供应商电子签章或公章</w:t>
      </w:r>
      <w:r>
        <w:rPr>
          <w:rFonts w:hint="eastAsia" w:cs="@仿宋_GB2312"/>
          <w:kern w:val="2"/>
          <w:highlight w:val="none"/>
        </w:rPr>
        <w:t>：</w:t>
      </w:r>
      <w:r>
        <w:rPr>
          <w:rFonts w:hint="eastAsia" w:cs="@仿宋_GB2312"/>
          <w:kern w:val="2"/>
          <w:highlight w:val="none"/>
          <w:u w:val="single"/>
        </w:rPr>
        <w:t xml:space="preserve">             </w:t>
      </w:r>
    </w:p>
    <w:p w14:paraId="47775770">
      <w:pPr>
        <w:ind w:firstLine="4800" w:firstLineChars="2000"/>
        <w:rPr>
          <w:rFonts w:cs="@仿宋_GB2312"/>
          <w:kern w:val="2"/>
          <w:highlight w:val="none"/>
          <w:u w:val="single"/>
        </w:rPr>
      </w:pPr>
      <w:r>
        <w:rPr>
          <w:rFonts w:hint="eastAsia" w:cs="@仿宋_GB2312"/>
          <w:kern w:val="2"/>
          <w:highlight w:val="none"/>
        </w:rPr>
        <w:t>日          期：</w:t>
      </w:r>
      <w:r>
        <w:rPr>
          <w:rFonts w:hint="eastAsia" w:cs="@仿宋_GB2312"/>
          <w:kern w:val="2"/>
          <w:highlight w:val="none"/>
          <w:u w:val="single"/>
        </w:rPr>
        <w:t xml:space="preserve">             </w:t>
      </w:r>
    </w:p>
    <w:p w14:paraId="276F3309">
      <w:pPr>
        <w:widowControl/>
        <w:ind w:firstLine="480"/>
        <w:jc w:val="left"/>
        <w:rPr>
          <w:highlight w:val="none"/>
        </w:rPr>
      </w:pPr>
      <w:r>
        <w:rPr>
          <w:highlight w:val="none"/>
        </w:rPr>
        <w:br w:type="page"/>
      </w:r>
    </w:p>
    <w:p w14:paraId="46E1BE2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四、无不良信用记录声明函</w:t>
      </w:r>
    </w:p>
    <w:p w14:paraId="0DF0CFE7">
      <w:pPr>
        <w:ind w:firstLine="480"/>
        <w:jc w:val="center"/>
        <w:rPr>
          <w:szCs w:val="24"/>
          <w:highlight w:val="none"/>
        </w:rPr>
      </w:pPr>
      <w:r>
        <w:rPr>
          <w:rFonts w:hint="eastAsia"/>
          <w:szCs w:val="24"/>
          <w:highlight w:val="none"/>
        </w:rPr>
        <w:t>（联合体参加磋商的，联合体双方均须提供）</w:t>
      </w:r>
    </w:p>
    <w:p w14:paraId="3017CA09">
      <w:pPr>
        <w:ind w:firstLine="480"/>
        <w:rPr>
          <w:szCs w:val="24"/>
          <w:highlight w:val="none"/>
        </w:rPr>
      </w:pPr>
      <w:r>
        <w:rPr>
          <w:rFonts w:hint="eastAsia"/>
          <w:szCs w:val="24"/>
          <w:highlight w:val="none"/>
        </w:rPr>
        <w:t>1、本单位郑重声明，我单位无以下不良信用记录情形：</w:t>
      </w:r>
    </w:p>
    <w:p w14:paraId="1FB9EC6B">
      <w:pPr>
        <w:ind w:firstLine="480"/>
        <w:rPr>
          <w:szCs w:val="24"/>
          <w:highlight w:val="none"/>
        </w:rPr>
      </w:pPr>
      <w:r>
        <w:rPr>
          <w:rFonts w:hint="eastAsia"/>
          <w:szCs w:val="24"/>
          <w:highlight w:val="none"/>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3BB05767">
      <w:pPr>
        <w:ind w:firstLine="480"/>
        <w:rPr>
          <w:szCs w:val="24"/>
          <w:highlight w:val="none"/>
        </w:rPr>
      </w:pPr>
      <w:r>
        <w:rPr>
          <w:rFonts w:hint="eastAsia"/>
          <w:szCs w:val="24"/>
          <w:highlight w:val="none"/>
        </w:rPr>
        <w:t>（2）被责令停业，暂扣或吊销执照，或吊销资质证书；</w:t>
      </w:r>
    </w:p>
    <w:p w14:paraId="745A21DF">
      <w:pPr>
        <w:ind w:firstLine="480"/>
        <w:rPr>
          <w:szCs w:val="24"/>
          <w:highlight w:val="none"/>
        </w:rPr>
      </w:pPr>
      <w:r>
        <w:rPr>
          <w:rFonts w:hint="eastAsia"/>
          <w:szCs w:val="24"/>
          <w:highlight w:val="none"/>
        </w:rPr>
        <w:t>（3）进入清算程序，或被宣告破产，或其他丧失履约能力的情形；</w:t>
      </w:r>
    </w:p>
    <w:p w14:paraId="43F3601C">
      <w:pPr>
        <w:ind w:firstLine="480"/>
        <w:rPr>
          <w:szCs w:val="24"/>
          <w:highlight w:val="none"/>
        </w:rPr>
      </w:pPr>
      <w:r>
        <w:rPr>
          <w:rFonts w:hint="eastAsia"/>
          <w:szCs w:val="24"/>
          <w:highlight w:val="none"/>
        </w:rPr>
        <w:t>（4）在国家企业信用信息公示系统（http://www.gsxt.gov.cn/）中被列入严重违法失信企业名单；</w:t>
      </w:r>
    </w:p>
    <w:p w14:paraId="33FAD3B2">
      <w:pPr>
        <w:ind w:firstLine="480"/>
        <w:rPr>
          <w:szCs w:val="24"/>
          <w:highlight w:val="none"/>
        </w:rPr>
      </w:pPr>
      <w:r>
        <w:rPr>
          <w:rFonts w:hint="eastAsia"/>
          <w:szCs w:val="24"/>
          <w:highlight w:val="none"/>
        </w:rPr>
        <w:t>（5）在“信用中国”网站（http://www.creditchina.gov.cn/）中被列入失信被执行人名单；</w:t>
      </w:r>
    </w:p>
    <w:p w14:paraId="06DA2CE5">
      <w:pPr>
        <w:ind w:firstLine="480"/>
        <w:rPr>
          <w:szCs w:val="24"/>
          <w:highlight w:val="none"/>
        </w:rPr>
      </w:pPr>
      <w:r>
        <w:rPr>
          <w:rFonts w:hint="eastAsia"/>
          <w:szCs w:val="24"/>
          <w:highlight w:val="none"/>
        </w:rPr>
        <w:t>（6）在“信用中国”网站（http://www.creditchina.gov.cn/）中被列入重大税收违法案件当事人名单；</w:t>
      </w:r>
    </w:p>
    <w:p w14:paraId="0B581A38">
      <w:pPr>
        <w:ind w:firstLine="480"/>
        <w:rPr>
          <w:szCs w:val="24"/>
          <w:highlight w:val="none"/>
        </w:rPr>
      </w:pPr>
      <w:r>
        <w:rPr>
          <w:rFonts w:hint="eastAsia"/>
          <w:szCs w:val="24"/>
          <w:highlight w:val="none"/>
        </w:rPr>
        <w:t>（7）供应商被设区的市级及以上建设行政主管部门/房屋建筑和市政基础设施工程招标投标活动的监督部门因安全生产责任事故限制本次磋商项目工程所在地或公共资源交易平台所在地承接新的工程项目且在限制期内。</w:t>
      </w:r>
    </w:p>
    <w:p w14:paraId="0D09CC4B">
      <w:pPr>
        <w:ind w:firstLine="480"/>
        <w:rPr>
          <w:szCs w:val="24"/>
          <w:highlight w:val="none"/>
        </w:rPr>
      </w:pPr>
      <w:r>
        <w:rPr>
          <w:rFonts w:hint="eastAsia"/>
          <w:szCs w:val="24"/>
          <w:highlight w:val="none"/>
        </w:rPr>
        <w:t>本单位对上述声明的真实性负责。如有虚假，将依法承担相应责任。</w:t>
      </w:r>
    </w:p>
    <w:p w14:paraId="42C7DE76">
      <w:pPr>
        <w:ind w:firstLine="480"/>
        <w:rPr>
          <w:szCs w:val="24"/>
          <w:highlight w:val="none"/>
        </w:rPr>
      </w:pPr>
    </w:p>
    <w:p w14:paraId="663EFD6C">
      <w:pPr>
        <w:ind w:firstLine="560"/>
        <w:jc w:val="right"/>
        <w:rPr>
          <w:sz w:val="28"/>
          <w:szCs w:val="28"/>
          <w:highlight w:val="none"/>
        </w:rPr>
      </w:pPr>
    </w:p>
    <w:p w14:paraId="0F9890CC">
      <w:pPr>
        <w:ind w:left="5280" w:leftChars="2200" w:firstLine="480"/>
        <w:jc w:val="left"/>
        <w:rPr>
          <w:szCs w:val="24"/>
          <w:highlight w:val="none"/>
        </w:rPr>
      </w:pPr>
      <w:r>
        <w:rPr>
          <w:rFonts w:hint="eastAsia"/>
          <w:szCs w:val="24"/>
          <w:highlight w:val="none"/>
        </w:rPr>
        <w:t>供应商电子签章：</w:t>
      </w:r>
      <w:r>
        <w:rPr>
          <w:rFonts w:hint="eastAsia"/>
          <w:szCs w:val="24"/>
          <w:highlight w:val="none"/>
          <w:u w:val="single"/>
          <w:lang w:val="en-US" w:eastAsia="zh-CN"/>
        </w:rPr>
        <w:t xml:space="preserve">        </w:t>
      </w:r>
      <w:r>
        <w:rPr>
          <w:rFonts w:hint="eastAsia"/>
          <w:szCs w:val="24"/>
          <w:highlight w:val="none"/>
        </w:rPr>
        <w:t xml:space="preserve">                     </w:t>
      </w:r>
    </w:p>
    <w:p w14:paraId="1B556866">
      <w:pPr>
        <w:ind w:left="5280" w:leftChars="2200" w:firstLine="480"/>
        <w:jc w:val="left"/>
        <w:rPr>
          <w:rFonts w:asciiTheme="minorEastAsia" w:hAnsiTheme="minorEastAsia" w:eastAsiaTheme="minorEastAsia"/>
          <w:b/>
          <w:highlight w:val="none"/>
        </w:rPr>
      </w:pPr>
      <w:r>
        <w:rPr>
          <w:rFonts w:hint="eastAsia"/>
          <w:szCs w:val="24"/>
          <w:highlight w:val="none"/>
        </w:rPr>
        <w:t>日期：</w:t>
      </w:r>
      <w:r>
        <w:rPr>
          <w:rFonts w:hint="eastAsia"/>
          <w:szCs w:val="24"/>
          <w:highlight w:val="none"/>
          <w:u w:val="single"/>
          <w:lang w:val="en-US" w:eastAsia="zh-CN"/>
        </w:rPr>
        <w:t xml:space="preserve">                </w:t>
      </w:r>
      <w:r>
        <w:rPr>
          <w:rFonts w:hint="eastAsia" w:asciiTheme="minorEastAsia" w:hAnsiTheme="minorEastAsia" w:eastAsiaTheme="minorEastAsia"/>
          <w:b/>
          <w:szCs w:val="24"/>
          <w:highlight w:val="none"/>
        </w:rPr>
        <w:t xml:space="preserve">                 </w:t>
      </w:r>
      <w:r>
        <w:rPr>
          <w:rFonts w:hint="eastAsia" w:asciiTheme="minorEastAsia" w:hAnsiTheme="minorEastAsia" w:eastAsiaTheme="minorEastAsia"/>
          <w:b/>
          <w:highlight w:val="none"/>
        </w:rPr>
        <w:t xml:space="preserve">    </w:t>
      </w:r>
    </w:p>
    <w:p w14:paraId="57FE9F14">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bookmarkEnd w:id="19"/>
    <w:p w14:paraId="55E0C82C">
      <w:pPr>
        <w:ind w:firstLine="482"/>
        <w:jc w:val="center"/>
        <w:outlineLvl w:val="2"/>
        <w:rPr>
          <w:rFonts w:asciiTheme="minorEastAsia" w:hAnsiTheme="minorEastAsia" w:eastAsiaTheme="minorEastAsia"/>
          <w:b/>
          <w:highlight w:val="none"/>
        </w:rPr>
      </w:pPr>
      <w:bookmarkStart w:id="20" w:name="_Toc121626298"/>
      <w:bookmarkStart w:id="21" w:name="_Toc520983594"/>
      <w:bookmarkStart w:id="22" w:name="_Toc516969106"/>
      <w:bookmarkStart w:id="23" w:name="_Toc204594911"/>
      <w:r>
        <w:rPr>
          <w:rFonts w:hint="eastAsia" w:asciiTheme="minorEastAsia" w:hAnsiTheme="minorEastAsia" w:eastAsiaTheme="minorEastAsia"/>
          <w:b/>
          <w:highlight w:val="none"/>
        </w:rPr>
        <w:t>五、授权书</w:t>
      </w:r>
      <w:bookmarkEnd w:id="20"/>
      <w:bookmarkEnd w:id="21"/>
      <w:bookmarkEnd w:id="22"/>
      <w:bookmarkEnd w:id="23"/>
    </w:p>
    <w:p w14:paraId="272A6787">
      <w:pPr>
        <w:ind w:firstLine="482"/>
        <w:jc w:val="center"/>
        <w:rPr>
          <w:rFonts w:asciiTheme="minorEastAsia" w:hAnsiTheme="minorEastAsia" w:eastAsiaTheme="minorEastAsia"/>
          <w:b/>
          <w:highlight w:val="none"/>
        </w:rPr>
      </w:pPr>
    </w:p>
    <w:p w14:paraId="3C41EBA8">
      <w:pPr>
        <w:pStyle w:val="7"/>
        <w:snapToGrid w:val="0"/>
        <w:ind w:firstLine="480"/>
        <w:jc w:val="left"/>
        <w:rPr>
          <w:rFonts w:hAnsi="宋体" w:eastAsia="宋体"/>
          <w:szCs w:val="28"/>
          <w:highlight w:val="none"/>
        </w:rPr>
      </w:pPr>
      <w:r>
        <w:rPr>
          <w:rFonts w:hint="eastAsia" w:hAnsi="宋体" w:eastAsia="宋体"/>
          <w:szCs w:val="28"/>
          <w:highlight w:val="none"/>
        </w:rPr>
        <w:t>本授权书声明：</w:t>
      </w:r>
      <w:r>
        <w:rPr>
          <w:rFonts w:hint="eastAsia" w:hAnsi="宋体" w:eastAsia="宋体"/>
          <w:szCs w:val="28"/>
          <w:highlight w:val="none"/>
          <w:u w:val="single"/>
        </w:rPr>
        <w:t xml:space="preserve">           </w:t>
      </w:r>
      <w:r>
        <w:rPr>
          <w:rFonts w:hint="eastAsia" w:hAnsi="宋体" w:eastAsia="宋体"/>
          <w:szCs w:val="28"/>
          <w:highlight w:val="none"/>
        </w:rPr>
        <w:t>（供应商名称）授权</w:t>
      </w:r>
      <w:r>
        <w:rPr>
          <w:rFonts w:hint="eastAsia" w:hAnsi="宋体" w:eastAsia="宋体"/>
          <w:szCs w:val="28"/>
          <w:highlight w:val="none"/>
          <w:u w:val="single"/>
        </w:rPr>
        <w:t xml:space="preserve">       </w:t>
      </w:r>
      <w:r>
        <w:rPr>
          <w:rFonts w:hint="eastAsia" w:hAnsi="宋体" w:eastAsia="宋体"/>
          <w:szCs w:val="28"/>
          <w:highlight w:val="none"/>
        </w:rPr>
        <w:t>（供应商授权代表姓名）代表我方参加本项目</w:t>
      </w:r>
      <w:r>
        <w:rPr>
          <w:rFonts w:hint="eastAsia" w:hAnsi="宋体" w:eastAsia="宋体"/>
          <w:bCs/>
          <w:szCs w:val="28"/>
          <w:highlight w:val="none"/>
        </w:rPr>
        <w:t>磋商活动</w:t>
      </w:r>
      <w:r>
        <w:rPr>
          <w:rFonts w:hint="eastAsia" w:hAnsi="宋体" w:eastAsia="宋体"/>
          <w:szCs w:val="28"/>
          <w:highlight w:val="none"/>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16B303A4">
      <w:pPr>
        <w:pStyle w:val="7"/>
        <w:snapToGrid w:val="0"/>
        <w:ind w:firstLine="480"/>
        <w:jc w:val="left"/>
        <w:rPr>
          <w:rFonts w:hAnsi="宋体" w:eastAsia="宋体"/>
          <w:szCs w:val="28"/>
          <w:highlight w:val="none"/>
        </w:rPr>
      </w:pPr>
      <w:r>
        <w:rPr>
          <w:rFonts w:hint="eastAsia" w:hAnsi="宋体" w:eastAsia="宋体"/>
          <w:szCs w:val="28"/>
          <w:highlight w:val="none"/>
        </w:rPr>
        <w:t>本授权书自出具之日起生效。</w:t>
      </w:r>
    </w:p>
    <w:p w14:paraId="7612D91C">
      <w:pPr>
        <w:pStyle w:val="7"/>
        <w:snapToGrid w:val="0"/>
        <w:ind w:firstLine="480"/>
        <w:jc w:val="left"/>
        <w:rPr>
          <w:rFonts w:hAnsi="宋体" w:eastAsia="宋体"/>
          <w:highlight w:val="none"/>
        </w:rPr>
      </w:pPr>
    </w:p>
    <w:p w14:paraId="4874C6E1">
      <w:pPr>
        <w:pStyle w:val="7"/>
        <w:snapToGrid w:val="0"/>
        <w:ind w:firstLine="480"/>
        <w:jc w:val="left"/>
        <w:rPr>
          <w:rFonts w:hAnsi="宋体" w:eastAsia="宋体"/>
          <w:highlight w:val="none"/>
        </w:rPr>
      </w:pPr>
    </w:p>
    <w:p w14:paraId="5CA79EB9">
      <w:pPr>
        <w:pStyle w:val="7"/>
        <w:snapToGrid w:val="0"/>
        <w:ind w:firstLine="480"/>
        <w:jc w:val="left"/>
        <w:rPr>
          <w:rFonts w:hAnsi="宋体" w:eastAsia="宋体"/>
          <w:highlight w:val="none"/>
        </w:rPr>
      </w:pPr>
    </w:p>
    <w:p w14:paraId="540AE922">
      <w:pPr>
        <w:pStyle w:val="7"/>
        <w:snapToGrid w:val="0"/>
        <w:ind w:firstLine="480"/>
        <w:jc w:val="left"/>
        <w:rPr>
          <w:rFonts w:hAnsi="宋体" w:eastAsia="宋体"/>
          <w:szCs w:val="28"/>
          <w:highlight w:val="none"/>
          <w:u w:val="single"/>
        </w:rPr>
      </w:pPr>
      <w:r>
        <w:rPr>
          <w:rFonts w:hint="eastAsia" w:hAnsi="宋体" w:eastAsia="宋体"/>
          <w:szCs w:val="28"/>
          <w:highlight w:val="none"/>
        </w:rPr>
        <w:t>授权代表联系方式：</w:t>
      </w:r>
      <w:r>
        <w:rPr>
          <w:rFonts w:hint="eastAsia" w:hAnsi="宋体" w:eastAsia="宋体"/>
          <w:szCs w:val="28"/>
          <w:highlight w:val="none"/>
          <w:u w:val="single"/>
        </w:rPr>
        <w:t xml:space="preserve">          （请填写手机号码）</w:t>
      </w:r>
    </w:p>
    <w:p w14:paraId="3B340885">
      <w:pPr>
        <w:pStyle w:val="7"/>
        <w:snapToGrid w:val="0"/>
        <w:ind w:firstLine="480"/>
        <w:jc w:val="left"/>
        <w:rPr>
          <w:rFonts w:hAnsi="宋体" w:eastAsia="宋体"/>
          <w:szCs w:val="28"/>
          <w:highlight w:val="none"/>
        </w:rPr>
      </w:pPr>
    </w:p>
    <w:p w14:paraId="4087948B">
      <w:pPr>
        <w:ind w:firstLine="360" w:firstLineChars="150"/>
        <w:rPr>
          <w:szCs w:val="28"/>
          <w:highlight w:val="none"/>
        </w:rPr>
      </w:pPr>
      <w:r>
        <w:rPr>
          <w:rFonts w:hint="eastAsia"/>
          <w:szCs w:val="28"/>
          <w:highlight w:val="none"/>
        </w:rPr>
        <w:t>特此声明。</w:t>
      </w:r>
    </w:p>
    <w:p w14:paraId="442CD1DD">
      <w:pPr>
        <w:ind w:firstLine="480"/>
        <w:rPr>
          <w:szCs w:val="28"/>
          <w:highlight w:val="none"/>
        </w:rPr>
      </w:pPr>
    </w:p>
    <w:p w14:paraId="53E6A931">
      <w:pPr>
        <w:ind w:firstLine="480"/>
        <w:rPr>
          <w:bCs/>
          <w:szCs w:val="28"/>
          <w:highlight w:val="none"/>
        </w:rPr>
      </w:pPr>
      <w:r>
        <w:rPr>
          <w:rFonts w:hint="eastAsia" w:cs="@仿宋_GB2312"/>
          <w:kern w:val="2"/>
          <w:szCs w:val="24"/>
          <w:highlight w:val="none"/>
        </w:rPr>
        <w:t>供应商电子签章或公章</w:t>
      </w:r>
      <w:r>
        <w:rPr>
          <w:rFonts w:hint="eastAsia"/>
          <w:bCs/>
          <w:szCs w:val="28"/>
          <w:highlight w:val="none"/>
        </w:rPr>
        <w:t>：</w:t>
      </w:r>
      <w:r>
        <w:rPr>
          <w:rFonts w:hint="eastAsia"/>
          <w:bCs/>
          <w:szCs w:val="28"/>
          <w:highlight w:val="none"/>
          <w:u w:val="single"/>
        </w:rPr>
        <w:t xml:space="preserve">                    </w:t>
      </w:r>
    </w:p>
    <w:p w14:paraId="3D0792F2">
      <w:pPr>
        <w:ind w:firstLine="480"/>
        <w:rPr>
          <w:szCs w:val="28"/>
          <w:highlight w:val="none"/>
        </w:rPr>
      </w:pPr>
      <w:r>
        <w:rPr>
          <w:rFonts w:hint="eastAsia"/>
          <w:szCs w:val="28"/>
          <w:highlight w:val="none"/>
        </w:rPr>
        <w:t>日      期：</w:t>
      </w:r>
      <w:r>
        <w:rPr>
          <w:rFonts w:hint="eastAsia"/>
          <w:szCs w:val="28"/>
          <w:highlight w:val="none"/>
          <w:u w:val="single"/>
        </w:rPr>
        <w:t xml:space="preserve">                    </w:t>
      </w:r>
    </w:p>
    <w:p w14:paraId="0ADB79C9">
      <w:pPr>
        <w:ind w:firstLine="480"/>
        <w:rPr>
          <w:szCs w:val="28"/>
          <w:highlight w:val="none"/>
        </w:rPr>
      </w:pPr>
    </w:p>
    <w:p w14:paraId="03814665">
      <w:pPr>
        <w:ind w:firstLine="480"/>
        <w:rPr>
          <w:szCs w:val="28"/>
          <w:highlight w:val="none"/>
        </w:rPr>
      </w:pPr>
    </w:p>
    <w:p w14:paraId="75AE7632">
      <w:pPr>
        <w:pStyle w:val="7"/>
        <w:snapToGrid w:val="0"/>
        <w:ind w:firstLine="480"/>
        <w:jc w:val="left"/>
        <w:rPr>
          <w:rFonts w:hAnsi="宋体" w:eastAsia="宋体"/>
          <w:szCs w:val="28"/>
          <w:highlight w:val="none"/>
        </w:rPr>
      </w:pPr>
      <w:r>
        <w:rPr>
          <w:rFonts w:hint="eastAsia" w:hAnsi="宋体" w:eastAsia="宋体"/>
          <w:szCs w:val="28"/>
          <w:highlight w:val="none"/>
        </w:rPr>
        <w:t>注：</w:t>
      </w:r>
    </w:p>
    <w:p w14:paraId="006DCD2D">
      <w:pPr>
        <w:pStyle w:val="7"/>
        <w:snapToGrid w:val="0"/>
        <w:ind w:firstLine="480"/>
        <w:jc w:val="left"/>
        <w:rPr>
          <w:rFonts w:hAnsi="宋体" w:eastAsia="宋体"/>
          <w:szCs w:val="28"/>
          <w:highlight w:val="none"/>
        </w:rPr>
      </w:pPr>
      <w:r>
        <w:rPr>
          <w:rFonts w:hint="eastAsia" w:hAnsi="宋体" w:eastAsia="宋体"/>
          <w:szCs w:val="28"/>
          <w:highlight w:val="none"/>
        </w:rPr>
        <w:t>1.本项目只允许有唯一的供应商授权代表；</w:t>
      </w:r>
    </w:p>
    <w:p w14:paraId="2DDEEF5A">
      <w:pPr>
        <w:ind w:firstLine="480"/>
        <w:jc w:val="left"/>
        <w:rPr>
          <w:highlight w:val="none"/>
        </w:rPr>
      </w:pPr>
      <w:r>
        <w:rPr>
          <w:rFonts w:hint="eastAsia"/>
          <w:highlight w:val="none"/>
        </w:rPr>
        <w:t>2.法定代表人参加磋商的无需提供授权书，仅提供法定代表人身份证明书。</w:t>
      </w:r>
    </w:p>
    <w:p w14:paraId="6CA727C9">
      <w:pPr>
        <w:widowControl/>
        <w:ind w:firstLine="480"/>
        <w:jc w:val="left"/>
        <w:rPr>
          <w:highlight w:val="none"/>
        </w:rPr>
      </w:pPr>
      <w:r>
        <w:rPr>
          <w:highlight w:val="none"/>
        </w:rPr>
        <w:br w:type="page"/>
      </w:r>
    </w:p>
    <w:p w14:paraId="11846561">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六、法定代表人身份证明书</w:t>
      </w:r>
    </w:p>
    <w:p w14:paraId="1F5C027E">
      <w:pPr>
        <w:autoSpaceDE w:val="0"/>
        <w:autoSpaceDN w:val="0"/>
        <w:adjustRightInd w:val="0"/>
        <w:ind w:firstLine="413"/>
        <w:jc w:val="center"/>
        <w:rPr>
          <w:rFonts w:ascii="@仿宋_GB2312" w:eastAsia="@仿宋_GB2312" w:cs="宋体"/>
          <w:b/>
          <w:kern w:val="2"/>
          <w:sz w:val="21"/>
          <w:szCs w:val="24"/>
          <w:highlight w:val="none"/>
          <w:lang w:val="zh-CN"/>
        </w:rPr>
      </w:pPr>
    </w:p>
    <w:p w14:paraId="0B192A9D">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单位名称：</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694AB2F8">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单位性质：</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482B366">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地    址：</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4397C1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成立时间：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月</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日</w:t>
      </w:r>
    </w:p>
    <w:p w14:paraId="242FC977">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经营期限：</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3F8BAA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姓    名：</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性 </w:t>
      </w:r>
      <w:r>
        <w:rPr>
          <w:rFonts w:ascii="Calibri" w:hAnsi="Calibri" w:cs="Times New Roman"/>
          <w:kern w:val="2"/>
          <w:szCs w:val="28"/>
          <w:highlight w:val="none"/>
        </w:rPr>
        <w:t xml:space="preserve">  </w:t>
      </w:r>
      <w:r>
        <w:rPr>
          <w:rFonts w:hint="eastAsia" w:ascii="Calibri" w:hAnsi="Calibri" w:cs="Times New Roman"/>
          <w:kern w:val="2"/>
          <w:szCs w:val="28"/>
          <w:highlight w:val="none"/>
        </w:rPr>
        <w:t xml:space="preserve"> 别：</w:t>
      </w:r>
      <w:r>
        <w:rPr>
          <w:rFonts w:hint="eastAsia" w:ascii="Calibri" w:hAnsi="Calibri" w:cs="Times New Roman"/>
          <w:kern w:val="2"/>
          <w:szCs w:val="28"/>
          <w:highlight w:val="none"/>
          <w:u w:val="single"/>
        </w:rPr>
        <w:t xml:space="preserve">             </w:t>
      </w:r>
    </w:p>
    <w:p w14:paraId="65F74D5E">
      <w:pPr>
        <w:snapToGrid w:val="0"/>
        <w:ind w:firstLine="480"/>
        <w:jc w:val="left"/>
        <w:rPr>
          <w:rFonts w:ascii="Calibri" w:hAnsi="Calibri" w:cs="Times New Roman"/>
          <w:kern w:val="2"/>
          <w:szCs w:val="28"/>
          <w:highlight w:val="none"/>
          <w:u w:val="single"/>
        </w:rPr>
      </w:pPr>
      <w:r>
        <w:rPr>
          <w:rFonts w:hint="eastAsia" w:ascii="Calibri" w:hAnsi="Calibri" w:cs="Times New Roman"/>
          <w:kern w:val="2"/>
          <w:szCs w:val="28"/>
          <w:highlight w:val="none"/>
        </w:rPr>
        <w:t>年    龄：</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职    务：</w:t>
      </w:r>
      <w:r>
        <w:rPr>
          <w:rFonts w:hint="eastAsia" w:ascii="Calibri" w:hAnsi="Calibri" w:cs="Times New Roman"/>
          <w:kern w:val="2"/>
          <w:szCs w:val="28"/>
          <w:highlight w:val="none"/>
          <w:u w:val="single"/>
        </w:rPr>
        <w:t xml:space="preserve">             </w:t>
      </w:r>
    </w:p>
    <w:p w14:paraId="6A0E5522">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联系</w:t>
      </w:r>
      <w:r>
        <w:rPr>
          <w:rFonts w:ascii="Calibri" w:hAnsi="Calibri" w:cs="Times New Roman"/>
          <w:kern w:val="2"/>
          <w:szCs w:val="28"/>
          <w:highlight w:val="none"/>
        </w:rPr>
        <w:t>电话</w:t>
      </w:r>
      <w:r>
        <w:rPr>
          <w:rFonts w:hint="eastAsia" w:ascii="Calibri" w:hAnsi="Calibri" w:cs="Times New Roman"/>
          <w:kern w:val="2"/>
          <w:szCs w:val="28"/>
          <w:highlight w:val="none"/>
        </w:rPr>
        <w:t>：</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手机号码：</w:t>
      </w:r>
      <w:r>
        <w:rPr>
          <w:rFonts w:hint="eastAsia" w:ascii="Calibri" w:hAnsi="Calibri" w:cs="Times New Roman"/>
          <w:kern w:val="2"/>
          <w:szCs w:val="28"/>
          <w:highlight w:val="none"/>
          <w:u w:val="single"/>
        </w:rPr>
        <w:t xml:space="preserve">             </w:t>
      </w:r>
    </w:p>
    <w:p w14:paraId="75989FAE">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系  </w:t>
      </w:r>
      <w:r>
        <w:rPr>
          <w:rFonts w:hint="eastAsia" w:ascii="Calibri" w:hAnsi="Calibri" w:cs="Times New Roman"/>
          <w:kern w:val="2"/>
          <w:szCs w:val="28"/>
          <w:highlight w:val="none"/>
          <w:u w:val="single"/>
        </w:rPr>
        <w:t xml:space="preserve">   （供应商单位名称）       </w:t>
      </w:r>
      <w:r>
        <w:rPr>
          <w:rFonts w:hint="eastAsia" w:ascii="Calibri" w:hAnsi="Calibri" w:cs="Times New Roman"/>
          <w:kern w:val="2"/>
          <w:szCs w:val="28"/>
          <w:highlight w:val="none"/>
        </w:rPr>
        <w:t>的法定代表人。</w:t>
      </w:r>
    </w:p>
    <w:p w14:paraId="47ACAC43">
      <w:pPr>
        <w:spacing w:before="62" w:beforeLines="20" w:after="62" w:afterLines="20" w:line="540" w:lineRule="exact"/>
        <w:ind w:firstLine="480"/>
        <w:rPr>
          <w:rFonts w:ascii="@仿宋_GB2312" w:hAnsi="Calibri" w:eastAsia="@仿宋_GB2312" w:cs="宋体"/>
          <w:kern w:val="2"/>
          <w:szCs w:val="24"/>
          <w:highlight w:val="none"/>
        </w:rPr>
      </w:pPr>
    </w:p>
    <w:p w14:paraId="723BFCAE">
      <w:pPr>
        <w:spacing w:before="62" w:beforeLines="20" w:after="62" w:afterLines="20" w:line="540" w:lineRule="exact"/>
        <w:ind w:left="480" w:leftChars="200" w:firstLine="240" w:firstLineChars="100"/>
        <w:rPr>
          <w:rFonts w:ascii="Calibri" w:hAnsi="Calibri" w:cs="宋体"/>
          <w:kern w:val="2"/>
          <w:szCs w:val="24"/>
          <w:highlight w:val="none"/>
        </w:rPr>
      </w:pPr>
      <w:r>
        <w:rPr>
          <w:rFonts w:hint="eastAsia" w:ascii="Calibri" w:hAnsi="Calibri" w:cs="宋体"/>
          <w:kern w:val="2"/>
          <w:szCs w:val="24"/>
          <w:highlight w:val="none"/>
        </w:rPr>
        <w:t>特此证明。</w:t>
      </w:r>
    </w:p>
    <w:p w14:paraId="398755A3">
      <w:pPr>
        <w:tabs>
          <w:tab w:val="left" w:pos="720"/>
          <w:tab w:val="left" w:pos="900"/>
        </w:tabs>
        <w:spacing w:before="62" w:beforeLines="20" w:after="62" w:afterLines="20" w:line="540" w:lineRule="exact"/>
        <w:ind w:firstLine="480"/>
        <w:rPr>
          <w:rFonts w:ascii="Calibri" w:hAnsi="Calibri" w:cs="宋体"/>
          <w:kern w:val="2"/>
          <w:szCs w:val="24"/>
          <w:highlight w:val="none"/>
        </w:rPr>
      </w:pPr>
      <w:r>
        <w:rPr>
          <w:rFonts w:hint="eastAsia" w:ascii="Calibri" w:hAnsi="Calibri" w:cs="宋体"/>
          <w:kern w:val="2"/>
          <w:szCs w:val="24"/>
          <w:highlight w:val="none"/>
        </w:rPr>
        <w:t>附：法定代表人身份证扫描件</w:t>
      </w:r>
    </w:p>
    <w:p w14:paraId="0DBE04E5">
      <w:pPr>
        <w:tabs>
          <w:tab w:val="left" w:pos="720"/>
          <w:tab w:val="left" w:pos="900"/>
        </w:tabs>
        <w:spacing w:before="62" w:beforeLines="20" w:after="62" w:afterLines="20" w:line="540" w:lineRule="exact"/>
        <w:ind w:firstLine="480"/>
        <w:rPr>
          <w:rFonts w:ascii="@仿宋_GB2312" w:hAnsi="Calibri" w:eastAsia="@仿宋_GB2312" w:cs="宋体"/>
          <w:kern w:val="2"/>
          <w:szCs w:val="24"/>
          <w:highlight w:val="none"/>
        </w:rPr>
      </w:pPr>
    </w:p>
    <w:p w14:paraId="53C1A6C1">
      <w:pPr>
        <w:tabs>
          <w:tab w:val="left" w:pos="720"/>
          <w:tab w:val="left" w:pos="900"/>
        </w:tabs>
        <w:spacing w:before="62" w:beforeLines="20" w:after="62" w:afterLines="20" w:line="540" w:lineRule="exact"/>
        <w:ind w:firstLine="4560" w:firstLineChars="1900"/>
        <w:rPr>
          <w:rFonts w:ascii="@仿宋_GB2312" w:hAnsi="Calibri" w:eastAsia="@仿宋_GB2312" w:cs="宋体"/>
          <w:kern w:val="2"/>
          <w:szCs w:val="24"/>
          <w:highlight w:val="none"/>
        </w:rPr>
      </w:pPr>
    </w:p>
    <w:p w14:paraId="2919D434">
      <w:pPr>
        <w:ind w:firstLine="3840" w:firstLineChars="1600"/>
        <w:rPr>
          <w:rFonts w:cs="宋体"/>
          <w:kern w:val="2"/>
          <w:szCs w:val="24"/>
          <w:highlight w:val="none"/>
        </w:rPr>
      </w:pPr>
      <w:r>
        <w:rPr>
          <w:rFonts w:hint="eastAsia" w:cs="@仿宋_GB2312"/>
          <w:kern w:val="2"/>
          <w:szCs w:val="24"/>
          <w:highlight w:val="none"/>
        </w:rPr>
        <w:t>供应商电子签章或公章</w:t>
      </w:r>
      <w:r>
        <w:rPr>
          <w:rFonts w:hint="eastAsia" w:cs="宋体"/>
          <w:kern w:val="2"/>
          <w:szCs w:val="24"/>
          <w:highlight w:val="none"/>
        </w:rPr>
        <w:t>：</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4F82048E">
      <w:pPr>
        <w:ind w:firstLine="3840" w:firstLineChars="1600"/>
        <w:rPr>
          <w:rFonts w:cs="宋体"/>
          <w:kern w:val="2"/>
          <w:szCs w:val="24"/>
          <w:highlight w:val="none"/>
        </w:rPr>
      </w:pPr>
      <w:r>
        <w:rPr>
          <w:rFonts w:hint="eastAsia" w:cs="宋体"/>
          <w:kern w:val="2"/>
          <w:szCs w:val="24"/>
          <w:highlight w:val="none"/>
        </w:rPr>
        <w:t>日</w:t>
      </w:r>
      <w:r>
        <w:rPr>
          <w:rFonts w:cs="宋体"/>
          <w:kern w:val="2"/>
          <w:szCs w:val="24"/>
          <w:highlight w:val="none"/>
        </w:rPr>
        <w:t xml:space="preserve">   </w:t>
      </w:r>
      <w:r>
        <w:rPr>
          <w:rFonts w:hint="eastAsia" w:cs="宋体"/>
          <w:kern w:val="2"/>
          <w:szCs w:val="24"/>
          <w:highlight w:val="none"/>
        </w:rPr>
        <w:t xml:space="preserve">    </w:t>
      </w:r>
      <w:r>
        <w:rPr>
          <w:rFonts w:cs="宋体"/>
          <w:kern w:val="2"/>
          <w:szCs w:val="24"/>
          <w:highlight w:val="none"/>
        </w:rPr>
        <w:t xml:space="preserve">   </w:t>
      </w:r>
      <w:r>
        <w:rPr>
          <w:rFonts w:hint="eastAsia" w:cs="宋体"/>
          <w:kern w:val="2"/>
          <w:szCs w:val="24"/>
          <w:highlight w:val="none"/>
        </w:rPr>
        <w:t>期：</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3A88BFC9">
      <w:pPr>
        <w:widowControl/>
        <w:ind w:firstLine="480"/>
        <w:jc w:val="left"/>
        <w:rPr>
          <w:rFonts w:cs="@仿宋_GB2312" w:asciiTheme="minorEastAsia" w:hAnsiTheme="minorEastAsia" w:eastAsiaTheme="minorEastAsia"/>
          <w:b/>
          <w:bCs/>
          <w:kern w:val="2"/>
          <w:szCs w:val="24"/>
          <w:highlight w:val="none"/>
        </w:rPr>
      </w:pPr>
      <w:r>
        <w:rPr>
          <w:rFonts w:cs="@仿宋_GB2312" w:asciiTheme="minorEastAsia" w:hAnsiTheme="minorEastAsia" w:eastAsiaTheme="minorEastAsia"/>
          <w:kern w:val="2"/>
          <w:szCs w:val="24"/>
          <w:highlight w:val="none"/>
        </w:rPr>
        <w:br w:type="page"/>
      </w:r>
    </w:p>
    <w:p w14:paraId="2288B7B2">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七、业绩及证明材料</w:t>
      </w:r>
    </w:p>
    <w:p w14:paraId="2D1551F9">
      <w:pPr>
        <w:keepNext/>
        <w:keepLines/>
        <w:numPr>
          <w:ilvl w:val="0"/>
          <w:numId w:val="4"/>
        </w:numPr>
        <w:ind w:firstLine="480"/>
        <w:jc w:val="center"/>
        <w:rPr>
          <w:szCs w:val="24"/>
          <w:highlight w:val="none"/>
        </w:rPr>
      </w:pPr>
      <w:r>
        <w:rPr>
          <w:rFonts w:hint="eastAsia"/>
          <w:szCs w:val="24"/>
          <w:highlight w:val="none"/>
        </w:rPr>
        <w:t>业绩表</w:t>
      </w:r>
    </w:p>
    <w:p w14:paraId="3D349FB2">
      <w:pPr>
        <w:keepNext/>
        <w:keepLines/>
        <w:ind w:firstLine="480"/>
        <w:jc w:val="center"/>
        <w:rPr>
          <w:szCs w:val="24"/>
          <w:highlight w:val="none"/>
        </w:rPr>
      </w:pPr>
      <w:r>
        <w:rPr>
          <w:rFonts w:hint="eastAsia"/>
          <w:szCs w:val="24"/>
          <w:highlight w:val="none"/>
        </w:rPr>
        <w:t>（格式仅供参考）</w:t>
      </w:r>
    </w:p>
    <w:p w14:paraId="61FC1765">
      <w:pPr>
        <w:ind w:firstLine="420"/>
        <w:rPr>
          <w:rFonts w:eastAsia="@仿宋_GB2312" w:cs="@仿宋_GB2312"/>
          <w:kern w:val="2"/>
          <w:sz w:val="21"/>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260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0FA35990">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序号</w:t>
            </w:r>
          </w:p>
        </w:tc>
        <w:tc>
          <w:tcPr>
            <w:tcW w:w="971" w:type="pct"/>
            <w:vAlign w:val="center"/>
          </w:tcPr>
          <w:p w14:paraId="0B7A728C">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p>
        </w:tc>
        <w:tc>
          <w:tcPr>
            <w:tcW w:w="874" w:type="pct"/>
            <w:vAlign w:val="center"/>
          </w:tcPr>
          <w:p w14:paraId="5F399128">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项目内容</w:t>
            </w:r>
          </w:p>
        </w:tc>
        <w:tc>
          <w:tcPr>
            <w:tcW w:w="918" w:type="pct"/>
            <w:vAlign w:val="center"/>
          </w:tcPr>
          <w:p w14:paraId="633C8848">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合同总金额</w:t>
            </w:r>
          </w:p>
        </w:tc>
        <w:tc>
          <w:tcPr>
            <w:tcW w:w="1043" w:type="pct"/>
            <w:vAlign w:val="center"/>
          </w:tcPr>
          <w:p w14:paraId="36AB300E">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业绩合同甲方及联系电话</w:t>
            </w:r>
          </w:p>
        </w:tc>
        <w:tc>
          <w:tcPr>
            <w:tcW w:w="636" w:type="pct"/>
            <w:vAlign w:val="center"/>
          </w:tcPr>
          <w:p w14:paraId="2BBECDB7">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w:t>
            </w:r>
          </w:p>
        </w:tc>
      </w:tr>
      <w:tr w14:paraId="13C7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420AAF38">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供应商初审业绩（资格门槛业绩，如有）</w:t>
            </w:r>
          </w:p>
        </w:tc>
      </w:tr>
      <w:tr w14:paraId="442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F94247D">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18F8F272">
            <w:pPr>
              <w:ind w:firstLine="0" w:firstLineChars="0"/>
              <w:rPr>
                <w:rFonts w:cs="宋体" w:asciiTheme="minorEastAsia" w:hAnsiTheme="minorEastAsia" w:eastAsiaTheme="minorEastAsia"/>
                <w:bCs/>
                <w:kern w:val="2"/>
                <w:szCs w:val="24"/>
                <w:highlight w:val="none"/>
              </w:rPr>
            </w:pPr>
          </w:p>
        </w:tc>
        <w:tc>
          <w:tcPr>
            <w:tcW w:w="874" w:type="pct"/>
            <w:vAlign w:val="center"/>
          </w:tcPr>
          <w:p w14:paraId="4B2BC4D0">
            <w:pPr>
              <w:ind w:firstLine="0" w:firstLineChars="0"/>
              <w:rPr>
                <w:rFonts w:cs="宋体" w:asciiTheme="minorEastAsia" w:hAnsiTheme="minorEastAsia" w:eastAsiaTheme="minorEastAsia"/>
                <w:bCs/>
                <w:kern w:val="2"/>
                <w:szCs w:val="24"/>
                <w:highlight w:val="none"/>
              </w:rPr>
            </w:pPr>
          </w:p>
        </w:tc>
        <w:tc>
          <w:tcPr>
            <w:tcW w:w="918" w:type="pct"/>
            <w:vAlign w:val="center"/>
          </w:tcPr>
          <w:p w14:paraId="1E2B307A">
            <w:pPr>
              <w:ind w:firstLine="0" w:firstLineChars="0"/>
              <w:rPr>
                <w:rFonts w:cs="宋体" w:asciiTheme="minorEastAsia" w:hAnsiTheme="minorEastAsia" w:eastAsiaTheme="minorEastAsia"/>
                <w:bCs/>
                <w:kern w:val="2"/>
                <w:szCs w:val="24"/>
                <w:highlight w:val="none"/>
              </w:rPr>
            </w:pPr>
          </w:p>
        </w:tc>
        <w:tc>
          <w:tcPr>
            <w:tcW w:w="1043" w:type="pct"/>
            <w:vAlign w:val="center"/>
          </w:tcPr>
          <w:p w14:paraId="2E380D89">
            <w:pPr>
              <w:ind w:firstLine="0" w:firstLineChars="0"/>
              <w:rPr>
                <w:rFonts w:cs="宋体" w:asciiTheme="minorEastAsia" w:hAnsiTheme="minorEastAsia" w:eastAsiaTheme="minorEastAsia"/>
                <w:bCs/>
                <w:kern w:val="2"/>
                <w:szCs w:val="24"/>
                <w:highlight w:val="none"/>
              </w:rPr>
            </w:pPr>
          </w:p>
        </w:tc>
        <w:tc>
          <w:tcPr>
            <w:tcW w:w="636" w:type="pct"/>
            <w:vAlign w:val="center"/>
          </w:tcPr>
          <w:p w14:paraId="19990AF8">
            <w:pPr>
              <w:ind w:firstLine="0" w:firstLineChars="0"/>
              <w:rPr>
                <w:rFonts w:cs="宋体" w:asciiTheme="minorEastAsia" w:hAnsiTheme="minorEastAsia" w:eastAsiaTheme="minorEastAsia"/>
                <w:bCs/>
                <w:kern w:val="2"/>
                <w:szCs w:val="24"/>
                <w:highlight w:val="none"/>
              </w:rPr>
            </w:pPr>
          </w:p>
        </w:tc>
      </w:tr>
      <w:tr w14:paraId="68B3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793217B">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项目负责人初审业绩（资格门槛业绩，如有）</w:t>
            </w:r>
          </w:p>
        </w:tc>
      </w:tr>
      <w:tr w14:paraId="607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79A3192">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514931CD">
            <w:pPr>
              <w:ind w:firstLine="0" w:firstLineChars="0"/>
              <w:rPr>
                <w:rFonts w:cs="宋体" w:asciiTheme="minorEastAsia" w:hAnsiTheme="minorEastAsia" w:eastAsiaTheme="minorEastAsia"/>
                <w:bCs/>
                <w:kern w:val="2"/>
                <w:szCs w:val="24"/>
                <w:highlight w:val="none"/>
              </w:rPr>
            </w:pPr>
          </w:p>
        </w:tc>
        <w:tc>
          <w:tcPr>
            <w:tcW w:w="874" w:type="pct"/>
            <w:vAlign w:val="center"/>
          </w:tcPr>
          <w:p w14:paraId="5400C3FF">
            <w:pPr>
              <w:ind w:firstLine="0" w:firstLineChars="0"/>
              <w:rPr>
                <w:rFonts w:cs="宋体" w:asciiTheme="minorEastAsia" w:hAnsiTheme="minorEastAsia" w:eastAsiaTheme="minorEastAsia"/>
                <w:bCs/>
                <w:kern w:val="2"/>
                <w:szCs w:val="24"/>
                <w:highlight w:val="none"/>
              </w:rPr>
            </w:pPr>
          </w:p>
        </w:tc>
        <w:tc>
          <w:tcPr>
            <w:tcW w:w="918" w:type="pct"/>
            <w:vAlign w:val="center"/>
          </w:tcPr>
          <w:p w14:paraId="02293EBA">
            <w:pPr>
              <w:ind w:firstLine="0" w:firstLineChars="0"/>
              <w:rPr>
                <w:rFonts w:cs="宋体" w:asciiTheme="minorEastAsia" w:hAnsiTheme="minorEastAsia" w:eastAsiaTheme="minorEastAsia"/>
                <w:bCs/>
                <w:kern w:val="2"/>
                <w:szCs w:val="24"/>
                <w:highlight w:val="none"/>
              </w:rPr>
            </w:pPr>
          </w:p>
        </w:tc>
        <w:tc>
          <w:tcPr>
            <w:tcW w:w="1043" w:type="pct"/>
            <w:vAlign w:val="center"/>
          </w:tcPr>
          <w:p w14:paraId="6D70CB46">
            <w:pPr>
              <w:ind w:firstLine="0" w:firstLineChars="0"/>
              <w:rPr>
                <w:rFonts w:cs="宋体" w:asciiTheme="minorEastAsia" w:hAnsiTheme="minorEastAsia" w:eastAsiaTheme="minorEastAsia"/>
                <w:bCs/>
                <w:kern w:val="2"/>
                <w:szCs w:val="24"/>
                <w:highlight w:val="none"/>
              </w:rPr>
            </w:pPr>
          </w:p>
        </w:tc>
        <w:tc>
          <w:tcPr>
            <w:tcW w:w="636" w:type="pct"/>
            <w:vAlign w:val="center"/>
          </w:tcPr>
          <w:p w14:paraId="33CF3B76">
            <w:pPr>
              <w:ind w:firstLine="0" w:firstLineChars="0"/>
              <w:rPr>
                <w:rFonts w:cs="宋体" w:asciiTheme="minorEastAsia" w:hAnsiTheme="minorEastAsia" w:eastAsiaTheme="minorEastAsia"/>
                <w:bCs/>
                <w:kern w:val="2"/>
                <w:szCs w:val="24"/>
                <w:highlight w:val="none"/>
              </w:rPr>
            </w:pPr>
          </w:p>
        </w:tc>
      </w:tr>
      <w:tr w14:paraId="7ADC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1C273A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供应商评审业绩（打分业绩，如有）</w:t>
            </w:r>
          </w:p>
        </w:tc>
      </w:tr>
      <w:tr w14:paraId="48B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1A9A8BC">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33D153D4">
            <w:pPr>
              <w:ind w:firstLine="0" w:firstLineChars="0"/>
              <w:rPr>
                <w:rFonts w:cs="宋体" w:asciiTheme="minorEastAsia" w:hAnsiTheme="minorEastAsia" w:eastAsiaTheme="minorEastAsia"/>
                <w:bCs/>
                <w:kern w:val="2"/>
                <w:szCs w:val="24"/>
                <w:highlight w:val="none"/>
              </w:rPr>
            </w:pPr>
          </w:p>
        </w:tc>
        <w:tc>
          <w:tcPr>
            <w:tcW w:w="874" w:type="pct"/>
            <w:vAlign w:val="center"/>
          </w:tcPr>
          <w:p w14:paraId="596F8680">
            <w:pPr>
              <w:ind w:firstLine="0" w:firstLineChars="0"/>
              <w:rPr>
                <w:rFonts w:cs="宋体" w:asciiTheme="minorEastAsia" w:hAnsiTheme="minorEastAsia" w:eastAsiaTheme="minorEastAsia"/>
                <w:bCs/>
                <w:kern w:val="2"/>
                <w:szCs w:val="24"/>
                <w:highlight w:val="none"/>
              </w:rPr>
            </w:pPr>
          </w:p>
        </w:tc>
        <w:tc>
          <w:tcPr>
            <w:tcW w:w="918" w:type="pct"/>
            <w:vAlign w:val="center"/>
          </w:tcPr>
          <w:p w14:paraId="69909AE0">
            <w:pPr>
              <w:ind w:firstLine="0" w:firstLineChars="0"/>
              <w:rPr>
                <w:rFonts w:cs="宋体" w:asciiTheme="minorEastAsia" w:hAnsiTheme="minorEastAsia" w:eastAsiaTheme="minorEastAsia"/>
                <w:bCs/>
                <w:kern w:val="2"/>
                <w:szCs w:val="24"/>
                <w:highlight w:val="none"/>
              </w:rPr>
            </w:pPr>
          </w:p>
        </w:tc>
        <w:tc>
          <w:tcPr>
            <w:tcW w:w="1043" w:type="pct"/>
            <w:vAlign w:val="center"/>
          </w:tcPr>
          <w:p w14:paraId="3080CEFC">
            <w:pPr>
              <w:ind w:firstLine="0" w:firstLineChars="0"/>
              <w:rPr>
                <w:rFonts w:cs="宋体" w:asciiTheme="minorEastAsia" w:hAnsiTheme="minorEastAsia" w:eastAsiaTheme="minorEastAsia"/>
                <w:bCs/>
                <w:kern w:val="2"/>
                <w:szCs w:val="24"/>
                <w:highlight w:val="none"/>
              </w:rPr>
            </w:pPr>
          </w:p>
        </w:tc>
        <w:tc>
          <w:tcPr>
            <w:tcW w:w="636" w:type="pct"/>
            <w:vAlign w:val="center"/>
          </w:tcPr>
          <w:p w14:paraId="526C43B6">
            <w:pPr>
              <w:ind w:firstLine="0" w:firstLineChars="0"/>
              <w:rPr>
                <w:rFonts w:cs="宋体" w:asciiTheme="minorEastAsia" w:hAnsiTheme="minorEastAsia" w:eastAsiaTheme="minorEastAsia"/>
                <w:bCs/>
                <w:kern w:val="2"/>
                <w:szCs w:val="24"/>
                <w:highlight w:val="none"/>
              </w:rPr>
            </w:pPr>
          </w:p>
        </w:tc>
      </w:tr>
      <w:tr w14:paraId="0BA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530EC6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3E8E8CB7">
            <w:pPr>
              <w:ind w:firstLine="0" w:firstLineChars="0"/>
              <w:rPr>
                <w:rFonts w:cs="宋体" w:asciiTheme="minorEastAsia" w:hAnsiTheme="minorEastAsia" w:eastAsiaTheme="minorEastAsia"/>
                <w:bCs/>
                <w:kern w:val="2"/>
                <w:szCs w:val="24"/>
                <w:highlight w:val="none"/>
              </w:rPr>
            </w:pPr>
          </w:p>
        </w:tc>
        <w:tc>
          <w:tcPr>
            <w:tcW w:w="874" w:type="pct"/>
            <w:vAlign w:val="center"/>
          </w:tcPr>
          <w:p w14:paraId="09DE2740">
            <w:pPr>
              <w:ind w:firstLine="0" w:firstLineChars="0"/>
              <w:rPr>
                <w:rFonts w:cs="宋体" w:asciiTheme="minorEastAsia" w:hAnsiTheme="minorEastAsia" w:eastAsiaTheme="minorEastAsia"/>
                <w:bCs/>
                <w:kern w:val="2"/>
                <w:szCs w:val="24"/>
                <w:highlight w:val="none"/>
              </w:rPr>
            </w:pPr>
          </w:p>
        </w:tc>
        <w:tc>
          <w:tcPr>
            <w:tcW w:w="918" w:type="pct"/>
            <w:vAlign w:val="center"/>
          </w:tcPr>
          <w:p w14:paraId="612E53D0">
            <w:pPr>
              <w:ind w:firstLine="0" w:firstLineChars="0"/>
              <w:rPr>
                <w:rFonts w:cs="宋体" w:asciiTheme="minorEastAsia" w:hAnsiTheme="minorEastAsia" w:eastAsiaTheme="minorEastAsia"/>
                <w:bCs/>
                <w:kern w:val="2"/>
                <w:szCs w:val="24"/>
                <w:highlight w:val="none"/>
              </w:rPr>
            </w:pPr>
          </w:p>
        </w:tc>
        <w:tc>
          <w:tcPr>
            <w:tcW w:w="1043" w:type="pct"/>
            <w:vAlign w:val="center"/>
          </w:tcPr>
          <w:p w14:paraId="53B95FEA">
            <w:pPr>
              <w:ind w:firstLine="0" w:firstLineChars="0"/>
              <w:rPr>
                <w:rFonts w:cs="宋体" w:asciiTheme="minorEastAsia" w:hAnsiTheme="minorEastAsia" w:eastAsiaTheme="minorEastAsia"/>
                <w:bCs/>
                <w:kern w:val="2"/>
                <w:szCs w:val="24"/>
                <w:highlight w:val="none"/>
              </w:rPr>
            </w:pPr>
          </w:p>
        </w:tc>
        <w:tc>
          <w:tcPr>
            <w:tcW w:w="636" w:type="pct"/>
            <w:vAlign w:val="center"/>
          </w:tcPr>
          <w:p w14:paraId="0BB2F395">
            <w:pPr>
              <w:ind w:firstLine="0" w:firstLineChars="0"/>
              <w:rPr>
                <w:rFonts w:cs="宋体" w:asciiTheme="minorEastAsia" w:hAnsiTheme="minorEastAsia" w:eastAsiaTheme="minorEastAsia"/>
                <w:bCs/>
                <w:kern w:val="2"/>
                <w:szCs w:val="24"/>
                <w:highlight w:val="none"/>
              </w:rPr>
            </w:pPr>
          </w:p>
        </w:tc>
      </w:tr>
      <w:tr w14:paraId="5CC8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2ECD5B6">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项目负责人评审业绩（打分业绩，如有）</w:t>
            </w:r>
          </w:p>
        </w:tc>
      </w:tr>
      <w:tr w14:paraId="7556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EC606E2">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7067FCCA">
            <w:pPr>
              <w:ind w:firstLine="0" w:firstLineChars="0"/>
              <w:rPr>
                <w:rFonts w:cs="宋体" w:asciiTheme="minorEastAsia" w:hAnsiTheme="minorEastAsia" w:eastAsiaTheme="minorEastAsia"/>
                <w:b/>
                <w:kern w:val="2"/>
                <w:szCs w:val="24"/>
                <w:highlight w:val="none"/>
              </w:rPr>
            </w:pPr>
          </w:p>
        </w:tc>
        <w:tc>
          <w:tcPr>
            <w:tcW w:w="874" w:type="pct"/>
            <w:vAlign w:val="center"/>
          </w:tcPr>
          <w:p w14:paraId="10389887">
            <w:pPr>
              <w:ind w:firstLine="0" w:firstLineChars="0"/>
              <w:rPr>
                <w:rFonts w:cs="宋体" w:asciiTheme="minorEastAsia" w:hAnsiTheme="minorEastAsia" w:eastAsiaTheme="minorEastAsia"/>
                <w:b/>
                <w:kern w:val="2"/>
                <w:szCs w:val="24"/>
                <w:highlight w:val="none"/>
              </w:rPr>
            </w:pPr>
          </w:p>
        </w:tc>
        <w:tc>
          <w:tcPr>
            <w:tcW w:w="918" w:type="pct"/>
            <w:vAlign w:val="center"/>
          </w:tcPr>
          <w:p w14:paraId="7EF812B0">
            <w:pPr>
              <w:ind w:firstLine="0" w:firstLineChars="0"/>
              <w:rPr>
                <w:rFonts w:cs="宋体" w:asciiTheme="minorEastAsia" w:hAnsiTheme="minorEastAsia" w:eastAsiaTheme="minorEastAsia"/>
                <w:b/>
                <w:kern w:val="2"/>
                <w:szCs w:val="24"/>
                <w:highlight w:val="none"/>
              </w:rPr>
            </w:pPr>
          </w:p>
        </w:tc>
        <w:tc>
          <w:tcPr>
            <w:tcW w:w="1043" w:type="pct"/>
            <w:vAlign w:val="center"/>
          </w:tcPr>
          <w:p w14:paraId="6221A2FC">
            <w:pPr>
              <w:ind w:firstLine="0" w:firstLineChars="0"/>
              <w:rPr>
                <w:rFonts w:cs="宋体" w:asciiTheme="minorEastAsia" w:hAnsiTheme="minorEastAsia" w:eastAsiaTheme="minorEastAsia"/>
                <w:b/>
                <w:kern w:val="2"/>
                <w:szCs w:val="24"/>
                <w:highlight w:val="none"/>
              </w:rPr>
            </w:pPr>
          </w:p>
        </w:tc>
        <w:tc>
          <w:tcPr>
            <w:tcW w:w="636" w:type="pct"/>
            <w:vAlign w:val="center"/>
          </w:tcPr>
          <w:p w14:paraId="6FB4B3A9">
            <w:pPr>
              <w:ind w:firstLine="0" w:firstLineChars="0"/>
              <w:rPr>
                <w:rFonts w:cs="宋体" w:asciiTheme="minorEastAsia" w:hAnsiTheme="minorEastAsia" w:eastAsiaTheme="minorEastAsia"/>
                <w:b/>
                <w:kern w:val="2"/>
                <w:szCs w:val="24"/>
                <w:highlight w:val="none"/>
              </w:rPr>
            </w:pPr>
          </w:p>
        </w:tc>
      </w:tr>
      <w:tr w14:paraId="5BE8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A47585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1C99982F">
            <w:pPr>
              <w:ind w:firstLine="0" w:firstLineChars="0"/>
              <w:rPr>
                <w:rFonts w:cs="宋体" w:asciiTheme="minorEastAsia" w:hAnsiTheme="minorEastAsia" w:eastAsiaTheme="minorEastAsia"/>
                <w:b/>
                <w:kern w:val="2"/>
                <w:szCs w:val="24"/>
                <w:highlight w:val="none"/>
              </w:rPr>
            </w:pPr>
          </w:p>
        </w:tc>
        <w:tc>
          <w:tcPr>
            <w:tcW w:w="874" w:type="pct"/>
            <w:vAlign w:val="center"/>
          </w:tcPr>
          <w:p w14:paraId="7DDBBE92">
            <w:pPr>
              <w:ind w:firstLine="0" w:firstLineChars="0"/>
              <w:rPr>
                <w:rFonts w:cs="宋体" w:asciiTheme="minorEastAsia" w:hAnsiTheme="minorEastAsia" w:eastAsiaTheme="minorEastAsia"/>
                <w:b/>
                <w:kern w:val="2"/>
                <w:szCs w:val="24"/>
                <w:highlight w:val="none"/>
              </w:rPr>
            </w:pPr>
          </w:p>
        </w:tc>
        <w:tc>
          <w:tcPr>
            <w:tcW w:w="918" w:type="pct"/>
            <w:vAlign w:val="center"/>
          </w:tcPr>
          <w:p w14:paraId="081EE318">
            <w:pPr>
              <w:ind w:firstLine="0" w:firstLineChars="0"/>
              <w:rPr>
                <w:rFonts w:cs="宋体" w:asciiTheme="minorEastAsia" w:hAnsiTheme="minorEastAsia" w:eastAsiaTheme="minorEastAsia"/>
                <w:b/>
                <w:kern w:val="2"/>
                <w:szCs w:val="24"/>
                <w:highlight w:val="none"/>
              </w:rPr>
            </w:pPr>
          </w:p>
        </w:tc>
        <w:tc>
          <w:tcPr>
            <w:tcW w:w="1043" w:type="pct"/>
            <w:vAlign w:val="center"/>
          </w:tcPr>
          <w:p w14:paraId="0A58BB1C">
            <w:pPr>
              <w:ind w:firstLine="0" w:firstLineChars="0"/>
              <w:rPr>
                <w:rFonts w:cs="宋体" w:asciiTheme="minorEastAsia" w:hAnsiTheme="minorEastAsia" w:eastAsiaTheme="minorEastAsia"/>
                <w:b/>
                <w:kern w:val="2"/>
                <w:szCs w:val="24"/>
                <w:highlight w:val="none"/>
              </w:rPr>
            </w:pPr>
          </w:p>
        </w:tc>
        <w:tc>
          <w:tcPr>
            <w:tcW w:w="636" w:type="pct"/>
            <w:vAlign w:val="center"/>
          </w:tcPr>
          <w:p w14:paraId="3E084475">
            <w:pPr>
              <w:ind w:firstLine="0" w:firstLineChars="0"/>
              <w:rPr>
                <w:rFonts w:cs="宋体" w:asciiTheme="minorEastAsia" w:hAnsiTheme="minorEastAsia" w:eastAsiaTheme="minorEastAsia"/>
                <w:b/>
                <w:kern w:val="2"/>
                <w:szCs w:val="24"/>
                <w:highlight w:val="none"/>
              </w:rPr>
            </w:pPr>
          </w:p>
        </w:tc>
      </w:tr>
      <w:tr w14:paraId="69D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6BE4AC0">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w:t>
            </w:r>
          </w:p>
        </w:tc>
        <w:tc>
          <w:tcPr>
            <w:tcW w:w="971" w:type="pct"/>
            <w:vAlign w:val="center"/>
          </w:tcPr>
          <w:p w14:paraId="39936C16">
            <w:pPr>
              <w:ind w:firstLine="0" w:firstLineChars="0"/>
              <w:rPr>
                <w:rFonts w:cs="宋体" w:asciiTheme="minorEastAsia" w:hAnsiTheme="minorEastAsia" w:eastAsiaTheme="minorEastAsia"/>
                <w:b/>
                <w:kern w:val="2"/>
                <w:szCs w:val="24"/>
                <w:highlight w:val="none"/>
              </w:rPr>
            </w:pPr>
          </w:p>
        </w:tc>
        <w:tc>
          <w:tcPr>
            <w:tcW w:w="874" w:type="pct"/>
            <w:vAlign w:val="center"/>
          </w:tcPr>
          <w:p w14:paraId="006286CA">
            <w:pPr>
              <w:ind w:firstLine="0" w:firstLineChars="0"/>
              <w:rPr>
                <w:rFonts w:cs="宋体" w:asciiTheme="minorEastAsia" w:hAnsiTheme="minorEastAsia" w:eastAsiaTheme="minorEastAsia"/>
                <w:b/>
                <w:kern w:val="2"/>
                <w:szCs w:val="24"/>
                <w:highlight w:val="none"/>
              </w:rPr>
            </w:pPr>
          </w:p>
        </w:tc>
        <w:tc>
          <w:tcPr>
            <w:tcW w:w="918" w:type="pct"/>
            <w:vAlign w:val="center"/>
          </w:tcPr>
          <w:p w14:paraId="4EE7A6FD">
            <w:pPr>
              <w:ind w:firstLine="0" w:firstLineChars="0"/>
              <w:rPr>
                <w:rFonts w:cs="宋体" w:asciiTheme="minorEastAsia" w:hAnsiTheme="minorEastAsia" w:eastAsiaTheme="minorEastAsia"/>
                <w:b/>
                <w:kern w:val="2"/>
                <w:szCs w:val="24"/>
                <w:highlight w:val="none"/>
              </w:rPr>
            </w:pPr>
          </w:p>
        </w:tc>
        <w:tc>
          <w:tcPr>
            <w:tcW w:w="1043" w:type="pct"/>
            <w:vAlign w:val="center"/>
          </w:tcPr>
          <w:p w14:paraId="2CA3E5B8">
            <w:pPr>
              <w:ind w:firstLine="0" w:firstLineChars="0"/>
              <w:rPr>
                <w:rFonts w:cs="宋体" w:asciiTheme="minorEastAsia" w:hAnsiTheme="minorEastAsia" w:eastAsiaTheme="minorEastAsia"/>
                <w:b/>
                <w:kern w:val="2"/>
                <w:szCs w:val="24"/>
                <w:highlight w:val="none"/>
              </w:rPr>
            </w:pPr>
          </w:p>
        </w:tc>
        <w:tc>
          <w:tcPr>
            <w:tcW w:w="636" w:type="pct"/>
            <w:vAlign w:val="center"/>
          </w:tcPr>
          <w:p w14:paraId="7C05BC29">
            <w:pPr>
              <w:ind w:firstLine="0" w:firstLineChars="0"/>
              <w:rPr>
                <w:rFonts w:cs="宋体" w:asciiTheme="minorEastAsia" w:hAnsiTheme="minorEastAsia" w:eastAsiaTheme="minorEastAsia"/>
                <w:b/>
                <w:kern w:val="2"/>
                <w:szCs w:val="24"/>
                <w:highlight w:val="none"/>
              </w:rPr>
            </w:pPr>
          </w:p>
        </w:tc>
      </w:tr>
    </w:tbl>
    <w:p w14:paraId="7D885636">
      <w:pPr>
        <w:widowControl/>
        <w:ind w:firstLine="482"/>
        <w:jc w:val="left"/>
        <w:rPr>
          <w:rFonts w:asciiTheme="minorEastAsia" w:hAnsiTheme="minorEastAsia" w:eastAsiaTheme="minorEastAsia"/>
          <w:b/>
          <w:highlight w:val="none"/>
        </w:rPr>
      </w:pPr>
    </w:p>
    <w:p w14:paraId="428C28B1">
      <w:pPr>
        <w:keepNext/>
        <w:keepLines/>
        <w:ind w:firstLine="480"/>
        <w:rPr>
          <w:szCs w:val="24"/>
          <w:highlight w:val="none"/>
        </w:rPr>
      </w:pPr>
    </w:p>
    <w:p w14:paraId="46189849">
      <w:pPr>
        <w:keepNext/>
        <w:keepLines/>
        <w:numPr>
          <w:ilvl w:val="0"/>
          <w:numId w:val="4"/>
        </w:numPr>
        <w:ind w:firstLine="480"/>
        <w:jc w:val="center"/>
        <w:rPr>
          <w:szCs w:val="24"/>
          <w:highlight w:val="none"/>
        </w:rPr>
      </w:pPr>
      <w:r>
        <w:rPr>
          <w:rFonts w:hint="eastAsia"/>
          <w:szCs w:val="24"/>
          <w:highlight w:val="none"/>
        </w:rPr>
        <w:t>业绩证明材料</w:t>
      </w:r>
    </w:p>
    <w:p w14:paraId="105C866A">
      <w:pPr>
        <w:keepNext/>
        <w:keepLines/>
        <w:ind w:firstLine="480"/>
        <w:jc w:val="center"/>
        <w:rPr>
          <w:rFonts w:asciiTheme="minorEastAsia" w:hAnsiTheme="minorEastAsia" w:eastAsiaTheme="minorEastAsia"/>
          <w:b/>
          <w:highlight w:val="none"/>
        </w:rPr>
      </w:pPr>
      <w:r>
        <w:rPr>
          <w:rFonts w:hint="eastAsia"/>
          <w:szCs w:val="24"/>
          <w:highlight w:val="none"/>
        </w:rPr>
        <w:t>（建议与上述“（一）业绩表”填写的业绩一一对应）</w:t>
      </w:r>
      <w:r>
        <w:rPr>
          <w:rFonts w:asciiTheme="minorEastAsia" w:hAnsiTheme="minorEastAsia" w:eastAsiaTheme="minorEastAsia"/>
          <w:b/>
          <w:highlight w:val="none"/>
        </w:rPr>
        <w:br w:type="page"/>
      </w:r>
    </w:p>
    <w:p w14:paraId="764088C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八、企业类型证明材料</w:t>
      </w:r>
    </w:p>
    <w:p w14:paraId="3A0577D3">
      <w:pPr>
        <w:pStyle w:val="12"/>
        <w:rPr>
          <w:highlight w:val="none"/>
        </w:rPr>
      </w:pPr>
    </w:p>
    <w:p w14:paraId="445440C2">
      <w:pPr>
        <w:pStyle w:val="12"/>
        <w:rPr>
          <w:highlight w:val="none"/>
        </w:rPr>
      </w:pPr>
      <w:r>
        <w:rPr>
          <w:rFonts w:hint="eastAsia"/>
          <w:highlight w:val="none"/>
        </w:rPr>
        <w:t>如供应商以小规模纳税人税金费率报价，响应文件中须提供税务部门出具的小规模纳税人证明材料（如：企业税种核定材料，官网截图等），否则将导致响应无效。</w:t>
      </w:r>
    </w:p>
    <w:p w14:paraId="1ECE725F">
      <w:pPr>
        <w:pStyle w:val="12"/>
        <w:rPr>
          <w:highlight w:val="none"/>
        </w:rPr>
      </w:pPr>
    </w:p>
    <w:p w14:paraId="150C75A8">
      <w:pPr>
        <w:pStyle w:val="12"/>
        <w:rPr>
          <w:highlight w:val="none"/>
        </w:rPr>
      </w:pPr>
    </w:p>
    <w:p w14:paraId="69EF9EFA">
      <w:pPr>
        <w:pStyle w:val="12"/>
        <w:rPr>
          <w:highlight w:val="none"/>
        </w:rPr>
      </w:pPr>
    </w:p>
    <w:p w14:paraId="1CEA7B6E">
      <w:pPr>
        <w:ind w:right="480" w:firstLine="480"/>
        <w:rPr>
          <w:rFonts w:asciiTheme="minorEastAsia" w:hAnsiTheme="minorEastAsia" w:eastAsiaTheme="minorEastAsia"/>
          <w:highlight w:val="none"/>
        </w:rPr>
      </w:pPr>
    </w:p>
    <w:p w14:paraId="12689E02">
      <w:pPr>
        <w:ind w:right="480" w:firstLine="4680" w:firstLineChars="1950"/>
        <w:rPr>
          <w:rFonts w:asciiTheme="minorEastAsia" w:hAnsiTheme="minorEastAsia" w:eastAsiaTheme="minorEastAsia"/>
          <w:highlight w:val="none"/>
        </w:rPr>
      </w:pPr>
    </w:p>
    <w:p w14:paraId="65B677F6">
      <w:pPr>
        <w:ind w:right="480" w:firstLine="5460" w:firstLineChars="1950"/>
        <w:rPr>
          <w:rFonts w:asciiTheme="minorEastAsia" w:hAnsiTheme="minorEastAsia" w:eastAsiaTheme="minorEastAsia"/>
          <w:sz w:val="28"/>
          <w:highlight w:val="none"/>
        </w:rPr>
      </w:pPr>
    </w:p>
    <w:p w14:paraId="5F0FBEEF">
      <w:pPr>
        <w:widowControl/>
        <w:ind w:firstLine="480"/>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7DA6370D">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九、磋商保证金及电子交易服务费用</w:t>
      </w:r>
    </w:p>
    <w:p w14:paraId="142B982E">
      <w:pPr>
        <w:snapToGrid w:val="0"/>
        <w:ind w:firstLine="0" w:firstLineChars="0"/>
        <w:jc w:val="center"/>
        <w:rPr>
          <w:rFonts w:cs="Times New Roman"/>
          <w:szCs w:val="28"/>
          <w:highlight w:val="none"/>
        </w:rPr>
      </w:pPr>
      <w:r>
        <w:rPr>
          <w:rFonts w:hint="eastAsia" w:cs="Times New Roman"/>
          <w:szCs w:val="28"/>
          <w:highlight w:val="none"/>
        </w:rPr>
        <w:t>供应商应在此提供银行回单的扫描件。</w:t>
      </w:r>
    </w:p>
    <w:p w14:paraId="2845F771">
      <w:pPr>
        <w:widowControl/>
        <w:spacing w:line="240" w:lineRule="auto"/>
        <w:ind w:firstLine="0" w:firstLineChars="0"/>
        <w:jc w:val="center"/>
        <w:rPr>
          <w:rFonts w:cs="@仿宋_GB2312"/>
          <w:b/>
          <w:bCs/>
          <w:kern w:val="2"/>
          <w:szCs w:val="24"/>
          <w:highlight w:val="none"/>
        </w:rPr>
      </w:pPr>
    </w:p>
    <w:p w14:paraId="02BF8814">
      <w:pPr>
        <w:widowControl/>
        <w:spacing w:line="240" w:lineRule="auto"/>
        <w:ind w:firstLine="0" w:firstLineChars="0"/>
        <w:jc w:val="center"/>
        <w:rPr>
          <w:rFonts w:cs="@仿宋_GB2312"/>
          <w:b/>
          <w:bCs/>
          <w:kern w:val="2"/>
          <w:szCs w:val="24"/>
          <w:highlight w:val="none"/>
        </w:rPr>
      </w:pPr>
    </w:p>
    <w:p w14:paraId="11949EA8">
      <w:pPr>
        <w:widowControl/>
        <w:spacing w:line="240" w:lineRule="auto"/>
        <w:ind w:firstLine="0" w:firstLineChars="0"/>
        <w:jc w:val="center"/>
        <w:rPr>
          <w:rFonts w:cs="@仿宋_GB2312"/>
          <w:b/>
          <w:bCs/>
          <w:kern w:val="2"/>
          <w:szCs w:val="24"/>
          <w:highlight w:val="none"/>
        </w:rPr>
      </w:pPr>
    </w:p>
    <w:p w14:paraId="32190C75">
      <w:pPr>
        <w:widowControl/>
        <w:spacing w:line="240" w:lineRule="auto"/>
        <w:ind w:firstLine="0" w:firstLineChars="0"/>
        <w:jc w:val="center"/>
        <w:rPr>
          <w:rFonts w:cs="@仿宋_GB2312"/>
          <w:b/>
          <w:bCs/>
          <w:kern w:val="2"/>
          <w:szCs w:val="24"/>
          <w:highlight w:val="none"/>
        </w:rPr>
      </w:pPr>
    </w:p>
    <w:p w14:paraId="66D87144">
      <w:pPr>
        <w:widowControl/>
        <w:spacing w:line="240" w:lineRule="auto"/>
        <w:ind w:firstLine="0" w:firstLineChars="0"/>
        <w:jc w:val="center"/>
        <w:rPr>
          <w:rFonts w:cs="@仿宋_GB2312"/>
          <w:b/>
          <w:bCs/>
          <w:kern w:val="2"/>
          <w:szCs w:val="24"/>
          <w:highlight w:val="none"/>
        </w:rPr>
      </w:pPr>
    </w:p>
    <w:p w14:paraId="4E7B70FA">
      <w:pPr>
        <w:widowControl/>
        <w:spacing w:line="240" w:lineRule="auto"/>
        <w:ind w:firstLine="0" w:firstLineChars="0"/>
        <w:jc w:val="center"/>
        <w:rPr>
          <w:rFonts w:cs="@仿宋_GB2312"/>
          <w:b/>
          <w:bCs/>
          <w:kern w:val="2"/>
          <w:szCs w:val="24"/>
          <w:highlight w:val="none"/>
        </w:rPr>
      </w:pPr>
    </w:p>
    <w:p w14:paraId="2F0E8B47">
      <w:pPr>
        <w:widowControl/>
        <w:spacing w:line="240" w:lineRule="auto"/>
        <w:ind w:firstLine="0" w:firstLineChars="0"/>
        <w:jc w:val="center"/>
        <w:rPr>
          <w:rFonts w:cs="@仿宋_GB2312"/>
          <w:b/>
          <w:bCs/>
          <w:kern w:val="2"/>
          <w:szCs w:val="24"/>
          <w:highlight w:val="none"/>
        </w:rPr>
      </w:pPr>
    </w:p>
    <w:p w14:paraId="09B58B6C">
      <w:pPr>
        <w:widowControl/>
        <w:spacing w:line="240" w:lineRule="auto"/>
        <w:ind w:firstLine="0" w:firstLineChars="0"/>
        <w:jc w:val="center"/>
        <w:rPr>
          <w:rFonts w:cs="@仿宋_GB2312"/>
          <w:b/>
          <w:bCs/>
          <w:kern w:val="2"/>
          <w:szCs w:val="24"/>
          <w:highlight w:val="none"/>
        </w:rPr>
      </w:pPr>
    </w:p>
    <w:p w14:paraId="27FAC653">
      <w:pPr>
        <w:widowControl/>
        <w:spacing w:line="240" w:lineRule="auto"/>
        <w:ind w:firstLine="0" w:firstLineChars="0"/>
        <w:jc w:val="center"/>
        <w:rPr>
          <w:rFonts w:cs="@仿宋_GB2312"/>
          <w:b/>
          <w:bCs/>
          <w:kern w:val="2"/>
          <w:szCs w:val="24"/>
          <w:highlight w:val="none"/>
        </w:rPr>
      </w:pPr>
    </w:p>
    <w:p w14:paraId="21A7556F">
      <w:pPr>
        <w:widowControl/>
        <w:spacing w:line="240" w:lineRule="auto"/>
        <w:ind w:firstLine="0" w:firstLineChars="0"/>
        <w:jc w:val="center"/>
        <w:rPr>
          <w:rFonts w:cs="@仿宋_GB2312"/>
          <w:b/>
          <w:bCs/>
          <w:kern w:val="2"/>
          <w:szCs w:val="24"/>
          <w:highlight w:val="none"/>
        </w:rPr>
      </w:pPr>
    </w:p>
    <w:p w14:paraId="6B29386B">
      <w:pPr>
        <w:widowControl/>
        <w:spacing w:line="240" w:lineRule="auto"/>
        <w:ind w:firstLine="0" w:firstLineChars="0"/>
        <w:jc w:val="center"/>
        <w:rPr>
          <w:rFonts w:cs="@仿宋_GB2312"/>
          <w:b/>
          <w:bCs/>
          <w:kern w:val="2"/>
          <w:szCs w:val="24"/>
          <w:highlight w:val="none"/>
        </w:rPr>
      </w:pPr>
    </w:p>
    <w:p w14:paraId="1F0DF3B0">
      <w:pPr>
        <w:widowControl/>
        <w:spacing w:line="240" w:lineRule="auto"/>
        <w:ind w:firstLine="0" w:firstLineChars="0"/>
        <w:jc w:val="center"/>
        <w:rPr>
          <w:rFonts w:cs="@仿宋_GB2312"/>
          <w:b/>
          <w:bCs/>
          <w:kern w:val="2"/>
          <w:szCs w:val="24"/>
          <w:highlight w:val="none"/>
        </w:rPr>
      </w:pPr>
    </w:p>
    <w:p w14:paraId="059AF13C">
      <w:pPr>
        <w:widowControl/>
        <w:spacing w:line="240" w:lineRule="auto"/>
        <w:ind w:firstLine="0" w:firstLineChars="0"/>
        <w:jc w:val="center"/>
        <w:rPr>
          <w:rFonts w:cs="@仿宋_GB2312"/>
          <w:b/>
          <w:bCs/>
          <w:kern w:val="2"/>
          <w:szCs w:val="24"/>
          <w:highlight w:val="none"/>
        </w:rPr>
      </w:pPr>
    </w:p>
    <w:p w14:paraId="385E7945">
      <w:pPr>
        <w:spacing w:after="120" w:line="480" w:lineRule="auto"/>
        <w:ind w:firstLine="482"/>
        <w:rPr>
          <w:rFonts w:cs="宋体"/>
          <w:b/>
          <w:bCs/>
          <w:kern w:val="2"/>
          <w:szCs w:val="24"/>
          <w:highlight w:val="none"/>
        </w:rPr>
      </w:pPr>
      <w:r>
        <w:rPr>
          <w:rFonts w:hint="eastAsia" w:cs="宋体"/>
          <w:b/>
          <w:bCs/>
          <w:kern w:val="2"/>
          <w:szCs w:val="24"/>
          <w:highlight w:val="none"/>
        </w:rPr>
        <w:t>如需开具电子交易服务费用发票请在本页附上开票信息，开票信息按照下列格式填写，发票开具后可在单位税务数字账户中查收，如未填写或填写不完整后期自行带转账回单至肥光办公区3号楼2楼窗口开具。</w:t>
      </w:r>
    </w:p>
    <w:p w14:paraId="732F1EDB">
      <w:pPr>
        <w:ind w:firstLine="0" w:firstLineChars="0"/>
        <w:rPr>
          <w:rFonts w:cs="宋体"/>
          <w:b/>
          <w:kern w:val="2"/>
          <w:szCs w:val="24"/>
          <w:highlight w:val="none"/>
        </w:rPr>
      </w:pPr>
      <w:r>
        <w:rPr>
          <w:rFonts w:hint="eastAsia" w:cs="宋体"/>
          <w:b/>
          <w:kern w:val="2"/>
          <w:szCs w:val="24"/>
          <w:highlight w:val="none"/>
        </w:rPr>
        <w:t>开票信息：</w:t>
      </w:r>
    </w:p>
    <w:p w14:paraId="40FE51F7">
      <w:pPr>
        <w:spacing w:after="120"/>
        <w:ind w:firstLine="0" w:firstLineChars="0"/>
        <w:rPr>
          <w:rFonts w:cs="宋体"/>
          <w:b/>
          <w:kern w:val="2"/>
          <w:szCs w:val="24"/>
          <w:highlight w:val="none"/>
        </w:rPr>
      </w:pPr>
      <w:r>
        <w:rPr>
          <w:rFonts w:hint="eastAsia" w:cs="宋体"/>
          <w:b/>
          <w:kern w:val="2"/>
          <w:szCs w:val="24"/>
          <w:highlight w:val="none"/>
        </w:rPr>
        <w:t>发票类型：</w:t>
      </w:r>
      <w:r>
        <w:rPr>
          <w:rFonts w:hint="eastAsia" w:cs="宋体"/>
          <w:b/>
          <w:kern w:val="2"/>
          <w:szCs w:val="24"/>
          <w:highlight w:val="none"/>
          <w:u w:val="single"/>
        </w:rPr>
        <w:t xml:space="preserve">               </w:t>
      </w:r>
      <w:r>
        <w:rPr>
          <w:rFonts w:hint="eastAsia" w:cs="宋体"/>
          <w:b/>
          <w:kern w:val="2"/>
          <w:szCs w:val="24"/>
          <w:highlight w:val="none"/>
        </w:rPr>
        <w:t>（专票或普票）</w:t>
      </w:r>
    </w:p>
    <w:p w14:paraId="751FC09C">
      <w:pPr>
        <w:ind w:firstLine="0" w:firstLineChars="0"/>
        <w:rPr>
          <w:rFonts w:cs="宋体"/>
          <w:b/>
          <w:kern w:val="2"/>
          <w:szCs w:val="24"/>
          <w:highlight w:val="none"/>
        </w:rPr>
      </w:pPr>
      <w:r>
        <w:rPr>
          <w:rFonts w:hint="eastAsia" w:cs="宋体"/>
          <w:b/>
          <w:kern w:val="2"/>
          <w:szCs w:val="24"/>
          <w:highlight w:val="none"/>
        </w:rPr>
        <w:t>公司名称：</w:t>
      </w:r>
      <w:r>
        <w:rPr>
          <w:rFonts w:hint="eastAsia" w:cs="宋体"/>
          <w:kern w:val="1"/>
          <w:szCs w:val="24"/>
          <w:highlight w:val="none"/>
        </w:rPr>
        <w:t xml:space="preserve"> </w:t>
      </w:r>
      <w:r>
        <w:rPr>
          <w:rFonts w:hint="eastAsia" w:cs="宋体"/>
          <w:kern w:val="1"/>
          <w:szCs w:val="24"/>
          <w:highlight w:val="none"/>
          <w:u w:val="single"/>
        </w:rPr>
        <w:t xml:space="preserve">                           </w:t>
      </w:r>
      <w:r>
        <w:rPr>
          <w:rFonts w:hint="eastAsia" w:cs="宋体"/>
          <w:kern w:val="1"/>
          <w:szCs w:val="24"/>
          <w:highlight w:val="none"/>
        </w:rPr>
        <w:t xml:space="preserve">     </w:t>
      </w:r>
    </w:p>
    <w:p w14:paraId="070950B6">
      <w:pPr>
        <w:widowControl/>
        <w:ind w:firstLine="0" w:firstLineChars="0"/>
        <w:jc w:val="left"/>
        <w:rPr>
          <w:rFonts w:cs="宋体"/>
          <w:b/>
          <w:kern w:val="2"/>
          <w:szCs w:val="24"/>
          <w:highlight w:val="none"/>
          <w:u w:val="single"/>
        </w:rPr>
      </w:pPr>
      <w:r>
        <w:rPr>
          <w:rFonts w:hint="eastAsia" w:cs="宋体"/>
          <w:b/>
          <w:kern w:val="2"/>
          <w:szCs w:val="24"/>
          <w:highlight w:val="none"/>
        </w:rPr>
        <w:t>纳税识别号：</w:t>
      </w:r>
      <w:r>
        <w:rPr>
          <w:rFonts w:hint="eastAsia" w:cs="宋体"/>
          <w:b/>
          <w:kern w:val="2"/>
          <w:szCs w:val="24"/>
          <w:highlight w:val="none"/>
          <w:u w:val="single"/>
        </w:rPr>
        <w:t xml:space="preserve">                          </w:t>
      </w:r>
    </w:p>
    <w:p w14:paraId="380A9F8E">
      <w:pPr>
        <w:widowControl/>
        <w:ind w:firstLine="0" w:firstLineChars="0"/>
        <w:jc w:val="left"/>
        <w:rPr>
          <w:rFonts w:cs="宋体"/>
          <w:b/>
          <w:kern w:val="2"/>
          <w:szCs w:val="24"/>
          <w:highlight w:val="none"/>
          <w:u w:val="single"/>
        </w:rPr>
      </w:pPr>
      <w:r>
        <w:rPr>
          <w:rFonts w:hint="eastAsia" w:cs="宋体"/>
          <w:b/>
          <w:kern w:val="2"/>
          <w:szCs w:val="24"/>
          <w:highlight w:val="none"/>
        </w:rPr>
        <w:t>开户行名称：</w:t>
      </w:r>
      <w:r>
        <w:rPr>
          <w:rFonts w:hint="eastAsia" w:cs="宋体"/>
          <w:b/>
          <w:kern w:val="2"/>
          <w:szCs w:val="24"/>
          <w:highlight w:val="none"/>
          <w:u w:val="single"/>
        </w:rPr>
        <w:t xml:space="preserve">                          </w:t>
      </w:r>
    </w:p>
    <w:p w14:paraId="6E7985A5">
      <w:pPr>
        <w:widowControl/>
        <w:spacing w:line="240" w:lineRule="auto"/>
        <w:ind w:firstLine="0" w:firstLineChars="0"/>
        <w:jc w:val="left"/>
        <w:rPr>
          <w:rFonts w:cs="宋体"/>
          <w:b/>
          <w:bCs/>
          <w:kern w:val="2"/>
          <w:szCs w:val="24"/>
          <w:highlight w:val="none"/>
        </w:rPr>
      </w:pPr>
      <w:r>
        <w:rPr>
          <w:rFonts w:hint="eastAsia" w:cs="宋体"/>
          <w:b/>
          <w:kern w:val="2"/>
          <w:szCs w:val="24"/>
          <w:highlight w:val="none"/>
        </w:rPr>
        <w:t>开户行账号：</w:t>
      </w:r>
      <w:r>
        <w:rPr>
          <w:rFonts w:hint="eastAsia" w:cs="宋体"/>
          <w:b/>
          <w:kern w:val="2"/>
          <w:szCs w:val="24"/>
          <w:highlight w:val="none"/>
          <w:u w:val="single"/>
        </w:rPr>
        <w:t xml:space="preserve">                          </w:t>
      </w:r>
    </w:p>
    <w:p w14:paraId="654E1AE1">
      <w:pPr>
        <w:widowControl/>
        <w:spacing w:line="240" w:lineRule="auto"/>
        <w:ind w:firstLine="0" w:firstLineChars="0"/>
        <w:rPr>
          <w:rFonts w:cs="@仿宋_GB2312"/>
          <w:b/>
          <w:bCs/>
          <w:kern w:val="2"/>
          <w:szCs w:val="24"/>
          <w:highlight w:val="none"/>
        </w:rPr>
      </w:pPr>
    </w:p>
    <w:p w14:paraId="1D074C14">
      <w:pPr>
        <w:widowControl/>
        <w:spacing w:line="240" w:lineRule="auto"/>
        <w:ind w:firstLine="0" w:firstLineChars="0"/>
        <w:jc w:val="center"/>
        <w:rPr>
          <w:rFonts w:cs="@仿宋_GB2312"/>
          <w:b/>
          <w:bCs/>
          <w:kern w:val="2"/>
          <w:szCs w:val="24"/>
          <w:highlight w:val="none"/>
        </w:rPr>
      </w:pPr>
    </w:p>
    <w:p w14:paraId="6B8F2973">
      <w:pPr>
        <w:widowControl/>
        <w:spacing w:line="240" w:lineRule="auto"/>
        <w:ind w:firstLine="0" w:firstLineChars="0"/>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351048FD">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十、其他相关证明材料</w:t>
      </w:r>
    </w:p>
    <w:p w14:paraId="08FB9765">
      <w:pPr>
        <w:ind w:firstLine="480"/>
        <w:jc w:val="center"/>
        <w:rPr>
          <w:szCs w:val="24"/>
          <w:highlight w:val="none"/>
        </w:rPr>
      </w:pPr>
      <w:bookmarkStart w:id="24" w:name="_Toc19685"/>
      <w:bookmarkStart w:id="25" w:name="_Toc29973"/>
      <w:r>
        <w:rPr>
          <w:rFonts w:hint="eastAsia"/>
          <w:szCs w:val="24"/>
          <w:highlight w:val="none"/>
        </w:rPr>
        <w:t>供应商按照第四章评审方法和标准放置的其他资料。</w:t>
      </w:r>
      <w:bookmarkEnd w:id="24"/>
      <w:bookmarkEnd w:id="25"/>
    </w:p>
    <w:p w14:paraId="2F8C84DA">
      <w:pPr>
        <w:ind w:firstLine="480"/>
        <w:rPr>
          <w:szCs w:val="22"/>
          <w:highlight w:val="none"/>
        </w:rPr>
      </w:pPr>
      <w:r>
        <w:rPr>
          <w:rFonts w:hint="eastAsia"/>
          <w:szCs w:val="22"/>
          <w:highlight w:val="none"/>
        </w:rPr>
        <w:br w:type="page"/>
      </w:r>
    </w:p>
    <w:p w14:paraId="2DEC06B9">
      <w:pPr>
        <w:ind w:firstLine="883"/>
        <w:rPr>
          <w:rFonts w:cs="宋体"/>
          <w:b/>
          <w:bCs/>
          <w:sz w:val="44"/>
          <w:szCs w:val="44"/>
          <w:highlight w:val="none"/>
        </w:rPr>
      </w:pPr>
      <w:r>
        <w:rPr>
          <w:rFonts w:hint="eastAsia" w:cs="宋体"/>
          <w:b/>
          <w:bCs/>
          <w:sz w:val="44"/>
          <w:szCs w:val="44"/>
          <w:highlight w:val="none"/>
        </w:rPr>
        <w:t>附件：全流程电子招标采购具体要求</w:t>
      </w:r>
      <w:r>
        <w:rPr>
          <w:rStyle w:val="18"/>
          <w:rFonts w:hint="eastAsia" w:cs="宋体"/>
          <w:b/>
          <w:bCs/>
          <w:sz w:val="44"/>
          <w:szCs w:val="44"/>
          <w:highlight w:val="none"/>
        </w:rPr>
        <w:footnoteReference w:id="0"/>
      </w:r>
    </w:p>
    <w:p w14:paraId="4DEC45C4">
      <w:pPr>
        <w:spacing w:line="400" w:lineRule="exact"/>
        <w:ind w:firstLine="480"/>
        <w:rPr>
          <w:rFonts w:cs="宋体"/>
          <w:szCs w:val="24"/>
          <w:highlight w:val="none"/>
        </w:rPr>
      </w:pPr>
      <w:r>
        <w:rPr>
          <w:rFonts w:hint="eastAsia" w:cs="宋体"/>
          <w:szCs w:val="24"/>
          <w:highlight w:val="none"/>
        </w:rPr>
        <w:t>说明：当采用非招标方式进行全流程电子采购活动时，按照本规定执行，其中本要求“供应商”按“</w:t>
      </w:r>
      <w:r>
        <w:rPr>
          <w:rFonts w:hint="eastAsia"/>
          <w:szCs w:val="18"/>
          <w:highlight w:val="none"/>
        </w:rPr>
        <w:t>供应商</w:t>
      </w:r>
      <w:r>
        <w:rPr>
          <w:rFonts w:hint="eastAsia" w:cs="宋体"/>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3EF3D604">
      <w:pPr>
        <w:spacing w:line="400" w:lineRule="exact"/>
        <w:ind w:firstLine="480"/>
        <w:rPr>
          <w:rFonts w:cs="宋体"/>
          <w:szCs w:val="24"/>
          <w:highlight w:val="none"/>
        </w:rPr>
      </w:pPr>
    </w:p>
    <w:p w14:paraId="6467D399">
      <w:pPr>
        <w:spacing w:line="400" w:lineRule="exact"/>
        <w:ind w:firstLine="480"/>
        <w:rPr>
          <w:rFonts w:cs="宋体"/>
          <w:szCs w:val="24"/>
          <w:highlight w:val="none"/>
        </w:rPr>
      </w:pPr>
      <w:r>
        <w:rPr>
          <w:rFonts w:hint="eastAsia" w:cs="宋体"/>
          <w:szCs w:val="24"/>
          <w:highlight w:val="none"/>
        </w:rPr>
        <w:t>一、</w:t>
      </w:r>
      <w:r>
        <w:rPr>
          <w:rFonts w:hint="eastAsia" w:cs="宋体"/>
          <w:highlight w:val="none"/>
        </w:rPr>
        <w:t>CA</w:t>
      </w:r>
      <w:r>
        <w:rPr>
          <w:rFonts w:hint="eastAsia" w:cs="宋体"/>
          <w:szCs w:val="24"/>
          <w:highlight w:val="none"/>
        </w:rPr>
        <w:t>证书办理和注意事项</w:t>
      </w:r>
    </w:p>
    <w:p w14:paraId="22941297">
      <w:pPr>
        <w:spacing w:line="400" w:lineRule="exact"/>
        <w:ind w:firstLine="480"/>
        <w:rPr>
          <w:rFonts w:cs="宋体"/>
          <w:highlight w:val="none"/>
        </w:rPr>
      </w:pPr>
      <w:r>
        <w:rPr>
          <w:rFonts w:hint="eastAsia" w:cs="宋体"/>
          <w:szCs w:val="24"/>
          <w:highlight w:val="none"/>
        </w:rPr>
        <w:t>1.本项目采用全流程电子招标采购方式，</w:t>
      </w:r>
      <w:r>
        <w:rPr>
          <w:rFonts w:hint="eastAsia" w:cs="宋体"/>
          <w:highlight w:val="none"/>
        </w:rPr>
        <w:t>潜在</w:t>
      </w:r>
      <w:r>
        <w:rPr>
          <w:rFonts w:hint="eastAsia"/>
          <w:szCs w:val="18"/>
          <w:highlight w:val="none"/>
        </w:rPr>
        <w:t>供应商</w:t>
      </w:r>
      <w:r>
        <w:rPr>
          <w:rFonts w:hint="eastAsia" w:cs="宋体"/>
          <w:highlight w:val="none"/>
        </w:rPr>
        <w:t>应及时办理CA证书，用于对投标文件进行电子签章及加、解密。</w:t>
      </w:r>
    </w:p>
    <w:p w14:paraId="55A444BA">
      <w:pPr>
        <w:spacing w:line="400" w:lineRule="exact"/>
        <w:ind w:firstLine="480"/>
        <w:rPr>
          <w:rFonts w:cs="宋体"/>
          <w:bCs/>
          <w:highlight w:val="none"/>
        </w:rPr>
      </w:pPr>
      <w:r>
        <w:rPr>
          <w:rFonts w:hint="eastAsia" w:cs="宋体"/>
          <w:szCs w:val="24"/>
          <w:highlight w:val="none"/>
        </w:rPr>
        <w:t>2.CA</w:t>
      </w:r>
      <w:r>
        <w:rPr>
          <w:rFonts w:hint="eastAsia" w:cs="宋体"/>
          <w:highlight w:val="none"/>
        </w:rPr>
        <w:t>证书</w:t>
      </w:r>
      <w:r>
        <w:rPr>
          <w:rFonts w:hint="eastAsia" w:cs="宋体"/>
          <w:szCs w:val="24"/>
          <w:highlight w:val="none"/>
        </w:rPr>
        <w:t>办理详见</w:t>
      </w:r>
      <w:r>
        <w:rPr>
          <w:rFonts w:hint="eastAsia" w:cs="宋体"/>
          <w:bCs/>
          <w:highlight w:val="none"/>
        </w:rPr>
        <w:t>《优质采平台CA数字证书办理说明》：</w:t>
      </w:r>
    </w:p>
    <w:p w14:paraId="78AECCF3">
      <w:pPr>
        <w:spacing w:line="400" w:lineRule="exact"/>
        <w:ind w:firstLine="480"/>
        <w:rPr>
          <w:rFonts w:cs="宋体"/>
          <w:b/>
          <w:bCs/>
          <w:highlight w:val="none"/>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17"/>
          <w:rFonts w:hint="eastAsia" w:cs="宋体"/>
          <w:bCs/>
          <w:color w:val="auto"/>
          <w:highlight w:val="none"/>
        </w:rPr>
        <w:t>http://www.youzhicai.com/ActivityTopic/AdviceDetail/8f80a7ec-911f-4c4d-a123-f</w:t>
      </w:r>
      <w:bookmarkStart w:id="26" w:name="_Hlt105085548"/>
      <w:bookmarkStart w:id="27" w:name="_Hlt105085547"/>
      <w:r>
        <w:rPr>
          <w:rStyle w:val="17"/>
          <w:rFonts w:hint="eastAsia" w:cs="宋体"/>
          <w:bCs/>
          <w:color w:val="auto"/>
          <w:highlight w:val="none"/>
        </w:rPr>
        <w:t>8</w:t>
      </w:r>
      <w:bookmarkEnd w:id="26"/>
      <w:bookmarkEnd w:id="27"/>
      <w:r>
        <w:rPr>
          <w:rStyle w:val="17"/>
          <w:rFonts w:hint="eastAsia" w:cs="宋体"/>
          <w:bCs/>
          <w:color w:val="auto"/>
          <w:highlight w:val="none"/>
        </w:rPr>
        <w:t>849880f045</w:t>
      </w:r>
      <w:r>
        <w:rPr>
          <w:rStyle w:val="17"/>
          <w:rFonts w:hint="eastAsia" w:cs="宋体"/>
          <w:bCs/>
          <w:color w:val="auto"/>
          <w:highlight w:val="none"/>
        </w:rPr>
        <w:fldChar w:fldCharType="end"/>
      </w:r>
      <w:r>
        <w:rPr>
          <w:rFonts w:hint="eastAsia" w:cs="宋体"/>
          <w:bCs/>
          <w:highlight w:val="none"/>
        </w:rPr>
        <w:t>。</w:t>
      </w:r>
    </w:p>
    <w:p w14:paraId="328EC523">
      <w:pPr>
        <w:spacing w:line="400" w:lineRule="exact"/>
        <w:ind w:firstLine="480"/>
        <w:rPr>
          <w:rFonts w:cs="宋体"/>
          <w:highlight w:val="none"/>
        </w:rPr>
      </w:pPr>
      <w:r>
        <w:rPr>
          <w:rFonts w:hint="eastAsia" w:cs="宋体"/>
          <w:szCs w:val="24"/>
          <w:highlight w:val="none"/>
        </w:rPr>
        <w:t>3.CA</w:t>
      </w:r>
      <w:r>
        <w:rPr>
          <w:rFonts w:hint="eastAsia" w:cs="宋体"/>
          <w:highlight w:val="none"/>
        </w:rPr>
        <w:t>证书</w:t>
      </w:r>
      <w:r>
        <w:rPr>
          <w:rFonts w:hint="eastAsia" w:cs="宋体"/>
          <w:szCs w:val="24"/>
          <w:highlight w:val="none"/>
        </w:rPr>
        <w:t>到期或即将到期，须在递交投标文件前办理续期。</w:t>
      </w:r>
    </w:p>
    <w:p w14:paraId="7E7979CF">
      <w:pPr>
        <w:spacing w:line="400" w:lineRule="exact"/>
        <w:ind w:firstLine="480"/>
        <w:rPr>
          <w:rFonts w:cs="宋体"/>
          <w:highlight w:val="none"/>
        </w:rPr>
      </w:pPr>
      <w:r>
        <w:rPr>
          <w:rFonts w:hint="eastAsia" w:cs="宋体"/>
          <w:szCs w:val="24"/>
          <w:highlight w:val="none"/>
        </w:rPr>
        <w:t>4.CA锁</w:t>
      </w:r>
      <w:r>
        <w:rPr>
          <w:rFonts w:hint="eastAsia" w:cs="宋体"/>
          <w:highlight w:val="none"/>
        </w:rPr>
        <w:t>遗失、损坏等无法使用，须在递交投标文件前补办CA锁。</w:t>
      </w:r>
    </w:p>
    <w:p w14:paraId="66002DC2">
      <w:pPr>
        <w:spacing w:line="400" w:lineRule="exact"/>
        <w:ind w:firstLine="480"/>
        <w:rPr>
          <w:rFonts w:cs="宋体"/>
          <w:highlight w:val="none"/>
        </w:rPr>
      </w:pPr>
      <w:r>
        <w:rPr>
          <w:rFonts w:hint="eastAsia" w:cs="宋体"/>
          <w:szCs w:val="24"/>
          <w:highlight w:val="none"/>
        </w:rPr>
        <w:t>5.企业</w:t>
      </w:r>
      <w:r>
        <w:rPr>
          <w:rFonts w:hint="eastAsia" w:cs="宋体"/>
          <w:highlight w:val="none"/>
        </w:rPr>
        <w:t>信息（包括但不限于企业名称和法定代表人信息）发生变更的，须在递交投标文件前变更CA证书。</w:t>
      </w:r>
    </w:p>
    <w:p w14:paraId="0E487AF2">
      <w:pPr>
        <w:spacing w:line="400" w:lineRule="exact"/>
        <w:ind w:firstLine="480"/>
        <w:rPr>
          <w:rFonts w:cs="宋体"/>
          <w:szCs w:val="24"/>
          <w:highlight w:val="none"/>
        </w:rPr>
      </w:pPr>
      <w:r>
        <w:rPr>
          <w:rFonts w:hint="eastAsia" w:cs="宋体"/>
          <w:szCs w:val="24"/>
          <w:highlight w:val="none"/>
        </w:rPr>
        <w:tab/>
      </w:r>
      <w:r>
        <w:rPr>
          <w:rFonts w:hint="eastAsia" w:cs="宋体"/>
          <w:szCs w:val="24"/>
          <w:highlight w:val="none"/>
        </w:rPr>
        <w:t>6.</w:t>
      </w:r>
      <w:r>
        <w:rPr>
          <w:rFonts w:hint="eastAsia"/>
          <w:szCs w:val="18"/>
          <w:highlight w:val="none"/>
        </w:rPr>
        <w:t xml:space="preserve"> 供应商</w:t>
      </w:r>
      <w:r>
        <w:rPr>
          <w:rFonts w:hint="eastAsia" w:cs="宋体"/>
          <w:szCs w:val="24"/>
          <w:highlight w:val="none"/>
        </w:rPr>
        <w:t>由于</w:t>
      </w:r>
      <w:r>
        <w:rPr>
          <w:rFonts w:hint="eastAsia" w:cs="宋体"/>
          <w:highlight w:val="none"/>
        </w:rPr>
        <w:t>CA证书</w:t>
      </w:r>
      <w:r>
        <w:rPr>
          <w:rFonts w:hint="eastAsia" w:cs="宋体"/>
          <w:szCs w:val="24"/>
          <w:highlight w:val="none"/>
        </w:rPr>
        <w:t>遗失、损坏、更换、续期、企业信息变更等情况导致投标文件无法解密的，由</w:t>
      </w:r>
      <w:r>
        <w:rPr>
          <w:rFonts w:hint="eastAsia"/>
          <w:szCs w:val="18"/>
          <w:highlight w:val="none"/>
        </w:rPr>
        <w:t>供应商</w:t>
      </w:r>
      <w:r>
        <w:rPr>
          <w:rFonts w:hint="eastAsia" w:cs="宋体"/>
          <w:szCs w:val="24"/>
          <w:highlight w:val="none"/>
        </w:rPr>
        <w:t>自行承担责任；</w:t>
      </w:r>
    </w:p>
    <w:p w14:paraId="7F04FD18">
      <w:pPr>
        <w:spacing w:line="400" w:lineRule="exact"/>
        <w:ind w:firstLine="480"/>
        <w:rPr>
          <w:rFonts w:cs="宋体"/>
          <w:szCs w:val="24"/>
          <w:highlight w:val="none"/>
        </w:rPr>
      </w:pPr>
      <w:r>
        <w:rPr>
          <w:rFonts w:hint="eastAsia" w:cs="宋体"/>
          <w:szCs w:val="24"/>
          <w:highlight w:val="none"/>
        </w:rPr>
        <w:t>7.加密和解密投标文件</w:t>
      </w:r>
      <w:r>
        <w:rPr>
          <w:rFonts w:hint="eastAsia" w:cs="宋体"/>
          <w:highlight w:val="none"/>
        </w:rPr>
        <w:t>必须使用同一个CA证书</w:t>
      </w:r>
      <w:r>
        <w:rPr>
          <w:rFonts w:hint="eastAsia" w:cs="宋体"/>
          <w:szCs w:val="24"/>
          <w:highlight w:val="none"/>
        </w:rPr>
        <w:t>。</w:t>
      </w:r>
    </w:p>
    <w:p w14:paraId="262229ED">
      <w:pPr>
        <w:spacing w:line="400" w:lineRule="exact"/>
        <w:ind w:firstLine="480"/>
        <w:rPr>
          <w:rFonts w:cs="宋体"/>
          <w:szCs w:val="24"/>
          <w:highlight w:val="none"/>
        </w:rPr>
      </w:pPr>
      <w:r>
        <w:rPr>
          <w:rFonts w:hint="eastAsia" w:cs="宋体"/>
          <w:szCs w:val="24"/>
          <w:highlight w:val="none"/>
        </w:rPr>
        <w:t>二、制作、签章、加密、上传电子投标文件</w:t>
      </w:r>
    </w:p>
    <w:p w14:paraId="34A002EC">
      <w:pPr>
        <w:spacing w:line="400" w:lineRule="exact"/>
        <w:ind w:firstLine="480"/>
        <w:rPr>
          <w:rStyle w:val="17"/>
          <w:rFonts w:cs="宋体"/>
          <w:color w:val="auto"/>
          <w:highlight w:val="none"/>
        </w:rPr>
      </w:pPr>
      <w:r>
        <w:rPr>
          <w:rFonts w:hint="eastAsia" w:cs="宋体"/>
          <w:szCs w:val="24"/>
          <w:highlight w:val="none"/>
        </w:rPr>
        <w:t>8.本项目采用全流程电子化招标采购方式，潜在</w:t>
      </w:r>
      <w:r>
        <w:rPr>
          <w:rFonts w:hint="eastAsia"/>
          <w:szCs w:val="18"/>
          <w:highlight w:val="none"/>
        </w:rPr>
        <w:t>供应商</w:t>
      </w:r>
      <w:r>
        <w:rPr>
          <w:rFonts w:hint="eastAsia" w:cs="宋体"/>
          <w:highlight w:val="none"/>
        </w:rPr>
        <w:t>需使用</w:t>
      </w:r>
      <w:r>
        <w:rPr>
          <w:rFonts w:hint="eastAsia" w:cs="宋体"/>
          <w:szCs w:val="24"/>
          <w:highlight w:val="none"/>
        </w:rPr>
        <w:t>“优质采投标工具客户端”（以下简称“投标工具”）制作</w:t>
      </w:r>
      <w:r>
        <w:rPr>
          <w:rFonts w:hint="eastAsia" w:cs="宋体"/>
          <w:highlight w:val="none"/>
        </w:rPr>
        <w:t>电子投标文件，</w:t>
      </w:r>
      <w:r>
        <w:rPr>
          <w:rFonts w:hint="eastAsia" w:cs="宋体"/>
          <w:szCs w:val="24"/>
          <w:highlight w:val="none"/>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17"/>
          <w:rFonts w:hint="eastAsia" w:cs="宋体"/>
          <w:color w:val="auto"/>
          <w:highlight w:val="none"/>
        </w:rPr>
        <w:t>https://toolcdn.youzhicai.com/tools/BidderTools.zip</w:t>
      </w:r>
      <w:r>
        <w:rPr>
          <w:rStyle w:val="17"/>
          <w:rFonts w:hint="eastAsia" w:cs="宋体"/>
          <w:color w:val="auto"/>
          <w:highlight w:val="none"/>
        </w:rPr>
        <w:fldChar w:fldCharType="end"/>
      </w:r>
      <w:r>
        <w:rPr>
          <w:rStyle w:val="17"/>
          <w:rFonts w:hint="eastAsia" w:cs="宋体"/>
          <w:color w:val="auto"/>
          <w:highlight w:val="none"/>
        </w:rPr>
        <w:t>。</w:t>
      </w:r>
    </w:p>
    <w:p w14:paraId="555BC6C9">
      <w:pPr>
        <w:spacing w:line="400" w:lineRule="exact"/>
        <w:ind w:firstLine="480"/>
        <w:rPr>
          <w:rStyle w:val="17"/>
          <w:rFonts w:cs="宋体"/>
          <w:color w:val="auto"/>
          <w:highlight w:val="none"/>
          <w:u w:val="none"/>
        </w:rPr>
      </w:pPr>
      <w:r>
        <w:rPr>
          <w:rStyle w:val="17"/>
          <w:rFonts w:hint="eastAsia" w:cs="宋体"/>
          <w:color w:val="auto"/>
          <w:highlight w:val="none"/>
          <w:u w:val="none"/>
        </w:rPr>
        <w:tab/>
      </w:r>
      <w:r>
        <w:rPr>
          <w:rStyle w:val="17"/>
          <w:rFonts w:hint="eastAsia" w:cs="宋体"/>
          <w:color w:val="auto"/>
          <w:highlight w:val="none"/>
          <w:u w:val="none"/>
        </w:rPr>
        <w:t>8.1.投标工具建议在window7或windows10操作系统下使用；</w:t>
      </w:r>
    </w:p>
    <w:p w14:paraId="237B33DA">
      <w:pPr>
        <w:spacing w:line="400" w:lineRule="exact"/>
        <w:ind w:firstLine="480"/>
        <w:rPr>
          <w:rFonts w:cs="宋体"/>
          <w:bCs/>
          <w:sz w:val="18"/>
          <w:highlight w:val="none"/>
        </w:rPr>
      </w:pPr>
      <w:r>
        <w:rPr>
          <w:rStyle w:val="17"/>
          <w:rFonts w:hint="eastAsia" w:cs="宋体"/>
          <w:color w:val="auto"/>
          <w:highlight w:val="none"/>
          <w:u w:val="none"/>
        </w:rPr>
        <w:tab/>
      </w:r>
      <w:r>
        <w:rPr>
          <w:rStyle w:val="17"/>
          <w:rFonts w:hint="eastAsia" w:cs="宋体"/>
          <w:color w:val="auto"/>
          <w:highlight w:val="none"/>
          <w:u w:val="none"/>
        </w:rPr>
        <w:t>8.2.电子投标文件编制建议使用</w:t>
      </w:r>
      <w:r>
        <w:rPr>
          <w:rFonts w:hint="eastAsia" w:cs="宋体"/>
          <w:highlight w:val="none"/>
        </w:rPr>
        <w:t>office2010版本。</w:t>
      </w:r>
    </w:p>
    <w:p w14:paraId="301A0A39">
      <w:pPr>
        <w:wordWrap w:val="0"/>
        <w:spacing w:line="400" w:lineRule="exact"/>
        <w:ind w:firstLine="480"/>
        <w:rPr>
          <w:rFonts w:cs="宋体"/>
          <w:bCs/>
          <w:highlight w:val="none"/>
          <w:u w:val="single"/>
        </w:rPr>
      </w:pPr>
      <w:r>
        <w:rPr>
          <w:rFonts w:hint="eastAsia" w:cs="宋体"/>
          <w:szCs w:val="24"/>
          <w:highlight w:val="none"/>
        </w:rPr>
        <w:tab/>
      </w:r>
      <w:r>
        <w:rPr>
          <w:rFonts w:hint="eastAsia" w:cs="宋体"/>
          <w:szCs w:val="24"/>
          <w:highlight w:val="none"/>
        </w:rPr>
        <w:t>9.</w:t>
      </w:r>
      <w:r>
        <w:rPr>
          <w:rFonts w:hint="eastAsia" w:cs="宋体"/>
          <w:highlight w:val="none"/>
        </w:rPr>
        <w:t>潜在</w:t>
      </w:r>
      <w:r>
        <w:rPr>
          <w:rFonts w:hint="eastAsia"/>
          <w:szCs w:val="18"/>
          <w:highlight w:val="none"/>
        </w:rPr>
        <w:t>供应商</w:t>
      </w:r>
      <w:r>
        <w:rPr>
          <w:rFonts w:hint="eastAsia" w:cs="宋体"/>
          <w:highlight w:val="none"/>
        </w:rPr>
        <w:t>制作电子投标文件后，需在</w:t>
      </w:r>
      <w:r>
        <w:rPr>
          <w:rFonts w:hint="eastAsia" w:cs="宋体"/>
          <w:szCs w:val="24"/>
          <w:highlight w:val="none"/>
        </w:rPr>
        <w:t>投标工具</w:t>
      </w:r>
      <w:r>
        <w:rPr>
          <w:rFonts w:hint="eastAsia" w:cs="宋体"/>
          <w:highlight w:val="none"/>
        </w:rPr>
        <w:t>对电子投标文件进行电子签章（项目有特殊说明的除外），并使用CA</w:t>
      </w:r>
      <w:r>
        <w:rPr>
          <w:rFonts w:hint="eastAsia" w:cs="宋体"/>
          <w:szCs w:val="24"/>
          <w:highlight w:val="none"/>
        </w:rPr>
        <w:t>证书进行</w:t>
      </w:r>
      <w:r>
        <w:rPr>
          <w:rFonts w:hint="eastAsia" w:cs="宋体"/>
          <w:highlight w:val="none"/>
        </w:rPr>
        <w:t>加密。在</w:t>
      </w:r>
      <w:r>
        <w:rPr>
          <w:rFonts w:hint="eastAsia" w:cs="宋体"/>
          <w:szCs w:val="24"/>
          <w:highlight w:val="none"/>
        </w:rPr>
        <w:t>投标工具使用CA证书</w:t>
      </w:r>
      <w:r>
        <w:rPr>
          <w:rFonts w:hint="eastAsia" w:cs="宋体"/>
          <w:highlight w:val="none"/>
        </w:rPr>
        <w:t>时需安装“优质采数字证书助手”</w:t>
      </w:r>
      <w:r>
        <w:rPr>
          <w:rFonts w:hint="eastAsia" w:cs="宋体"/>
          <w:szCs w:val="24"/>
          <w:highlight w:val="none"/>
        </w:rPr>
        <w:t xml:space="preserve"> （即数字证书驱动）</w:t>
      </w:r>
      <w:r>
        <w:rPr>
          <w:rFonts w:hint="eastAsia" w:cs="宋体"/>
          <w:highlight w:val="none"/>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17"/>
          <w:rFonts w:hint="eastAsia" w:cs="宋体"/>
          <w:color w:val="auto"/>
          <w:highlight w:val="none"/>
        </w:rPr>
        <w:t>https://toolcdn.youzhicai.com/ca.zip</w:t>
      </w:r>
      <w:r>
        <w:rPr>
          <w:rStyle w:val="17"/>
          <w:rFonts w:hint="eastAsia" w:cs="宋体"/>
          <w:color w:val="auto"/>
          <w:highlight w:val="none"/>
        </w:rPr>
        <w:fldChar w:fldCharType="end"/>
      </w:r>
      <w:r>
        <w:rPr>
          <w:rStyle w:val="17"/>
          <w:rFonts w:hint="eastAsia" w:cs="宋体"/>
          <w:color w:val="auto"/>
          <w:highlight w:val="none"/>
        </w:rPr>
        <w:t>。</w:t>
      </w:r>
    </w:p>
    <w:p w14:paraId="220DF888">
      <w:pPr>
        <w:wordWrap w:val="0"/>
        <w:spacing w:line="400" w:lineRule="exact"/>
        <w:ind w:firstLine="480"/>
        <w:rPr>
          <w:rFonts w:cs="宋体"/>
          <w:szCs w:val="24"/>
          <w:highlight w:val="none"/>
        </w:rPr>
      </w:pPr>
      <w:r>
        <w:rPr>
          <w:rFonts w:hint="eastAsia" w:cs="宋体"/>
          <w:highlight w:val="none"/>
        </w:rPr>
        <w:tab/>
      </w:r>
      <w:r>
        <w:rPr>
          <w:rFonts w:hint="eastAsia" w:cs="宋体"/>
          <w:szCs w:val="24"/>
          <w:highlight w:val="none"/>
        </w:rPr>
        <w:t>10.潜在</w:t>
      </w:r>
      <w:r>
        <w:rPr>
          <w:rFonts w:hint="eastAsia"/>
          <w:szCs w:val="18"/>
          <w:highlight w:val="none"/>
        </w:rPr>
        <w:t>供应商</w:t>
      </w:r>
      <w:r>
        <w:rPr>
          <w:rFonts w:hint="eastAsia" w:cs="宋体"/>
          <w:szCs w:val="24"/>
          <w:highlight w:val="none"/>
        </w:rPr>
        <w:t>完成制作、签章、加密投标文件后，需在</w:t>
      </w:r>
      <w:r>
        <w:rPr>
          <w:rFonts w:hint="eastAsia" w:cs="宋体"/>
          <w:highlight w:val="none"/>
        </w:rPr>
        <w:t>招标文件规定的投标截止时间前在</w:t>
      </w:r>
      <w:r>
        <w:rPr>
          <w:rFonts w:hint="eastAsia" w:cs="宋体"/>
          <w:szCs w:val="24"/>
          <w:highlight w:val="none"/>
        </w:rPr>
        <w:t>投标工具</w:t>
      </w:r>
      <w:r>
        <w:rPr>
          <w:rFonts w:hint="eastAsia" w:cs="宋体"/>
          <w:highlight w:val="none"/>
        </w:rPr>
        <w:t>完成上传。</w:t>
      </w:r>
      <w:r>
        <w:rPr>
          <w:rFonts w:hint="eastAsia" w:cs="宋体"/>
          <w:szCs w:val="24"/>
          <w:highlight w:val="none"/>
        </w:rPr>
        <w:t>投标截止时间以优质采云采购平台（</w:t>
      </w:r>
      <w:r>
        <w:rPr>
          <w:rFonts w:cs="宋体"/>
          <w:szCs w:val="24"/>
          <w:highlight w:val="none"/>
        </w:rPr>
        <w:t>http://www.youzhicai.com/</w:t>
      </w:r>
      <w:r>
        <w:rPr>
          <w:rFonts w:hint="eastAsia" w:cs="宋体"/>
          <w:szCs w:val="24"/>
          <w:highlight w:val="none"/>
        </w:rPr>
        <w:t>）系统的时间为准，如未在投标截止时间前完成电子投标文件上传，系统将自动关闭上传通道。潜在</w:t>
      </w:r>
      <w:r>
        <w:rPr>
          <w:rFonts w:hint="eastAsia"/>
          <w:szCs w:val="18"/>
          <w:highlight w:val="none"/>
        </w:rPr>
        <w:t>供应商</w:t>
      </w:r>
      <w:r>
        <w:rPr>
          <w:rFonts w:hint="eastAsia" w:cs="宋体"/>
          <w:szCs w:val="24"/>
          <w:highlight w:val="none"/>
        </w:rPr>
        <w:t>未完成电子投标文件上传的，视为没有递交投标文件。</w:t>
      </w:r>
    </w:p>
    <w:p w14:paraId="0570BA9D">
      <w:pPr>
        <w:wordWrap w:val="0"/>
        <w:spacing w:line="400" w:lineRule="exact"/>
        <w:ind w:firstLine="480"/>
        <w:rPr>
          <w:rFonts w:cs="宋体"/>
          <w:szCs w:val="24"/>
          <w:highlight w:val="none"/>
        </w:rPr>
      </w:pPr>
      <w:r>
        <w:rPr>
          <w:rFonts w:hint="eastAsia" w:cs="宋体"/>
          <w:szCs w:val="24"/>
          <w:highlight w:val="none"/>
        </w:rPr>
        <w:t>11.潜在</w:t>
      </w:r>
      <w:r>
        <w:rPr>
          <w:rFonts w:hint="eastAsia"/>
          <w:szCs w:val="18"/>
          <w:highlight w:val="none"/>
        </w:rPr>
        <w:t>供应商</w:t>
      </w:r>
      <w:r>
        <w:rPr>
          <w:rFonts w:hint="eastAsia" w:cs="宋体"/>
          <w:szCs w:val="24"/>
          <w:highlight w:val="none"/>
        </w:rPr>
        <w:t>在投标文件递交截止时间前，可以对其所递交的电子投标文件进行撤回，修改后重新上传。</w:t>
      </w:r>
    </w:p>
    <w:p w14:paraId="13905671">
      <w:pPr>
        <w:spacing w:line="400" w:lineRule="exact"/>
        <w:ind w:firstLine="480"/>
        <w:rPr>
          <w:rFonts w:cs="宋体"/>
          <w:szCs w:val="24"/>
          <w:highlight w:val="none"/>
        </w:rPr>
      </w:pPr>
      <w:r>
        <w:rPr>
          <w:rFonts w:hint="eastAsia" w:cs="宋体"/>
          <w:szCs w:val="24"/>
          <w:highlight w:val="none"/>
        </w:rPr>
        <w:t>12.潜在</w:t>
      </w:r>
      <w:r>
        <w:rPr>
          <w:rFonts w:hint="eastAsia"/>
          <w:szCs w:val="18"/>
          <w:highlight w:val="none"/>
        </w:rPr>
        <w:t>供应商</w:t>
      </w:r>
      <w:r>
        <w:rPr>
          <w:rFonts w:hint="eastAsia" w:cs="宋体"/>
          <w:szCs w:val="24"/>
          <w:highlight w:val="none"/>
        </w:rPr>
        <w:t>在制作、签章、加密、上传电子投标文件过程中，若存在技术操作问题，请及时联系优质采云采购平台客服人员，客服电话：400-0099-555，0551-62220164。</w:t>
      </w:r>
    </w:p>
    <w:p w14:paraId="6598C53A">
      <w:pPr>
        <w:spacing w:line="400" w:lineRule="exact"/>
        <w:ind w:firstLine="480"/>
        <w:rPr>
          <w:rFonts w:cs="宋体"/>
          <w:szCs w:val="24"/>
          <w:highlight w:val="none"/>
        </w:rPr>
      </w:pPr>
      <w:r>
        <w:rPr>
          <w:rFonts w:hint="eastAsia" w:cs="宋体"/>
          <w:szCs w:val="24"/>
          <w:highlight w:val="none"/>
        </w:rPr>
        <w:t>三、开标和解密</w:t>
      </w:r>
    </w:p>
    <w:p w14:paraId="66A1BE17">
      <w:pPr>
        <w:spacing w:line="400" w:lineRule="exact"/>
        <w:ind w:firstLine="480"/>
        <w:rPr>
          <w:rFonts w:cs="宋体"/>
          <w:szCs w:val="24"/>
          <w:highlight w:val="none"/>
        </w:rPr>
      </w:pPr>
      <w:r>
        <w:rPr>
          <w:rFonts w:hint="eastAsia" w:cs="宋体"/>
          <w:szCs w:val="24"/>
          <w:highlight w:val="none"/>
        </w:rPr>
        <w:t>13.</w:t>
      </w:r>
      <w:r>
        <w:rPr>
          <w:rFonts w:hint="eastAsia"/>
          <w:szCs w:val="18"/>
          <w:highlight w:val="none"/>
        </w:rPr>
        <w:t>业主单位</w:t>
      </w:r>
      <w:r>
        <w:rPr>
          <w:rFonts w:hint="eastAsia" w:cs="宋体"/>
          <w:szCs w:val="24"/>
          <w:highlight w:val="none"/>
        </w:rPr>
        <w:t>或代理机构工作人员（以下简称工作人员）根据有关规定登录系统组织开标。投标文件递交截止时间后由</w:t>
      </w:r>
      <w:r>
        <w:rPr>
          <w:rFonts w:hint="eastAsia"/>
          <w:szCs w:val="18"/>
          <w:highlight w:val="none"/>
        </w:rPr>
        <w:t>供应商</w:t>
      </w:r>
      <w:r>
        <w:rPr>
          <w:rFonts w:hint="eastAsia" w:cs="宋体"/>
          <w:szCs w:val="24"/>
          <w:highlight w:val="none"/>
        </w:rPr>
        <w:t>使用</w:t>
      </w:r>
      <w:r>
        <w:rPr>
          <w:rFonts w:hint="eastAsia" w:cs="宋体"/>
          <w:highlight w:val="none"/>
        </w:rPr>
        <w:t>CA证书</w:t>
      </w:r>
      <w:r>
        <w:rPr>
          <w:rFonts w:hint="eastAsia" w:cs="宋体"/>
          <w:szCs w:val="24"/>
          <w:highlight w:val="none"/>
        </w:rPr>
        <w:t>解密投标文件，工作人员导入已解密投标文件并公布开标结果。</w:t>
      </w:r>
    </w:p>
    <w:p w14:paraId="7688F8F8">
      <w:pPr>
        <w:spacing w:line="400" w:lineRule="exact"/>
        <w:ind w:firstLine="480"/>
        <w:rPr>
          <w:rFonts w:cs="宋体"/>
          <w:szCs w:val="24"/>
          <w:highlight w:val="none"/>
        </w:rPr>
      </w:pPr>
      <w:r>
        <w:rPr>
          <w:rFonts w:hint="eastAsia" w:cs="宋体"/>
          <w:szCs w:val="24"/>
          <w:highlight w:val="none"/>
        </w:rPr>
        <w:t>14.投标文件可远程解密，</w:t>
      </w:r>
      <w:r>
        <w:rPr>
          <w:rFonts w:hint="eastAsia"/>
          <w:szCs w:val="18"/>
          <w:highlight w:val="none"/>
        </w:rPr>
        <w:t>供应商</w:t>
      </w:r>
      <w:r>
        <w:rPr>
          <w:rFonts w:hint="eastAsia" w:cs="宋体"/>
          <w:szCs w:val="24"/>
          <w:highlight w:val="none"/>
        </w:rPr>
        <w:t>无需到达开标现场。招标文件“</w:t>
      </w:r>
      <w:r>
        <w:rPr>
          <w:rFonts w:hint="eastAsia"/>
          <w:szCs w:val="18"/>
          <w:highlight w:val="none"/>
        </w:rPr>
        <w:t>供应商</w:t>
      </w:r>
      <w:r>
        <w:rPr>
          <w:rFonts w:hint="eastAsia" w:cs="宋体"/>
          <w:szCs w:val="24"/>
          <w:highlight w:val="none"/>
        </w:rPr>
        <w:t>须知”中另有规定的，从其规定。</w:t>
      </w:r>
    </w:p>
    <w:p w14:paraId="1AC43BD5">
      <w:pPr>
        <w:spacing w:line="400" w:lineRule="exact"/>
        <w:ind w:firstLine="480"/>
        <w:rPr>
          <w:rFonts w:cs="宋体"/>
          <w:szCs w:val="24"/>
          <w:highlight w:val="none"/>
        </w:rPr>
      </w:pPr>
      <w:r>
        <w:rPr>
          <w:rFonts w:hint="eastAsia" w:cs="宋体"/>
          <w:szCs w:val="24"/>
          <w:highlight w:val="none"/>
        </w:rPr>
        <w:t>15.潜在</w:t>
      </w:r>
      <w:r>
        <w:rPr>
          <w:rFonts w:hint="eastAsia"/>
          <w:szCs w:val="18"/>
          <w:highlight w:val="none"/>
        </w:rPr>
        <w:t>供应商</w:t>
      </w:r>
      <w:r>
        <w:rPr>
          <w:rFonts w:hint="eastAsia" w:cs="宋体"/>
          <w:szCs w:val="24"/>
          <w:highlight w:val="none"/>
        </w:rPr>
        <w:t>须按照招标文件的要求在投标文件递交截止时间前登录投标工具并保持在线，关注开标互动大厅消息直到项目评审结束。</w:t>
      </w:r>
    </w:p>
    <w:p w14:paraId="5D1FB22A">
      <w:pPr>
        <w:spacing w:line="400" w:lineRule="exact"/>
        <w:ind w:firstLine="480"/>
        <w:rPr>
          <w:rFonts w:cs="宋体"/>
          <w:szCs w:val="24"/>
          <w:highlight w:val="none"/>
        </w:rPr>
      </w:pPr>
      <w:r>
        <w:rPr>
          <w:rFonts w:hint="eastAsia" w:cs="宋体"/>
          <w:szCs w:val="24"/>
          <w:highlight w:val="none"/>
        </w:rPr>
        <w:t>16.投标文件解密时限为投标文件递交截止时间后30分钟（招标文件“</w:t>
      </w:r>
      <w:r>
        <w:rPr>
          <w:rFonts w:hint="eastAsia"/>
          <w:szCs w:val="18"/>
          <w:highlight w:val="none"/>
        </w:rPr>
        <w:t>供应商</w:t>
      </w:r>
      <w:r>
        <w:rPr>
          <w:rFonts w:hint="eastAsia" w:cs="宋体"/>
          <w:szCs w:val="24"/>
          <w:highlight w:val="none"/>
        </w:rPr>
        <w:t>须知”中另有规定的，从其规定）。潜在</w:t>
      </w:r>
      <w:r>
        <w:rPr>
          <w:rFonts w:hint="eastAsia"/>
          <w:szCs w:val="18"/>
          <w:highlight w:val="none"/>
        </w:rPr>
        <w:t>供应商</w:t>
      </w:r>
      <w:r>
        <w:rPr>
          <w:rFonts w:hint="eastAsia" w:cs="宋体"/>
          <w:szCs w:val="24"/>
          <w:highlight w:val="none"/>
        </w:rPr>
        <w:t>须在投标文件解密时限内完成投标文件解密，未能成功解密的视为放弃投标。招标文件“</w:t>
      </w:r>
      <w:r>
        <w:rPr>
          <w:rFonts w:hint="eastAsia"/>
          <w:szCs w:val="18"/>
          <w:highlight w:val="none"/>
        </w:rPr>
        <w:t>供应商</w:t>
      </w:r>
      <w:r>
        <w:rPr>
          <w:rFonts w:hint="eastAsia" w:cs="宋体"/>
          <w:szCs w:val="24"/>
          <w:highlight w:val="none"/>
        </w:rPr>
        <w:t>须知”中对投标文件解密设有线下补救方案的，执行该补救方案。</w:t>
      </w:r>
    </w:p>
    <w:p w14:paraId="5D3BCE37">
      <w:pPr>
        <w:spacing w:line="400" w:lineRule="exact"/>
        <w:ind w:firstLine="480"/>
        <w:rPr>
          <w:rFonts w:cs="宋体"/>
          <w:szCs w:val="24"/>
          <w:highlight w:val="none"/>
        </w:rPr>
      </w:pPr>
      <w:r>
        <w:rPr>
          <w:rFonts w:hint="eastAsia" w:cs="宋体"/>
          <w:szCs w:val="24"/>
          <w:highlight w:val="none"/>
        </w:rPr>
        <w:t>四、评审和询标</w:t>
      </w:r>
    </w:p>
    <w:p w14:paraId="46DBF641">
      <w:pPr>
        <w:spacing w:line="400" w:lineRule="exact"/>
        <w:ind w:firstLine="480"/>
        <w:rPr>
          <w:rFonts w:cs="宋体"/>
          <w:szCs w:val="24"/>
          <w:highlight w:val="none"/>
        </w:rPr>
      </w:pPr>
      <w:r>
        <w:rPr>
          <w:rFonts w:hint="eastAsia" w:cs="宋体"/>
          <w:szCs w:val="24"/>
          <w:highlight w:val="none"/>
        </w:rPr>
        <w:t>17.评审委员会通过优质采电子评审工具将需要澄清、说明或补正的内容以询标函的形式发送给</w:t>
      </w:r>
      <w:r>
        <w:rPr>
          <w:rFonts w:hint="eastAsia"/>
          <w:szCs w:val="18"/>
          <w:highlight w:val="none"/>
        </w:rPr>
        <w:t>供应商</w:t>
      </w:r>
      <w:r>
        <w:rPr>
          <w:rFonts w:hint="eastAsia" w:cs="宋体"/>
          <w:szCs w:val="24"/>
          <w:highlight w:val="none"/>
        </w:rPr>
        <w:t>，</w:t>
      </w:r>
      <w:r>
        <w:rPr>
          <w:rFonts w:hint="eastAsia"/>
          <w:szCs w:val="18"/>
          <w:highlight w:val="none"/>
        </w:rPr>
        <w:t>供应商</w:t>
      </w:r>
      <w:r>
        <w:rPr>
          <w:rFonts w:hint="eastAsia" w:cs="宋体"/>
          <w:szCs w:val="24"/>
          <w:highlight w:val="none"/>
        </w:rPr>
        <w:t>应登录投标工具并保持在线状态，以便及时接收评审委员会可能发出的询标函，并在询标函载明的时间内回复，若</w:t>
      </w:r>
      <w:r>
        <w:rPr>
          <w:rFonts w:hint="eastAsia"/>
          <w:szCs w:val="18"/>
          <w:highlight w:val="none"/>
        </w:rPr>
        <w:t>供应商</w:t>
      </w:r>
      <w:r>
        <w:rPr>
          <w:rFonts w:hint="eastAsia" w:cs="宋体"/>
          <w:szCs w:val="24"/>
          <w:highlight w:val="none"/>
        </w:rPr>
        <w:t>未及时回复，视为放弃澄清。</w:t>
      </w:r>
    </w:p>
    <w:p w14:paraId="11C60149">
      <w:pPr>
        <w:spacing w:line="400" w:lineRule="exact"/>
        <w:ind w:firstLine="480"/>
        <w:rPr>
          <w:rFonts w:cs="宋体"/>
          <w:highlight w:val="none"/>
        </w:rPr>
      </w:pPr>
      <w:r>
        <w:rPr>
          <w:rFonts w:hint="eastAsia" w:cs="宋体"/>
          <w:highlight w:val="none"/>
        </w:rPr>
        <w:t>五、异常情形</w:t>
      </w:r>
    </w:p>
    <w:p w14:paraId="5C587348">
      <w:pPr>
        <w:spacing w:line="400" w:lineRule="exact"/>
        <w:ind w:firstLine="480"/>
        <w:rPr>
          <w:rFonts w:cs="宋体"/>
          <w:szCs w:val="24"/>
          <w:highlight w:val="none"/>
        </w:rPr>
      </w:pPr>
      <w:r>
        <w:rPr>
          <w:rFonts w:hint="eastAsia" w:cs="宋体"/>
          <w:szCs w:val="24"/>
          <w:highlight w:val="none"/>
        </w:rPr>
        <w:t>18.出现下列情形导致电子交易系统无法正常运行，影响招投标过程的公平、公正和信息安全，经第三方机构认定后，各方当事人免责：</w:t>
      </w:r>
    </w:p>
    <w:p w14:paraId="787E375F">
      <w:pPr>
        <w:spacing w:line="400" w:lineRule="exact"/>
        <w:ind w:firstLine="480"/>
        <w:rPr>
          <w:rFonts w:cs="宋体"/>
          <w:szCs w:val="24"/>
          <w:highlight w:val="none"/>
        </w:rPr>
      </w:pPr>
      <w:r>
        <w:rPr>
          <w:rFonts w:hint="eastAsia" w:cs="宋体"/>
          <w:szCs w:val="24"/>
          <w:highlight w:val="none"/>
        </w:rPr>
        <w:t>(1)网络、服务器、数据库发生故障造成无法访问或使用的；</w:t>
      </w:r>
    </w:p>
    <w:p w14:paraId="5FC67A0F">
      <w:pPr>
        <w:spacing w:line="400" w:lineRule="exact"/>
        <w:ind w:firstLine="480"/>
        <w:rPr>
          <w:rFonts w:cs="宋体"/>
          <w:szCs w:val="24"/>
          <w:highlight w:val="none"/>
        </w:rPr>
      </w:pPr>
      <w:r>
        <w:rPr>
          <w:rFonts w:hint="eastAsia" w:cs="宋体"/>
          <w:szCs w:val="24"/>
          <w:highlight w:val="none"/>
        </w:rPr>
        <w:t>(2)电力系统发生故障导致电子服务系统或电子交易系统无法运行；</w:t>
      </w:r>
    </w:p>
    <w:p w14:paraId="6A1044D6">
      <w:pPr>
        <w:spacing w:line="400" w:lineRule="exact"/>
        <w:ind w:firstLine="480"/>
        <w:rPr>
          <w:rFonts w:cs="宋体"/>
          <w:szCs w:val="24"/>
          <w:highlight w:val="none"/>
        </w:rPr>
      </w:pPr>
      <w:r>
        <w:rPr>
          <w:rFonts w:hint="eastAsia" w:cs="宋体"/>
          <w:szCs w:val="24"/>
          <w:highlight w:val="none"/>
        </w:rPr>
        <w:t>(3)出现网络攻击、病毒入侵以及电子服务系统或电子交易系统安全漏洞导致无法正常提供服务的；</w:t>
      </w:r>
    </w:p>
    <w:p w14:paraId="4A646AE8">
      <w:pPr>
        <w:spacing w:line="400" w:lineRule="exact"/>
        <w:ind w:firstLine="480"/>
        <w:rPr>
          <w:rFonts w:cs="宋体"/>
          <w:szCs w:val="24"/>
          <w:highlight w:val="none"/>
        </w:rPr>
      </w:pPr>
      <w:r>
        <w:rPr>
          <w:rFonts w:hint="eastAsia" w:cs="宋体"/>
          <w:szCs w:val="24"/>
          <w:highlight w:val="none"/>
        </w:rPr>
        <w:t>(4)其他无法保证招投标过程公平、公正和信息安全的情形。</w:t>
      </w:r>
    </w:p>
    <w:p w14:paraId="1CFF58B9">
      <w:pPr>
        <w:spacing w:line="400" w:lineRule="exact"/>
        <w:ind w:firstLine="480"/>
        <w:rPr>
          <w:rFonts w:cs="宋体"/>
          <w:highlight w:val="none"/>
        </w:rPr>
      </w:pPr>
      <w:r>
        <w:rPr>
          <w:rFonts w:hint="eastAsia" w:cs="宋体"/>
          <w:highlight w:val="none"/>
        </w:rPr>
        <w:t>六、异常情形处理</w:t>
      </w:r>
    </w:p>
    <w:p w14:paraId="46E436A5">
      <w:pPr>
        <w:spacing w:line="400" w:lineRule="exact"/>
        <w:ind w:firstLine="480"/>
        <w:rPr>
          <w:rFonts w:cs="宋体"/>
          <w:highlight w:val="none"/>
        </w:rPr>
      </w:pPr>
      <w:r>
        <w:rPr>
          <w:rFonts w:hint="eastAsia" w:cs="宋体"/>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2717E4A">
      <w:pPr>
        <w:spacing w:line="400" w:lineRule="exact"/>
        <w:ind w:firstLine="480"/>
        <w:rPr>
          <w:rFonts w:cs="宋体"/>
          <w:highlight w:val="none"/>
        </w:rPr>
      </w:pPr>
      <w:r>
        <w:rPr>
          <w:rFonts w:hint="eastAsia" w:cs="宋体"/>
          <w:highlight w:val="none"/>
        </w:rPr>
        <w:t>（1）项目中止，中止期限由</w:t>
      </w:r>
      <w:r>
        <w:rPr>
          <w:rFonts w:hint="eastAsia"/>
          <w:szCs w:val="18"/>
          <w:highlight w:val="none"/>
        </w:rPr>
        <w:t>业主单位</w:t>
      </w:r>
      <w:r>
        <w:rPr>
          <w:rFonts w:hint="eastAsia" w:cs="宋体"/>
          <w:highlight w:val="none"/>
        </w:rPr>
        <w:t>或代理机构根据项目具体情况确定。中止期限届满后中止情形尚未消除的，</w:t>
      </w:r>
      <w:r>
        <w:rPr>
          <w:rFonts w:hint="eastAsia"/>
          <w:szCs w:val="18"/>
          <w:highlight w:val="none"/>
        </w:rPr>
        <w:t>业主单位</w:t>
      </w:r>
      <w:r>
        <w:rPr>
          <w:rFonts w:hint="eastAsia" w:cs="宋体"/>
          <w:highlight w:val="none"/>
        </w:rPr>
        <w:t>或代理机构可以根据实际情况决定延长中止期限。决定延长中止期限的，应向</w:t>
      </w:r>
      <w:r>
        <w:rPr>
          <w:rFonts w:hint="eastAsia"/>
          <w:szCs w:val="18"/>
          <w:highlight w:val="none"/>
        </w:rPr>
        <w:t>供应商</w:t>
      </w:r>
      <w:r>
        <w:rPr>
          <w:rFonts w:hint="eastAsia" w:cs="宋体"/>
          <w:highlight w:val="none"/>
        </w:rPr>
        <w:t>发出延长中止期限通知，并发布公布。</w:t>
      </w:r>
    </w:p>
    <w:p w14:paraId="0D0EF9F7">
      <w:pPr>
        <w:spacing w:line="400" w:lineRule="exact"/>
        <w:ind w:firstLine="480"/>
        <w:rPr>
          <w:rFonts w:cs="宋体"/>
          <w:highlight w:val="none"/>
        </w:rPr>
      </w:pPr>
      <w:r>
        <w:rPr>
          <w:rFonts w:hint="eastAsia" w:cs="宋体"/>
          <w:highlight w:val="none"/>
        </w:rPr>
        <w:t>（2）项目恢复，导致项目中止的情形消除后，</w:t>
      </w:r>
      <w:r>
        <w:rPr>
          <w:rFonts w:hint="eastAsia"/>
          <w:szCs w:val="18"/>
          <w:highlight w:val="none"/>
        </w:rPr>
        <w:t>业主单位</w:t>
      </w:r>
      <w:r>
        <w:rPr>
          <w:rFonts w:hint="eastAsia" w:cs="宋体"/>
          <w:highlight w:val="none"/>
        </w:rPr>
        <w:t>或代理机构应当尽快恢复招投标程序，向</w:t>
      </w:r>
      <w:r>
        <w:rPr>
          <w:rFonts w:hint="eastAsia"/>
          <w:szCs w:val="18"/>
          <w:highlight w:val="none"/>
        </w:rPr>
        <w:t>供应商</w:t>
      </w:r>
      <w:r>
        <w:rPr>
          <w:rFonts w:hint="eastAsia" w:cs="宋体"/>
          <w:highlight w:val="none"/>
        </w:rPr>
        <w:t>发出恢复交易通知，并发布公布；已发出延长中止期限通知的，按通知执行。</w:t>
      </w:r>
    </w:p>
    <w:p w14:paraId="705A58A2">
      <w:pPr>
        <w:ind w:firstLine="480"/>
        <w:rPr>
          <w:highlight w:val="none"/>
        </w:rPr>
      </w:pPr>
    </w:p>
    <w:p w14:paraId="2FF64BD1">
      <w:pPr>
        <w:ind w:firstLine="721"/>
        <w:jc w:val="center"/>
        <w:rPr>
          <w:rFonts w:ascii="华文宋体" w:hAnsi="华文宋体" w:eastAsia="华文宋体" w:cs="华文宋体"/>
          <w:b/>
          <w:bCs/>
          <w:sz w:val="36"/>
          <w:szCs w:val="44"/>
          <w:highlight w:val="none"/>
        </w:rPr>
      </w:pPr>
    </w:p>
    <w:p w14:paraId="1E034C32">
      <w:pPr>
        <w:ind w:firstLine="721"/>
        <w:jc w:val="center"/>
        <w:rPr>
          <w:rFonts w:ascii="华文宋体" w:hAnsi="华文宋体" w:eastAsia="华文宋体" w:cs="华文宋体"/>
          <w:b/>
          <w:bCs/>
          <w:sz w:val="36"/>
          <w:szCs w:val="44"/>
          <w:highlight w:val="none"/>
        </w:rPr>
      </w:pPr>
    </w:p>
    <w:p w14:paraId="1A396DD2">
      <w:pPr>
        <w:ind w:firstLine="721"/>
        <w:jc w:val="center"/>
        <w:rPr>
          <w:rFonts w:ascii="华文宋体" w:hAnsi="华文宋体" w:eastAsia="华文宋体" w:cs="华文宋体"/>
          <w:b/>
          <w:bCs/>
          <w:sz w:val="36"/>
          <w:szCs w:val="44"/>
          <w:highlight w:val="none"/>
        </w:rPr>
      </w:pPr>
    </w:p>
    <w:p w14:paraId="430759E6">
      <w:pPr>
        <w:ind w:firstLine="721"/>
        <w:jc w:val="center"/>
        <w:rPr>
          <w:rFonts w:ascii="华文宋体" w:hAnsi="华文宋体" w:eastAsia="华文宋体" w:cs="华文宋体"/>
          <w:b/>
          <w:bCs/>
          <w:sz w:val="36"/>
          <w:szCs w:val="44"/>
          <w:highlight w:val="none"/>
        </w:rPr>
      </w:pPr>
    </w:p>
    <w:p w14:paraId="1E851CF4">
      <w:pPr>
        <w:ind w:firstLine="721"/>
        <w:jc w:val="center"/>
        <w:rPr>
          <w:rFonts w:ascii="华文宋体" w:hAnsi="华文宋体" w:eastAsia="华文宋体" w:cs="华文宋体"/>
          <w:b/>
          <w:bCs/>
          <w:sz w:val="36"/>
          <w:szCs w:val="44"/>
          <w:highlight w:val="none"/>
        </w:rPr>
      </w:pPr>
    </w:p>
    <w:p w14:paraId="72E15DC2">
      <w:pPr>
        <w:ind w:firstLine="721"/>
        <w:jc w:val="center"/>
        <w:rPr>
          <w:rFonts w:ascii="华文宋体" w:hAnsi="华文宋体" w:eastAsia="华文宋体" w:cs="华文宋体"/>
          <w:b/>
          <w:bCs/>
          <w:sz w:val="36"/>
          <w:szCs w:val="44"/>
          <w:highlight w:val="none"/>
        </w:rPr>
      </w:pPr>
    </w:p>
    <w:p w14:paraId="3827C4FA">
      <w:pPr>
        <w:ind w:firstLine="721"/>
        <w:jc w:val="center"/>
        <w:rPr>
          <w:rFonts w:ascii="华文宋体" w:hAnsi="华文宋体" w:eastAsia="华文宋体" w:cs="华文宋体"/>
          <w:b/>
          <w:bCs/>
          <w:sz w:val="36"/>
          <w:szCs w:val="44"/>
          <w:highlight w:val="none"/>
        </w:rPr>
      </w:pPr>
    </w:p>
    <w:p w14:paraId="6831882E">
      <w:pPr>
        <w:ind w:firstLine="721"/>
        <w:jc w:val="center"/>
        <w:rPr>
          <w:rFonts w:ascii="华文宋体" w:hAnsi="华文宋体" w:eastAsia="华文宋体" w:cs="华文宋体"/>
          <w:b/>
          <w:bCs/>
          <w:sz w:val="36"/>
          <w:szCs w:val="44"/>
          <w:highlight w:val="none"/>
        </w:rPr>
      </w:pPr>
    </w:p>
    <w:p w14:paraId="2788DBE0">
      <w:pPr>
        <w:ind w:firstLine="721"/>
        <w:jc w:val="center"/>
        <w:rPr>
          <w:rFonts w:ascii="华文宋体" w:hAnsi="华文宋体" w:eastAsia="华文宋体" w:cs="华文宋体"/>
          <w:b/>
          <w:bCs/>
          <w:sz w:val="36"/>
          <w:szCs w:val="44"/>
          <w:highlight w:val="none"/>
        </w:rPr>
      </w:pPr>
    </w:p>
    <w:p w14:paraId="0EA2BC83">
      <w:pPr>
        <w:ind w:firstLine="721"/>
        <w:jc w:val="center"/>
        <w:rPr>
          <w:rFonts w:ascii="华文宋体" w:hAnsi="华文宋体" w:eastAsia="华文宋体" w:cs="华文宋体"/>
          <w:b/>
          <w:bCs/>
          <w:sz w:val="36"/>
          <w:szCs w:val="44"/>
          <w:highlight w:val="none"/>
        </w:rPr>
      </w:pPr>
    </w:p>
    <w:p w14:paraId="3A749510">
      <w:pPr>
        <w:ind w:firstLine="721"/>
        <w:jc w:val="center"/>
        <w:rPr>
          <w:rFonts w:ascii="华文宋体" w:hAnsi="华文宋体" w:eastAsia="华文宋体" w:cs="华文宋体"/>
          <w:b/>
          <w:bCs/>
          <w:sz w:val="36"/>
          <w:szCs w:val="44"/>
          <w:highlight w:val="none"/>
        </w:rPr>
      </w:pPr>
    </w:p>
    <w:p w14:paraId="5ED064AC">
      <w:pPr>
        <w:ind w:firstLine="721"/>
        <w:jc w:val="center"/>
        <w:rPr>
          <w:rFonts w:ascii="华文宋体" w:hAnsi="华文宋体" w:eastAsia="华文宋体" w:cs="华文宋体"/>
          <w:b/>
          <w:bCs/>
          <w:sz w:val="36"/>
          <w:szCs w:val="44"/>
          <w:highlight w:val="none"/>
        </w:rPr>
      </w:pPr>
    </w:p>
    <w:p w14:paraId="32CFE2DA">
      <w:pPr>
        <w:ind w:firstLine="721"/>
        <w:jc w:val="center"/>
        <w:rPr>
          <w:rFonts w:ascii="华文宋体" w:hAnsi="华文宋体" w:eastAsia="华文宋体" w:cs="华文宋体"/>
          <w:b/>
          <w:bCs/>
          <w:sz w:val="36"/>
          <w:szCs w:val="44"/>
          <w:highlight w:val="none"/>
        </w:rPr>
      </w:pPr>
    </w:p>
    <w:p w14:paraId="20AD8AA1">
      <w:pPr>
        <w:ind w:left="0" w:leftChars="0" w:firstLine="0" w:firstLineChars="0"/>
      </w:pPr>
      <w:bookmarkStart w:id="28" w:name="_GoBack"/>
      <w:bookmarkEnd w:id="28"/>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_GB2312">
    <w:altName w:val="@微软雅黑"/>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E828">
    <w:pPr>
      <w:pStyle w:val="8"/>
      <w:ind w:firstLine="360"/>
      <w:jc w:val="center"/>
    </w:pPr>
  </w:p>
  <w:p w14:paraId="06519F13">
    <w:pPr>
      <w:pStyle w:val="8"/>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D45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BC48">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30867"/>
    </w:sdtPr>
    <w:sdtContent>
      <w:p w14:paraId="3DD51B8F">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704B6C4">
      <w:pPr>
        <w:pStyle w:val="10"/>
        <w:ind w:firstLine="360"/>
      </w:pPr>
      <w:r>
        <w:rPr>
          <w:rStyle w:val="18"/>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83F7">
    <w:pPr>
      <w:pStyle w:val="9"/>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D8A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5152">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3FD0">
    <w:pPr>
      <w:pStyle w:val="9"/>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967A6EB"/>
    <w:multiLevelType w:val="singleLevel"/>
    <w:tmpl w:val="C967A6EB"/>
    <w:lvl w:ilvl="0" w:tentative="0">
      <w:start w:val="2"/>
      <w:numFmt w:val="decimal"/>
      <w:lvlText w:val="%1."/>
      <w:lvlJc w:val="left"/>
      <w:pPr>
        <w:tabs>
          <w:tab w:val="left" w:pos="312"/>
        </w:tabs>
      </w:pPr>
    </w:lvl>
  </w:abstractNum>
  <w:abstractNum w:abstractNumId="3">
    <w:nsid w:val="F71D34CA"/>
    <w:multiLevelType w:val="singleLevel"/>
    <w:tmpl w:val="F71D34CA"/>
    <w:lvl w:ilvl="0" w:tentative="0">
      <w:start w:val="1"/>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337F1"/>
    <w:rsid w:val="04762137"/>
    <w:rsid w:val="15593193"/>
    <w:rsid w:val="3652180C"/>
    <w:rsid w:val="3CD5783F"/>
    <w:rsid w:val="3F6F51DD"/>
    <w:rsid w:val="431337F1"/>
    <w:rsid w:val="432033BE"/>
    <w:rsid w:val="579B08C7"/>
    <w:rsid w:val="5EBB7FE7"/>
    <w:rsid w:val="652C5AFB"/>
    <w:rsid w:val="66187ACD"/>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ascii="Calibri" w:hAnsi="Calibri" w:cs="Calibri"/>
      <w:kern w:val="2"/>
      <w:sz w:val="18"/>
      <w:szCs w:val="18"/>
    </w:r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next w:val="3"/>
    <w:qFormat/>
    <w:uiPriority w:val="0"/>
  </w:style>
  <w:style w:type="paragraph" w:styleId="7">
    <w:name w:val="Plain Text"/>
    <w:basedOn w:val="1"/>
    <w:qFormat/>
    <w:uiPriority w:val="0"/>
    <w:rPr>
      <w:rFonts w:hAnsi="Courier New" w:eastAsiaTheme="minorEastAsia"/>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2">
    <w:name w:val="index 1"/>
    <w:basedOn w:val="1"/>
    <w:next w:val="1"/>
    <w:qFormat/>
    <w:uiPriority w:val="0"/>
    <w:pPr>
      <w:ind w:firstLine="480"/>
      <w:jc w:val="center"/>
    </w:pPr>
    <w:rPr>
      <w:rFonts w:cs="Arial"/>
      <w:bCs/>
      <w:i/>
      <w:color w:val="000000" w:themeColor="text1"/>
      <w14:textFill>
        <w14:solidFill>
          <w14:schemeClr w14:val="tx1"/>
        </w14:solidFill>
      </w14:textFill>
    </w:rPr>
  </w:style>
  <w:style w:type="paragraph" w:styleId="13">
    <w:name w:val="Body Text First Indent"/>
    <w:basedOn w:val="4"/>
    <w:unhideWhenUsed/>
    <w:qFormat/>
    <w:uiPriority w:val="99"/>
    <w:pPr>
      <w:ind w:firstLine="420" w:firstLineChars="100"/>
    </w:p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character" w:styleId="18">
    <w:name w:val="footnote reference"/>
    <w:unhideWhenUsed/>
    <w:qFormat/>
    <w:uiPriority w:val="0"/>
    <w:rPr>
      <w:vertAlign w:val="superscript"/>
    </w:rPr>
  </w:style>
  <w:style w:type="paragraph" w:customStyle="1" w:styleId="19">
    <w:name w:val="五级目录"/>
    <w:basedOn w:val="1"/>
    <w:qFormat/>
    <w:uiPriority w:val="0"/>
    <w:pPr>
      <w:ind w:left="150" w:leftChars="150"/>
      <w:outlineLvl w:val="4"/>
    </w:pPr>
    <w:rPr>
      <w:rFonts w:ascii="黑体" w:hAnsi="Times New Roman"/>
      <w:szCs w:val="28"/>
    </w:rPr>
  </w:style>
  <w:style w:type="paragraph" w:customStyle="1" w:styleId="20">
    <w:name w:val="正文（缩进）"/>
    <w:basedOn w:val="1"/>
    <w:qFormat/>
    <w:uiPriority w:val="0"/>
    <w:pPr>
      <w:widowControl/>
      <w:spacing w:before="156" w:after="156"/>
      <w:ind w:firstLine="480"/>
      <w:jc w:val="left"/>
    </w:pPr>
    <w:rPr>
      <w:szCs w:val="24"/>
    </w:rPr>
  </w:style>
  <w:style w:type="paragraph" w:customStyle="1" w:styleId="21">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22">
    <w:name w:val="D&amp;L"/>
    <w:basedOn w:val="9"/>
    <w:qFormat/>
    <w:uiPriority w:val="0"/>
    <w:pPr>
      <w:pBdr>
        <w:bottom w:val="none" w:color="auto" w:sz="0" w:space="0"/>
      </w:pBdr>
      <w:snapToGrid/>
    </w:pPr>
    <w:rPr>
      <w:rFonts w:cs="宋体"/>
      <w:bCs/>
      <w:kern w:val="2"/>
      <w:sz w:val="24"/>
      <w:szCs w:val="24"/>
    </w:rPr>
  </w:style>
  <w:style w:type="paragraph" w:customStyle="1" w:styleId="23">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BodyText1I"/>
    <w:basedOn w:val="26"/>
    <w:qFormat/>
    <w:uiPriority w:val="0"/>
    <w:pPr>
      <w:ind w:firstLine="420" w:firstLineChars="100"/>
    </w:pPr>
  </w:style>
  <w:style w:type="paragraph" w:customStyle="1" w:styleId="26">
    <w:name w:val="BodyText"/>
    <w:basedOn w:val="1"/>
    <w:next w:val="27"/>
    <w:qFormat/>
    <w:uiPriority w:val="0"/>
    <w:pPr>
      <w:widowControl/>
      <w:snapToGrid w:val="0"/>
      <w:spacing w:line="240" w:lineRule="auto"/>
      <w:jc w:val="left"/>
      <w:textAlignment w:val="baseline"/>
    </w:pPr>
    <w:rPr>
      <w:color w:val="000000"/>
      <w:szCs w:val="24"/>
      <w:lang w:val="zh-CN" w:bidi="zh-CN"/>
    </w:rPr>
  </w:style>
  <w:style w:type="paragraph" w:customStyle="1" w:styleId="27">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2026-05-19T07:17:00Z</dcterms:created>
  <dc:creator>唐晶晶</dc:creator>
  <cp:lastModifiedBy>唐晶晶</cp:lastModifiedBy>
  <dcterms:modified xsi:type="dcterms:W3CDTF">2026-05-19T07:35:48Z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C3153722D3554F80982A3FB1818EFD1B_11</vt:lpwstr>
  </property>
  <property fmtid="{D5CDD505-2E9C-101B-9397-08002B2CF9AE}" pid="4" name="KSOTemplateDocerSaveRecord">
    <vt:lpwstr>eyJoZGlkIjoiNGNlMGMwZDBhYWZhOTllNjljOGQ4MzE3OWEwNDRhMWMiLCJ1c2VySWQiOiIxNTY2MDI5NTY5In0=</vt:lpwstr>
  </property>
</Properties>
</file>